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33604" w:rsidRPr="00D13ADD" w:rsidRDefault="00133604"/>
    <w:p w:rsidR="00497C90" w:rsidRPr="00D13ADD" w:rsidRDefault="00497C90" w:rsidP="00497C90">
      <w:pPr>
        <w:jc w:val="center"/>
        <w:rPr>
          <w:b/>
        </w:rPr>
      </w:pPr>
    </w:p>
    <w:p w:rsidR="00546382" w:rsidRPr="00D13ADD" w:rsidRDefault="00546382" w:rsidP="00497C90">
      <w:pPr>
        <w:jc w:val="center"/>
        <w:rPr>
          <w:b/>
          <w:sz w:val="28"/>
          <w:szCs w:val="28"/>
        </w:rPr>
      </w:pPr>
      <w:bookmarkStart w:id="0" w:name="_Toc105997481"/>
      <w:bookmarkStart w:id="1" w:name="_Toc105997550"/>
    </w:p>
    <w:p w:rsidR="00546382" w:rsidRPr="00D13ADD" w:rsidRDefault="00546382" w:rsidP="00497C90">
      <w:pPr>
        <w:jc w:val="center"/>
        <w:rPr>
          <w:b/>
          <w:sz w:val="28"/>
          <w:szCs w:val="28"/>
        </w:rPr>
      </w:pPr>
    </w:p>
    <w:bookmarkEnd w:id="0"/>
    <w:bookmarkEnd w:id="1"/>
    <w:p w:rsidR="00964BE6" w:rsidRPr="00964BE6" w:rsidRDefault="00964BE6" w:rsidP="00497C90">
      <w:pPr>
        <w:jc w:val="center"/>
        <w:rPr>
          <w:b/>
          <w:sz w:val="28"/>
          <w:szCs w:val="28"/>
        </w:rPr>
      </w:pPr>
    </w:p>
    <w:p w:rsidR="00497C90" w:rsidRPr="00D13ADD" w:rsidRDefault="00497C90" w:rsidP="0029071D"/>
    <w:p w:rsidR="009C01C2" w:rsidRDefault="00F036BA" w:rsidP="009C01C2">
      <w:pPr>
        <w:jc w:val="center"/>
        <w:rPr>
          <w:b/>
          <w:bCs/>
          <w:sz w:val="32"/>
          <w:szCs w:val="32"/>
        </w:rPr>
      </w:pPr>
      <w:r>
        <w:rPr>
          <w:b/>
          <w:bCs/>
          <w:sz w:val="32"/>
          <w:szCs w:val="32"/>
        </w:rPr>
        <w:t xml:space="preserve">NEW ZEALAND </w:t>
      </w:r>
      <w:r w:rsidR="006E46BC">
        <w:rPr>
          <w:b/>
          <w:bCs/>
          <w:sz w:val="32"/>
          <w:szCs w:val="32"/>
        </w:rPr>
        <w:t>NATIONAL GAMBLING STUDY:</w:t>
      </w:r>
    </w:p>
    <w:p w:rsidR="006E46BC" w:rsidRDefault="00A31938" w:rsidP="009C01C2">
      <w:pPr>
        <w:jc w:val="center"/>
        <w:rPr>
          <w:b/>
          <w:bCs/>
          <w:sz w:val="32"/>
          <w:szCs w:val="32"/>
        </w:rPr>
      </w:pPr>
      <w:r>
        <w:rPr>
          <w:b/>
          <w:bCs/>
          <w:sz w:val="32"/>
          <w:szCs w:val="32"/>
        </w:rPr>
        <w:t xml:space="preserve">WAVE </w:t>
      </w:r>
      <w:r w:rsidR="009E225E">
        <w:rPr>
          <w:b/>
          <w:bCs/>
          <w:sz w:val="32"/>
          <w:szCs w:val="32"/>
        </w:rPr>
        <w:t>2</w:t>
      </w:r>
      <w:r>
        <w:rPr>
          <w:b/>
          <w:bCs/>
          <w:sz w:val="32"/>
          <w:szCs w:val="32"/>
        </w:rPr>
        <w:t xml:space="preserve"> (2013)</w:t>
      </w:r>
    </w:p>
    <w:p w:rsidR="00FB0F46" w:rsidRDefault="00FB0F46" w:rsidP="009C01C2">
      <w:pPr>
        <w:jc w:val="center"/>
        <w:rPr>
          <w:b/>
          <w:bCs/>
          <w:sz w:val="32"/>
          <w:szCs w:val="32"/>
        </w:rPr>
      </w:pPr>
    </w:p>
    <w:p w:rsidR="00FB0F46" w:rsidRDefault="005D3236" w:rsidP="009C01C2">
      <w:pPr>
        <w:jc w:val="center"/>
        <w:rPr>
          <w:b/>
          <w:bCs/>
          <w:sz w:val="32"/>
          <w:szCs w:val="32"/>
        </w:rPr>
      </w:pPr>
      <w:r>
        <w:rPr>
          <w:b/>
          <w:bCs/>
          <w:sz w:val="32"/>
          <w:szCs w:val="32"/>
        </w:rPr>
        <w:t>REPORT NUMBER 4</w:t>
      </w:r>
    </w:p>
    <w:p w:rsidR="009C01C2" w:rsidRPr="00D13ADD" w:rsidRDefault="009C01C2" w:rsidP="00497C90">
      <w:pPr>
        <w:jc w:val="center"/>
        <w:rPr>
          <w:b/>
          <w:sz w:val="32"/>
          <w:szCs w:val="32"/>
        </w:rPr>
      </w:pPr>
    </w:p>
    <w:p w:rsidR="00546382" w:rsidRDefault="00546382" w:rsidP="00497C90">
      <w:pPr>
        <w:jc w:val="center"/>
        <w:rPr>
          <w:b/>
          <w:sz w:val="32"/>
          <w:szCs w:val="32"/>
        </w:rPr>
      </w:pPr>
    </w:p>
    <w:p w:rsidR="00497C90" w:rsidRPr="00D13ADD" w:rsidRDefault="00497C90" w:rsidP="00497C90">
      <w:pPr>
        <w:jc w:val="center"/>
        <w:rPr>
          <w:b/>
          <w:sz w:val="32"/>
          <w:szCs w:val="32"/>
        </w:rPr>
      </w:pPr>
      <w:r w:rsidRPr="00D13ADD">
        <w:rPr>
          <w:b/>
          <w:sz w:val="32"/>
          <w:szCs w:val="32"/>
        </w:rPr>
        <w:t xml:space="preserve">Provider Number: </w:t>
      </w:r>
      <w:r w:rsidR="004159DB" w:rsidRPr="00D13ADD">
        <w:rPr>
          <w:b/>
          <w:sz w:val="32"/>
          <w:szCs w:val="32"/>
        </w:rPr>
        <w:t>467589</w:t>
      </w:r>
    </w:p>
    <w:p w:rsidR="00497C90" w:rsidRPr="00D13ADD" w:rsidRDefault="00497C90" w:rsidP="00497C90">
      <w:pPr>
        <w:jc w:val="center"/>
        <w:rPr>
          <w:b/>
          <w:sz w:val="32"/>
          <w:szCs w:val="32"/>
        </w:rPr>
      </w:pPr>
    </w:p>
    <w:p w:rsidR="00497C90" w:rsidRPr="00D13ADD" w:rsidRDefault="006763CA" w:rsidP="00497C90">
      <w:pPr>
        <w:jc w:val="center"/>
        <w:rPr>
          <w:b/>
          <w:sz w:val="32"/>
          <w:szCs w:val="32"/>
        </w:rPr>
      </w:pPr>
      <w:r w:rsidRPr="00D13ADD">
        <w:rPr>
          <w:b/>
          <w:sz w:val="32"/>
          <w:szCs w:val="32"/>
        </w:rPr>
        <w:t>Contract</w:t>
      </w:r>
      <w:r w:rsidR="00497C90" w:rsidRPr="00D13ADD">
        <w:rPr>
          <w:b/>
          <w:sz w:val="32"/>
          <w:szCs w:val="32"/>
        </w:rPr>
        <w:t xml:space="preserve"> Number</w:t>
      </w:r>
      <w:r w:rsidR="00B768CD">
        <w:rPr>
          <w:b/>
          <w:sz w:val="32"/>
          <w:szCs w:val="32"/>
        </w:rPr>
        <w:t>s</w:t>
      </w:r>
      <w:r w:rsidR="00497C90" w:rsidRPr="00D13ADD">
        <w:rPr>
          <w:b/>
          <w:sz w:val="32"/>
          <w:szCs w:val="32"/>
        </w:rPr>
        <w:t xml:space="preserve">: </w:t>
      </w:r>
      <w:r w:rsidR="004159DB" w:rsidRPr="00D13ADD">
        <w:rPr>
          <w:b/>
          <w:sz w:val="32"/>
          <w:szCs w:val="32"/>
        </w:rPr>
        <w:t>3</w:t>
      </w:r>
      <w:r w:rsidRPr="00D13ADD">
        <w:rPr>
          <w:b/>
          <w:sz w:val="32"/>
          <w:szCs w:val="32"/>
        </w:rPr>
        <w:t>3</w:t>
      </w:r>
      <w:r w:rsidR="00FB0F46">
        <w:rPr>
          <w:b/>
          <w:sz w:val="32"/>
          <w:szCs w:val="32"/>
        </w:rPr>
        <w:t>5667</w:t>
      </w:r>
      <w:r w:rsidRPr="00D13ADD">
        <w:rPr>
          <w:b/>
          <w:sz w:val="32"/>
          <w:szCs w:val="32"/>
        </w:rPr>
        <w:t>/00</w:t>
      </w:r>
      <w:r w:rsidR="005161A4">
        <w:rPr>
          <w:b/>
          <w:sz w:val="32"/>
          <w:szCs w:val="32"/>
        </w:rPr>
        <w:t>,</w:t>
      </w:r>
      <w:r w:rsidR="00A3139B">
        <w:rPr>
          <w:b/>
          <w:sz w:val="32"/>
          <w:szCs w:val="32"/>
        </w:rPr>
        <w:t xml:space="preserve"> 01</w:t>
      </w:r>
      <w:r w:rsidR="005161A4">
        <w:rPr>
          <w:b/>
          <w:sz w:val="32"/>
          <w:szCs w:val="32"/>
        </w:rPr>
        <w:t xml:space="preserve"> and 02</w:t>
      </w:r>
    </w:p>
    <w:p w:rsidR="00497C90" w:rsidRPr="00D13ADD" w:rsidRDefault="00497C90" w:rsidP="00497C90">
      <w:pPr>
        <w:tabs>
          <w:tab w:val="left" w:pos="6450"/>
        </w:tabs>
        <w:rPr>
          <w:b/>
          <w:sz w:val="32"/>
          <w:szCs w:val="32"/>
        </w:rPr>
      </w:pPr>
      <w:r w:rsidRPr="00D13ADD">
        <w:rPr>
          <w:b/>
          <w:sz w:val="32"/>
          <w:szCs w:val="32"/>
        </w:rPr>
        <w:tab/>
      </w:r>
    </w:p>
    <w:p w:rsidR="00497C90" w:rsidRPr="00D13ADD" w:rsidRDefault="00497C90" w:rsidP="00497C90">
      <w:pPr>
        <w:jc w:val="center"/>
        <w:rPr>
          <w:b/>
          <w:sz w:val="32"/>
          <w:szCs w:val="32"/>
        </w:rPr>
      </w:pPr>
    </w:p>
    <w:p w:rsidR="00497C90" w:rsidRDefault="001F1B4B" w:rsidP="00497C90">
      <w:pPr>
        <w:jc w:val="center"/>
        <w:rPr>
          <w:b/>
          <w:sz w:val="32"/>
          <w:szCs w:val="32"/>
        </w:rPr>
      </w:pPr>
      <w:bookmarkStart w:id="2" w:name="_Toc105997482"/>
      <w:bookmarkStart w:id="3" w:name="_Toc105997551"/>
      <w:r w:rsidRPr="00D13ADD">
        <w:rPr>
          <w:b/>
          <w:sz w:val="32"/>
          <w:szCs w:val="32"/>
        </w:rPr>
        <w:t>FINAL</w:t>
      </w:r>
      <w:r w:rsidR="00497C90" w:rsidRPr="00D13ADD">
        <w:rPr>
          <w:b/>
          <w:sz w:val="32"/>
          <w:szCs w:val="32"/>
        </w:rPr>
        <w:t xml:space="preserve"> REPORT</w:t>
      </w:r>
      <w:bookmarkEnd w:id="2"/>
      <w:bookmarkEnd w:id="3"/>
    </w:p>
    <w:p w:rsidR="001A5DB0" w:rsidRPr="00D13ADD" w:rsidRDefault="001A5DB0" w:rsidP="00497C90">
      <w:pPr>
        <w:jc w:val="center"/>
        <w:rPr>
          <w:b/>
          <w:sz w:val="32"/>
          <w:szCs w:val="32"/>
        </w:rPr>
      </w:pPr>
    </w:p>
    <w:p w:rsidR="00497C90" w:rsidRPr="00D13ADD" w:rsidRDefault="006763CA" w:rsidP="00497C90">
      <w:pPr>
        <w:jc w:val="center"/>
        <w:rPr>
          <w:sz w:val="28"/>
          <w:szCs w:val="28"/>
        </w:rPr>
      </w:pPr>
      <w:r w:rsidRPr="00D13ADD">
        <w:rPr>
          <w:sz w:val="28"/>
          <w:szCs w:val="28"/>
        </w:rPr>
        <w:t xml:space="preserve"> </w:t>
      </w:r>
      <w:r w:rsidR="007603E0">
        <w:rPr>
          <w:sz w:val="28"/>
          <w:szCs w:val="28"/>
        </w:rPr>
        <w:t>23 October</w:t>
      </w:r>
      <w:r w:rsidR="00BF0EA0" w:rsidRPr="00D72ABD">
        <w:rPr>
          <w:sz w:val="28"/>
          <w:szCs w:val="28"/>
        </w:rPr>
        <w:t xml:space="preserve"> 2015</w:t>
      </w:r>
    </w:p>
    <w:p w:rsidR="00497C90" w:rsidRPr="00D13ADD" w:rsidRDefault="00497C90" w:rsidP="00497C90">
      <w:pPr>
        <w:jc w:val="center"/>
        <w:rPr>
          <w:rFonts w:ascii="Arial" w:hAnsi="Arial" w:cs="Arial"/>
          <w:sz w:val="28"/>
          <w:szCs w:val="28"/>
        </w:rPr>
      </w:pPr>
    </w:p>
    <w:p w:rsidR="00497C90" w:rsidRPr="00D13ADD" w:rsidRDefault="00497C90" w:rsidP="00497C90">
      <w:pPr>
        <w:rPr>
          <w:rFonts w:ascii="Arial" w:hAnsi="Arial" w:cs="Arial"/>
          <w:sz w:val="28"/>
          <w:szCs w:val="28"/>
        </w:rPr>
      </w:pPr>
    </w:p>
    <w:p w:rsidR="00497C90" w:rsidRPr="00D13ADD" w:rsidRDefault="00497C90" w:rsidP="00497C90">
      <w:pPr>
        <w:rPr>
          <w:rFonts w:ascii="Arial" w:hAnsi="Arial" w:cs="Arial"/>
          <w:sz w:val="28"/>
          <w:szCs w:val="28"/>
        </w:rPr>
      </w:pPr>
    </w:p>
    <w:p w:rsidR="00F45EB9" w:rsidRDefault="00F45EB9" w:rsidP="00497C90">
      <w:bookmarkStart w:id="4" w:name="_Toc105997483"/>
      <w:bookmarkStart w:id="5" w:name="_Toc105997552"/>
    </w:p>
    <w:p w:rsidR="007603E0" w:rsidRDefault="007603E0" w:rsidP="00497C90"/>
    <w:p w:rsidR="007603E0" w:rsidRDefault="007603E0" w:rsidP="00497C90"/>
    <w:p w:rsidR="007603E0" w:rsidRDefault="007603E0" w:rsidP="00497C90">
      <w:pPr>
        <w:rPr>
          <w:b/>
        </w:rPr>
      </w:pPr>
    </w:p>
    <w:p w:rsidR="00F45EB9" w:rsidRDefault="00F45EB9" w:rsidP="00497C90">
      <w:pPr>
        <w:rPr>
          <w:b/>
        </w:rPr>
      </w:pPr>
    </w:p>
    <w:p w:rsidR="00F45EB9" w:rsidRDefault="00F45EB9" w:rsidP="00497C90">
      <w:pPr>
        <w:rPr>
          <w:b/>
        </w:rPr>
      </w:pPr>
    </w:p>
    <w:p w:rsidR="001A5DB0" w:rsidRDefault="001A5DB0" w:rsidP="00497C90">
      <w:pPr>
        <w:rPr>
          <w:b/>
        </w:rPr>
      </w:pPr>
    </w:p>
    <w:p w:rsidR="001A5DB0" w:rsidRDefault="001A5DB0" w:rsidP="00497C90">
      <w:pPr>
        <w:rPr>
          <w:b/>
        </w:rPr>
      </w:pPr>
    </w:p>
    <w:p w:rsidR="001A5DB0" w:rsidRDefault="001A5DB0" w:rsidP="00497C90">
      <w:pPr>
        <w:rPr>
          <w:b/>
        </w:rPr>
      </w:pPr>
    </w:p>
    <w:p w:rsidR="001A5DB0" w:rsidRDefault="001A5DB0" w:rsidP="00497C90">
      <w:pPr>
        <w:rPr>
          <w:b/>
        </w:rPr>
      </w:pPr>
    </w:p>
    <w:p w:rsidR="001A5DB0" w:rsidRDefault="001A5DB0" w:rsidP="00497C90">
      <w:pPr>
        <w:rPr>
          <w:b/>
        </w:rPr>
      </w:pPr>
    </w:p>
    <w:p w:rsidR="00497C90" w:rsidRPr="00D13ADD" w:rsidRDefault="00B85DBC" w:rsidP="00497C90">
      <w:pPr>
        <w:rPr>
          <w:b/>
        </w:rPr>
      </w:pPr>
      <w:r>
        <w:rPr>
          <w:b/>
          <w:noProof/>
          <w:lang w:eastAsia="en-NZ"/>
        </w:rPr>
        <mc:AlternateContent>
          <mc:Choice Requires="wps">
            <w:drawing>
              <wp:anchor distT="0" distB="0" distL="114300" distR="114300" simplePos="0" relativeHeight="251663872" behindDoc="0" locked="0" layoutInCell="1" allowOverlap="1" wp14:anchorId="3ECDA746" wp14:editId="72970616">
                <wp:simplePos x="0" y="0"/>
                <wp:positionH relativeFrom="column">
                  <wp:posOffset>2320290</wp:posOffset>
                </wp:positionH>
                <wp:positionV relativeFrom="paragraph">
                  <wp:posOffset>4639310</wp:posOffset>
                </wp:positionV>
                <wp:extent cx="2857500" cy="1485900"/>
                <wp:effectExtent l="0" t="76200" r="952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A746" id="Text Box 20" o:spid="_x0000_s1027" type="#_x0000_t202" style="position:absolute;margin-left:182.7pt;margin-top:365.3pt;width:225pt;height:1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" fillcolor="silver">
                <v:shadow on="t" opacity=".5" offset="6pt,-6pt"/>
                <v:textbo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v:textbox>
              </v:shape>
            </w:pict>
          </mc:Fallback>
        </mc:AlternateContent>
      </w:r>
      <w:r>
        <w:rPr>
          <w:b/>
          <w:noProof/>
          <w:lang w:eastAsia="en-NZ"/>
        </w:rPr>
        <mc:AlternateContent>
          <mc:Choice Requires="wps">
            <w:drawing>
              <wp:anchor distT="0" distB="0" distL="114300" distR="114300" simplePos="0" relativeHeight="251660800" behindDoc="0" locked="0" layoutInCell="1" allowOverlap="1" wp14:anchorId="26D17C25" wp14:editId="4D945E8C">
                <wp:simplePos x="0" y="0"/>
                <wp:positionH relativeFrom="column">
                  <wp:posOffset>3983990</wp:posOffset>
                </wp:positionH>
                <wp:positionV relativeFrom="paragraph">
                  <wp:posOffset>6537325</wp:posOffset>
                </wp:positionV>
                <wp:extent cx="2857500" cy="1485900"/>
                <wp:effectExtent l="0" t="76200" r="952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17C25" id="Text Box 17" o:spid="_x0000_s1028" type="#_x0000_t202" style="position:absolute;margin-left:313.7pt;margin-top:514.75pt;width:225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" fillcolor="silver">
                <v:shadow on="t" opacity=".5" offset="6pt,-6pt"/>
                <v:textbo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v:textbox>
              </v:shape>
            </w:pict>
          </mc:Fallback>
        </mc:AlternateContent>
      </w:r>
      <w:r w:rsidR="00497C90" w:rsidRPr="00D13ADD">
        <w:rPr>
          <w:b/>
        </w:rPr>
        <w:t>Prepared for:</w:t>
      </w:r>
      <w:bookmarkEnd w:id="4"/>
      <w:bookmarkEnd w:id="5"/>
    </w:p>
    <w:p w:rsidR="00497C90" w:rsidRPr="00D13ADD" w:rsidRDefault="00B85DBC" w:rsidP="00497C90">
      <w:r>
        <w:rPr>
          <w:noProof/>
          <w:lang w:eastAsia="en-NZ"/>
        </w:rPr>
        <mc:AlternateContent>
          <mc:Choice Requires="wps">
            <w:drawing>
              <wp:anchor distT="0" distB="0" distL="114300" distR="114300" simplePos="0" relativeHeight="251661824" behindDoc="0" locked="0" layoutInCell="1" allowOverlap="1" wp14:anchorId="4FFC0929" wp14:editId="12F83DBE">
                <wp:simplePos x="0" y="0"/>
                <wp:positionH relativeFrom="column">
                  <wp:posOffset>2320290</wp:posOffset>
                </wp:positionH>
                <wp:positionV relativeFrom="paragraph">
                  <wp:posOffset>4639310</wp:posOffset>
                </wp:positionV>
                <wp:extent cx="2857500" cy="1485900"/>
                <wp:effectExtent l="0" t="76200" r="952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C0C0C0"/>
                        </a:solidFill>
                        <a:ln w="9525">
                          <a:solidFill>
                            <a:srgbClr val="000000"/>
                          </a:solidFill>
                          <a:miter lim="800000"/>
                          <a:headEnd/>
                          <a:tailEnd/>
                        </a:ln>
                        <a:effectLst>
                          <a:outerShdw dist="107763" dir="18900000" algn="ctr" rotWithShape="0">
                            <a:srgbClr val="808080">
                              <a:alpha val="50000"/>
                            </a:srgbClr>
                          </a:outerShdw>
                        </a:effectLst>
                      </wps:spPr>
                      <wps:txb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0929" id="Text Box 19" o:spid="_x0000_s1029" type="#_x0000_t202" style="position:absolute;margin-left:182.7pt;margin-top:365.3pt;width:225pt;height:1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" fillcolor="silver">
                <v:shadow on="t" opacity=".5" offset="6pt,-6pt"/>
                <v:textbox>
                  <w:txbxContent>
                    <w:p w:rsidR="00F56216" w:rsidRDefault="00F56216" w:rsidP="00D459FA">
                      <w:pPr>
                        <w:jc w:val="center"/>
                      </w:pPr>
                      <w:r>
                        <w:t>Note:</w:t>
                      </w:r>
                    </w:p>
                    <w:p w:rsidR="00F56216" w:rsidRDefault="00F56216" w:rsidP="00D459FA">
                      <w:pPr>
                        <w:jc w:val="center"/>
                      </w:pPr>
                      <w:r>
                        <w:t>This report is DRAFT, contains PRELIMINARY INFORMATION and is subject to change in later versions.  Therefore, at this stage it is confidential to the Ministry of Health and should not be disseminated further</w:t>
                      </w:r>
                    </w:p>
                    <w:p w:rsidR="00F56216" w:rsidRPr="002B79FD" w:rsidRDefault="00F56216" w:rsidP="00D459FA"/>
                  </w:txbxContent>
                </v:textbox>
              </v:shape>
            </w:pict>
          </mc:Fallback>
        </mc:AlternateContent>
      </w:r>
      <w:r w:rsidR="00497C90" w:rsidRPr="00D13ADD">
        <w:t>Ministry of Health</w:t>
      </w:r>
    </w:p>
    <w:p w:rsidR="00497C90" w:rsidRPr="00D13ADD" w:rsidRDefault="000566F7" w:rsidP="00497C90">
      <w:r w:rsidRPr="00D13ADD">
        <w:t>PO Box 5013</w:t>
      </w:r>
    </w:p>
    <w:p w:rsidR="00497C90" w:rsidRPr="00D13ADD" w:rsidRDefault="000566F7" w:rsidP="00497C90">
      <w:r w:rsidRPr="00D13ADD">
        <w:t>WELLINGTON</w:t>
      </w:r>
    </w:p>
    <w:p w:rsidR="00497C90" w:rsidRPr="00D13ADD" w:rsidRDefault="00497C90" w:rsidP="00497C90"/>
    <w:p w:rsidR="000566F7" w:rsidRDefault="000566F7" w:rsidP="00497C90">
      <w:pPr>
        <w:rPr>
          <w:b/>
        </w:rPr>
      </w:pPr>
      <w:bookmarkStart w:id="6" w:name="_Toc105997484"/>
      <w:bookmarkStart w:id="7" w:name="_Toc105997553"/>
    </w:p>
    <w:p w:rsidR="00FC483A" w:rsidRPr="00D13ADD" w:rsidRDefault="00FC483A" w:rsidP="00497C90">
      <w:pPr>
        <w:rPr>
          <w:b/>
        </w:rPr>
      </w:pPr>
    </w:p>
    <w:p w:rsidR="00497C90" w:rsidRPr="00D13ADD" w:rsidRDefault="00497C90" w:rsidP="00497C90">
      <w:r w:rsidRPr="00D13ADD">
        <w:rPr>
          <w:b/>
        </w:rPr>
        <w:t>Authors:</w:t>
      </w:r>
      <w:bookmarkEnd w:id="6"/>
      <w:bookmarkEnd w:id="7"/>
    </w:p>
    <w:p w:rsidR="00FB0F46" w:rsidRPr="00D13ADD" w:rsidRDefault="00FB0F46" w:rsidP="00FB0F46">
      <w:r w:rsidRPr="00D13ADD">
        <w:t>Professor Max Abbott</w:t>
      </w:r>
    </w:p>
    <w:p w:rsidR="00497C90" w:rsidRPr="00D13ADD" w:rsidRDefault="00497C90" w:rsidP="00497C90">
      <w:r w:rsidRPr="00D13ADD">
        <w:t xml:space="preserve">Dr Maria </w:t>
      </w:r>
      <w:r w:rsidR="00546382" w:rsidRPr="00D13ADD">
        <w:t>Bellringer</w:t>
      </w:r>
    </w:p>
    <w:p w:rsidR="00FA3800" w:rsidRDefault="00FA3800" w:rsidP="00FA3800">
      <w:bookmarkStart w:id="8" w:name="_Toc105997485"/>
      <w:bookmarkStart w:id="9" w:name="_Toc105997554"/>
      <w:r>
        <w:t>Dr Nick Garrett</w:t>
      </w:r>
    </w:p>
    <w:p w:rsidR="006763CA" w:rsidRDefault="00FB0F46" w:rsidP="00497C90">
      <w:r>
        <w:t>Dr Stuart Mundy-McPherson</w:t>
      </w:r>
    </w:p>
    <w:p w:rsidR="006D213F" w:rsidRDefault="006D213F" w:rsidP="00497C90">
      <w:pPr>
        <w:sectPr w:rsidR="006D213F" w:rsidSect="00971A85">
          <w:headerReference w:type="default" r:id="rId8"/>
          <w:footerReference w:type="even" r:id="rId9"/>
          <w:footerReference w:type="default" r:id="rId10"/>
          <w:pgSz w:w="11906" w:h="16838"/>
          <w:pgMar w:top="1440" w:right="1800" w:bottom="1440" w:left="1800" w:header="708" w:footer="708" w:gutter="0"/>
          <w:pgNumType w:start="1"/>
          <w:cols w:space="708"/>
          <w:docGrid w:linePitch="360"/>
        </w:sectPr>
      </w:pPr>
    </w:p>
    <w:bookmarkEnd w:id="8"/>
    <w:bookmarkEnd w:id="9"/>
    <w:p w:rsidR="00497C90" w:rsidRPr="00D13ADD" w:rsidRDefault="00497C90" w:rsidP="00497C90">
      <w:pPr>
        <w:jc w:val="center"/>
        <w:rPr>
          <w:b/>
          <w:szCs w:val="22"/>
        </w:rPr>
      </w:pPr>
      <w:r w:rsidRPr="00D13ADD">
        <w:rPr>
          <w:b/>
          <w:szCs w:val="22"/>
        </w:rPr>
        <w:lastRenderedPageBreak/>
        <w:t>ACKNOWLEDGEMENTS</w:t>
      </w:r>
    </w:p>
    <w:p w:rsidR="00497C90" w:rsidRPr="00D13ADD" w:rsidRDefault="00497C90" w:rsidP="00497C90">
      <w:pPr>
        <w:rPr>
          <w:szCs w:val="22"/>
        </w:rPr>
      </w:pPr>
    </w:p>
    <w:p w:rsidR="00497C90" w:rsidRPr="00D13ADD" w:rsidRDefault="00497C90" w:rsidP="00497C90">
      <w:pPr>
        <w:jc w:val="both"/>
        <w:rPr>
          <w:szCs w:val="22"/>
        </w:rPr>
      </w:pPr>
      <w:r w:rsidRPr="00D13ADD">
        <w:rPr>
          <w:szCs w:val="22"/>
        </w:rPr>
        <w:t xml:space="preserve">This report has been prepared by the Gambling </w:t>
      </w:r>
      <w:r w:rsidR="006763CA" w:rsidRPr="00D13ADD">
        <w:rPr>
          <w:szCs w:val="22"/>
        </w:rPr>
        <w:t xml:space="preserve">and Addictions </w:t>
      </w:r>
      <w:r w:rsidRPr="00D13ADD">
        <w:rPr>
          <w:szCs w:val="22"/>
        </w:rPr>
        <w:t xml:space="preserve">Research Centre, National Institute for Public Health and Mental Health Research, </w:t>
      </w:r>
      <w:r w:rsidR="009460D1" w:rsidRPr="00D13ADD">
        <w:rPr>
          <w:szCs w:val="22"/>
        </w:rPr>
        <w:t>School</w:t>
      </w:r>
      <w:r w:rsidRPr="00D13ADD">
        <w:rPr>
          <w:szCs w:val="22"/>
        </w:rPr>
        <w:t xml:space="preserve"> of Public Health and Psychosocial Studies, Faculty of Health and Environmental Sciences, Auckland University of Technology, Private Bag 92006, Auckland 1</w:t>
      </w:r>
      <w:r w:rsidR="00546382" w:rsidRPr="00D13ADD">
        <w:rPr>
          <w:szCs w:val="22"/>
        </w:rPr>
        <w:t>142</w:t>
      </w:r>
      <w:r w:rsidRPr="00D13ADD">
        <w:rPr>
          <w:szCs w:val="22"/>
        </w:rPr>
        <w:t xml:space="preserve">, New Zealand. </w:t>
      </w:r>
    </w:p>
    <w:p w:rsidR="00497C90" w:rsidRPr="00D13ADD" w:rsidRDefault="00497C90" w:rsidP="00497C90">
      <w:pPr>
        <w:jc w:val="both"/>
        <w:rPr>
          <w:szCs w:val="22"/>
        </w:rPr>
      </w:pPr>
    </w:p>
    <w:p w:rsidR="00F75CFB" w:rsidRDefault="00497C90" w:rsidP="00FC483A">
      <w:pPr>
        <w:jc w:val="both"/>
        <w:rPr>
          <w:szCs w:val="22"/>
        </w:rPr>
      </w:pPr>
      <w:r w:rsidRPr="00D13ADD">
        <w:rPr>
          <w:szCs w:val="22"/>
        </w:rPr>
        <w:t xml:space="preserve">The authors </w:t>
      </w:r>
      <w:r w:rsidR="004156D2" w:rsidRPr="00D13ADD">
        <w:rPr>
          <w:szCs w:val="22"/>
        </w:rPr>
        <w:t xml:space="preserve">are highly appreciative of, and </w:t>
      </w:r>
      <w:r w:rsidR="006763CA" w:rsidRPr="00D13ADD">
        <w:rPr>
          <w:szCs w:val="22"/>
        </w:rPr>
        <w:t xml:space="preserve">would like to </w:t>
      </w:r>
      <w:r w:rsidR="004156D2" w:rsidRPr="00D13ADD">
        <w:rPr>
          <w:szCs w:val="22"/>
        </w:rPr>
        <w:t>thank</w:t>
      </w:r>
      <w:r w:rsidR="008A7113" w:rsidRPr="00D13ADD">
        <w:rPr>
          <w:szCs w:val="22"/>
        </w:rPr>
        <w:t>,</w:t>
      </w:r>
      <w:r w:rsidR="006763CA" w:rsidRPr="00D13ADD">
        <w:rPr>
          <w:szCs w:val="22"/>
        </w:rPr>
        <w:t xml:space="preserve"> the </w:t>
      </w:r>
      <w:r w:rsidR="00FC483A">
        <w:rPr>
          <w:szCs w:val="22"/>
        </w:rPr>
        <w:t xml:space="preserve">National Research Bureau (NRB) who led and conducted the field work.  NRB </w:t>
      </w:r>
      <w:r w:rsidR="001A5DB0">
        <w:rPr>
          <w:szCs w:val="22"/>
        </w:rPr>
        <w:t xml:space="preserve">continued to </w:t>
      </w:r>
      <w:r w:rsidR="00FC483A">
        <w:rPr>
          <w:szCs w:val="22"/>
        </w:rPr>
        <w:t xml:space="preserve">embrace this project with enthusiasm and integrity, </w:t>
      </w:r>
      <w:r w:rsidR="001A5DB0">
        <w:rPr>
          <w:szCs w:val="22"/>
        </w:rPr>
        <w:t>re-contacting and re-interviewing participants 12 months after their initial interview,</w:t>
      </w:r>
      <w:r w:rsidR="00FC483A">
        <w:rPr>
          <w:szCs w:val="22"/>
        </w:rPr>
        <w:t xml:space="preserve"> and maintaining the study database.  Without NRB’s commitment to the study, this research would not have been possible.  In particular, thanks go to </w:t>
      </w:r>
      <w:r w:rsidR="00F45EB9">
        <w:rPr>
          <w:szCs w:val="22"/>
        </w:rPr>
        <w:t xml:space="preserve">Ken Sutton, </w:t>
      </w:r>
      <w:r w:rsidR="00FC483A">
        <w:rPr>
          <w:szCs w:val="22"/>
        </w:rPr>
        <w:t>Janette Simpson, Andy Heinemann and the team of field workers at NRB.</w:t>
      </w:r>
    </w:p>
    <w:p w:rsidR="00FC483A" w:rsidRDefault="00FC483A" w:rsidP="00FC483A">
      <w:pPr>
        <w:jc w:val="both"/>
        <w:rPr>
          <w:szCs w:val="22"/>
        </w:rPr>
      </w:pPr>
    </w:p>
    <w:p w:rsidR="00FC483A" w:rsidRDefault="00FC483A" w:rsidP="00FC483A">
      <w:pPr>
        <w:jc w:val="both"/>
        <w:rPr>
          <w:szCs w:val="22"/>
        </w:rPr>
      </w:pPr>
      <w:r>
        <w:rPr>
          <w:szCs w:val="22"/>
        </w:rPr>
        <w:t xml:space="preserve">Sincere thanks are also due to </w:t>
      </w:r>
      <w:r w:rsidR="00171F43">
        <w:rPr>
          <w:szCs w:val="22"/>
        </w:rPr>
        <w:t xml:space="preserve">Professor Denise Wilson who advised on </w:t>
      </w:r>
      <w:r w:rsidR="00CF1597">
        <w:rPr>
          <w:szCs w:val="22"/>
        </w:rPr>
        <w:t>Māori</w:t>
      </w:r>
      <w:r w:rsidR="00171F43">
        <w:rPr>
          <w:szCs w:val="22"/>
        </w:rPr>
        <w:t xml:space="preserve"> cultural aspects throughout the </w:t>
      </w:r>
      <w:r w:rsidR="00F45EB9">
        <w:rPr>
          <w:szCs w:val="22"/>
        </w:rPr>
        <w:t>study</w:t>
      </w:r>
      <w:r w:rsidR="00BA77FE">
        <w:rPr>
          <w:szCs w:val="22"/>
        </w:rPr>
        <w:t>;</w:t>
      </w:r>
      <w:r w:rsidR="00171F43">
        <w:rPr>
          <w:szCs w:val="22"/>
        </w:rPr>
        <w:t xml:space="preserve"> </w:t>
      </w:r>
      <w:r>
        <w:rPr>
          <w:szCs w:val="22"/>
        </w:rPr>
        <w:t xml:space="preserve">Rebecca Coombes and Hannah Thorne who managed the </w:t>
      </w:r>
      <w:r w:rsidR="00F45EB9">
        <w:rPr>
          <w:szCs w:val="22"/>
        </w:rPr>
        <w:t>study</w:t>
      </w:r>
      <w:r>
        <w:rPr>
          <w:szCs w:val="22"/>
        </w:rPr>
        <w:t xml:space="preserve"> at the Gambling and Addictions Research Centre from initiation until mid-2013</w:t>
      </w:r>
      <w:r w:rsidR="00BA77FE">
        <w:rPr>
          <w:szCs w:val="22"/>
        </w:rPr>
        <w:t>;</w:t>
      </w:r>
      <w:r w:rsidR="00F45EB9">
        <w:rPr>
          <w:szCs w:val="22"/>
        </w:rPr>
        <w:t xml:space="preserve"> </w:t>
      </w:r>
      <w:r w:rsidR="00BA77FE">
        <w:rPr>
          <w:szCs w:val="22"/>
        </w:rPr>
        <w:t xml:space="preserve">and to </w:t>
      </w:r>
      <w:r w:rsidR="00843BD0">
        <w:rPr>
          <w:szCs w:val="22"/>
        </w:rPr>
        <w:t>Professor David Hodgins</w:t>
      </w:r>
      <w:r w:rsidR="001A5DB0" w:rsidRPr="00794776">
        <w:rPr>
          <w:szCs w:val="22"/>
        </w:rPr>
        <w:t xml:space="preserve"> and </w:t>
      </w:r>
      <w:r w:rsidR="00F5739D">
        <w:rPr>
          <w:szCs w:val="22"/>
        </w:rPr>
        <w:t xml:space="preserve">Christine Stone </w:t>
      </w:r>
      <w:r w:rsidR="00BA77FE">
        <w:rPr>
          <w:szCs w:val="22"/>
        </w:rPr>
        <w:t>who peer reviewed the report and provided helpful comments</w:t>
      </w:r>
      <w:r>
        <w:rPr>
          <w:szCs w:val="22"/>
        </w:rPr>
        <w:t>.</w:t>
      </w:r>
    </w:p>
    <w:p w:rsidR="00FC483A" w:rsidRDefault="00FC483A" w:rsidP="00FC483A">
      <w:pPr>
        <w:jc w:val="both"/>
        <w:rPr>
          <w:szCs w:val="22"/>
        </w:rPr>
      </w:pPr>
    </w:p>
    <w:p w:rsidR="00FC483A" w:rsidRDefault="00FC483A" w:rsidP="00FC483A">
      <w:pPr>
        <w:jc w:val="both"/>
        <w:rPr>
          <w:szCs w:val="22"/>
        </w:rPr>
      </w:pPr>
      <w:r>
        <w:rPr>
          <w:szCs w:val="22"/>
        </w:rPr>
        <w:t xml:space="preserve">Grateful acknowledgement is made of all the people who </w:t>
      </w:r>
      <w:r w:rsidR="001A5DB0">
        <w:rPr>
          <w:szCs w:val="22"/>
        </w:rPr>
        <w:t>agreed to</w:t>
      </w:r>
      <w:r w:rsidR="0088361D">
        <w:rPr>
          <w:szCs w:val="22"/>
        </w:rPr>
        <w:t xml:space="preserve"> participate in the </w:t>
      </w:r>
      <w:r w:rsidR="00BF0EA0">
        <w:rPr>
          <w:szCs w:val="22"/>
        </w:rPr>
        <w:t>12 </w:t>
      </w:r>
      <w:r w:rsidR="005B4673">
        <w:rPr>
          <w:szCs w:val="22"/>
        </w:rPr>
        <w:t>month</w:t>
      </w:r>
      <w:r w:rsidR="0088361D">
        <w:rPr>
          <w:szCs w:val="22"/>
        </w:rPr>
        <w:t xml:space="preserve"> follow-up interview.</w:t>
      </w:r>
    </w:p>
    <w:p w:rsidR="00FA7721" w:rsidRDefault="00FA7721" w:rsidP="00FC483A">
      <w:pPr>
        <w:jc w:val="both"/>
        <w:rPr>
          <w:szCs w:val="22"/>
        </w:rPr>
      </w:pPr>
    </w:p>
    <w:p w:rsidR="00FA7721" w:rsidRDefault="00FA7721" w:rsidP="00FA7721">
      <w:pPr>
        <w:pStyle w:val="RepNormal"/>
        <w:rPr>
          <w:rFonts w:cs="Times New Roman"/>
        </w:rPr>
      </w:pPr>
      <w:r>
        <w:rPr>
          <w:rFonts w:cs="Times New Roman"/>
        </w:rPr>
        <w:t>The Ministry of Health provided the funding for this research project</w:t>
      </w:r>
      <w:r w:rsidRPr="00FA7721">
        <w:rPr>
          <w:rFonts w:cs="Times New Roman"/>
        </w:rPr>
        <w:t>.  Thanks go to Dr Tai Kake for Ministry review of the report.</w:t>
      </w:r>
      <w:r>
        <w:rPr>
          <w:rFonts w:cs="Times New Roman"/>
        </w:rPr>
        <w:t xml:space="preserve"> </w:t>
      </w:r>
    </w:p>
    <w:p w:rsidR="00546382" w:rsidRDefault="00546382" w:rsidP="00497C90">
      <w:pPr>
        <w:jc w:val="both"/>
        <w:rPr>
          <w:szCs w:val="22"/>
        </w:rPr>
      </w:pPr>
    </w:p>
    <w:p w:rsidR="00FA7721" w:rsidRPr="00D13ADD" w:rsidRDefault="00FA7721" w:rsidP="00497C90">
      <w:pPr>
        <w:jc w:val="both"/>
        <w:rPr>
          <w:szCs w:val="22"/>
        </w:rPr>
      </w:pPr>
    </w:p>
    <w:p w:rsidR="001A5DB0" w:rsidRPr="00DF1A2F" w:rsidRDefault="001A5DB0" w:rsidP="001A5DB0">
      <w:pPr>
        <w:pStyle w:val="RepNormal"/>
        <w:rPr>
          <w:rFonts w:cs="Times New Roman"/>
          <w:i/>
        </w:rPr>
      </w:pPr>
      <w:r w:rsidRPr="00DF1A2F">
        <w:rPr>
          <w:rFonts w:cs="Times New Roman"/>
          <w:b/>
          <w:i/>
        </w:rPr>
        <w:t>Disclaimer</w:t>
      </w:r>
    </w:p>
    <w:p w:rsidR="001A5DB0" w:rsidRPr="00522298" w:rsidRDefault="001A5DB0" w:rsidP="001A5DB0">
      <w:pPr>
        <w:pStyle w:val="RepNormal"/>
        <w:rPr>
          <w:rFonts w:cs="Times New Roman"/>
        </w:rPr>
      </w:pPr>
    </w:p>
    <w:p w:rsidR="001A5DB0" w:rsidRDefault="001A5DB0" w:rsidP="001A5DB0">
      <w:pPr>
        <w:pStyle w:val="RepNormal"/>
        <w:rPr>
          <w:rFonts w:cs="Times New Roman"/>
        </w:rPr>
      </w:pPr>
      <w:r>
        <w:rPr>
          <w:rFonts w:cs="Times New Roman"/>
        </w:rPr>
        <w:t>This report was prepared under contract to the New Zealand Ministry of Health.  The copyright in this article is owned by the Crown and administered by the Ministry.  The views of the authors do not necessarily represent the views or policy of the New Zealand Ministry of Health.  The Ministry makes no warranty, express or implied, nor assumes any liability or responsibility for use of or reliance on the contents of this report.</w:t>
      </w:r>
    </w:p>
    <w:p w:rsidR="00497C90" w:rsidRPr="00D13ADD" w:rsidRDefault="00497C90" w:rsidP="00497C90">
      <w:pPr>
        <w:jc w:val="center"/>
        <w:rPr>
          <w:b/>
          <w:szCs w:val="22"/>
        </w:rPr>
      </w:pPr>
      <w:r w:rsidRPr="00D13ADD">
        <w:rPr>
          <w:szCs w:val="22"/>
        </w:rPr>
        <w:br w:type="page"/>
      </w:r>
      <w:r w:rsidRPr="00D13ADD">
        <w:rPr>
          <w:b/>
          <w:szCs w:val="22"/>
        </w:rPr>
        <w:lastRenderedPageBreak/>
        <w:t>CONTENTS</w:t>
      </w:r>
    </w:p>
    <w:p w:rsidR="00497C90" w:rsidRDefault="00497C90">
      <w:pPr>
        <w:rPr>
          <w:szCs w:val="22"/>
        </w:rPr>
      </w:pPr>
    </w:p>
    <w:p w:rsidR="007B0B98" w:rsidRDefault="000A0BAA">
      <w:pPr>
        <w:pStyle w:val="TOC1"/>
        <w:rPr>
          <w:rFonts w:asciiTheme="minorHAnsi" w:eastAsiaTheme="minorEastAsia" w:hAnsiTheme="minorHAnsi" w:cstheme="minorBidi"/>
          <w:noProof/>
          <w:szCs w:val="22"/>
          <w:lang w:eastAsia="en-NZ"/>
        </w:rPr>
      </w:pPr>
      <w:r w:rsidRPr="00FF75B2">
        <w:rPr>
          <w:szCs w:val="22"/>
        </w:rPr>
        <w:fldChar w:fldCharType="begin"/>
      </w:r>
      <w:r w:rsidRPr="00FF75B2">
        <w:rPr>
          <w:szCs w:val="22"/>
        </w:rPr>
        <w:instrText xml:space="preserve"> TOC \o "1-3" \h \z \u </w:instrText>
      </w:r>
      <w:r w:rsidRPr="00FF75B2">
        <w:rPr>
          <w:szCs w:val="22"/>
        </w:rPr>
        <w:fldChar w:fldCharType="separate"/>
      </w:r>
      <w:hyperlink w:anchor="_Toc420392582" w:history="1">
        <w:r w:rsidR="007B0B98" w:rsidRPr="00E132F2">
          <w:rPr>
            <w:rStyle w:val="Hyperlink"/>
            <w:noProof/>
          </w:rPr>
          <w:t>EXECUTIVE SUMMARY</w:t>
        </w:r>
        <w:r w:rsidR="007B0B98">
          <w:rPr>
            <w:noProof/>
            <w:webHidden/>
          </w:rPr>
          <w:tab/>
        </w:r>
        <w:r w:rsidR="007B0B98">
          <w:rPr>
            <w:noProof/>
            <w:webHidden/>
          </w:rPr>
          <w:fldChar w:fldCharType="begin"/>
        </w:r>
        <w:r w:rsidR="007B0B98">
          <w:rPr>
            <w:noProof/>
            <w:webHidden/>
          </w:rPr>
          <w:instrText xml:space="preserve"> PAGEREF _Toc420392582 \h </w:instrText>
        </w:r>
        <w:r w:rsidR="007B0B98">
          <w:rPr>
            <w:noProof/>
            <w:webHidden/>
          </w:rPr>
        </w:r>
        <w:r w:rsidR="007B0B98">
          <w:rPr>
            <w:noProof/>
            <w:webHidden/>
          </w:rPr>
          <w:fldChar w:fldCharType="separate"/>
        </w:r>
        <w:r w:rsidR="00B2175B">
          <w:rPr>
            <w:noProof/>
            <w:webHidden/>
          </w:rPr>
          <w:t>5</w:t>
        </w:r>
        <w:r w:rsidR="007B0B98">
          <w:rPr>
            <w:noProof/>
            <w:webHidden/>
          </w:rPr>
          <w:fldChar w:fldCharType="end"/>
        </w:r>
      </w:hyperlink>
    </w:p>
    <w:p w:rsidR="007B0B98" w:rsidRDefault="00B2175B">
      <w:pPr>
        <w:pStyle w:val="TOC1"/>
        <w:rPr>
          <w:rFonts w:asciiTheme="minorHAnsi" w:eastAsiaTheme="minorEastAsia" w:hAnsiTheme="minorHAnsi" w:cstheme="minorBidi"/>
          <w:noProof/>
          <w:szCs w:val="22"/>
          <w:lang w:eastAsia="en-NZ"/>
        </w:rPr>
      </w:pPr>
      <w:hyperlink w:anchor="_Toc420392583" w:history="1">
        <w:r w:rsidR="007B0B98" w:rsidRPr="00E132F2">
          <w:rPr>
            <w:rStyle w:val="Hyperlink"/>
            <w:noProof/>
          </w:rPr>
          <w:t>1.</w:t>
        </w:r>
        <w:r w:rsidR="007B0B98">
          <w:rPr>
            <w:rFonts w:asciiTheme="minorHAnsi" w:eastAsiaTheme="minorEastAsia" w:hAnsiTheme="minorHAnsi" w:cstheme="minorBidi"/>
            <w:noProof/>
            <w:szCs w:val="22"/>
            <w:lang w:eastAsia="en-NZ"/>
          </w:rPr>
          <w:tab/>
        </w:r>
        <w:r w:rsidR="007B0B98" w:rsidRPr="00E132F2">
          <w:rPr>
            <w:rStyle w:val="Hyperlink"/>
            <w:noProof/>
          </w:rPr>
          <w:t>OVERVIEW AND PURPOSE OF THE PROJECT</w:t>
        </w:r>
        <w:r w:rsidR="007B0B98">
          <w:rPr>
            <w:noProof/>
            <w:webHidden/>
          </w:rPr>
          <w:tab/>
        </w:r>
        <w:r w:rsidR="007B0B98">
          <w:rPr>
            <w:noProof/>
            <w:webHidden/>
          </w:rPr>
          <w:fldChar w:fldCharType="begin"/>
        </w:r>
        <w:r w:rsidR="007B0B98">
          <w:rPr>
            <w:noProof/>
            <w:webHidden/>
          </w:rPr>
          <w:instrText xml:space="preserve"> PAGEREF _Toc420392583 \h </w:instrText>
        </w:r>
        <w:r w:rsidR="007B0B98">
          <w:rPr>
            <w:noProof/>
            <w:webHidden/>
          </w:rPr>
        </w:r>
        <w:r w:rsidR="007B0B98">
          <w:rPr>
            <w:noProof/>
            <w:webHidden/>
          </w:rPr>
          <w:fldChar w:fldCharType="separate"/>
        </w:r>
        <w:r>
          <w:rPr>
            <w:noProof/>
            <w:webHidden/>
          </w:rPr>
          <w:t>16</w:t>
        </w:r>
        <w:r w:rsidR="007B0B98">
          <w:rPr>
            <w:noProof/>
            <w:webHidden/>
          </w:rPr>
          <w:fldChar w:fldCharType="end"/>
        </w:r>
      </w:hyperlink>
    </w:p>
    <w:p w:rsidR="007B0B98" w:rsidRDefault="00B2175B">
      <w:pPr>
        <w:pStyle w:val="TOC1"/>
        <w:rPr>
          <w:rFonts w:asciiTheme="minorHAnsi" w:eastAsiaTheme="minorEastAsia" w:hAnsiTheme="minorHAnsi" w:cstheme="minorBidi"/>
          <w:noProof/>
          <w:szCs w:val="22"/>
          <w:lang w:eastAsia="en-NZ"/>
        </w:rPr>
      </w:pPr>
      <w:hyperlink w:anchor="_Toc420392584" w:history="1">
        <w:r w:rsidR="007B0B98" w:rsidRPr="00E132F2">
          <w:rPr>
            <w:rStyle w:val="Hyperlink"/>
            <w:noProof/>
          </w:rPr>
          <w:t>2.</w:t>
        </w:r>
        <w:r w:rsidR="007B0B98">
          <w:rPr>
            <w:rFonts w:asciiTheme="minorHAnsi" w:eastAsiaTheme="minorEastAsia" w:hAnsiTheme="minorHAnsi" w:cstheme="minorBidi"/>
            <w:noProof/>
            <w:szCs w:val="22"/>
            <w:lang w:eastAsia="en-NZ"/>
          </w:rPr>
          <w:tab/>
        </w:r>
        <w:r w:rsidR="007B0B98" w:rsidRPr="00E132F2">
          <w:rPr>
            <w:rStyle w:val="Hyperlink"/>
            <w:noProof/>
          </w:rPr>
          <w:t>PROJECT PROCESSES</w:t>
        </w:r>
        <w:r w:rsidR="007B0B98">
          <w:rPr>
            <w:noProof/>
            <w:webHidden/>
          </w:rPr>
          <w:tab/>
        </w:r>
        <w:r w:rsidR="007B0B98">
          <w:rPr>
            <w:noProof/>
            <w:webHidden/>
          </w:rPr>
          <w:fldChar w:fldCharType="begin"/>
        </w:r>
        <w:r w:rsidR="007B0B98">
          <w:rPr>
            <w:noProof/>
            <w:webHidden/>
          </w:rPr>
          <w:instrText xml:space="preserve"> PAGEREF _Toc420392584 \h </w:instrText>
        </w:r>
        <w:r w:rsidR="007B0B98">
          <w:rPr>
            <w:noProof/>
            <w:webHidden/>
          </w:rPr>
        </w:r>
        <w:r w:rsidR="007B0B98">
          <w:rPr>
            <w:noProof/>
            <w:webHidden/>
          </w:rPr>
          <w:fldChar w:fldCharType="separate"/>
        </w:r>
        <w:r>
          <w:rPr>
            <w:noProof/>
            <w:webHidden/>
          </w:rPr>
          <w:t>44</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85" w:history="1">
        <w:r w:rsidR="007B0B98" w:rsidRPr="00E132F2">
          <w:rPr>
            <w:rStyle w:val="Hyperlink"/>
            <w:noProof/>
          </w:rPr>
          <w:t>2.1</w:t>
        </w:r>
        <w:r w:rsidR="007B0B98">
          <w:rPr>
            <w:rFonts w:asciiTheme="minorHAnsi" w:eastAsiaTheme="minorEastAsia" w:hAnsiTheme="minorHAnsi" w:cstheme="minorBidi"/>
            <w:noProof/>
            <w:szCs w:val="22"/>
            <w:lang w:eastAsia="en-NZ"/>
          </w:rPr>
          <w:tab/>
        </w:r>
        <w:r w:rsidR="007B0B98" w:rsidRPr="00E132F2">
          <w:rPr>
            <w:rStyle w:val="Hyperlink"/>
            <w:noProof/>
          </w:rPr>
          <w:t>Ethics approval</w:t>
        </w:r>
        <w:r w:rsidR="007B0B98">
          <w:rPr>
            <w:noProof/>
            <w:webHidden/>
          </w:rPr>
          <w:tab/>
        </w:r>
        <w:r w:rsidR="007B0B98">
          <w:rPr>
            <w:noProof/>
            <w:webHidden/>
          </w:rPr>
          <w:fldChar w:fldCharType="begin"/>
        </w:r>
        <w:r w:rsidR="007B0B98">
          <w:rPr>
            <w:noProof/>
            <w:webHidden/>
          </w:rPr>
          <w:instrText xml:space="preserve"> PAGEREF _Toc420392585 \h </w:instrText>
        </w:r>
        <w:r w:rsidR="007B0B98">
          <w:rPr>
            <w:noProof/>
            <w:webHidden/>
          </w:rPr>
        </w:r>
        <w:r w:rsidR="007B0B98">
          <w:rPr>
            <w:noProof/>
            <w:webHidden/>
          </w:rPr>
          <w:fldChar w:fldCharType="separate"/>
        </w:r>
        <w:r>
          <w:rPr>
            <w:noProof/>
            <w:webHidden/>
          </w:rPr>
          <w:t>44</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86" w:history="1">
        <w:r w:rsidR="007B0B98" w:rsidRPr="00E132F2">
          <w:rPr>
            <w:rStyle w:val="Hyperlink"/>
            <w:noProof/>
          </w:rPr>
          <w:t>2.2</w:t>
        </w:r>
        <w:r w:rsidR="007B0B98">
          <w:rPr>
            <w:rFonts w:asciiTheme="minorHAnsi" w:eastAsiaTheme="minorEastAsia" w:hAnsiTheme="minorHAnsi" w:cstheme="minorBidi"/>
            <w:noProof/>
            <w:szCs w:val="22"/>
            <w:lang w:eastAsia="en-NZ"/>
          </w:rPr>
          <w:tab/>
        </w:r>
        <w:r w:rsidR="007B0B98" w:rsidRPr="00E132F2">
          <w:rPr>
            <w:rStyle w:val="Hyperlink"/>
            <w:noProof/>
          </w:rPr>
          <w:t>Reference Group</w:t>
        </w:r>
        <w:r w:rsidR="007B0B98">
          <w:rPr>
            <w:noProof/>
            <w:webHidden/>
          </w:rPr>
          <w:tab/>
        </w:r>
        <w:r w:rsidR="007B0B98">
          <w:rPr>
            <w:noProof/>
            <w:webHidden/>
          </w:rPr>
          <w:fldChar w:fldCharType="begin"/>
        </w:r>
        <w:r w:rsidR="007B0B98">
          <w:rPr>
            <w:noProof/>
            <w:webHidden/>
          </w:rPr>
          <w:instrText xml:space="preserve"> PAGEREF _Toc420392586 \h </w:instrText>
        </w:r>
        <w:r w:rsidR="007B0B98">
          <w:rPr>
            <w:noProof/>
            <w:webHidden/>
          </w:rPr>
        </w:r>
        <w:r w:rsidR="007B0B98">
          <w:rPr>
            <w:noProof/>
            <w:webHidden/>
          </w:rPr>
          <w:fldChar w:fldCharType="separate"/>
        </w:r>
        <w:r>
          <w:rPr>
            <w:noProof/>
            <w:webHidden/>
          </w:rPr>
          <w:t>44</w:t>
        </w:r>
        <w:r w:rsidR="007B0B98">
          <w:rPr>
            <w:noProof/>
            <w:webHidden/>
          </w:rPr>
          <w:fldChar w:fldCharType="end"/>
        </w:r>
      </w:hyperlink>
    </w:p>
    <w:p w:rsidR="007B0B98" w:rsidRDefault="00B2175B">
      <w:pPr>
        <w:pStyle w:val="TOC1"/>
        <w:rPr>
          <w:rFonts w:asciiTheme="minorHAnsi" w:eastAsiaTheme="minorEastAsia" w:hAnsiTheme="minorHAnsi" w:cstheme="minorBidi"/>
          <w:noProof/>
          <w:szCs w:val="22"/>
          <w:lang w:eastAsia="en-NZ"/>
        </w:rPr>
      </w:pPr>
      <w:hyperlink w:anchor="_Toc420392587" w:history="1">
        <w:r w:rsidR="007B0B98" w:rsidRPr="00E132F2">
          <w:rPr>
            <w:rStyle w:val="Hyperlink"/>
            <w:noProof/>
          </w:rPr>
          <w:t>3.</w:t>
        </w:r>
        <w:r w:rsidR="007B0B98">
          <w:rPr>
            <w:rFonts w:asciiTheme="minorHAnsi" w:eastAsiaTheme="minorEastAsia" w:hAnsiTheme="minorHAnsi" w:cstheme="minorBidi"/>
            <w:noProof/>
            <w:szCs w:val="22"/>
            <w:lang w:eastAsia="en-NZ"/>
          </w:rPr>
          <w:tab/>
        </w:r>
        <w:r w:rsidR="007B0B98" w:rsidRPr="00E132F2">
          <w:rPr>
            <w:rStyle w:val="Hyperlink"/>
            <w:noProof/>
          </w:rPr>
          <w:t>RESEARCH METHODS</w:t>
        </w:r>
        <w:r w:rsidR="007B0B98">
          <w:rPr>
            <w:noProof/>
            <w:webHidden/>
          </w:rPr>
          <w:tab/>
        </w:r>
        <w:r w:rsidR="007B0B98">
          <w:rPr>
            <w:noProof/>
            <w:webHidden/>
          </w:rPr>
          <w:fldChar w:fldCharType="begin"/>
        </w:r>
        <w:r w:rsidR="007B0B98">
          <w:rPr>
            <w:noProof/>
            <w:webHidden/>
          </w:rPr>
          <w:instrText xml:space="preserve"> PAGEREF _Toc420392587 \h </w:instrText>
        </w:r>
        <w:r w:rsidR="007B0B98">
          <w:rPr>
            <w:noProof/>
            <w:webHidden/>
          </w:rPr>
        </w:r>
        <w:r w:rsidR="007B0B98">
          <w:rPr>
            <w:noProof/>
            <w:webHidden/>
          </w:rPr>
          <w:fldChar w:fldCharType="separate"/>
        </w:r>
        <w:r>
          <w:rPr>
            <w:noProof/>
            <w:webHidden/>
          </w:rPr>
          <w:t>45</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88" w:history="1">
        <w:r w:rsidR="007B0B98" w:rsidRPr="00E132F2">
          <w:rPr>
            <w:rStyle w:val="Hyperlink"/>
            <w:noProof/>
          </w:rPr>
          <w:t>3.1</w:t>
        </w:r>
        <w:r w:rsidR="007B0B98">
          <w:rPr>
            <w:rFonts w:asciiTheme="minorHAnsi" w:eastAsiaTheme="minorEastAsia" w:hAnsiTheme="minorHAnsi" w:cstheme="minorBidi"/>
            <w:noProof/>
            <w:szCs w:val="22"/>
            <w:lang w:eastAsia="en-NZ"/>
          </w:rPr>
          <w:tab/>
        </w:r>
        <w:r w:rsidR="007B0B98" w:rsidRPr="00E132F2">
          <w:rPr>
            <w:rStyle w:val="Hyperlink"/>
            <w:noProof/>
          </w:rPr>
          <w:t>Survey instrument</w:t>
        </w:r>
        <w:r w:rsidR="007B0B98">
          <w:rPr>
            <w:noProof/>
            <w:webHidden/>
          </w:rPr>
          <w:tab/>
        </w:r>
        <w:r w:rsidR="007B0B98">
          <w:rPr>
            <w:noProof/>
            <w:webHidden/>
          </w:rPr>
          <w:fldChar w:fldCharType="begin"/>
        </w:r>
        <w:r w:rsidR="007B0B98">
          <w:rPr>
            <w:noProof/>
            <w:webHidden/>
          </w:rPr>
          <w:instrText xml:space="preserve"> PAGEREF _Toc420392588 \h </w:instrText>
        </w:r>
        <w:r w:rsidR="007B0B98">
          <w:rPr>
            <w:noProof/>
            <w:webHidden/>
          </w:rPr>
        </w:r>
        <w:r w:rsidR="007B0B98">
          <w:rPr>
            <w:noProof/>
            <w:webHidden/>
          </w:rPr>
          <w:fldChar w:fldCharType="separate"/>
        </w:r>
        <w:r>
          <w:rPr>
            <w:noProof/>
            <w:webHidden/>
          </w:rPr>
          <w:t>45</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89" w:history="1">
        <w:r w:rsidR="007B0B98" w:rsidRPr="00E132F2">
          <w:rPr>
            <w:rStyle w:val="Hyperlink"/>
            <w:noProof/>
          </w:rPr>
          <w:t>3.2</w:t>
        </w:r>
        <w:r w:rsidR="007B0B98">
          <w:rPr>
            <w:rFonts w:asciiTheme="minorHAnsi" w:eastAsiaTheme="minorEastAsia" w:hAnsiTheme="minorHAnsi" w:cstheme="minorBidi"/>
            <w:noProof/>
            <w:szCs w:val="22"/>
            <w:lang w:eastAsia="en-NZ"/>
          </w:rPr>
          <w:tab/>
        </w:r>
        <w:r w:rsidR="007B0B98" w:rsidRPr="00E132F2">
          <w:rPr>
            <w:rStyle w:val="Hyperlink"/>
            <w:noProof/>
          </w:rPr>
          <w:t>Overview of the survey methodology</w:t>
        </w:r>
        <w:r w:rsidR="007B0B98">
          <w:rPr>
            <w:noProof/>
            <w:webHidden/>
          </w:rPr>
          <w:tab/>
        </w:r>
        <w:r w:rsidR="007B0B98">
          <w:rPr>
            <w:noProof/>
            <w:webHidden/>
          </w:rPr>
          <w:fldChar w:fldCharType="begin"/>
        </w:r>
        <w:r w:rsidR="007B0B98">
          <w:rPr>
            <w:noProof/>
            <w:webHidden/>
          </w:rPr>
          <w:instrText xml:space="preserve"> PAGEREF _Toc420392589 \h </w:instrText>
        </w:r>
        <w:r w:rsidR="007B0B98">
          <w:rPr>
            <w:noProof/>
            <w:webHidden/>
          </w:rPr>
        </w:r>
        <w:r w:rsidR="007B0B98">
          <w:rPr>
            <w:noProof/>
            <w:webHidden/>
          </w:rPr>
          <w:fldChar w:fldCharType="separate"/>
        </w:r>
        <w:r>
          <w:rPr>
            <w:noProof/>
            <w:webHidden/>
          </w:rPr>
          <w:t>46</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0" w:history="1">
        <w:r w:rsidR="007B0B98" w:rsidRPr="00E132F2">
          <w:rPr>
            <w:rStyle w:val="Hyperlink"/>
            <w:i/>
            <w:noProof/>
          </w:rPr>
          <w:t>3.2.1</w:t>
        </w:r>
        <w:r w:rsidR="007B0B98">
          <w:rPr>
            <w:rFonts w:asciiTheme="minorHAnsi" w:eastAsiaTheme="minorEastAsia" w:hAnsiTheme="minorHAnsi" w:cstheme="minorBidi"/>
            <w:noProof/>
            <w:szCs w:val="22"/>
            <w:lang w:eastAsia="en-NZ"/>
          </w:rPr>
          <w:tab/>
        </w:r>
        <w:r w:rsidR="007B0B98" w:rsidRPr="00E132F2">
          <w:rPr>
            <w:rStyle w:val="Hyperlink"/>
            <w:i/>
            <w:noProof/>
          </w:rPr>
          <w:t>Baseline (Wave 1) assessment</w:t>
        </w:r>
        <w:r w:rsidR="007B0B98">
          <w:rPr>
            <w:noProof/>
            <w:webHidden/>
          </w:rPr>
          <w:tab/>
        </w:r>
        <w:r w:rsidR="007B0B98">
          <w:rPr>
            <w:noProof/>
            <w:webHidden/>
          </w:rPr>
          <w:fldChar w:fldCharType="begin"/>
        </w:r>
        <w:r w:rsidR="007B0B98">
          <w:rPr>
            <w:noProof/>
            <w:webHidden/>
          </w:rPr>
          <w:instrText xml:space="preserve"> PAGEREF _Toc420392590 \h </w:instrText>
        </w:r>
        <w:r w:rsidR="007B0B98">
          <w:rPr>
            <w:noProof/>
            <w:webHidden/>
          </w:rPr>
        </w:r>
        <w:r w:rsidR="007B0B98">
          <w:rPr>
            <w:noProof/>
            <w:webHidden/>
          </w:rPr>
          <w:fldChar w:fldCharType="separate"/>
        </w:r>
        <w:r>
          <w:rPr>
            <w:noProof/>
            <w:webHidden/>
          </w:rPr>
          <w:t>46</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1" w:history="1">
        <w:r w:rsidR="007B0B98" w:rsidRPr="00E132F2">
          <w:rPr>
            <w:rStyle w:val="Hyperlink"/>
            <w:i/>
            <w:noProof/>
          </w:rPr>
          <w:t>3.2.2</w:t>
        </w:r>
        <w:r w:rsidR="007B0B98">
          <w:rPr>
            <w:rFonts w:asciiTheme="minorHAnsi" w:eastAsiaTheme="minorEastAsia" w:hAnsiTheme="minorHAnsi" w:cstheme="minorBidi"/>
            <w:noProof/>
            <w:szCs w:val="22"/>
            <w:lang w:eastAsia="en-NZ"/>
          </w:rPr>
          <w:tab/>
        </w:r>
        <w:r w:rsidR="007B0B98" w:rsidRPr="00E132F2">
          <w:rPr>
            <w:rStyle w:val="Hyperlink"/>
            <w:i/>
            <w:noProof/>
          </w:rPr>
          <w:t>12-month (Wave 2) follow-up assessment</w:t>
        </w:r>
        <w:r w:rsidR="007B0B98">
          <w:rPr>
            <w:noProof/>
            <w:webHidden/>
          </w:rPr>
          <w:tab/>
        </w:r>
        <w:r w:rsidR="007B0B98">
          <w:rPr>
            <w:noProof/>
            <w:webHidden/>
          </w:rPr>
          <w:fldChar w:fldCharType="begin"/>
        </w:r>
        <w:r w:rsidR="007B0B98">
          <w:rPr>
            <w:noProof/>
            <w:webHidden/>
          </w:rPr>
          <w:instrText xml:space="preserve"> PAGEREF _Toc420392591 \h </w:instrText>
        </w:r>
        <w:r w:rsidR="007B0B98">
          <w:rPr>
            <w:noProof/>
            <w:webHidden/>
          </w:rPr>
        </w:r>
        <w:r w:rsidR="007B0B98">
          <w:rPr>
            <w:noProof/>
            <w:webHidden/>
          </w:rPr>
          <w:fldChar w:fldCharType="separate"/>
        </w:r>
        <w:r>
          <w:rPr>
            <w:noProof/>
            <w:webHidden/>
          </w:rPr>
          <w:t>47</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2" w:history="1">
        <w:r w:rsidR="007B0B98" w:rsidRPr="00E132F2">
          <w:rPr>
            <w:rStyle w:val="Hyperlink"/>
            <w:noProof/>
          </w:rPr>
          <w:t>3.3</w:t>
        </w:r>
        <w:r w:rsidR="007B0B98">
          <w:rPr>
            <w:rFonts w:asciiTheme="minorHAnsi" w:eastAsiaTheme="minorEastAsia" w:hAnsiTheme="minorHAnsi" w:cstheme="minorBidi"/>
            <w:noProof/>
            <w:szCs w:val="22"/>
            <w:lang w:eastAsia="en-NZ"/>
          </w:rPr>
          <w:tab/>
        </w:r>
        <w:r w:rsidR="007B0B98" w:rsidRPr="00E132F2">
          <w:rPr>
            <w:rStyle w:val="Hyperlink"/>
            <w:noProof/>
          </w:rPr>
          <w:t>Survey population</w:t>
        </w:r>
        <w:r w:rsidR="007B0B98">
          <w:rPr>
            <w:noProof/>
            <w:webHidden/>
          </w:rPr>
          <w:tab/>
        </w:r>
        <w:r w:rsidR="007B0B98">
          <w:rPr>
            <w:noProof/>
            <w:webHidden/>
          </w:rPr>
          <w:fldChar w:fldCharType="begin"/>
        </w:r>
        <w:r w:rsidR="007B0B98">
          <w:rPr>
            <w:noProof/>
            <w:webHidden/>
          </w:rPr>
          <w:instrText xml:space="preserve"> PAGEREF _Toc420392592 \h </w:instrText>
        </w:r>
        <w:r w:rsidR="007B0B98">
          <w:rPr>
            <w:noProof/>
            <w:webHidden/>
          </w:rPr>
        </w:r>
        <w:r w:rsidR="007B0B98">
          <w:rPr>
            <w:noProof/>
            <w:webHidden/>
          </w:rPr>
          <w:fldChar w:fldCharType="separate"/>
        </w:r>
        <w:r>
          <w:rPr>
            <w:noProof/>
            <w:webHidden/>
          </w:rPr>
          <w:t>47</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3" w:history="1">
        <w:r w:rsidR="007B0B98" w:rsidRPr="00E132F2">
          <w:rPr>
            <w:rStyle w:val="Hyperlink"/>
            <w:i/>
            <w:noProof/>
          </w:rPr>
          <w:t>3.3.1</w:t>
        </w:r>
        <w:r w:rsidR="007B0B98">
          <w:rPr>
            <w:rFonts w:asciiTheme="minorHAnsi" w:eastAsiaTheme="minorEastAsia" w:hAnsiTheme="minorHAnsi" w:cstheme="minorBidi"/>
            <w:noProof/>
            <w:szCs w:val="22"/>
            <w:lang w:eastAsia="en-NZ"/>
          </w:rPr>
          <w:tab/>
        </w:r>
        <w:r w:rsidR="007B0B98" w:rsidRPr="00E132F2">
          <w:rPr>
            <w:rStyle w:val="Hyperlink"/>
            <w:i/>
            <w:noProof/>
          </w:rPr>
          <w:t>Sample size</w:t>
        </w:r>
        <w:r w:rsidR="007B0B98">
          <w:rPr>
            <w:noProof/>
            <w:webHidden/>
          </w:rPr>
          <w:tab/>
        </w:r>
        <w:r w:rsidR="007B0B98">
          <w:rPr>
            <w:noProof/>
            <w:webHidden/>
          </w:rPr>
          <w:fldChar w:fldCharType="begin"/>
        </w:r>
        <w:r w:rsidR="007B0B98">
          <w:rPr>
            <w:noProof/>
            <w:webHidden/>
          </w:rPr>
          <w:instrText xml:space="preserve"> PAGEREF _Toc420392593 \h </w:instrText>
        </w:r>
        <w:r w:rsidR="007B0B98">
          <w:rPr>
            <w:noProof/>
            <w:webHidden/>
          </w:rPr>
        </w:r>
        <w:r w:rsidR="007B0B98">
          <w:rPr>
            <w:noProof/>
            <w:webHidden/>
          </w:rPr>
          <w:fldChar w:fldCharType="separate"/>
        </w:r>
        <w:r>
          <w:rPr>
            <w:noProof/>
            <w:webHidden/>
          </w:rPr>
          <w:t>47</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4" w:history="1">
        <w:r w:rsidR="007B0B98" w:rsidRPr="00E132F2">
          <w:rPr>
            <w:rStyle w:val="Hyperlink"/>
            <w:i/>
            <w:noProof/>
          </w:rPr>
          <w:t>3.3.2</w:t>
        </w:r>
        <w:r w:rsidR="007B0B98">
          <w:rPr>
            <w:rFonts w:asciiTheme="minorHAnsi" w:eastAsiaTheme="minorEastAsia" w:hAnsiTheme="minorHAnsi" w:cstheme="minorBidi"/>
            <w:noProof/>
            <w:szCs w:val="22"/>
            <w:lang w:eastAsia="en-NZ"/>
          </w:rPr>
          <w:tab/>
        </w:r>
        <w:r w:rsidR="007B0B98" w:rsidRPr="00E132F2">
          <w:rPr>
            <w:rStyle w:val="Hyperlink"/>
            <w:i/>
            <w:noProof/>
          </w:rPr>
          <w:t>Composition of the Wave 2 sample for gender and age groups</w:t>
        </w:r>
        <w:r w:rsidR="007B0B98">
          <w:rPr>
            <w:noProof/>
            <w:webHidden/>
          </w:rPr>
          <w:tab/>
        </w:r>
        <w:r w:rsidR="007B0B98">
          <w:rPr>
            <w:noProof/>
            <w:webHidden/>
          </w:rPr>
          <w:fldChar w:fldCharType="begin"/>
        </w:r>
        <w:r w:rsidR="007B0B98">
          <w:rPr>
            <w:noProof/>
            <w:webHidden/>
          </w:rPr>
          <w:instrText xml:space="preserve"> PAGEREF _Toc420392594 \h </w:instrText>
        </w:r>
        <w:r w:rsidR="007B0B98">
          <w:rPr>
            <w:noProof/>
            <w:webHidden/>
          </w:rPr>
        </w:r>
        <w:r w:rsidR="007B0B98">
          <w:rPr>
            <w:noProof/>
            <w:webHidden/>
          </w:rPr>
          <w:fldChar w:fldCharType="separate"/>
        </w:r>
        <w:r>
          <w:rPr>
            <w:noProof/>
            <w:webHidden/>
          </w:rPr>
          <w:t>48</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5" w:history="1">
        <w:r w:rsidR="007B0B98" w:rsidRPr="00E132F2">
          <w:rPr>
            <w:rStyle w:val="Hyperlink"/>
            <w:i/>
            <w:noProof/>
          </w:rPr>
          <w:t>3.3.3</w:t>
        </w:r>
        <w:r w:rsidR="007B0B98">
          <w:rPr>
            <w:rFonts w:asciiTheme="minorHAnsi" w:eastAsiaTheme="minorEastAsia" w:hAnsiTheme="minorHAnsi" w:cstheme="minorBidi"/>
            <w:noProof/>
            <w:szCs w:val="22"/>
            <w:lang w:eastAsia="en-NZ"/>
          </w:rPr>
          <w:tab/>
        </w:r>
        <w:r w:rsidR="007B0B98" w:rsidRPr="00E132F2">
          <w:rPr>
            <w:rStyle w:val="Hyperlink"/>
            <w:i/>
            <w:noProof/>
          </w:rPr>
          <w:t>Composition of the Wave 2 sample for ethnic groups</w:t>
        </w:r>
        <w:r w:rsidR="007B0B98">
          <w:rPr>
            <w:noProof/>
            <w:webHidden/>
          </w:rPr>
          <w:tab/>
        </w:r>
        <w:r w:rsidR="007B0B98">
          <w:rPr>
            <w:noProof/>
            <w:webHidden/>
          </w:rPr>
          <w:fldChar w:fldCharType="begin"/>
        </w:r>
        <w:r w:rsidR="007B0B98">
          <w:rPr>
            <w:noProof/>
            <w:webHidden/>
          </w:rPr>
          <w:instrText xml:space="preserve"> PAGEREF _Toc420392595 \h </w:instrText>
        </w:r>
        <w:r w:rsidR="007B0B98">
          <w:rPr>
            <w:noProof/>
            <w:webHidden/>
          </w:rPr>
        </w:r>
        <w:r w:rsidR="007B0B98">
          <w:rPr>
            <w:noProof/>
            <w:webHidden/>
          </w:rPr>
          <w:fldChar w:fldCharType="separate"/>
        </w:r>
        <w:r>
          <w:rPr>
            <w:noProof/>
            <w:webHidden/>
          </w:rPr>
          <w:t>49</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6" w:history="1">
        <w:r w:rsidR="007B0B98" w:rsidRPr="00E132F2">
          <w:rPr>
            <w:rStyle w:val="Hyperlink"/>
            <w:noProof/>
          </w:rPr>
          <w:t>3.4</w:t>
        </w:r>
        <w:r w:rsidR="007B0B98">
          <w:rPr>
            <w:rFonts w:asciiTheme="minorHAnsi" w:eastAsiaTheme="minorEastAsia" w:hAnsiTheme="minorHAnsi" w:cstheme="minorBidi"/>
            <w:noProof/>
            <w:szCs w:val="22"/>
            <w:lang w:eastAsia="en-NZ"/>
          </w:rPr>
          <w:tab/>
        </w:r>
        <w:r w:rsidR="007B0B98" w:rsidRPr="00E132F2">
          <w:rPr>
            <w:rStyle w:val="Hyperlink"/>
            <w:noProof/>
          </w:rPr>
          <w:t>Weighting</w:t>
        </w:r>
        <w:r w:rsidR="007B0B98">
          <w:rPr>
            <w:noProof/>
            <w:webHidden/>
          </w:rPr>
          <w:tab/>
        </w:r>
        <w:r w:rsidR="007B0B98">
          <w:rPr>
            <w:noProof/>
            <w:webHidden/>
          </w:rPr>
          <w:fldChar w:fldCharType="begin"/>
        </w:r>
        <w:r w:rsidR="007B0B98">
          <w:rPr>
            <w:noProof/>
            <w:webHidden/>
          </w:rPr>
          <w:instrText xml:space="preserve"> PAGEREF _Toc420392596 \h </w:instrText>
        </w:r>
        <w:r w:rsidR="007B0B98">
          <w:rPr>
            <w:noProof/>
            <w:webHidden/>
          </w:rPr>
        </w:r>
        <w:r w:rsidR="007B0B98">
          <w:rPr>
            <w:noProof/>
            <w:webHidden/>
          </w:rPr>
          <w:fldChar w:fldCharType="separate"/>
        </w:r>
        <w:r>
          <w:rPr>
            <w:noProof/>
            <w:webHidden/>
          </w:rPr>
          <w:t>49</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7" w:history="1">
        <w:r w:rsidR="007B0B98" w:rsidRPr="00E132F2">
          <w:rPr>
            <w:rStyle w:val="Hyperlink"/>
            <w:i/>
            <w:noProof/>
          </w:rPr>
          <w:t>3.4.1</w:t>
        </w:r>
        <w:r w:rsidR="007B0B98">
          <w:rPr>
            <w:rFonts w:asciiTheme="minorHAnsi" w:eastAsiaTheme="minorEastAsia" w:hAnsiTheme="minorHAnsi" w:cstheme="minorBidi"/>
            <w:noProof/>
            <w:szCs w:val="22"/>
            <w:lang w:eastAsia="en-NZ"/>
          </w:rPr>
          <w:tab/>
        </w:r>
        <w:r w:rsidR="007B0B98" w:rsidRPr="00E132F2">
          <w:rPr>
            <w:rStyle w:val="Hyperlink"/>
            <w:i/>
            <w:noProof/>
          </w:rPr>
          <w:t>Generalities</w:t>
        </w:r>
        <w:r w:rsidR="007B0B98">
          <w:rPr>
            <w:noProof/>
            <w:webHidden/>
          </w:rPr>
          <w:tab/>
        </w:r>
        <w:r w:rsidR="007B0B98">
          <w:rPr>
            <w:noProof/>
            <w:webHidden/>
          </w:rPr>
          <w:fldChar w:fldCharType="begin"/>
        </w:r>
        <w:r w:rsidR="007B0B98">
          <w:rPr>
            <w:noProof/>
            <w:webHidden/>
          </w:rPr>
          <w:instrText xml:space="preserve"> PAGEREF _Toc420392597 \h </w:instrText>
        </w:r>
        <w:r w:rsidR="007B0B98">
          <w:rPr>
            <w:noProof/>
            <w:webHidden/>
          </w:rPr>
        </w:r>
        <w:r w:rsidR="007B0B98">
          <w:rPr>
            <w:noProof/>
            <w:webHidden/>
          </w:rPr>
          <w:fldChar w:fldCharType="separate"/>
        </w:r>
        <w:r>
          <w:rPr>
            <w:noProof/>
            <w:webHidden/>
          </w:rPr>
          <w:t>49</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8" w:history="1">
        <w:r w:rsidR="007B0B98" w:rsidRPr="00E132F2">
          <w:rPr>
            <w:rStyle w:val="Hyperlink"/>
            <w:i/>
            <w:noProof/>
          </w:rPr>
          <w:t>3.4.2</w:t>
        </w:r>
        <w:r w:rsidR="007B0B98">
          <w:rPr>
            <w:rFonts w:asciiTheme="minorHAnsi" w:eastAsiaTheme="minorEastAsia" w:hAnsiTheme="minorHAnsi" w:cstheme="minorBidi"/>
            <w:noProof/>
            <w:szCs w:val="22"/>
            <w:lang w:eastAsia="en-NZ"/>
          </w:rPr>
          <w:tab/>
        </w:r>
        <w:r w:rsidR="007B0B98" w:rsidRPr="00E132F2">
          <w:rPr>
            <w:rStyle w:val="Hyperlink"/>
            <w:i/>
            <w:noProof/>
          </w:rPr>
          <w:t>Census benchmark</w:t>
        </w:r>
        <w:r w:rsidR="007B0B98">
          <w:rPr>
            <w:noProof/>
            <w:webHidden/>
          </w:rPr>
          <w:tab/>
        </w:r>
        <w:r w:rsidR="007B0B98">
          <w:rPr>
            <w:noProof/>
            <w:webHidden/>
          </w:rPr>
          <w:fldChar w:fldCharType="begin"/>
        </w:r>
        <w:r w:rsidR="007B0B98">
          <w:rPr>
            <w:noProof/>
            <w:webHidden/>
          </w:rPr>
          <w:instrText xml:space="preserve"> PAGEREF _Toc420392598 \h </w:instrText>
        </w:r>
        <w:r w:rsidR="007B0B98">
          <w:rPr>
            <w:noProof/>
            <w:webHidden/>
          </w:rPr>
        </w:r>
        <w:r w:rsidR="007B0B98">
          <w:rPr>
            <w:noProof/>
            <w:webHidden/>
          </w:rPr>
          <w:fldChar w:fldCharType="separate"/>
        </w:r>
        <w:r>
          <w:rPr>
            <w:noProof/>
            <w:webHidden/>
          </w:rPr>
          <w:t>49</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599" w:history="1">
        <w:r w:rsidR="007B0B98" w:rsidRPr="00E132F2">
          <w:rPr>
            <w:rStyle w:val="Hyperlink"/>
            <w:i/>
            <w:noProof/>
          </w:rPr>
          <w:t>3.4.3</w:t>
        </w:r>
        <w:r w:rsidR="007B0B98">
          <w:rPr>
            <w:rFonts w:asciiTheme="minorHAnsi" w:eastAsiaTheme="minorEastAsia" w:hAnsiTheme="minorHAnsi" w:cstheme="minorBidi"/>
            <w:noProof/>
            <w:szCs w:val="22"/>
            <w:lang w:eastAsia="en-NZ"/>
          </w:rPr>
          <w:tab/>
        </w:r>
        <w:r w:rsidR="007B0B98" w:rsidRPr="00E132F2">
          <w:rPr>
            <w:rStyle w:val="Hyperlink"/>
            <w:i/>
            <w:noProof/>
          </w:rPr>
          <w:t>Attrition-specific weights</w:t>
        </w:r>
        <w:r w:rsidR="007B0B98">
          <w:rPr>
            <w:noProof/>
            <w:webHidden/>
          </w:rPr>
          <w:tab/>
        </w:r>
        <w:r w:rsidR="007B0B98">
          <w:rPr>
            <w:noProof/>
            <w:webHidden/>
          </w:rPr>
          <w:fldChar w:fldCharType="begin"/>
        </w:r>
        <w:r w:rsidR="007B0B98">
          <w:rPr>
            <w:noProof/>
            <w:webHidden/>
          </w:rPr>
          <w:instrText xml:space="preserve"> PAGEREF _Toc420392599 \h </w:instrText>
        </w:r>
        <w:r w:rsidR="007B0B98">
          <w:rPr>
            <w:noProof/>
            <w:webHidden/>
          </w:rPr>
        </w:r>
        <w:r w:rsidR="007B0B98">
          <w:rPr>
            <w:noProof/>
            <w:webHidden/>
          </w:rPr>
          <w:fldChar w:fldCharType="separate"/>
        </w:r>
        <w:r>
          <w:rPr>
            <w:noProof/>
            <w:webHidden/>
          </w:rPr>
          <w:t>50</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0" w:history="1">
        <w:r w:rsidR="007B0B98" w:rsidRPr="00E132F2">
          <w:rPr>
            <w:rStyle w:val="Hyperlink"/>
            <w:noProof/>
          </w:rPr>
          <w:t>3.5</w:t>
        </w:r>
        <w:r w:rsidR="007B0B98">
          <w:rPr>
            <w:rFonts w:asciiTheme="minorHAnsi" w:eastAsiaTheme="minorEastAsia" w:hAnsiTheme="minorHAnsi" w:cstheme="minorBidi"/>
            <w:noProof/>
            <w:szCs w:val="22"/>
            <w:lang w:eastAsia="en-NZ"/>
          </w:rPr>
          <w:tab/>
        </w:r>
        <w:r w:rsidR="007B0B98" w:rsidRPr="00E132F2">
          <w:rPr>
            <w:rStyle w:val="Hyperlink"/>
            <w:noProof/>
          </w:rPr>
          <w:t>Data analysis</w:t>
        </w:r>
        <w:r w:rsidR="007B0B98">
          <w:rPr>
            <w:noProof/>
            <w:webHidden/>
          </w:rPr>
          <w:tab/>
        </w:r>
        <w:r w:rsidR="007B0B98">
          <w:rPr>
            <w:noProof/>
            <w:webHidden/>
          </w:rPr>
          <w:fldChar w:fldCharType="begin"/>
        </w:r>
        <w:r w:rsidR="007B0B98">
          <w:rPr>
            <w:noProof/>
            <w:webHidden/>
          </w:rPr>
          <w:instrText xml:space="preserve"> PAGEREF _Toc420392600 \h </w:instrText>
        </w:r>
        <w:r w:rsidR="007B0B98">
          <w:rPr>
            <w:noProof/>
            <w:webHidden/>
          </w:rPr>
        </w:r>
        <w:r w:rsidR="007B0B98">
          <w:rPr>
            <w:noProof/>
            <w:webHidden/>
          </w:rPr>
          <w:fldChar w:fldCharType="separate"/>
        </w:r>
        <w:r>
          <w:rPr>
            <w:noProof/>
            <w:webHidden/>
          </w:rPr>
          <w:t>50</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1" w:history="1">
        <w:r w:rsidR="007B0B98" w:rsidRPr="00E132F2">
          <w:rPr>
            <w:rStyle w:val="Hyperlink"/>
            <w:i/>
            <w:noProof/>
          </w:rPr>
          <w:t>3.5.1</w:t>
        </w:r>
        <w:r w:rsidR="007B0B98">
          <w:rPr>
            <w:rFonts w:asciiTheme="minorHAnsi" w:eastAsiaTheme="minorEastAsia" w:hAnsiTheme="minorHAnsi" w:cstheme="minorBidi"/>
            <w:noProof/>
            <w:szCs w:val="22"/>
            <w:lang w:eastAsia="en-NZ"/>
          </w:rPr>
          <w:tab/>
        </w:r>
        <w:r w:rsidR="007B0B98" w:rsidRPr="00E132F2">
          <w:rPr>
            <w:rStyle w:val="Hyperlink"/>
            <w:i/>
            <w:noProof/>
          </w:rPr>
          <w:t>Attrition analyses</w:t>
        </w:r>
        <w:r w:rsidR="007B0B98">
          <w:rPr>
            <w:noProof/>
            <w:webHidden/>
          </w:rPr>
          <w:tab/>
        </w:r>
        <w:r w:rsidR="007B0B98">
          <w:rPr>
            <w:noProof/>
            <w:webHidden/>
          </w:rPr>
          <w:fldChar w:fldCharType="begin"/>
        </w:r>
        <w:r w:rsidR="007B0B98">
          <w:rPr>
            <w:noProof/>
            <w:webHidden/>
          </w:rPr>
          <w:instrText xml:space="preserve"> PAGEREF _Toc420392601 \h </w:instrText>
        </w:r>
        <w:r w:rsidR="007B0B98">
          <w:rPr>
            <w:noProof/>
            <w:webHidden/>
          </w:rPr>
        </w:r>
        <w:r w:rsidR="007B0B98">
          <w:rPr>
            <w:noProof/>
            <w:webHidden/>
          </w:rPr>
          <w:fldChar w:fldCharType="separate"/>
        </w:r>
        <w:r>
          <w:rPr>
            <w:noProof/>
            <w:webHidden/>
          </w:rPr>
          <w:t>50</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2" w:history="1">
        <w:r w:rsidR="007B0B98" w:rsidRPr="00E132F2">
          <w:rPr>
            <w:rStyle w:val="Hyperlink"/>
            <w:i/>
            <w:noProof/>
          </w:rPr>
          <w:t>3.5.2</w:t>
        </w:r>
        <w:r w:rsidR="007B0B98">
          <w:rPr>
            <w:rFonts w:asciiTheme="minorHAnsi" w:eastAsiaTheme="minorEastAsia" w:hAnsiTheme="minorHAnsi" w:cstheme="minorBidi"/>
            <w:noProof/>
            <w:szCs w:val="22"/>
            <w:lang w:eastAsia="en-NZ"/>
          </w:rPr>
          <w:tab/>
        </w:r>
        <w:r w:rsidR="007B0B98" w:rsidRPr="00E132F2">
          <w:rPr>
            <w:rStyle w:val="Hyperlink"/>
            <w:i/>
            <w:noProof/>
          </w:rPr>
          <w:t>Descriptive statistics</w:t>
        </w:r>
        <w:r w:rsidR="007B0B98">
          <w:rPr>
            <w:noProof/>
            <w:webHidden/>
          </w:rPr>
          <w:tab/>
        </w:r>
        <w:r w:rsidR="007B0B98">
          <w:rPr>
            <w:noProof/>
            <w:webHidden/>
          </w:rPr>
          <w:fldChar w:fldCharType="begin"/>
        </w:r>
        <w:r w:rsidR="007B0B98">
          <w:rPr>
            <w:noProof/>
            <w:webHidden/>
          </w:rPr>
          <w:instrText xml:space="preserve"> PAGEREF _Toc420392602 \h </w:instrText>
        </w:r>
        <w:r w:rsidR="007B0B98">
          <w:rPr>
            <w:noProof/>
            <w:webHidden/>
          </w:rPr>
        </w:r>
        <w:r w:rsidR="007B0B98">
          <w:rPr>
            <w:noProof/>
            <w:webHidden/>
          </w:rPr>
          <w:fldChar w:fldCharType="separate"/>
        </w:r>
        <w:r>
          <w:rPr>
            <w:noProof/>
            <w:webHidden/>
          </w:rPr>
          <w:t>51</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3" w:history="1">
        <w:r w:rsidR="007B0B98" w:rsidRPr="00E132F2">
          <w:rPr>
            <w:rStyle w:val="Hyperlink"/>
            <w:i/>
            <w:noProof/>
          </w:rPr>
          <w:t>3.5.3</w:t>
        </w:r>
        <w:r w:rsidR="007B0B98">
          <w:rPr>
            <w:rFonts w:asciiTheme="minorHAnsi" w:eastAsiaTheme="minorEastAsia" w:hAnsiTheme="minorHAnsi" w:cstheme="minorBidi"/>
            <w:noProof/>
            <w:szCs w:val="22"/>
            <w:lang w:eastAsia="en-NZ"/>
          </w:rPr>
          <w:tab/>
        </w:r>
        <w:r w:rsidR="007B0B98" w:rsidRPr="00E132F2">
          <w:rPr>
            <w:rStyle w:val="Hyperlink"/>
            <w:i/>
            <w:noProof/>
          </w:rPr>
          <w:t>Inferential statistics</w:t>
        </w:r>
        <w:r w:rsidR="007B0B98">
          <w:rPr>
            <w:noProof/>
            <w:webHidden/>
          </w:rPr>
          <w:tab/>
        </w:r>
        <w:r w:rsidR="007B0B98">
          <w:rPr>
            <w:noProof/>
            <w:webHidden/>
          </w:rPr>
          <w:fldChar w:fldCharType="begin"/>
        </w:r>
        <w:r w:rsidR="007B0B98">
          <w:rPr>
            <w:noProof/>
            <w:webHidden/>
          </w:rPr>
          <w:instrText xml:space="preserve"> PAGEREF _Toc420392603 \h </w:instrText>
        </w:r>
        <w:r w:rsidR="007B0B98">
          <w:rPr>
            <w:noProof/>
            <w:webHidden/>
          </w:rPr>
        </w:r>
        <w:r w:rsidR="007B0B98">
          <w:rPr>
            <w:noProof/>
            <w:webHidden/>
          </w:rPr>
          <w:fldChar w:fldCharType="separate"/>
        </w:r>
        <w:r>
          <w:rPr>
            <w:noProof/>
            <w:webHidden/>
          </w:rPr>
          <w:t>52</w:t>
        </w:r>
        <w:r w:rsidR="007B0B98">
          <w:rPr>
            <w:noProof/>
            <w:webHidden/>
          </w:rPr>
          <w:fldChar w:fldCharType="end"/>
        </w:r>
      </w:hyperlink>
    </w:p>
    <w:p w:rsidR="007B0B98" w:rsidRDefault="00B2175B">
      <w:pPr>
        <w:pStyle w:val="TOC1"/>
        <w:rPr>
          <w:rFonts w:asciiTheme="minorHAnsi" w:eastAsiaTheme="minorEastAsia" w:hAnsiTheme="minorHAnsi" w:cstheme="minorBidi"/>
          <w:noProof/>
          <w:szCs w:val="22"/>
          <w:lang w:eastAsia="en-NZ"/>
        </w:rPr>
      </w:pPr>
      <w:hyperlink w:anchor="_Toc420392604" w:history="1">
        <w:r w:rsidR="007B0B98" w:rsidRPr="00E132F2">
          <w:rPr>
            <w:rStyle w:val="Hyperlink"/>
            <w:noProof/>
          </w:rPr>
          <w:t>4.</w:t>
        </w:r>
        <w:r w:rsidR="007B0B98">
          <w:rPr>
            <w:rFonts w:asciiTheme="minorHAnsi" w:eastAsiaTheme="minorEastAsia" w:hAnsiTheme="minorHAnsi" w:cstheme="minorBidi"/>
            <w:noProof/>
            <w:szCs w:val="22"/>
            <w:lang w:eastAsia="en-NZ"/>
          </w:rPr>
          <w:tab/>
        </w:r>
        <w:r w:rsidR="007B0B98" w:rsidRPr="00E132F2">
          <w:rPr>
            <w:rStyle w:val="Hyperlink"/>
            <w:noProof/>
          </w:rPr>
          <w:t>RESULTS</w:t>
        </w:r>
        <w:r w:rsidR="007B0B98">
          <w:rPr>
            <w:noProof/>
            <w:webHidden/>
          </w:rPr>
          <w:tab/>
        </w:r>
        <w:r w:rsidR="007B0B98">
          <w:rPr>
            <w:noProof/>
            <w:webHidden/>
          </w:rPr>
          <w:fldChar w:fldCharType="begin"/>
        </w:r>
        <w:r w:rsidR="007B0B98">
          <w:rPr>
            <w:noProof/>
            <w:webHidden/>
          </w:rPr>
          <w:instrText xml:space="preserve"> PAGEREF _Toc420392604 \h </w:instrText>
        </w:r>
        <w:r w:rsidR="007B0B98">
          <w:rPr>
            <w:noProof/>
            <w:webHidden/>
          </w:rPr>
        </w:r>
        <w:r w:rsidR="007B0B98">
          <w:rPr>
            <w:noProof/>
            <w:webHidden/>
          </w:rPr>
          <w:fldChar w:fldCharType="separate"/>
        </w:r>
        <w:r>
          <w:rPr>
            <w:noProof/>
            <w:webHidden/>
          </w:rPr>
          <w:t>54</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5" w:history="1">
        <w:r w:rsidR="007B0B98" w:rsidRPr="00E132F2">
          <w:rPr>
            <w:rStyle w:val="Hyperlink"/>
            <w:noProof/>
          </w:rPr>
          <w:t>4.1</w:t>
        </w:r>
        <w:r w:rsidR="007B0B98">
          <w:rPr>
            <w:rFonts w:asciiTheme="minorHAnsi" w:eastAsiaTheme="minorEastAsia" w:hAnsiTheme="minorHAnsi" w:cstheme="minorBidi"/>
            <w:noProof/>
            <w:szCs w:val="22"/>
            <w:lang w:eastAsia="en-NZ"/>
          </w:rPr>
          <w:tab/>
        </w:r>
        <w:r w:rsidR="007B0B98" w:rsidRPr="00E132F2">
          <w:rPr>
            <w:rStyle w:val="Hyperlink"/>
            <w:noProof/>
          </w:rPr>
          <w:t>Attrition analyses</w:t>
        </w:r>
        <w:r w:rsidR="007B0B98">
          <w:rPr>
            <w:noProof/>
            <w:webHidden/>
          </w:rPr>
          <w:tab/>
        </w:r>
        <w:r w:rsidR="007B0B98">
          <w:rPr>
            <w:noProof/>
            <w:webHidden/>
          </w:rPr>
          <w:fldChar w:fldCharType="begin"/>
        </w:r>
        <w:r w:rsidR="007B0B98">
          <w:rPr>
            <w:noProof/>
            <w:webHidden/>
          </w:rPr>
          <w:instrText xml:space="preserve"> PAGEREF _Toc420392605 \h </w:instrText>
        </w:r>
        <w:r w:rsidR="007B0B98">
          <w:rPr>
            <w:noProof/>
            <w:webHidden/>
          </w:rPr>
        </w:r>
        <w:r w:rsidR="007B0B98">
          <w:rPr>
            <w:noProof/>
            <w:webHidden/>
          </w:rPr>
          <w:fldChar w:fldCharType="separate"/>
        </w:r>
        <w:r>
          <w:rPr>
            <w:noProof/>
            <w:webHidden/>
          </w:rPr>
          <w:t>54</w:t>
        </w:r>
        <w:r w:rsidR="007B0B98">
          <w:rPr>
            <w:noProof/>
            <w:webHidden/>
          </w:rPr>
          <w:fldChar w:fldCharType="end"/>
        </w:r>
      </w:hyperlink>
    </w:p>
    <w:p w:rsidR="007B0B98" w:rsidRDefault="00B2175B">
      <w:pPr>
        <w:pStyle w:val="TOC2"/>
        <w:rPr>
          <w:rFonts w:asciiTheme="minorHAnsi" w:eastAsiaTheme="minorEastAsia" w:hAnsiTheme="minorHAnsi" w:cstheme="minorBidi"/>
          <w:noProof/>
          <w:szCs w:val="22"/>
          <w:lang w:eastAsia="en-NZ"/>
        </w:rPr>
      </w:pPr>
      <w:hyperlink w:anchor="_Toc420392606" w:history="1">
        <w:r w:rsidR="007B0B98" w:rsidRPr="00E132F2">
          <w:rPr>
            <w:rStyle w:val="Hyperlink"/>
            <w:noProof/>
          </w:rPr>
          <w:t>4.2</w:t>
        </w:r>
        <w:r w:rsidR="007B0B98">
          <w:rPr>
            <w:rFonts w:asciiTheme="minorHAnsi" w:eastAsiaTheme="minorEastAsia" w:hAnsiTheme="minorHAnsi" w:cstheme="minorBidi"/>
            <w:noProof/>
            <w:szCs w:val="22"/>
            <w:lang w:eastAsia="en-NZ"/>
          </w:rPr>
          <w:tab/>
        </w:r>
        <w:r w:rsidR="007B0B98" w:rsidRPr="00E132F2">
          <w:rPr>
            <w:rStyle w:val="Hyperlink"/>
            <w:noProof/>
          </w:rPr>
          <w:t>Descriptive statistics</w:t>
        </w:r>
        <w:r w:rsidR="007B0B98">
          <w:rPr>
            <w:noProof/>
            <w:webHidden/>
          </w:rPr>
          <w:tab/>
        </w:r>
        <w:r w:rsidR="007B0B98">
          <w:rPr>
            <w:noProof/>
            <w:webHidden/>
          </w:rPr>
          <w:fldChar w:fldCharType="begin"/>
        </w:r>
        <w:r w:rsidR="007B0B98">
          <w:rPr>
            <w:noProof/>
            <w:webHidden/>
          </w:rPr>
          <w:instrText xml:space="preserve"> PAGEREF _Toc420392606 \h </w:instrText>
        </w:r>
        <w:r w:rsidR="007B0B98">
          <w:rPr>
            <w:noProof/>
            <w:webHidden/>
          </w:rPr>
        </w:r>
        <w:r w:rsidR="007B0B98">
          <w:rPr>
            <w:noProof/>
            <w:webHidden/>
          </w:rPr>
          <w:fldChar w:fldCharType="separate"/>
        </w:r>
        <w:r>
          <w:rPr>
            <w:noProof/>
            <w:webHidden/>
          </w:rPr>
          <w:t>54</w:t>
        </w:r>
        <w:r w:rsidR="007B0B98">
          <w:rPr>
            <w:noProof/>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07" w:history="1">
        <w:r w:rsidR="007B0B98" w:rsidRPr="007B0B98">
          <w:rPr>
            <w:rStyle w:val="Hyperlink"/>
          </w:rPr>
          <w:t>4.2.1.</w:t>
        </w:r>
        <w:r w:rsidR="007B0B98" w:rsidRPr="007B0B98">
          <w:rPr>
            <w:rFonts w:asciiTheme="minorHAnsi" w:eastAsiaTheme="minorEastAsia" w:hAnsiTheme="minorHAnsi" w:cstheme="minorBidi"/>
            <w:szCs w:val="22"/>
            <w:lang w:eastAsia="en-NZ"/>
          </w:rPr>
          <w:tab/>
        </w:r>
        <w:r w:rsidR="007B0B98" w:rsidRPr="007B0B98">
          <w:rPr>
            <w:rStyle w:val="Hyperlink"/>
          </w:rPr>
          <w:t>Socio-demographic variables</w:t>
        </w:r>
        <w:r w:rsidR="007B0B98">
          <w:rPr>
            <w:rStyle w:val="Hyperlink"/>
          </w:rPr>
          <w:t>.................................................................................</w:t>
        </w:r>
        <w:r w:rsidR="007B0B98" w:rsidRPr="007B0B98">
          <w:rPr>
            <w:webHidden/>
          </w:rPr>
          <w:fldChar w:fldCharType="begin"/>
        </w:r>
        <w:r w:rsidR="007B0B98" w:rsidRPr="007B0B98">
          <w:rPr>
            <w:webHidden/>
          </w:rPr>
          <w:instrText xml:space="preserve"> PAGEREF _Toc420392607 \h </w:instrText>
        </w:r>
        <w:r w:rsidR="007B0B98" w:rsidRPr="007B0B98">
          <w:rPr>
            <w:webHidden/>
          </w:rPr>
        </w:r>
        <w:r w:rsidR="007B0B98" w:rsidRPr="007B0B98">
          <w:rPr>
            <w:webHidden/>
          </w:rPr>
          <w:fldChar w:fldCharType="separate"/>
        </w:r>
        <w:r>
          <w:rPr>
            <w:webHidden/>
          </w:rPr>
          <w:t>54</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08" w:history="1">
        <w:r w:rsidR="007B0B98" w:rsidRPr="007B0B98">
          <w:rPr>
            <w:rStyle w:val="Hyperlink"/>
          </w:rPr>
          <w:t>4.2.2.</w:t>
        </w:r>
        <w:r w:rsidR="007B0B98" w:rsidRPr="007B0B98">
          <w:rPr>
            <w:rFonts w:asciiTheme="minorHAnsi" w:eastAsiaTheme="minorEastAsia" w:hAnsiTheme="minorHAnsi" w:cstheme="minorBidi"/>
            <w:szCs w:val="22"/>
            <w:lang w:eastAsia="en-NZ"/>
          </w:rPr>
          <w:tab/>
        </w:r>
        <w:r w:rsidR="007B0B98" w:rsidRPr="007B0B98">
          <w:rPr>
            <w:rStyle w:val="Hyperlink"/>
          </w:rPr>
          <w:t>Gambling participation</w:t>
        </w:r>
        <w:r w:rsidR="007B0B98">
          <w:rPr>
            <w:rStyle w:val="Hyperlink"/>
          </w:rPr>
          <w:t>..........................................................................................</w:t>
        </w:r>
        <w:r w:rsidR="007B0B98" w:rsidRPr="007B0B98">
          <w:rPr>
            <w:webHidden/>
          </w:rPr>
          <w:fldChar w:fldCharType="begin"/>
        </w:r>
        <w:r w:rsidR="007B0B98" w:rsidRPr="007B0B98">
          <w:rPr>
            <w:webHidden/>
          </w:rPr>
          <w:instrText xml:space="preserve"> PAGEREF _Toc420392608 \h </w:instrText>
        </w:r>
        <w:r w:rsidR="007B0B98" w:rsidRPr="007B0B98">
          <w:rPr>
            <w:webHidden/>
          </w:rPr>
        </w:r>
        <w:r w:rsidR="007B0B98" w:rsidRPr="007B0B98">
          <w:rPr>
            <w:webHidden/>
          </w:rPr>
          <w:fldChar w:fldCharType="separate"/>
        </w:r>
        <w:r>
          <w:rPr>
            <w:webHidden/>
          </w:rPr>
          <w:t>55</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09" w:history="1">
        <w:r w:rsidR="007B0B98" w:rsidRPr="007B0B98">
          <w:rPr>
            <w:rStyle w:val="Hyperlink"/>
          </w:rPr>
          <w:t>4.2.3.</w:t>
        </w:r>
        <w:r w:rsidR="007B0B98" w:rsidRPr="007B0B98">
          <w:rPr>
            <w:rFonts w:asciiTheme="minorHAnsi" w:eastAsiaTheme="minorEastAsia" w:hAnsiTheme="minorHAnsi" w:cstheme="minorBidi"/>
            <w:szCs w:val="22"/>
            <w:lang w:eastAsia="en-NZ"/>
          </w:rPr>
          <w:tab/>
        </w:r>
        <w:r w:rsidR="007B0B98" w:rsidRPr="007B0B98">
          <w:rPr>
            <w:rStyle w:val="Hyperlink"/>
          </w:rPr>
          <w:t>Problem gambling</w:t>
        </w:r>
        <w:r w:rsidR="007B0B98">
          <w:rPr>
            <w:rStyle w:val="Hyperlink"/>
          </w:rPr>
          <w:t>..................................................................................................</w:t>
        </w:r>
        <w:r w:rsidR="007B0B98" w:rsidRPr="007B0B98">
          <w:rPr>
            <w:webHidden/>
          </w:rPr>
          <w:fldChar w:fldCharType="begin"/>
        </w:r>
        <w:r w:rsidR="007B0B98" w:rsidRPr="007B0B98">
          <w:rPr>
            <w:webHidden/>
          </w:rPr>
          <w:instrText xml:space="preserve"> PAGEREF _Toc420392609 \h </w:instrText>
        </w:r>
        <w:r w:rsidR="007B0B98" w:rsidRPr="007B0B98">
          <w:rPr>
            <w:webHidden/>
          </w:rPr>
        </w:r>
        <w:r w:rsidR="007B0B98" w:rsidRPr="007B0B98">
          <w:rPr>
            <w:webHidden/>
          </w:rPr>
          <w:fldChar w:fldCharType="separate"/>
        </w:r>
        <w:r>
          <w:rPr>
            <w:webHidden/>
          </w:rPr>
          <w:t>57</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0" w:history="1">
        <w:r w:rsidR="007B0B98" w:rsidRPr="007B0B98">
          <w:rPr>
            <w:rStyle w:val="Hyperlink"/>
          </w:rPr>
          <w:t>4.2.4.</w:t>
        </w:r>
        <w:r w:rsidR="007B0B98" w:rsidRPr="007B0B98">
          <w:rPr>
            <w:rFonts w:asciiTheme="minorHAnsi" w:eastAsiaTheme="minorEastAsia" w:hAnsiTheme="minorHAnsi" w:cstheme="minorBidi"/>
            <w:szCs w:val="22"/>
            <w:lang w:eastAsia="en-NZ"/>
          </w:rPr>
          <w:tab/>
        </w:r>
        <w:r w:rsidR="007B0B98" w:rsidRPr="007B0B98">
          <w:rPr>
            <w:rStyle w:val="Hyperlink"/>
          </w:rPr>
          <w:t>Health status</w:t>
        </w:r>
        <w:r w:rsidR="007B0B98">
          <w:rPr>
            <w:rStyle w:val="Hyperlink"/>
          </w:rPr>
          <w:t>...........................................................................................................</w:t>
        </w:r>
        <w:r w:rsidR="007B0B98" w:rsidRPr="007B0B98">
          <w:rPr>
            <w:webHidden/>
          </w:rPr>
          <w:fldChar w:fldCharType="begin"/>
        </w:r>
        <w:r w:rsidR="007B0B98" w:rsidRPr="007B0B98">
          <w:rPr>
            <w:webHidden/>
          </w:rPr>
          <w:instrText xml:space="preserve"> PAGEREF _Toc420392610 \h </w:instrText>
        </w:r>
        <w:r w:rsidR="007B0B98" w:rsidRPr="007B0B98">
          <w:rPr>
            <w:webHidden/>
          </w:rPr>
        </w:r>
        <w:r w:rsidR="007B0B98" w:rsidRPr="007B0B98">
          <w:rPr>
            <w:webHidden/>
          </w:rPr>
          <w:fldChar w:fldCharType="separate"/>
        </w:r>
        <w:r>
          <w:rPr>
            <w:webHidden/>
          </w:rPr>
          <w:t>59</w:t>
        </w:r>
        <w:r w:rsidR="007B0B98" w:rsidRPr="007B0B98">
          <w:rPr>
            <w:webHidden/>
          </w:rPr>
          <w:fldChar w:fldCharType="end"/>
        </w:r>
      </w:hyperlink>
    </w:p>
    <w:p w:rsidR="007B0B98" w:rsidRPr="007B0B98" w:rsidRDefault="00B2175B">
      <w:pPr>
        <w:pStyle w:val="TOC2"/>
        <w:rPr>
          <w:rFonts w:asciiTheme="minorHAnsi" w:eastAsiaTheme="minorEastAsia" w:hAnsiTheme="minorHAnsi" w:cstheme="minorBidi"/>
          <w:noProof/>
          <w:szCs w:val="22"/>
          <w:lang w:eastAsia="en-NZ"/>
        </w:rPr>
      </w:pPr>
      <w:hyperlink w:anchor="_Toc420392611" w:history="1">
        <w:r w:rsidR="007B0B98" w:rsidRPr="007B0B98">
          <w:rPr>
            <w:rStyle w:val="Hyperlink"/>
            <w:noProof/>
          </w:rPr>
          <w:t>4.3</w:t>
        </w:r>
        <w:r w:rsidR="007B0B98" w:rsidRPr="007B0B98">
          <w:rPr>
            <w:rFonts w:asciiTheme="minorHAnsi" w:eastAsiaTheme="minorEastAsia" w:hAnsiTheme="minorHAnsi" w:cstheme="minorBidi"/>
            <w:noProof/>
            <w:szCs w:val="22"/>
            <w:lang w:eastAsia="en-NZ"/>
          </w:rPr>
          <w:tab/>
        </w:r>
        <w:r w:rsidR="007B0B98" w:rsidRPr="007B0B98">
          <w:rPr>
            <w:rStyle w:val="Hyperlink"/>
            <w:noProof/>
          </w:rPr>
          <w:t>Transitions, incidence and relapse</w:t>
        </w:r>
        <w:r w:rsidR="007B0B98" w:rsidRPr="007B0B98">
          <w:rPr>
            <w:noProof/>
            <w:webHidden/>
          </w:rPr>
          <w:tab/>
        </w:r>
        <w:r w:rsidR="007B0B98" w:rsidRPr="007B0B98">
          <w:rPr>
            <w:noProof/>
            <w:webHidden/>
          </w:rPr>
          <w:fldChar w:fldCharType="begin"/>
        </w:r>
        <w:r w:rsidR="007B0B98" w:rsidRPr="007B0B98">
          <w:rPr>
            <w:noProof/>
            <w:webHidden/>
          </w:rPr>
          <w:instrText xml:space="preserve"> PAGEREF _Toc420392611 \h </w:instrText>
        </w:r>
        <w:r w:rsidR="007B0B98" w:rsidRPr="007B0B98">
          <w:rPr>
            <w:noProof/>
            <w:webHidden/>
          </w:rPr>
        </w:r>
        <w:r w:rsidR="007B0B98" w:rsidRPr="007B0B98">
          <w:rPr>
            <w:noProof/>
            <w:webHidden/>
          </w:rPr>
          <w:fldChar w:fldCharType="separate"/>
        </w:r>
        <w:r>
          <w:rPr>
            <w:noProof/>
            <w:webHidden/>
          </w:rPr>
          <w:t>60</w:t>
        </w:r>
        <w:r w:rsidR="007B0B98" w:rsidRPr="007B0B98">
          <w:rPr>
            <w:noProof/>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2" w:history="1">
        <w:r w:rsidR="007B0B98" w:rsidRPr="007B0B98">
          <w:rPr>
            <w:rStyle w:val="Hyperlink"/>
          </w:rPr>
          <w:t>4.3.1.</w:t>
        </w:r>
        <w:r w:rsidR="007B0B98" w:rsidRPr="007B0B98">
          <w:rPr>
            <w:rFonts w:asciiTheme="minorHAnsi" w:eastAsiaTheme="minorEastAsia" w:hAnsiTheme="minorHAnsi" w:cstheme="minorBidi"/>
            <w:szCs w:val="22"/>
            <w:lang w:eastAsia="en-NZ"/>
          </w:rPr>
          <w:tab/>
        </w:r>
        <w:r w:rsidR="007B0B98" w:rsidRPr="007B0B98">
          <w:rPr>
            <w:rStyle w:val="Hyperlink"/>
          </w:rPr>
          <w:t>Transitions</w:t>
        </w:r>
        <w:r w:rsidR="007B0B98">
          <w:rPr>
            <w:rStyle w:val="Hyperlink"/>
          </w:rPr>
          <w:t>..............................................................................................................</w:t>
        </w:r>
        <w:r w:rsidR="007B0B98" w:rsidRPr="007B0B98">
          <w:rPr>
            <w:webHidden/>
          </w:rPr>
          <w:fldChar w:fldCharType="begin"/>
        </w:r>
        <w:r w:rsidR="007B0B98" w:rsidRPr="007B0B98">
          <w:rPr>
            <w:webHidden/>
          </w:rPr>
          <w:instrText xml:space="preserve"> PAGEREF _Toc420392612 \h </w:instrText>
        </w:r>
        <w:r w:rsidR="007B0B98" w:rsidRPr="007B0B98">
          <w:rPr>
            <w:webHidden/>
          </w:rPr>
        </w:r>
        <w:r w:rsidR="007B0B98" w:rsidRPr="007B0B98">
          <w:rPr>
            <w:webHidden/>
          </w:rPr>
          <w:fldChar w:fldCharType="separate"/>
        </w:r>
        <w:r>
          <w:rPr>
            <w:webHidden/>
          </w:rPr>
          <w:t>61</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3" w:history="1">
        <w:r w:rsidR="007B0B98" w:rsidRPr="007B0B98">
          <w:rPr>
            <w:rStyle w:val="Hyperlink"/>
          </w:rPr>
          <w:t>4.3.2.</w:t>
        </w:r>
        <w:r w:rsidR="007B0B98" w:rsidRPr="007B0B98">
          <w:rPr>
            <w:rFonts w:asciiTheme="minorHAnsi" w:eastAsiaTheme="minorEastAsia" w:hAnsiTheme="minorHAnsi" w:cstheme="minorBidi"/>
            <w:szCs w:val="22"/>
            <w:lang w:eastAsia="en-NZ"/>
          </w:rPr>
          <w:tab/>
        </w:r>
        <w:r w:rsidR="007B0B98" w:rsidRPr="007B0B98">
          <w:rPr>
            <w:rStyle w:val="Hyperlink"/>
          </w:rPr>
          <w:t>Incidence and relapse</w:t>
        </w:r>
        <w:r w:rsidR="007B0B98">
          <w:rPr>
            <w:rStyle w:val="Hyperlink"/>
          </w:rPr>
          <w:t>.............................................................................................</w:t>
        </w:r>
        <w:r w:rsidR="007B0B98" w:rsidRPr="007B0B98">
          <w:rPr>
            <w:webHidden/>
          </w:rPr>
          <w:fldChar w:fldCharType="begin"/>
        </w:r>
        <w:r w:rsidR="007B0B98" w:rsidRPr="007B0B98">
          <w:rPr>
            <w:webHidden/>
          </w:rPr>
          <w:instrText xml:space="preserve"> PAGEREF _Toc420392613 \h </w:instrText>
        </w:r>
        <w:r w:rsidR="007B0B98" w:rsidRPr="007B0B98">
          <w:rPr>
            <w:webHidden/>
          </w:rPr>
        </w:r>
        <w:r w:rsidR="007B0B98" w:rsidRPr="007B0B98">
          <w:rPr>
            <w:webHidden/>
          </w:rPr>
          <w:fldChar w:fldCharType="separate"/>
        </w:r>
        <w:r>
          <w:rPr>
            <w:webHidden/>
          </w:rPr>
          <w:t>62</w:t>
        </w:r>
        <w:r w:rsidR="007B0B98" w:rsidRPr="007B0B98">
          <w:rPr>
            <w:webHidden/>
          </w:rPr>
          <w:fldChar w:fldCharType="end"/>
        </w:r>
      </w:hyperlink>
    </w:p>
    <w:p w:rsidR="007B0B98" w:rsidRPr="007B0B98" w:rsidRDefault="00B2175B">
      <w:pPr>
        <w:pStyle w:val="TOC2"/>
        <w:rPr>
          <w:rFonts w:asciiTheme="minorHAnsi" w:eastAsiaTheme="minorEastAsia" w:hAnsiTheme="minorHAnsi" w:cstheme="minorBidi"/>
          <w:noProof/>
          <w:szCs w:val="22"/>
          <w:lang w:eastAsia="en-NZ"/>
        </w:rPr>
      </w:pPr>
      <w:hyperlink w:anchor="_Toc420392614" w:history="1">
        <w:r w:rsidR="007B0B98" w:rsidRPr="007B0B98">
          <w:rPr>
            <w:rStyle w:val="Hyperlink"/>
            <w:noProof/>
          </w:rPr>
          <w:t>4.4</w:t>
        </w:r>
        <w:r w:rsidR="007B0B98" w:rsidRPr="007B0B98">
          <w:rPr>
            <w:rFonts w:asciiTheme="minorHAnsi" w:eastAsiaTheme="minorEastAsia" w:hAnsiTheme="minorHAnsi" w:cstheme="minorBidi"/>
            <w:noProof/>
            <w:szCs w:val="22"/>
            <w:lang w:eastAsia="en-NZ"/>
          </w:rPr>
          <w:tab/>
        </w:r>
        <w:r w:rsidR="007B0B98" w:rsidRPr="007B0B98">
          <w:rPr>
            <w:rStyle w:val="Hyperlink"/>
            <w:noProof/>
          </w:rPr>
          <w:t>Associations with transitions</w:t>
        </w:r>
        <w:r w:rsidR="007B0B98" w:rsidRPr="007B0B98">
          <w:rPr>
            <w:noProof/>
            <w:webHidden/>
          </w:rPr>
          <w:tab/>
        </w:r>
        <w:r w:rsidR="007B0B98" w:rsidRPr="007B0B98">
          <w:rPr>
            <w:noProof/>
            <w:webHidden/>
          </w:rPr>
          <w:fldChar w:fldCharType="begin"/>
        </w:r>
        <w:r w:rsidR="007B0B98" w:rsidRPr="007B0B98">
          <w:rPr>
            <w:noProof/>
            <w:webHidden/>
          </w:rPr>
          <w:instrText xml:space="preserve"> PAGEREF _Toc420392614 \h </w:instrText>
        </w:r>
        <w:r w:rsidR="007B0B98" w:rsidRPr="007B0B98">
          <w:rPr>
            <w:noProof/>
            <w:webHidden/>
          </w:rPr>
        </w:r>
        <w:r w:rsidR="007B0B98" w:rsidRPr="007B0B98">
          <w:rPr>
            <w:noProof/>
            <w:webHidden/>
          </w:rPr>
          <w:fldChar w:fldCharType="separate"/>
        </w:r>
        <w:r>
          <w:rPr>
            <w:noProof/>
            <w:webHidden/>
          </w:rPr>
          <w:t>63</w:t>
        </w:r>
        <w:r w:rsidR="007B0B98" w:rsidRPr="007B0B98">
          <w:rPr>
            <w:noProof/>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5" w:history="1">
        <w:r w:rsidR="007B0B98" w:rsidRPr="007B0B98">
          <w:rPr>
            <w:rStyle w:val="Hyperlink"/>
          </w:rPr>
          <w:t>4.4.1.</w:t>
        </w:r>
        <w:r w:rsidR="007B0B98" w:rsidRPr="007B0B98">
          <w:rPr>
            <w:rFonts w:asciiTheme="minorHAnsi" w:eastAsiaTheme="minorEastAsia" w:hAnsiTheme="minorHAnsi" w:cstheme="minorBidi"/>
            <w:szCs w:val="22"/>
            <w:lang w:eastAsia="en-NZ"/>
          </w:rPr>
          <w:tab/>
        </w:r>
        <w:r w:rsidR="007B0B98" w:rsidRPr="007B0B98">
          <w:rPr>
            <w:rStyle w:val="Hyperlink"/>
          </w:rPr>
          <w:t>Transition to moderate-risk/problem gambler</w:t>
        </w:r>
        <w:r w:rsidR="007B0B98">
          <w:rPr>
            <w:rStyle w:val="Hyperlink"/>
          </w:rPr>
          <w:t>.......................................................</w:t>
        </w:r>
        <w:r w:rsidR="007B0B98" w:rsidRPr="007B0B98">
          <w:rPr>
            <w:webHidden/>
          </w:rPr>
          <w:fldChar w:fldCharType="begin"/>
        </w:r>
        <w:r w:rsidR="007B0B98" w:rsidRPr="007B0B98">
          <w:rPr>
            <w:webHidden/>
          </w:rPr>
          <w:instrText xml:space="preserve"> PAGEREF _Toc420392615 \h </w:instrText>
        </w:r>
        <w:r w:rsidR="007B0B98" w:rsidRPr="007B0B98">
          <w:rPr>
            <w:webHidden/>
          </w:rPr>
        </w:r>
        <w:r w:rsidR="007B0B98" w:rsidRPr="007B0B98">
          <w:rPr>
            <w:webHidden/>
          </w:rPr>
          <w:fldChar w:fldCharType="separate"/>
        </w:r>
        <w:r>
          <w:rPr>
            <w:webHidden/>
          </w:rPr>
          <w:t>64</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6" w:history="1">
        <w:r w:rsidR="007B0B98" w:rsidRPr="007B0B98">
          <w:rPr>
            <w:rStyle w:val="Hyperlink"/>
          </w:rPr>
          <w:t>4.4.2.</w:t>
        </w:r>
        <w:r w:rsidR="007B0B98" w:rsidRPr="007B0B98">
          <w:rPr>
            <w:rFonts w:asciiTheme="minorHAnsi" w:eastAsiaTheme="minorEastAsia" w:hAnsiTheme="minorHAnsi" w:cstheme="minorBidi"/>
            <w:szCs w:val="22"/>
            <w:lang w:eastAsia="en-NZ"/>
          </w:rPr>
          <w:tab/>
        </w:r>
        <w:r w:rsidR="007B0B98" w:rsidRPr="007B0B98">
          <w:rPr>
            <w:rStyle w:val="Hyperlink"/>
          </w:rPr>
          <w:t>Staying as moderate-risk/problem gambler</w:t>
        </w:r>
        <w:r w:rsidR="007B0B98">
          <w:rPr>
            <w:rStyle w:val="Hyperlink"/>
          </w:rPr>
          <w:t>...........................................................</w:t>
        </w:r>
        <w:r w:rsidR="007B0B98" w:rsidRPr="007B0B98">
          <w:rPr>
            <w:webHidden/>
          </w:rPr>
          <w:fldChar w:fldCharType="begin"/>
        </w:r>
        <w:r w:rsidR="007B0B98" w:rsidRPr="007B0B98">
          <w:rPr>
            <w:webHidden/>
          </w:rPr>
          <w:instrText xml:space="preserve"> PAGEREF _Toc420392616 \h </w:instrText>
        </w:r>
        <w:r w:rsidR="007B0B98" w:rsidRPr="007B0B98">
          <w:rPr>
            <w:webHidden/>
          </w:rPr>
        </w:r>
        <w:r w:rsidR="007B0B98" w:rsidRPr="007B0B98">
          <w:rPr>
            <w:webHidden/>
          </w:rPr>
          <w:fldChar w:fldCharType="separate"/>
        </w:r>
        <w:r>
          <w:rPr>
            <w:webHidden/>
          </w:rPr>
          <w:t>68</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7" w:history="1">
        <w:r w:rsidR="007B0B98" w:rsidRPr="007B0B98">
          <w:rPr>
            <w:rStyle w:val="Hyperlink"/>
          </w:rPr>
          <w:t>4.4.3.</w:t>
        </w:r>
        <w:r w:rsidR="007B0B98" w:rsidRPr="007B0B98">
          <w:rPr>
            <w:rFonts w:asciiTheme="minorHAnsi" w:eastAsiaTheme="minorEastAsia" w:hAnsiTheme="minorHAnsi" w:cstheme="minorBidi"/>
            <w:szCs w:val="22"/>
            <w:lang w:eastAsia="en-NZ"/>
          </w:rPr>
          <w:tab/>
        </w:r>
        <w:r w:rsidR="007B0B98" w:rsidRPr="007B0B98">
          <w:rPr>
            <w:rStyle w:val="Hyperlink"/>
          </w:rPr>
          <w:t>Transition to low-risk/moderate-risk/problem gambler</w:t>
        </w:r>
        <w:r w:rsidR="007B0B98" w:rsidRPr="007B0B98">
          <w:rPr>
            <w:webHidden/>
          </w:rPr>
          <w:tab/>
        </w:r>
        <w:r w:rsidR="007B0B98">
          <w:rPr>
            <w:webHidden/>
          </w:rPr>
          <w:t>........................................</w:t>
        </w:r>
        <w:r w:rsidR="007B0B98" w:rsidRPr="007B0B98">
          <w:rPr>
            <w:webHidden/>
          </w:rPr>
          <w:fldChar w:fldCharType="begin"/>
        </w:r>
        <w:r w:rsidR="007B0B98" w:rsidRPr="007B0B98">
          <w:rPr>
            <w:webHidden/>
          </w:rPr>
          <w:instrText xml:space="preserve"> PAGEREF _Toc420392617 \h </w:instrText>
        </w:r>
        <w:r w:rsidR="007B0B98" w:rsidRPr="007B0B98">
          <w:rPr>
            <w:webHidden/>
          </w:rPr>
        </w:r>
        <w:r w:rsidR="007B0B98" w:rsidRPr="007B0B98">
          <w:rPr>
            <w:webHidden/>
          </w:rPr>
          <w:fldChar w:fldCharType="separate"/>
        </w:r>
        <w:r>
          <w:rPr>
            <w:webHidden/>
          </w:rPr>
          <w:t>71</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8" w:history="1">
        <w:r w:rsidR="007B0B98" w:rsidRPr="007B0B98">
          <w:rPr>
            <w:rStyle w:val="Hyperlink"/>
          </w:rPr>
          <w:t>4.4.4.</w:t>
        </w:r>
        <w:r w:rsidR="007B0B98" w:rsidRPr="007B0B98">
          <w:rPr>
            <w:rFonts w:asciiTheme="minorHAnsi" w:eastAsiaTheme="minorEastAsia" w:hAnsiTheme="minorHAnsi" w:cstheme="minorBidi"/>
            <w:szCs w:val="22"/>
            <w:lang w:eastAsia="en-NZ"/>
          </w:rPr>
          <w:tab/>
        </w:r>
        <w:r w:rsidR="007B0B98" w:rsidRPr="007B0B98">
          <w:rPr>
            <w:rStyle w:val="Hyperlink"/>
          </w:rPr>
          <w:t>Staying as low-risk/moderate-risk/problem gambler</w:t>
        </w:r>
        <w:r w:rsidR="007B0B98">
          <w:rPr>
            <w:rStyle w:val="Hyperlink"/>
          </w:rPr>
          <w:t>.............................................</w:t>
        </w:r>
        <w:r w:rsidR="007B0B98" w:rsidRPr="007B0B98">
          <w:rPr>
            <w:webHidden/>
          </w:rPr>
          <w:fldChar w:fldCharType="begin"/>
        </w:r>
        <w:r w:rsidR="007B0B98" w:rsidRPr="007B0B98">
          <w:rPr>
            <w:webHidden/>
          </w:rPr>
          <w:instrText xml:space="preserve"> PAGEREF _Toc420392618 \h </w:instrText>
        </w:r>
        <w:r w:rsidR="007B0B98" w:rsidRPr="007B0B98">
          <w:rPr>
            <w:webHidden/>
          </w:rPr>
        </w:r>
        <w:r w:rsidR="007B0B98" w:rsidRPr="007B0B98">
          <w:rPr>
            <w:webHidden/>
          </w:rPr>
          <w:fldChar w:fldCharType="separate"/>
        </w:r>
        <w:r>
          <w:rPr>
            <w:webHidden/>
          </w:rPr>
          <w:t>77</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19" w:history="1">
        <w:r w:rsidR="007B0B98" w:rsidRPr="007B0B98">
          <w:rPr>
            <w:rStyle w:val="Hyperlink"/>
          </w:rPr>
          <w:t>4.4.5.</w:t>
        </w:r>
        <w:r w:rsidR="007B0B98" w:rsidRPr="007B0B98">
          <w:rPr>
            <w:rFonts w:asciiTheme="minorHAnsi" w:eastAsiaTheme="minorEastAsia" w:hAnsiTheme="minorHAnsi" w:cstheme="minorBidi"/>
            <w:szCs w:val="22"/>
            <w:lang w:eastAsia="en-NZ"/>
          </w:rPr>
          <w:tab/>
        </w:r>
        <w:r w:rsidR="007B0B98" w:rsidRPr="007B0B98">
          <w:rPr>
            <w:rStyle w:val="Hyperlink"/>
          </w:rPr>
          <w:t>Re-initiation of gambling in Wave 2</w:t>
        </w:r>
        <w:r w:rsidR="007B0B98">
          <w:rPr>
            <w:rStyle w:val="Hyperlink"/>
          </w:rPr>
          <w:t>......................................................................</w:t>
        </w:r>
        <w:r w:rsidR="007B0B98" w:rsidRPr="007B0B98">
          <w:rPr>
            <w:webHidden/>
          </w:rPr>
          <w:fldChar w:fldCharType="begin"/>
        </w:r>
        <w:r w:rsidR="007B0B98" w:rsidRPr="007B0B98">
          <w:rPr>
            <w:webHidden/>
          </w:rPr>
          <w:instrText xml:space="preserve"> PAGEREF _Toc420392619 \h </w:instrText>
        </w:r>
        <w:r w:rsidR="007B0B98" w:rsidRPr="007B0B98">
          <w:rPr>
            <w:webHidden/>
          </w:rPr>
        </w:r>
        <w:r w:rsidR="007B0B98" w:rsidRPr="007B0B98">
          <w:rPr>
            <w:webHidden/>
          </w:rPr>
          <w:fldChar w:fldCharType="separate"/>
        </w:r>
        <w:r>
          <w:rPr>
            <w:webHidden/>
          </w:rPr>
          <w:t>81</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0" w:history="1">
        <w:r w:rsidR="007B0B98" w:rsidRPr="007B0B98">
          <w:rPr>
            <w:rStyle w:val="Hyperlink"/>
          </w:rPr>
          <w:t>4.4.6.</w:t>
        </w:r>
        <w:r w:rsidR="007B0B98" w:rsidRPr="007B0B98">
          <w:rPr>
            <w:rFonts w:asciiTheme="minorHAnsi" w:eastAsiaTheme="minorEastAsia" w:hAnsiTheme="minorHAnsi" w:cstheme="minorBidi"/>
            <w:szCs w:val="22"/>
            <w:lang w:eastAsia="en-NZ"/>
          </w:rPr>
          <w:tab/>
        </w:r>
        <w:r w:rsidR="007B0B98" w:rsidRPr="007B0B98">
          <w:rPr>
            <w:rStyle w:val="Hyperlink"/>
          </w:rPr>
          <w:t>Initiation of gambling in Wave 2</w:t>
        </w:r>
        <w:r w:rsidR="007B0B98">
          <w:rPr>
            <w:rStyle w:val="Hyperlink"/>
          </w:rPr>
          <w:t>...........................................................................</w:t>
        </w:r>
        <w:r w:rsidR="007B0B98" w:rsidRPr="007B0B98">
          <w:rPr>
            <w:webHidden/>
          </w:rPr>
          <w:fldChar w:fldCharType="begin"/>
        </w:r>
        <w:r w:rsidR="007B0B98" w:rsidRPr="007B0B98">
          <w:rPr>
            <w:webHidden/>
          </w:rPr>
          <w:instrText xml:space="preserve"> PAGEREF _Toc420392620 \h </w:instrText>
        </w:r>
        <w:r w:rsidR="007B0B98" w:rsidRPr="007B0B98">
          <w:rPr>
            <w:webHidden/>
          </w:rPr>
        </w:r>
        <w:r w:rsidR="007B0B98" w:rsidRPr="007B0B98">
          <w:rPr>
            <w:webHidden/>
          </w:rPr>
          <w:fldChar w:fldCharType="separate"/>
        </w:r>
        <w:r>
          <w:rPr>
            <w:webHidden/>
          </w:rPr>
          <w:t>83</w:t>
        </w:r>
        <w:r w:rsidR="007B0B98" w:rsidRPr="007B0B98">
          <w:rPr>
            <w:webHidden/>
          </w:rPr>
          <w:fldChar w:fldCharType="end"/>
        </w:r>
      </w:hyperlink>
    </w:p>
    <w:p w:rsidR="007B0B98" w:rsidRPr="007B0B98" w:rsidRDefault="00B2175B">
      <w:pPr>
        <w:pStyle w:val="TOC1"/>
        <w:rPr>
          <w:rFonts w:asciiTheme="minorHAnsi" w:eastAsiaTheme="minorEastAsia" w:hAnsiTheme="minorHAnsi" w:cstheme="minorBidi"/>
          <w:noProof/>
          <w:szCs w:val="22"/>
          <w:lang w:eastAsia="en-NZ"/>
        </w:rPr>
      </w:pPr>
      <w:hyperlink w:anchor="_Toc420392621" w:history="1">
        <w:r w:rsidR="007B0B98" w:rsidRPr="007B0B98">
          <w:rPr>
            <w:rStyle w:val="Hyperlink"/>
            <w:noProof/>
          </w:rPr>
          <w:t>5.</w:t>
        </w:r>
        <w:r w:rsidR="007B0B98" w:rsidRPr="007B0B98">
          <w:rPr>
            <w:rFonts w:asciiTheme="minorHAnsi" w:eastAsiaTheme="minorEastAsia" w:hAnsiTheme="minorHAnsi" w:cstheme="minorBidi"/>
            <w:noProof/>
            <w:szCs w:val="22"/>
            <w:lang w:eastAsia="en-NZ"/>
          </w:rPr>
          <w:tab/>
        </w:r>
        <w:r w:rsidR="007B0B98" w:rsidRPr="007B0B98">
          <w:rPr>
            <w:rStyle w:val="Hyperlink"/>
            <w:noProof/>
          </w:rPr>
          <w:t>SUMMARY, DISCUSSION AND CONCLUSIONS</w:t>
        </w:r>
        <w:r w:rsidR="007B0B98" w:rsidRPr="007B0B98">
          <w:rPr>
            <w:noProof/>
            <w:webHidden/>
          </w:rPr>
          <w:tab/>
        </w:r>
        <w:r w:rsidR="007B0B98" w:rsidRPr="007B0B98">
          <w:rPr>
            <w:noProof/>
            <w:webHidden/>
          </w:rPr>
          <w:fldChar w:fldCharType="begin"/>
        </w:r>
        <w:r w:rsidR="007B0B98" w:rsidRPr="007B0B98">
          <w:rPr>
            <w:noProof/>
            <w:webHidden/>
          </w:rPr>
          <w:instrText xml:space="preserve"> PAGEREF _Toc420392621 \h </w:instrText>
        </w:r>
        <w:r w:rsidR="007B0B98" w:rsidRPr="007B0B98">
          <w:rPr>
            <w:noProof/>
            <w:webHidden/>
          </w:rPr>
        </w:r>
        <w:r w:rsidR="007B0B98" w:rsidRPr="007B0B98">
          <w:rPr>
            <w:noProof/>
            <w:webHidden/>
          </w:rPr>
          <w:fldChar w:fldCharType="separate"/>
        </w:r>
        <w:r>
          <w:rPr>
            <w:noProof/>
            <w:webHidden/>
          </w:rPr>
          <w:t>86</w:t>
        </w:r>
        <w:r w:rsidR="007B0B98" w:rsidRPr="007B0B98">
          <w:rPr>
            <w:noProof/>
            <w:webHidden/>
          </w:rPr>
          <w:fldChar w:fldCharType="end"/>
        </w:r>
      </w:hyperlink>
    </w:p>
    <w:p w:rsidR="007B0B98" w:rsidRPr="007B0B98" w:rsidRDefault="00B2175B">
      <w:pPr>
        <w:pStyle w:val="TOC1"/>
        <w:rPr>
          <w:rFonts w:asciiTheme="minorHAnsi" w:eastAsiaTheme="minorEastAsia" w:hAnsiTheme="minorHAnsi" w:cstheme="minorBidi"/>
          <w:noProof/>
          <w:szCs w:val="22"/>
          <w:lang w:eastAsia="en-NZ"/>
        </w:rPr>
      </w:pPr>
      <w:hyperlink w:anchor="_Toc420392622" w:history="1">
        <w:r w:rsidR="007B0B98" w:rsidRPr="007B0B98">
          <w:rPr>
            <w:rStyle w:val="Hyperlink"/>
            <w:noProof/>
          </w:rPr>
          <w:t>REFERENCES</w:t>
        </w:r>
        <w:r w:rsidR="007B0B98" w:rsidRPr="007B0B98">
          <w:rPr>
            <w:noProof/>
            <w:webHidden/>
          </w:rPr>
          <w:tab/>
        </w:r>
        <w:r w:rsidR="007B0B98" w:rsidRPr="007B0B98">
          <w:rPr>
            <w:noProof/>
            <w:webHidden/>
          </w:rPr>
          <w:fldChar w:fldCharType="begin"/>
        </w:r>
        <w:r w:rsidR="007B0B98" w:rsidRPr="007B0B98">
          <w:rPr>
            <w:noProof/>
            <w:webHidden/>
          </w:rPr>
          <w:instrText xml:space="preserve"> PAGEREF _Toc420392622 \h </w:instrText>
        </w:r>
        <w:r w:rsidR="007B0B98" w:rsidRPr="007B0B98">
          <w:rPr>
            <w:noProof/>
            <w:webHidden/>
          </w:rPr>
        </w:r>
        <w:r w:rsidR="007B0B98" w:rsidRPr="007B0B98">
          <w:rPr>
            <w:noProof/>
            <w:webHidden/>
          </w:rPr>
          <w:fldChar w:fldCharType="separate"/>
        </w:r>
        <w:r>
          <w:rPr>
            <w:noProof/>
            <w:webHidden/>
          </w:rPr>
          <w:t>100</w:t>
        </w:r>
        <w:r w:rsidR="007B0B98" w:rsidRPr="007B0B98">
          <w:rPr>
            <w:noProof/>
            <w:webHidden/>
          </w:rPr>
          <w:fldChar w:fldCharType="end"/>
        </w:r>
      </w:hyperlink>
    </w:p>
    <w:p w:rsidR="007B0B98" w:rsidRPr="007B0B98" w:rsidRDefault="00B2175B">
      <w:pPr>
        <w:pStyle w:val="TOC1"/>
        <w:rPr>
          <w:rFonts w:asciiTheme="minorHAnsi" w:eastAsiaTheme="minorEastAsia" w:hAnsiTheme="minorHAnsi" w:cstheme="minorBidi"/>
          <w:noProof/>
          <w:szCs w:val="22"/>
          <w:lang w:eastAsia="en-NZ"/>
        </w:rPr>
      </w:pPr>
      <w:hyperlink w:anchor="_Toc420392623" w:history="1">
        <w:r w:rsidR="007B0B98" w:rsidRPr="007B0B98">
          <w:rPr>
            <w:rStyle w:val="Hyperlink"/>
            <w:noProof/>
          </w:rPr>
          <w:t>APPENDICES</w:t>
        </w:r>
        <w:r w:rsidR="007B0B98" w:rsidRPr="007B0B98">
          <w:rPr>
            <w:noProof/>
            <w:webHidden/>
          </w:rPr>
          <w:tab/>
        </w:r>
        <w:r w:rsidR="007B0B98" w:rsidRPr="007B0B98">
          <w:rPr>
            <w:noProof/>
            <w:webHidden/>
          </w:rPr>
          <w:fldChar w:fldCharType="begin"/>
        </w:r>
        <w:r w:rsidR="007B0B98" w:rsidRPr="007B0B98">
          <w:rPr>
            <w:noProof/>
            <w:webHidden/>
          </w:rPr>
          <w:instrText xml:space="preserve"> PAGEREF _Toc420392623 \h </w:instrText>
        </w:r>
        <w:r w:rsidR="007B0B98" w:rsidRPr="007B0B98">
          <w:rPr>
            <w:noProof/>
            <w:webHidden/>
          </w:rPr>
        </w:r>
        <w:r w:rsidR="007B0B98" w:rsidRPr="007B0B98">
          <w:rPr>
            <w:noProof/>
            <w:webHidden/>
          </w:rPr>
          <w:fldChar w:fldCharType="separate"/>
        </w:r>
        <w:r>
          <w:rPr>
            <w:noProof/>
            <w:webHidden/>
          </w:rPr>
          <w:t>107</w:t>
        </w:r>
        <w:r w:rsidR="007B0B98" w:rsidRPr="007B0B98">
          <w:rPr>
            <w:noProof/>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4" w:history="1">
        <w:r w:rsidR="007B0B98" w:rsidRPr="007B0B98">
          <w:rPr>
            <w:rStyle w:val="Hyperlink"/>
          </w:rPr>
          <w:t>Appendix 1: List of categorical variables for sensitivity analyses</w:t>
        </w:r>
        <w:r w:rsidR="007B0B98">
          <w:rPr>
            <w:rStyle w:val="Hyperlink"/>
          </w:rPr>
          <w:t>.......................................</w:t>
        </w:r>
        <w:r w:rsidR="007B0B98" w:rsidRPr="007B0B98">
          <w:rPr>
            <w:webHidden/>
          </w:rPr>
          <w:fldChar w:fldCharType="begin"/>
        </w:r>
        <w:r w:rsidR="007B0B98" w:rsidRPr="007B0B98">
          <w:rPr>
            <w:webHidden/>
          </w:rPr>
          <w:instrText xml:space="preserve"> PAGEREF _Toc420392624 \h </w:instrText>
        </w:r>
        <w:r w:rsidR="007B0B98" w:rsidRPr="007B0B98">
          <w:rPr>
            <w:webHidden/>
          </w:rPr>
        </w:r>
        <w:r w:rsidR="007B0B98" w:rsidRPr="007B0B98">
          <w:rPr>
            <w:webHidden/>
          </w:rPr>
          <w:fldChar w:fldCharType="separate"/>
        </w:r>
        <w:r>
          <w:rPr>
            <w:webHidden/>
          </w:rPr>
          <w:t>108</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5" w:history="1">
        <w:r w:rsidR="007B0B98" w:rsidRPr="007B0B98">
          <w:rPr>
            <w:rStyle w:val="Hyperlink"/>
          </w:rPr>
          <w:t>Appendix 2: List of covariates for descriptive statistics and for inferential analyses</w:t>
        </w:r>
        <w:r w:rsidR="007B0B98">
          <w:rPr>
            <w:webHidden/>
          </w:rPr>
          <w:t>.........</w:t>
        </w:r>
        <w:r w:rsidR="007B0B98" w:rsidRPr="007B0B98">
          <w:rPr>
            <w:webHidden/>
          </w:rPr>
          <w:fldChar w:fldCharType="begin"/>
        </w:r>
        <w:r w:rsidR="007B0B98" w:rsidRPr="007B0B98">
          <w:rPr>
            <w:webHidden/>
          </w:rPr>
          <w:instrText xml:space="preserve"> PAGEREF _Toc420392625 \h </w:instrText>
        </w:r>
        <w:r w:rsidR="007B0B98" w:rsidRPr="007B0B98">
          <w:rPr>
            <w:webHidden/>
          </w:rPr>
        </w:r>
        <w:r w:rsidR="007B0B98" w:rsidRPr="007B0B98">
          <w:rPr>
            <w:webHidden/>
          </w:rPr>
          <w:fldChar w:fldCharType="separate"/>
        </w:r>
        <w:r>
          <w:rPr>
            <w:webHidden/>
          </w:rPr>
          <w:t>109</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6" w:history="1">
        <w:r w:rsidR="007B0B98" w:rsidRPr="007B0B98">
          <w:rPr>
            <w:rStyle w:val="Hyperlink"/>
          </w:rPr>
          <w:t>Appendix 3: Wave 2 attrition from Wave 1 (unweighted numbers)</w:t>
        </w:r>
        <w:r w:rsidR="007B0B98">
          <w:rPr>
            <w:rStyle w:val="Hyperlink"/>
          </w:rPr>
          <w:t>.....................................</w:t>
        </w:r>
        <w:r w:rsidR="007B0B98" w:rsidRPr="007B0B98">
          <w:rPr>
            <w:webHidden/>
          </w:rPr>
          <w:fldChar w:fldCharType="begin"/>
        </w:r>
        <w:r w:rsidR="007B0B98" w:rsidRPr="007B0B98">
          <w:rPr>
            <w:webHidden/>
          </w:rPr>
          <w:instrText xml:space="preserve"> PAGEREF _Toc420392626 \h </w:instrText>
        </w:r>
        <w:r w:rsidR="007B0B98" w:rsidRPr="007B0B98">
          <w:rPr>
            <w:webHidden/>
          </w:rPr>
        </w:r>
        <w:r w:rsidR="007B0B98" w:rsidRPr="007B0B98">
          <w:rPr>
            <w:webHidden/>
          </w:rPr>
          <w:fldChar w:fldCharType="separate"/>
        </w:r>
        <w:r>
          <w:rPr>
            <w:webHidden/>
          </w:rPr>
          <w:t>110</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7" w:history="1">
        <w:r w:rsidR="007B0B98" w:rsidRPr="007B0B98">
          <w:rPr>
            <w:rStyle w:val="Hyperlink"/>
          </w:rPr>
          <w:t>Appendix 4: Prevalence and 95% confidence intervals for socio-demographic variables in Wave 1 and for those repeated in Wave 2</w:t>
        </w:r>
        <w:r w:rsidR="007B0B98">
          <w:rPr>
            <w:rStyle w:val="Hyperlink"/>
          </w:rPr>
          <w:t>............................................................................</w:t>
        </w:r>
        <w:r w:rsidR="007B0B98" w:rsidRPr="007B0B98">
          <w:rPr>
            <w:webHidden/>
          </w:rPr>
          <w:fldChar w:fldCharType="begin"/>
        </w:r>
        <w:r w:rsidR="007B0B98" w:rsidRPr="007B0B98">
          <w:rPr>
            <w:webHidden/>
          </w:rPr>
          <w:instrText xml:space="preserve"> PAGEREF _Toc420392627 \h </w:instrText>
        </w:r>
        <w:r w:rsidR="007B0B98" w:rsidRPr="007B0B98">
          <w:rPr>
            <w:webHidden/>
          </w:rPr>
        </w:r>
        <w:r w:rsidR="007B0B98" w:rsidRPr="007B0B98">
          <w:rPr>
            <w:webHidden/>
          </w:rPr>
          <w:fldChar w:fldCharType="separate"/>
        </w:r>
        <w:r>
          <w:rPr>
            <w:webHidden/>
          </w:rPr>
          <w:t>112</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8" w:history="1">
        <w:r w:rsidR="007B0B98" w:rsidRPr="007B0B98">
          <w:rPr>
            <w:rStyle w:val="Hyperlink"/>
          </w:rPr>
          <w:t>Appendix 5: Prevalence and 95% confidence intervals for past year and past month gambling in Wave 1 and Wave 2</w:t>
        </w:r>
        <w:r w:rsidR="007B0B98">
          <w:rPr>
            <w:rStyle w:val="Hyperlink"/>
          </w:rPr>
          <w:t>..........................................................................................................</w:t>
        </w:r>
        <w:r w:rsidR="007B0B98" w:rsidRPr="007B0B98">
          <w:rPr>
            <w:webHidden/>
          </w:rPr>
          <w:fldChar w:fldCharType="begin"/>
        </w:r>
        <w:r w:rsidR="007B0B98" w:rsidRPr="007B0B98">
          <w:rPr>
            <w:webHidden/>
          </w:rPr>
          <w:instrText xml:space="preserve"> PAGEREF _Toc420392628 \h </w:instrText>
        </w:r>
        <w:r w:rsidR="007B0B98" w:rsidRPr="007B0B98">
          <w:rPr>
            <w:webHidden/>
          </w:rPr>
        </w:r>
        <w:r w:rsidR="007B0B98" w:rsidRPr="007B0B98">
          <w:rPr>
            <w:webHidden/>
          </w:rPr>
          <w:fldChar w:fldCharType="separate"/>
        </w:r>
        <w:r>
          <w:rPr>
            <w:webHidden/>
          </w:rPr>
          <w:t>114</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29" w:history="1">
        <w:r w:rsidR="007B0B98" w:rsidRPr="007B0B98">
          <w:rPr>
            <w:rStyle w:val="Hyperlink"/>
          </w:rPr>
          <w:t>Appendix 6: Prevalence and 95% confidence intervals for gambling behaviour in Wave 1 and Wave 2</w:t>
        </w:r>
        <w:r w:rsidR="007B0B98">
          <w:rPr>
            <w:rStyle w:val="Hyperlink"/>
          </w:rPr>
          <w:t>..................................................................................................................................</w:t>
        </w:r>
        <w:r w:rsidR="007B0B98" w:rsidRPr="007B0B98">
          <w:rPr>
            <w:webHidden/>
          </w:rPr>
          <w:fldChar w:fldCharType="begin"/>
        </w:r>
        <w:r w:rsidR="007B0B98" w:rsidRPr="007B0B98">
          <w:rPr>
            <w:webHidden/>
          </w:rPr>
          <w:instrText xml:space="preserve"> PAGEREF _Toc420392629 \h </w:instrText>
        </w:r>
        <w:r w:rsidR="007B0B98" w:rsidRPr="007B0B98">
          <w:rPr>
            <w:webHidden/>
          </w:rPr>
        </w:r>
        <w:r w:rsidR="007B0B98" w:rsidRPr="007B0B98">
          <w:rPr>
            <w:webHidden/>
          </w:rPr>
          <w:fldChar w:fldCharType="separate"/>
        </w:r>
        <w:r>
          <w:rPr>
            <w:webHidden/>
          </w:rPr>
          <w:t>115</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0" w:history="1">
        <w:r w:rsidR="007B0B98" w:rsidRPr="007B0B98">
          <w:rPr>
            <w:rStyle w:val="Hyperlink"/>
          </w:rPr>
          <w:t>Appendix 7: Prevalence and 95% confidence intervals for time spent playing EGMs in an average day in Wave 1 and Wave 2</w:t>
        </w:r>
        <w:r w:rsidR="007B0B98">
          <w:rPr>
            <w:rStyle w:val="Hyperlink"/>
          </w:rPr>
          <w:t>.....................................................................................</w:t>
        </w:r>
        <w:r w:rsidR="007B0B98" w:rsidRPr="007B0B98">
          <w:rPr>
            <w:webHidden/>
          </w:rPr>
          <w:fldChar w:fldCharType="begin"/>
        </w:r>
        <w:r w:rsidR="007B0B98" w:rsidRPr="007B0B98">
          <w:rPr>
            <w:webHidden/>
          </w:rPr>
          <w:instrText xml:space="preserve"> PAGEREF _Toc420392630 \h </w:instrText>
        </w:r>
        <w:r w:rsidR="007B0B98" w:rsidRPr="007B0B98">
          <w:rPr>
            <w:webHidden/>
          </w:rPr>
        </w:r>
        <w:r w:rsidR="007B0B98" w:rsidRPr="007B0B98">
          <w:rPr>
            <w:webHidden/>
          </w:rPr>
          <w:fldChar w:fldCharType="separate"/>
        </w:r>
        <w:r>
          <w:rPr>
            <w:webHidden/>
          </w:rPr>
          <w:t>117</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1" w:history="1">
        <w:r w:rsidR="007B0B98" w:rsidRPr="007B0B98">
          <w:rPr>
            <w:rStyle w:val="Hyperlink"/>
          </w:rPr>
          <w:t>Appendix 8: Prevalence and 95% confidence intervals by health status in Wave 1 and Wave 2</w:t>
        </w:r>
        <w:r w:rsidR="007B0B98">
          <w:rPr>
            <w:webHidden/>
          </w:rPr>
          <w:t>...........................................................................................................................................</w:t>
        </w:r>
        <w:r w:rsidR="007B0B98" w:rsidRPr="007B0B98">
          <w:rPr>
            <w:webHidden/>
          </w:rPr>
          <w:fldChar w:fldCharType="begin"/>
        </w:r>
        <w:r w:rsidR="007B0B98" w:rsidRPr="007B0B98">
          <w:rPr>
            <w:webHidden/>
          </w:rPr>
          <w:instrText xml:space="preserve"> PAGEREF _Toc420392631 \h </w:instrText>
        </w:r>
        <w:r w:rsidR="007B0B98" w:rsidRPr="007B0B98">
          <w:rPr>
            <w:webHidden/>
          </w:rPr>
        </w:r>
        <w:r w:rsidR="007B0B98" w:rsidRPr="007B0B98">
          <w:rPr>
            <w:webHidden/>
          </w:rPr>
          <w:fldChar w:fldCharType="separate"/>
        </w:r>
        <w:r>
          <w:rPr>
            <w:webHidden/>
          </w:rPr>
          <w:t>118</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2" w:history="1">
        <w:r w:rsidR="007B0B98" w:rsidRPr="007B0B98">
          <w:rPr>
            <w:rStyle w:val="Hyperlink"/>
          </w:rPr>
          <w:t>Appendix 9: Bivariate associations for transition from non-problem/low-risk gambler in Wave 1 to moderate-risk/problem gambler in Wave 2</w:t>
        </w:r>
        <w:r w:rsidR="007B0B98">
          <w:rPr>
            <w:rStyle w:val="Hyperlink"/>
          </w:rPr>
          <w:t>........................................................</w:t>
        </w:r>
        <w:r w:rsidR="007B0B98" w:rsidRPr="007B0B98">
          <w:rPr>
            <w:webHidden/>
          </w:rPr>
          <w:fldChar w:fldCharType="begin"/>
        </w:r>
        <w:r w:rsidR="007B0B98" w:rsidRPr="007B0B98">
          <w:rPr>
            <w:webHidden/>
          </w:rPr>
          <w:instrText xml:space="preserve"> PAGEREF _Toc420392632 \h </w:instrText>
        </w:r>
        <w:r w:rsidR="007B0B98" w:rsidRPr="007B0B98">
          <w:rPr>
            <w:webHidden/>
          </w:rPr>
        </w:r>
        <w:r w:rsidR="007B0B98" w:rsidRPr="007B0B98">
          <w:rPr>
            <w:webHidden/>
          </w:rPr>
          <w:fldChar w:fldCharType="separate"/>
        </w:r>
        <w:r>
          <w:rPr>
            <w:webHidden/>
          </w:rPr>
          <w:t>119</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3" w:history="1">
        <w:r w:rsidR="007B0B98" w:rsidRPr="007B0B98">
          <w:rPr>
            <w:rStyle w:val="Hyperlink"/>
          </w:rPr>
          <w:t>Appendix 10: Bivariate associations for staying as moderate-risk/problem gambler in Wave 2</w:t>
        </w:r>
        <w:r w:rsidR="007B0B98">
          <w:rPr>
            <w:rStyle w:val="Hyperlink"/>
          </w:rPr>
          <w:t>...........................................................................................................................................</w:t>
        </w:r>
        <w:r w:rsidR="007B0B98" w:rsidRPr="007B0B98">
          <w:rPr>
            <w:webHidden/>
          </w:rPr>
          <w:fldChar w:fldCharType="begin"/>
        </w:r>
        <w:r w:rsidR="007B0B98" w:rsidRPr="007B0B98">
          <w:rPr>
            <w:webHidden/>
          </w:rPr>
          <w:instrText xml:space="preserve"> PAGEREF _Toc420392633 \h </w:instrText>
        </w:r>
        <w:r w:rsidR="007B0B98" w:rsidRPr="007B0B98">
          <w:rPr>
            <w:webHidden/>
          </w:rPr>
        </w:r>
        <w:r w:rsidR="007B0B98" w:rsidRPr="007B0B98">
          <w:rPr>
            <w:webHidden/>
          </w:rPr>
          <w:fldChar w:fldCharType="separate"/>
        </w:r>
        <w:r>
          <w:rPr>
            <w:webHidden/>
          </w:rPr>
          <w:t>125</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4" w:history="1">
        <w:r w:rsidR="007B0B98" w:rsidRPr="007B0B98">
          <w:rPr>
            <w:rStyle w:val="Hyperlink"/>
          </w:rPr>
          <w:t>Appendix 11: Bivariate associations for transition from non-problem gambler in Wave 1 to low-risk/moderate-risk/problem gambler in Wave 2</w:t>
        </w:r>
        <w:r w:rsidR="007B0B98">
          <w:rPr>
            <w:rStyle w:val="Hyperlink"/>
          </w:rPr>
          <w:t>...........................................................</w:t>
        </w:r>
        <w:r w:rsidR="007B0B98" w:rsidRPr="007B0B98">
          <w:rPr>
            <w:webHidden/>
          </w:rPr>
          <w:fldChar w:fldCharType="begin"/>
        </w:r>
        <w:r w:rsidR="007B0B98" w:rsidRPr="007B0B98">
          <w:rPr>
            <w:webHidden/>
          </w:rPr>
          <w:instrText xml:space="preserve"> PAGEREF _Toc420392634 \h </w:instrText>
        </w:r>
        <w:r w:rsidR="007B0B98" w:rsidRPr="007B0B98">
          <w:rPr>
            <w:webHidden/>
          </w:rPr>
        </w:r>
        <w:r w:rsidR="007B0B98" w:rsidRPr="007B0B98">
          <w:rPr>
            <w:webHidden/>
          </w:rPr>
          <w:fldChar w:fldCharType="separate"/>
        </w:r>
        <w:r>
          <w:rPr>
            <w:webHidden/>
          </w:rPr>
          <w:t>131</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5" w:history="1">
        <w:r w:rsidR="007B0B98" w:rsidRPr="007B0B98">
          <w:rPr>
            <w:rStyle w:val="Hyperlink"/>
          </w:rPr>
          <w:t>Appendix 12: Bivariate associations for staying as low-risk/moderate-risk/problem gambler in Wave 2</w:t>
        </w:r>
        <w:r w:rsidR="004343BA">
          <w:rPr>
            <w:rStyle w:val="Hyperlink"/>
          </w:rPr>
          <w:t>..............................................................................................................................</w:t>
        </w:r>
        <w:r w:rsidR="007B0B98" w:rsidRPr="007B0B98">
          <w:rPr>
            <w:webHidden/>
          </w:rPr>
          <w:fldChar w:fldCharType="begin"/>
        </w:r>
        <w:r w:rsidR="007B0B98" w:rsidRPr="007B0B98">
          <w:rPr>
            <w:webHidden/>
          </w:rPr>
          <w:instrText xml:space="preserve"> PAGEREF _Toc420392635 \h </w:instrText>
        </w:r>
        <w:r w:rsidR="007B0B98" w:rsidRPr="007B0B98">
          <w:rPr>
            <w:webHidden/>
          </w:rPr>
        </w:r>
        <w:r w:rsidR="007B0B98" w:rsidRPr="007B0B98">
          <w:rPr>
            <w:webHidden/>
          </w:rPr>
          <w:fldChar w:fldCharType="separate"/>
        </w:r>
        <w:r>
          <w:rPr>
            <w:webHidden/>
          </w:rPr>
          <w:t>137</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6" w:history="1">
        <w:r w:rsidR="007B0B98" w:rsidRPr="007B0B98">
          <w:rPr>
            <w:rStyle w:val="Hyperlink"/>
          </w:rPr>
          <w:t>Appendix 13: Bivariate associations for re-initiation of gambling in Wave 2</w:t>
        </w:r>
        <w:r w:rsidR="004343BA">
          <w:rPr>
            <w:rStyle w:val="Hyperlink"/>
          </w:rPr>
          <w:t>.....................</w:t>
        </w:r>
        <w:r w:rsidR="007B0B98" w:rsidRPr="007B0B98">
          <w:rPr>
            <w:webHidden/>
          </w:rPr>
          <w:fldChar w:fldCharType="begin"/>
        </w:r>
        <w:r w:rsidR="007B0B98" w:rsidRPr="007B0B98">
          <w:rPr>
            <w:webHidden/>
          </w:rPr>
          <w:instrText xml:space="preserve"> PAGEREF _Toc420392636 \h </w:instrText>
        </w:r>
        <w:r w:rsidR="007B0B98" w:rsidRPr="007B0B98">
          <w:rPr>
            <w:webHidden/>
          </w:rPr>
        </w:r>
        <w:r w:rsidR="007B0B98" w:rsidRPr="007B0B98">
          <w:rPr>
            <w:webHidden/>
          </w:rPr>
          <w:fldChar w:fldCharType="separate"/>
        </w:r>
        <w:r>
          <w:rPr>
            <w:webHidden/>
          </w:rPr>
          <w:t>143</w:t>
        </w:r>
        <w:r w:rsidR="007B0B98" w:rsidRPr="007B0B98">
          <w:rPr>
            <w:webHidden/>
          </w:rPr>
          <w:fldChar w:fldCharType="end"/>
        </w:r>
      </w:hyperlink>
    </w:p>
    <w:p w:rsidR="007B0B98" w:rsidRPr="007B0B98" w:rsidRDefault="00B2175B" w:rsidP="007B0B98">
      <w:pPr>
        <w:pStyle w:val="TOC3"/>
        <w:rPr>
          <w:rFonts w:asciiTheme="minorHAnsi" w:eastAsiaTheme="minorEastAsia" w:hAnsiTheme="minorHAnsi" w:cstheme="minorBidi"/>
          <w:szCs w:val="22"/>
          <w:lang w:eastAsia="en-NZ"/>
        </w:rPr>
      </w:pPr>
      <w:hyperlink w:anchor="_Toc420392637" w:history="1">
        <w:r w:rsidR="007B0B98" w:rsidRPr="007B0B98">
          <w:rPr>
            <w:rStyle w:val="Hyperlink"/>
          </w:rPr>
          <w:t>Appendix 14: Bivariate associations for initiation of gambling in Wave 2</w:t>
        </w:r>
        <w:r w:rsidR="004343BA">
          <w:rPr>
            <w:rStyle w:val="Hyperlink"/>
          </w:rPr>
          <w:t>.........................</w:t>
        </w:r>
        <w:r w:rsidR="007B0B98" w:rsidRPr="007B0B98">
          <w:rPr>
            <w:webHidden/>
          </w:rPr>
          <w:fldChar w:fldCharType="begin"/>
        </w:r>
        <w:r w:rsidR="007B0B98" w:rsidRPr="007B0B98">
          <w:rPr>
            <w:webHidden/>
          </w:rPr>
          <w:instrText xml:space="preserve"> PAGEREF _Toc420392637 \h </w:instrText>
        </w:r>
        <w:r w:rsidR="007B0B98" w:rsidRPr="007B0B98">
          <w:rPr>
            <w:webHidden/>
          </w:rPr>
        </w:r>
        <w:r w:rsidR="007B0B98" w:rsidRPr="007B0B98">
          <w:rPr>
            <w:webHidden/>
          </w:rPr>
          <w:fldChar w:fldCharType="separate"/>
        </w:r>
        <w:r>
          <w:rPr>
            <w:webHidden/>
          </w:rPr>
          <w:t>145</w:t>
        </w:r>
        <w:r w:rsidR="007B0B98" w:rsidRPr="007B0B98">
          <w:rPr>
            <w:webHidden/>
          </w:rPr>
          <w:fldChar w:fldCharType="end"/>
        </w:r>
      </w:hyperlink>
    </w:p>
    <w:p w:rsidR="00FA3800" w:rsidRPr="00D13ADD" w:rsidRDefault="000A0BAA">
      <w:pPr>
        <w:rPr>
          <w:szCs w:val="22"/>
        </w:rPr>
      </w:pPr>
      <w:r w:rsidRPr="00FF75B2">
        <w:rPr>
          <w:szCs w:val="22"/>
        </w:rPr>
        <w:fldChar w:fldCharType="end"/>
      </w:r>
    </w:p>
    <w:p w:rsidR="00F02303" w:rsidRPr="00D13ADD" w:rsidRDefault="00F02303" w:rsidP="00F02303">
      <w:pPr>
        <w:jc w:val="center"/>
        <w:rPr>
          <w:szCs w:val="22"/>
        </w:rPr>
      </w:pPr>
      <w:r w:rsidRPr="00D13ADD">
        <w:rPr>
          <w:szCs w:val="22"/>
        </w:rPr>
        <w:br w:type="page"/>
      </w:r>
      <w:r w:rsidRPr="00D13ADD">
        <w:rPr>
          <w:b/>
          <w:szCs w:val="22"/>
        </w:rPr>
        <w:lastRenderedPageBreak/>
        <w:t>LIST OF TABLES</w:t>
      </w:r>
    </w:p>
    <w:p w:rsidR="00F02303" w:rsidRPr="00D13ADD" w:rsidRDefault="00F02303" w:rsidP="00F02303">
      <w:pPr>
        <w:jc w:val="center"/>
        <w:rPr>
          <w:szCs w:val="22"/>
        </w:rPr>
      </w:pPr>
    </w:p>
    <w:p w:rsidR="00613BFC" w:rsidRPr="00613BFC" w:rsidRDefault="00905F73">
      <w:pPr>
        <w:pStyle w:val="TableofFigures"/>
        <w:tabs>
          <w:tab w:val="right" w:leader="dot" w:pos="8296"/>
        </w:tabs>
        <w:rPr>
          <w:rFonts w:asciiTheme="minorHAnsi" w:eastAsiaTheme="minorEastAsia" w:hAnsiTheme="minorHAnsi" w:cstheme="minorBidi"/>
          <w:noProof/>
          <w:szCs w:val="22"/>
          <w:lang w:eastAsia="en-NZ"/>
        </w:rPr>
      </w:pPr>
      <w:r w:rsidRPr="00A84358">
        <w:rPr>
          <w:szCs w:val="22"/>
        </w:rPr>
        <w:fldChar w:fldCharType="begin"/>
      </w:r>
      <w:r w:rsidR="00032498" w:rsidRPr="00A84358">
        <w:rPr>
          <w:szCs w:val="22"/>
        </w:rPr>
        <w:instrText xml:space="preserve"> TOC \h \z \c "Table" </w:instrText>
      </w:r>
      <w:r w:rsidRPr="00A84358">
        <w:rPr>
          <w:szCs w:val="22"/>
        </w:rPr>
        <w:fldChar w:fldCharType="separate"/>
      </w:r>
      <w:hyperlink w:anchor="_Toc420393789" w:history="1">
        <w:r w:rsidR="00613BFC" w:rsidRPr="00613BFC">
          <w:rPr>
            <w:rStyle w:val="Hyperlink"/>
            <w:noProof/>
          </w:rPr>
          <w:t>Table 1: Gender and age of participants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_Toc420393789 \h </w:instrText>
        </w:r>
        <w:r w:rsidR="00613BFC" w:rsidRPr="00613BFC">
          <w:rPr>
            <w:noProof/>
            <w:webHidden/>
          </w:rPr>
        </w:r>
        <w:r w:rsidR="00613BFC" w:rsidRPr="00613BFC">
          <w:rPr>
            <w:noProof/>
            <w:webHidden/>
          </w:rPr>
          <w:fldChar w:fldCharType="separate"/>
        </w:r>
        <w:r w:rsidR="00B2175B">
          <w:rPr>
            <w:noProof/>
            <w:webHidden/>
          </w:rPr>
          <w:t>48</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0" w:history="1">
        <w:r w:rsidR="00613BFC" w:rsidRPr="00613BFC">
          <w:rPr>
            <w:rStyle w:val="Hyperlink"/>
            <w:noProof/>
          </w:rPr>
          <w:t>Table 2: Ethnicity of participants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_Toc420393790 \h </w:instrText>
        </w:r>
        <w:r w:rsidR="00613BFC" w:rsidRPr="00613BFC">
          <w:rPr>
            <w:noProof/>
            <w:webHidden/>
          </w:rPr>
        </w:r>
        <w:r w:rsidR="00613BFC" w:rsidRPr="00613BFC">
          <w:rPr>
            <w:noProof/>
            <w:webHidden/>
          </w:rPr>
          <w:fldChar w:fldCharType="separate"/>
        </w:r>
        <w:r>
          <w:rPr>
            <w:noProof/>
            <w:webHidden/>
          </w:rPr>
          <w:t>49</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1" w:history="1">
        <w:r w:rsidR="00613BFC" w:rsidRPr="00613BFC">
          <w:rPr>
            <w:rStyle w:val="Hyperlink"/>
            <w:noProof/>
          </w:rPr>
          <w:t>Table 3: 2006 vs. 2013 Census weighting</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_Toc420393791 \h </w:instrText>
        </w:r>
        <w:r w:rsidR="00613BFC" w:rsidRPr="00613BFC">
          <w:rPr>
            <w:noProof/>
            <w:webHidden/>
          </w:rPr>
        </w:r>
        <w:r w:rsidR="00613BFC" w:rsidRPr="00613BFC">
          <w:rPr>
            <w:noProof/>
            <w:webHidden/>
          </w:rPr>
          <w:fldChar w:fldCharType="separate"/>
        </w:r>
        <w:r>
          <w:rPr>
            <w:noProof/>
            <w:webHidden/>
          </w:rPr>
          <w:t>50</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2" w:history="1">
        <w:r w:rsidR="00613BFC" w:rsidRPr="00613BFC">
          <w:rPr>
            <w:rStyle w:val="Hyperlink"/>
            <w:noProof/>
          </w:rPr>
          <w:t>Table 4: List of transitions for inferential analyses</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_Toc420393792 \h </w:instrText>
        </w:r>
        <w:r w:rsidR="00613BFC" w:rsidRPr="00613BFC">
          <w:rPr>
            <w:noProof/>
            <w:webHidden/>
          </w:rPr>
        </w:r>
        <w:r w:rsidR="00613BFC" w:rsidRPr="00613BFC">
          <w:rPr>
            <w:noProof/>
            <w:webHidden/>
          </w:rPr>
          <w:fldChar w:fldCharType="separate"/>
        </w:r>
        <w:r>
          <w:rPr>
            <w:noProof/>
            <w:webHidden/>
          </w:rPr>
          <w:t>52</w:t>
        </w:r>
        <w:r w:rsidR="00613BFC" w:rsidRP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3" w:history="1">
        <w:r w:rsidR="00613BFC" w:rsidRPr="00613BFC">
          <w:rPr>
            <w:rStyle w:val="Hyperlink"/>
            <w:noProof/>
          </w:rPr>
          <w:t>Table 5: List of transitions using SOGS lifetime measures for inferential analyses</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_Toc420393793 \h </w:instrText>
        </w:r>
        <w:r w:rsidR="00613BFC" w:rsidRPr="00613BFC">
          <w:rPr>
            <w:noProof/>
            <w:webHidden/>
          </w:rPr>
        </w:r>
        <w:r w:rsidR="00613BFC" w:rsidRPr="00613BFC">
          <w:rPr>
            <w:noProof/>
            <w:webHidden/>
          </w:rPr>
          <w:fldChar w:fldCharType="separate"/>
        </w:r>
        <w:r>
          <w:rPr>
            <w:noProof/>
            <w:webHidden/>
          </w:rPr>
          <w:t>53</w:t>
        </w:r>
        <w:r w:rsidR="00613BFC" w:rsidRP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4" w:history="1">
        <w:r w:rsidR="00613BFC" w:rsidRPr="000F1E19">
          <w:rPr>
            <w:rStyle w:val="Hyperlink"/>
            <w:noProof/>
          </w:rPr>
          <w:t>Table 6: Prevalence and 95% confidence intervals for deprivation in Wave 1 and Wave 2</w:t>
        </w:r>
        <w:r w:rsidR="00613BFC">
          <w:rPr>
            <w:noProof/>
            <w:webHidden/>
          </w:rPr>
          <w:tab/>
        </w:r>
        <w:r w:rsidR="00613BFC">
          <w:rPr>
            <w:noProof/>
            <w:webHidden/>
          </w:rPr>
          <w:fldChar w:fldCharType="begin"/>
        </w:r>
        <w:r w:rsidR="00613BFC">
          <w:rPr>
            <w:noProof/>
            <w:webHidden/>
          </w:rPr>
          <w:instrText xml:space="preserve"> PAGEREF _Toc420393794 \h </w:instrText>
        </w:r>
        <w:r w:rsidR="00613BFC">
          <w:rPr>
            <w:noProof/>
            <w:webHidden/>
          </w:rPr>
        </w:r>
        <w:r w:rsidR="00613BFC">
          <w:rPr>
            <w:noProof/>
            <w:webHidden/>
          </w:rPr>
          <w:fldChar w:fldCharType="separate"/>
        </w:r>
        <w:r>
          <w:rPr>
            <w:noProof/>
            <w:webHidden/>
          </w:rPr>
          <w:t>55</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5" w:history="1">
        <w:r w:rsidR="00613BFC" w:rsidRPr="000F1E19">
          <w:rPr>
            <w:rStyle w:val="Hyperlink"/>
            <w:noProof/>
          </w:rPr>
          <w:t>Table 7: Prevalence and 95% confidence intervals for number of gambling activities participated in Wave 1 and Wave 2</w:t>
        </w:r>
        <w:r w:rsidR="00613BFC">
          <w:rPr>
            <w:noProof/>
            <w:webHidden/>
          </w:rPr>
          <w:tab/>
        </w:r>
        <w:r w:rsidR="00613BFC">
          <w:rPr>
            <w:noProof/>
            <w:webHidden/>
          </w:rPr>
          <w:fldChar w:fldCharType="begin"/>
        </w:r>
        <w:r w:rsidR="00613BFC">
          <w:rPr>
            <w:noProof/>
            <w:webHidden/>
          </w:rPr>
          <w:instrText xml:space="preserve"> PAGEREF _Toc420393795 \h </w:instrText>
        </w:r>
        <w:r w:rsidR="00613BFC">
          <w:rPr>
            <w:noProof/>
            <w:webHidden/>
          </w:rPr>
        </w:r>
        <w:r w:rsidR="00613BFC">
          <w:rPr>
            <w:noProof/>
            <w:webHidden/>
          </w:rPr>
          <w:fldChar w:fldCharType="separate"/>
        </w:r>
        <w:r>
          <w:rPr>
            <w:noProof/>
            <w:webHidden/>
          </w:rPr>
          <w:t>56</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6" w:history="1">
        <w:r w:rsidR="00613BFC" w:rsidRPr="000F1E19">
          <w:rPr>
            <w:rStyle w:val="Hyperlink"/>
            <w:noProof/>
          </w:rPr>
          <w:t>Table 8: Prevalence and 95% confidence intervals for problem gambling risk category (PGSI) in Wave 1 and Wave 2</w:t>
        </w:r>
        <w:r w:rsidR="00613BFC">
          <w:rPr>
            <w:noProof/>
            <w:webHidden/>
          </w:rPr>
          <w:tab/>
        </w:r>
        <w:r w:rsidR="00613BFC">
          <w:rPr>
            <w:noProof/>
            <w:webHidden/>
          </w:rPr>
          <w:fldChar w:fldCharType="begin"/>
        </w:r>
        <w:r w:rsidR="00613BFC">
          <w:rPr>
            <w:noProof/>
            <w:webHidden/>
          </w:rPr>
          <w:instrText xml:space="preserve"> PAGEREF _Toc420393796 \h </w:instrText>
        </w:r>
        <w:r w:rsidR="00613BFC">
          <w:rPr>
            <w:noProof/>
            <w:webHidden/>
          </w:rPr>
        </w:r>
        <w:r w:rsidR="00613BFC">
          <w:rPr>
            <w:noProof/>
            <w:webHidden/>
          </w:rPr>
          <w:fldChar w:fldCharType="separate"/>
        </w:r>
        <w:r>
          <w:rPr>
            <w:noProof/>
            <w:webHidden/>
          </w:rPr>
          <w:t>57</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7" w:history="1">
        <w:r w:rsidR="00613BFC" w:rsidRPr="000F1E19">
          <w:rPr>
            <w:rStyle w:val="Hyperlink"/>
            <w:noProof/>
          </w:rPr>
          <w:t>Table 9: Prevalence and 95% confidence intervals for problem gambling risk category (PGSI) in Wave 1 and Wave 2 by ethnicity</w:t>
        </w:r>
        <w:r w:rsidR="00613BFC">
          <w:rPr>
            <w:noProof/>
            <w:webHidden/>
          </w:rPr>
          <w:tab/>
        </w:r>
        <w:r w:rsidR="00613BFC">
          <w:rPr>
            <w:noProof/>
            <w:webHidden/>
          </w:rPr>
          <w:fldChar w:fldCharType="begin"/>
        </w:r>
        <w:r w:rsidR="00613BFC">
          <w:rPr>
            <w:noProof/>
            <w:webHidden/>
          </w:rPr>
          <w:instrText xml:space="preserve"> PAGEREF _Toc420393797 \h </w:instrText>
        </w:r>
        <w:r w:rsidR="00613BFC">
          <w:rPr>
            <w:noProof/>
            <w:webHidden/>
          </w:rPr>
        </w:r>
        <w:r w:rsidR="00613BFC">
          <w:rPr>
            <w:noProof/>
            <w:webHidden/>
          </w:rPr>
          <w:fldChar w:fldCharType="separate"/>
        </w:r>
        <w:r>
          <w:rPr>
            <w:noProof/>
            <w:webHidden/>
          </w:rPr>
          <w:t>57</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8" w:history="1">
        <w:r w:rsidR="00613BFC" w:rsidRPr="000F1E19">
          <w:rPr>
            <w:rStyle w:val="Hyperlink"/>
            <w:noProof/>
          </w:rPr>
          <w:t>Table 10: Prevalence and 95% confidence intervals for methods used to stop gambling too much and help-seeking behaviour in Wave 1 and Wave 2</w:t>
        </w:r>
        <w:r w:rsidR="00613BFC">
          <w:rPr>
            <w:noProof/>
            <w:webHidden/>
          </w:rPr>
          <w:tab/>
        </w:r>
        <w:r w:rsidR="00613BFC">
          <w:rPr>
            <w:noProof/>
            <w:webHidden/>
          </w:rPr>
          <w:fldChar w:fldCharType="begin"/>
        </w:r>
        <w:r w:rsidR="00613BFC">
          <w:rPr>
            <w:noProof/>
            <w:webHidden/>
          </w:rPr>
          <w:instrText xml:space="preserve"> PAGEREF _Toc420393798 \h </w:instrText>
        </w:r>
        <w:r w:rsidR="00613BFC">
          <w:rPr>
            <w:noProof/>
            <w:webHidden/>
          </w:rPr>
        </w:r>
        <w:r w:rsidR="00613BFC">
          <w:rPr>
            <w:noProof/>
            <w:webHidden/>
          </w:rPr>
          <w:fldChar w:fldCharType="separate"/>
        </w:r>
        <w:r>
          <w:rPr>
            <w:noProof/>
            <w:webHidden/>
          </w:rPr>
          <w:t>58</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799" w:history="1">
        <w:r w:rsidR="00613BFC" w:rsidRPr="000F1E19">
          <w:rPr>
            <w:rStyle w:val="Hyperlink"/>
            <w:noProof/>
          </w:rPr>
          <w:t>Table 11: Prevalence and 95% confidence intervals for major life events at baseline and Wave 2</w:t>
        </w:r>
        <w:r w:rsidR="00613BFC">
          <w:rPr>
            <w:noProof/>
            <w:webHidden/>
          </w:rPr>
          <w:tab/>
        </w:r>
        <w:r w:rsidR="00613BFC">
          <w:rPr>
            <w:noProof/>
            <w:webHidden/>
          </w:rPr>
          <w:fldChar w:fldCharType="begin"/>
        </w:r>
        <w:r w:rsidR="00613BFC">
          <w:rPr>
            <w:noProof/>
            <w:webHidden/>
          </w:rPr>
          <w:instrText xml:space="preserve"> PAGEREF _Toc420393799 \h </w:instrText>
        </w:r>
        <w:r w:rsidR="00613BFC">
          <w:rPr>
            <w:noProof/>
            <w:webHidden/>
          </w:rPr>
        </w:r>
        <w:r w:rsidR="00613BFC">
          <w:rPr>
            <w:noProof/>
            <w:webHidden/>
          </w:rPr>
          <w:fldChar w:fldCharType="separate"/>
        </w:r>
        <w:r>
          <w:rPr>
            <w:noProof/>
            <w:webHidden/>
          </w:rPr>
          <w:t>59</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0" w:history="1">
        <w:r w:rsidR="00613BFC" w:rsidRPr="000F1E19">
          <w:rPr>
            <w:rStyle w:val="Hyperlink"/>
            <w:noProof/>
          </w:rPr>
          <w:t>Table 12: Prevalence and 95% confidence intervals for other drug use in Wave 1 and Wave 2</w:t>
        </w:r>
        <w:r w:rsidR="00613BFC">
          <w:rPr>
            <w:noProof/>
            <w:webHidden/>
          </w:rPr>
          <w:tab/>
        </w:r>
        <w:r w:rsidR="00613BFC">
          <w:rPr>
            <w:noProof/>
            <w:webHidden/>
          </w:rPr>
          <w:fldChar w:fldCharType="begin"/>
        </w:r>
        <w:r w:rsidR="00613BFC">
          <w:rPr>
            <w:noProof/>
            <w:webHidden/>
          </w:rPr>
          <w:instrText xml:space="preserve"> PAGEREF _Toc420393800 \h </w:instrText>
        </w:r>
        <w:r w:rsidR="00613BFC">
          <w:rPr>
            <w:noProof/>
            <w:webHidden/>
          </w:rPr>
        </w:r>
        <w:r w:rsidR="00613BFC">
          <w:rPr>
            <w:noProof/>
            <w:webHidden/>
          </w:rPr>
          <w:fldChar w:fldCharType="separate"/>
        </w:r>
        <w:r>
          <w:rPr>
            <w:noProof/>
            <w:webHidden/>
          </w:rPr>
          <w:t>60</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1" w:history="1">
        <w:r w:rsidR="00613BFC" w:rsidRPr="000F1E19">
          <w:rPr>
            <w:rStyle w:val="Hyperlink"/>
            <w:noProof/>
          </w:rPr>
          <w:t>Table 13: Transitions between PGSI groups from Wave 1 to Wave 2</w:t>
        </w:r>
        <w:r w:rsidR="00613BFC">
          <w:rPr>
            <w:noProof/>
            <w:webHidden/>
          </w:rPr>
          <w:tab/>
        </w:r>
        <w:r w:rsidR="00613BFC">
          <w:rPr>
            <w:noProof/>
            <w:webHidden/>
          </w:rPr>
          <w:fldChar w:fldCharType="begin"/>
        </w:r>
        <w:r w:rsidR="00613BFC">
          <w:rPr>
            <w:noProof/>
            <w:webHidden/>
          </w:rPr>
          <w:instrText xml:space="preserve"> PAGEREF _Toc420393801 \h </w:instrText>
        </w:r>
        <w:r w:rsidR="00613BFC">
          <w:rPr>
            <w:noProof/>
            <w:webHidden/>
          </w:rPr>
        </w:r>
        <w:r w:rsidR="00613BFC">
          <w:rPr>
            <w:noProof/>
            <w:webHidden/>
          </w:rPr>
          <w:fldChar w:fldCharType="separate"/>
        </w:r>
        <w:r>
          <w:rPr>
            <w:noProof/>
            <w:webHidden/>
          </w:rPr>
          <w:t>61</w:t>
        </w:r>
        <w:r w:rsidR="00613BFC">
          <w:rPr>
            <w:noProof/>
            <w:webHidden/>
          </w:rPr>
          <w:fldChar w:fldCharType="end"/>
        </w:r>
      </w:hyperlink>
    </w:p>
    <w:p w:rsid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2" w:history="1">
        <w:r w:rsidR="00613BFC" w:rsidRPr="000F1E19">
          <w:rPr>
            <w:rStyle w:val="Hyperlink"/>
            <w:noProof/>
          </w:rPr>
          <w:t>Table 14: Wave 2 moderate-risk/problem gambling among participants who were Wave 1 non-gambler/non-problem gambler/low-risk gambler</w:t>
        </w:r>
        <w:r w:rsidR="00613BFC">
          <w:rPr>
            <w:noProof/>
            <w:webHidden/>
          </w:rPr>
          <w:tab/>
        </w:r>
        <w:r w:rsidR="00613BFC">
          <w:rPr>
            <w:noProof/>
            <w:webHidden/>
          </w:rPr>
          <w:fldChar w:fldCharType="begin"/>
        </w:r>
        <w:r w:rsidR="00613BFC">
          <w:rPr>
            <w:noProof/>
            <w:webHidden/>
          </w:rPr>
          <w:instrText xml:space="preserve"> PAGEREF _Toc420393802 \h </w:instrText>
        </w:r>
        <w:r w:rsidR="00613BFC">
          <w:rPr>
            <w:noProof/>
            <w:webHidden/>
          </w:rPr>
        </w:r>
        <w:r w:rsidR="00613BFC">
          <w:rPr>
            <w:noProof/>
            <w:webHidden/>
          </w:rPr>
          <w:fldChar w:fldCharType="separate"/>
        </w:r>
        <w:r>
          <w:rPr>
            <w:noProof/>
            <w:webHidden/>
          </w:rPr>
          <w:t>63</w:t>
        </w:r>
        <w:r w:rsid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3" w:history="1">
        <w:r w:rsidR="00613BFC" w:rsidRPr="00613BFC">
          <w:rPr>
            <w:rStyle w:val="Hyperlink"/>
            <w:bCs/>
            <w:noProof/>
          </w:rPr>
          <w:t>Table 15: Bivariate associations for transition from non-problem/low risk gambler in Wave 1 to 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_Toc420393803 \h </w:instrText>
        </w:r>
        <w:r w:rsidR="00613BFC" w:rsidRPr="00613BFC">
          <w:rPr>
            <w:noProof/>
            <w:webHidden/>
          </w:rPr>
        </w:r>
        <w:r w:rsidR="00613BFC" w:rsidRPr="00613BFC">
          <w:rPr>
            <w:noProof/>
            <w:webHidden/>
          </w:rPr>
          <w:fldChar w:fldCharType="separate"/>
        </w:r>
        <w:r>
          <w:rPr>
            <w:noProof/>
            <w:webHidden/>
          </w:rPr>
          <w:t>65</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4" w:history="1">
        <w:r w:rsidR="00613BFC" w:rsidRPr="00613BFC">
          <w:rPr>
            <w:rStyle w:val="Hyperlink"/>
            <w:bCs/>
            <w:noProof/>
          </w:rPr>
          <w:t>Table 16: Multivariate logistic regression for transition from non-problem/low risk gambler in Wave 1 to 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_Toc420393804 \h </w:instrText>
        </w:r>
        <w:r w:rsidR="00613BFC" w:rsidRPr="00613BFC">
          <w:rPr>
            <w:noProof/>
            <w:webHidden/>
          </w:rPr>
        </w:r>
        <w:r w:rsidR="00613BFC" w:rsidRPr="00613BFC">
          <w:rPr>
            <w:noProof/>
            <w:webHidden/>
          </w:rPr>
          <w:fldChar w:fldCharType="separate"/>
        </w:r>
        <w:r>
          <w:rPr>
            <w:noProof/>
            <w:webHidden/>
          </w:rPr>
          <w:t>68</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5" w:history="1">
        <w:r w:rsidR="00613BFC" w:rsidRPr="00613BFC">
          <w:rPr>
            <w:rStyle w:val="Hyperlink"/>
            <w:bCs/>
            <w:noProof/>
          </w:rPr>
          <w:t>Table 17: Bivariate associations for staying as a 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_Toc420393805 \h </w:instrText>
        </w:r>
        <w:r w:rsidR="00613BFC" w:rsidRPr="00613BFC">
          <w:rPr>
            <w:noProof/>
            <w:webHidden/>
          </w:rPr>
        </w:r>
        <w:r w:rsidR="00613BFC" w:rsidRPr="00613BFC">
          <w:rPr>
            <w:noProof/>
            <w:webHidden/>
          </w:rPr>
          <w:fldChar w:fldCharType="separate"/>
        </w:r>
        <w:r>
          <w:rPr>
            <w:noProof/>
            <w:webHidden/>
          </w:rPr>
          <w:t>70</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6" w:history="1">
        <w:r w:rsidR="00613BFC" w:rsidRPr="00613BFC">
          <w:rPr>
            <w:rStyle w:val="Hyperlink"/>
            <w:bCs/>
            <w:noProof/>
          </w:rPr>
          <w:t>Table 18: Multiple logistic regression for staying as a 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_Toc420393806 \h </w:instrText>
        </w:r>
        <w:r w:rsidR="00613BFC" w:rsidRPr="00613BFC">
          <w:rPr>
            <w:noProof/>
            <w:webHidden/>
          </w:rPr>
        </w:r>
        <w:r w:rsidR="00613BFC" w:rsidRPr="00613BFC">
          <w:rPr>
            <w:noProof/>
            <w:webHidden/>
          </w:rPr>
          <w:fldChar w:fldCharType="separate"/>
        </w:r>
        <w:r>
          <w:rPr>
            <w:noProof/>
            <w:webHidden/>
          </w:rPr>
          <w:t>71</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7" w:history="1">
        <w:r w:rsidR="00613BFC" w:rsidRPr="00613BFC">
          <w:rPr>
            <w:rStyle w:val="Hyperlink"/>
            <w:bCs/>
            <w:noProof/>
          </w:rPr>
          <w:t>Table 19: Bivariate associations for transition from non-problem</w:t>
        </w:r>
        <w:r w:rsidR="007603E0">
          <w:rPr>
            <w:rStyle w:val="Hyperlink"/>
            <w:bCs/>
            <w:noProof/>
          </w:rPr>
          <w:t xml:space="preserve"> gambler in Wave 1 to low-risk/</w:t>
        </w:r>
        <w:r w:rsidR="00613BFC" w:rsidRPr="00613BFC">
          <w:rPr>
            <w:rStyle w:val="Hyperlink"/>
            <w:bCs/>
            <w:noProof/>
          </w:rPr>
          <w:t>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_Toc420393807 \h </w:instrText>
        </w:r>
        <w:r w:rsidR="00613BFC" w:rsidRPr="00613BFC">
          <w:rPr>
            <w:noProof/>
            <w:webHidden/>
          </w:rPr>
        </w:r>
        <w:r w:rsidR="00613BFC" w:rsidRPr="00613BFC">
          <w:rPr>
            <w:noProof/>
            <w:webHidden/>
          </w:rPr>
          <w:fldChar w:fldCharType="separate"/>
        </w:r>
        <w:r>
          <w:rPr>
            <w:noProof/>
            <w:webHidden/>
          </w:rPr>
          <w:t>73</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8" w:history="1">
        <w:r w:rsidR="00613BFC" w:rsidRPr="00613BFC">
          <w:rPr>
            <w:rStyle w:val="Hyperlink"/>
            <w:bCs/>
            <w:noProof/>
          </w:rPr>
          <w:t>Table 20: Multiple logistic regression for transition from non-problem gambler at Wave 1 to low-risk/moderate-risk/problem gambler at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_Toc420393808 \h </w:instrText>
        </w:r>
        <w:r w:rsidR="00613BFC" w:rsidRPr="00613BFC">
          <w:rPr>
            <w:noProof/>
            <w:webHidden/>
          </w:rPr>
        </w:r>
        <w:r w:rsidR="00613BFC" w:rsidRPr="00613BFC">
          <w:rPr>
            <w:noProof/>
            <w:webHidden/>
          </w:rPr>
          <w:fldChar w:fldCharType="separate"/>
        </w:r>
        <w:r>
          <w:rPr>
            <w:noProof/>
            <w:webHidden/>
          </w:rPr>
          <w:t>77</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09" w:history="1">
        <w:r w:rsidR="00613BFC" w:rsidRPr="00613BFC">
          <w:rPr>
            <w:rStyle w:val="Hyperlink"/>
            <w:bCs/>
            <w:noProof/>
          </w:rPr>
          <w:t>Table 21: Bivariate associations for staying as a low-risk/moderate-risk/problem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_Toc420393809 \h </w:instrText>
        </w:r>
        <w:r w:rsidR="00613BFC" w:rsidRPr="00613BFC">
          <w:rPr>
            <w:noProof/>
            <w:webHidden/>
          </w:rPr>
        </w:r>
        <w:r w:rsidR="00613BFC" w:rsidRPr="00613BFC">
          <w:rPr>
            <w:noProof/>
            <w:webHidden/>
          </w:rPr>
          <w:fldChar w:fldCharType="separate"/>
        </w:r>
        <w:r>
          <w:rPr>
            <w:noProof/>
            <w:webHidden/>
          </w:rPr>
          <w:t>79</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10" w:history="1">
        <w:r w:rsidR="00613BFC" w:rsidRPr="00613BFC">
          <w:rPr>
            <w:rStyle w:val="Hyperlink"/>
            <w:bCs/>
            <w:noProof/>
          </w:rPr>
          <w:t>Table 22: Multiple logistic regression for staying as a low-risk/moderate-risk/problem gambler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_Toc420393810 \h </w:instrText>
        </w:r>
        <w:r w:rsidR="00613BFC" w:rsidRPr="00613BFC">
          <w:rPr>
            <w:noProof/>
            <w:webHidden/>
          </w:rPr>
        </w:r>
        <w:r w:rsidR="00613BFC" w:rsidRPr="00613BFC">
          <w:rPr>
            <w:noProof/>
            <w:webHidden/>
          </w:rPr>
          <w:fldChar w:fldCharType="separate"/>
        </w:r>
        <w:r>
          <w:rPr>
            <w:noProof/>
            <w:webHidden/>
          </w:rPr>
          <w:t>81</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11" w:history="1">
        <w:r w:rsidR="00613BFC" w:rsidRPr="00613BFC">
          <w:rPr>
            <w:rStyle w:val="Hyperlink"/>
            <w:bCs/>
            <w:noProof/>
          </w:rPr>
          <w:t>Table 23: Bivariate associations for re-initiation of gambling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_Toc420393811 \h </w:instrText>
        </w:r>
        <w:r w:rsidR="00613BFC" w:rsidRPr="00613BFC">
          <w:rPr>
            <w:noProof/>
            <w:webHidden/>
          </w:rPr>
        </w:r>
        <w:r w:rsidR="00613BFC" w:rsidRPr="00613BFC">
          <w:rPr>
            <w:noProof/>
            <w:webHidden/>
          </w:rPr>
          <w:fldChar w:fldCharType="separate"/>
        </w:r>
        <w:r>
          <w:rPr>
            <w:noProof/>
            <w:webHidden/>
          </w:rPr>
          <w:t>82</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12" w:history="1">
        <w:r w:rsidR="00613BFC" w:rsidRPr="00613BFC">
          <w:rPr>
            <w:rStyle w:val="Hyperlink"/>
            <w:bCs/>
            <w:noProof/>
          </w:rPr>
          <w:t>Table 24: Multiple logistic regression for re-initiation of gambling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_Toc420393812 \h </w:instrText>
        </w:r>
        <w:r w:rsidR="00613BFC" w:rsidRPr="00613BFC">
          <w:rPr>
            <w:noProof/>
            <w:webHidden/>
          </w:rPr>
        </w:r>
        <w:r w:rsidR="00613BFC" w:rsidRPr="00613BFC">
          <w:rPr>
            <w:noProof/>
            <w:webHidden/>
          </w:rPr>
          <w:fldChar w:fldCharType="separate"/>
        </w:r>
        <w:r>
          <w:rPr>
            <w:noProof/>
            <w:webHidden/>
          </w:rPr>
          <w:t>82</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13" w:history="1">
        <w:r w:rsidR="00613BFC" w:rsidRPr="00613BFC">
          <w:rPr>
            <w:rStyle w:val="Hyperlink"/>
            <w:bCs/>
            <w:noProof/>
          </w:rPr>
          <w:t>Table 25: Bivariate associations for initiation of gambling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_Toc420393813 \h </w:instrText>
        </w:r>
        <w:r w:rsidR="00613BFC" w:rsidRPr="00613BFC">
          <w:rPr>
            <w:noProof/>
            <w:webHidden/>
          </w:rPr>
        </w:r>
        <w:r w:rsidR="00613BFC" w:rsidRPr="00613BFC">
          <w:rPr>
            <w:noProof/>
            <w:webHidden/>
          </w:rPr>
          <w:fldChar w:fldCharType="separate"/>
        </w:r>
        <w:r>
          <w:rPr>
            <w:noProof/>
            <w:webHidden/>
          </w:rPr>
          <w:t>84</w:t>
        </w:r>
        <w:r w:rsidR="00613BFC" w:rsidRPr="00613BFC">
          <w:rPr>
            <w:noProof/>
            <w:webHidden/>
          </w:rPr>
          <w:fldChar w:fldCharType="end"/>
        </w:r>
      </w:hyperlink>
    </w:p>
    <w:p w:rsidR="00613BFC" w:rsidRPr="00613BFC"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20393814" w:history="1">
        <w:r w:rsidR="00613BFC" w:rsidRPr="00613BFC">
          <w:rPr>
            <w:rStyle w:val="Hyperlink"/>
            <w:bCs/>
            <w:noProof/>
          </w:rPr>
          <w:t>Table 26: Multiple logistic regression for initiation of gambling in Wave 2</w:t>
        </w:r>
        <w:r w:rsidR="00613BFC" w:rsidRPr="00613BFC">
          <w:rPr>
            <w:noProof/>
            <w:webHidden/>
          </w:rPr>
          <w:tab/>
        </w:r>
        <w:r w:rsidR="00613BFC" w:rsidRPr="00613BFC">
          <w:rPr>
            <w:noProof/>
            <w:webHidden/>
          </w:rPr>
          <w:fldChar w:fldCharType="begin"/>
        </w:r>
        <w:r w:rsidR="00613BFC" w:rsidRPr="00613BFC">
          <w:rPr>
            <w:noProof/>
            <w:webHidden/>
          </w:rPr>
          <w:instrText xml:space="preserve"> PAGEREF _Toc420393814 \h </w:instrText>
        </w:r>
        <w:r w:rsidR="00613BFC" w:rsidRPr="00613BFC">
          <w:rPr>
            <w:noProof/>
            <w:webHidden/>
          </w:rPr>
        </w:r>
        <w:r w:rsidR="00613BFC" w:rsidRPr="00613BFC">
          <w:rPr>
            <w:noProof/>
            <w:webHidden/>
          </w:rPr>
          <w:fldChar w:fldCharType="separate"/>
        </w:r>
        <w:r>
          <w:rPr>
            <w:noProof/>
            <w:webHidden/>
          </w:rPr>
          <w:t>85</w:t>
        </w:r>
        <w:r w:rsidR="00613BFC" w:rsidRPr="00613BFC">
          <w:rPr>
            <w:noProof/>
            <w:webHidden/>
          </w:rPr>
          <w:fldChar w:fldCharType="end"/>
        </w:r>
      </w:hyperlink>
    </w:p>
    <w:p w:rsidR="00F02303" w:rsidRPr="00A84358" w:rsidRDefault="00905F73" w:rsidP="00F02303">
      <w:pPr>
        <w:rPr>
          <w:szCs w:val="22"/>
        </w:rPr>
      </w:pPr>
      <w:r w:rsidRPr="00A84358">
        <w:rPr>
          <w:szCs w:val="22"/>
        </w:rPr>
        <w:fldChar w:fldCharType="end"/>
      </w:r>
    </w:p>
    <w:p w:rsidR="00BF0EA0" w:rsidRDefault="00BF0EA0" w:rsidP="00F02303">
      <w:pPr>
        <w:rPr>
          <w:szCs w:val="22"/>
        </w:rPr>
      </w:pPr>
    </w:p>
    <w:p w:rsidR="007C735B" w:rsidRDefault="007C735B" w:rsidP="007C735B">
      <w:pPr>
        <w:jc w:val="center"/>
        <w:rPr>
          <w:b/>
          <w:szCs w:val="22"/>
        </w:rPr>
      </w:pPr>
    </w:p>
    <w:p w:rsidR="00F02303" w:rsidRPr="00D13ADD" w:rsidRDefault="007C735B" w:rsidP="007C735B">
      <w:pPr>
        <w:jc w:val="center"/>
        <w:rPr>
          <w:szCs w:val="22"/>
        </w:rPr>
      </w:pPr>
      <w:r w:rsidRPr="00D13ADD">
        <w:rPr>
          <w:b/>
          <w:szCs w:val="22"/>
        </w:rPr>
        <w:t>LIST OF FIGURES</w:t>
      </w:r>
    </w:p>
    <w:p w:rsidR="00F02303" w:rsidRPr="00D13ADD" w:rsidRDefault="00F02303" w:rsidP="00F02303">
      <w:pPr>
        <w:rPr>
          <w:szCs w:val="22"/>
        </w:rPr>
      </w:pPr>
    </w:p>
    <w:p w:rsidR="009E6A29" w:rsidRDefault="00905F73">
      <w:pPr>
        <w:pStyle w:val="TableofFigures"/>
        <w:tabs>
          <w:tab w:val="right" w:leader="dot" w:pos="8296"/>
        </w:tabs>
        <w:rPr>
          <w:rFonts w:asciiTheme="minorHAnsi" w:eastAsiaTheme="minorEastAsia" w:hAnsiTheme="minorHAnsi" w:cstheme="minorBidi"/>
          <w:noProof/>
          <w:szCs w:val="22"/>
          <w:lang w:eastAsia="en-NZ"/>
        </w:rPr>
      </w:pPr>
      <w:r>
        <w:rPr>
          <w:szCs w:val="22"/>
        </w:rPr>
        <w:fldChar w:fldCharType="begin"/>
      </w:r>
      <w:r w:rsidR="00032498">
        <w:rPr>
          <w:szCs w:val="22"/>
        </w:rPr>
        <w:instrText xml:space="preserve"> TOC \h \z \c "Figure" </w:instrText>
      </w:r>
      <w:r>
        <w:rPr>
          <w:szCs w:val="22"/>
        </w:rPr>
        <w:fldChar w:fldCharType="separate"/>
      </w:r>
      <w:hyperlink w:anchor="_Toc408404208" w:history="1">
        <w:r w:rsidR="009E6A29" w:rsidRPr="00D81B93">
          <w:rPr>
            <w:rStyle w:val="Hyperlink"/>
            <w:noProof/>
          </w:rPr>
          <w:t>Figure 1: Number of participants interviewed in Wave 1 and Wave 2</w:t>
        </w:r>
        <w:r w:rsidR="009E6A29">
          <w:rPr>
            <w:noProof/>
            <w:webHidden/>
          </w:rPr>
          <w:tab/>
        </w:r>
        <w:r w:rsidR="009E6A29">
          <w:rPr>
            <w:noProof/>
            <w:webHidden/>
          </w:rPr>
          <w:fldChar w:fldCharType="begin"/>
        </w:r>
        <w:r w:rsidR="009E6A29">
          <w:rPr>
            <w:noProof/>
            <w:webHidden/>
          </w:rPr>
          <w:instrText xml:space="preserve"> PAGEREF _Toc408404208 \h </w:instrText>
        </w:r>
        <w:r w:rsidR="009E6A29">
          <w:rPr>
            <w:noProof/>
            <w:webHidden/>
          </w:rPr>
        </w:r>
        <w:r w:rsidR="009E6A29">
          <w:rPr>
            <w:noProof/>
            <w:webHidden/>
          </w:rPr>
          <w:fldChar w:fldCharType="separate"/>
        </w:r>
        <w:r w:rsidR="00B2175B">
          <w:rPr>
            <w:noProof/>
            <w:webHidden/>
          </w:rPr>
          <w:t>48</w:t>
        </w:r>
        <w:r w:rsidR="009E6A29">
          <w:rPr>
            <w:noProof/>
            <w:webHidden/>
          </w:rPr>
          <w:fldChar w:fldCharType="end"/>
        </w:r>
      </w:hyperlink>
    </w:p>
    <w:p w:rsidR="009E6A29" w:rsidRDefault="00B2175B">
      <w:pPr>
        <w:pStyle w:val="TableofFigures"/>
        <w:tabs>
          <w:tab w:val="right" w:leader="dot" w:pos="8296"/>
        </w:tabs>
        <w:rPr>
          <w:rFonts w:asciiTheme="minorHAnsi" w:eastAsiaTheme="minorEastAsia" w:hAnsiTheme="minorHAnsi" w:cstheme="minorBidi"/>
          <w:noProof/>
          <w:szCs w:val="22"/>
          <w:lang w:eastAsia="en-NZ"/>
        </w:rPr>
      </w:pPr>
      <w:hyperlink w:anchor="_Toc408404209" w:history="1">
        <w:r w:rsidR="009E6A29" w:rsidRPr="00D81B93">
          <w:rPr>
            <w:rStyle w:val="Hyperlink"/>
            <w:noProof/>
          </w:rPr>
          <w:t>Figure 2: Relapse to moderate-risk/problem gambling</w:t>
        </w:r>
        <w:r w:rsidR="009E6A29">
          <w:rPr>
            <w:noProof/>
            <w:webHidden/>
          </w:rPr>
          <w:tab/>
        </w:r>
        <w:r w:rsidR="009E6A29">
          <w:rPr>
            <w:noProof/>
            <w:webHidden/>
          </w:rPr>
          <w:fldChar w:fldCharType="begin"/>
        </w:r>
        <w:r w:rsidR="009E6A29">
          <w:rPr>
            <w:noProof/>
            <w:webHidden/>
          </w:rPr>
          <w:instrText xml:space="preserve"> PAGEREF _Toc408404209 \h </w:instrText>
        </w:r>
        <w:r w:rsidR="009E6A29">
          <w:rPr>
            <w:noProof/>
            <w:webHidden/>
          </w:rPr>
        </w:r>
        <w:r w:rsidR="009E6A29">
          <w:rPr>
            <w:noProof/>
            <w:webHidden/>
          </w:rPr>
          <w:fldChar w:fldCharType="separate"/>
        </w:r>
        <w:r>
          <w:rPr>
            <w:noProof/>
            <w:webHidden/>
          </w:rPr>
          <w:t>63</w:t>
        </w:r>
        <w:r w:rsidR="009E6A29">
          <w:rPr>
            <w:noProof/>
            <w:webHidden/>
          </w:rPr>
          <w:fldChar w:fldCharType="end"/>
        </w:r>
      </w:hyperlink>
    </w:p>
    <w:p w:rsidR="00F02303" w:rsidRPr="00D13ADD" w:rsidRDefault="00905F73" w:rsidP="00F02303">
      <w:pPr>
        <w:rPr>
          <w:szCs w:val="22"/>
        </w:rPr>
      </w:pPr>
      <w:r>
        <w:rPr>
          <w:szCs w:val="22"/>
        </w:rPr>
        <w:fldChar w:fldCharType="end"/>
      </w:r>
    </w:p>
    <w:p w:rsidR="00497C90" w:rsidRPr="00D13ADD" w:rsidRDefault="00497C90" w:rsidP="00250376">
      <w:pPr>
        <w:pStyle w:val="Heading1"/>
        <w:numPr>
          <w:ilvl w:val="0"/>
          <w:numId w:val="0"/>
        </w:numPr>
        <w:rPr>
          <w:rFonts w:cs="Times New Roman"/>
          <w:sz w:val="22"/>
          <w:szCs w:val="22"/>
        </w:rPr>
      </w:pPr>
      <w:r w:rsidRPr="00D13ADD">
        <w:rPr>
          <w:rFonts w:cs="Times New Roman"/>
          <w:sz w:val="22"/>
          <w:szCs w:val="22"/>
        </w:rPr>
        <w:br w:type="page"/>
      </w:r>
      <w:r w:rsidRPr="00D13ADD">
        <w:rPr>
          <w:rFonts w:cs="Times New Roman"/>
          <w:sz w:val="22"/>
          <w:szCs w:val="22"/>
        </w:rPr>
        <w:lastRenderedPageBreak/>
        <w:tab/>
      </w:r>
      <w:bookmarkStart w:id="10" w:name="_Toc109453374"/>
      <w:bookmarkStart w:id="11" w:name="_Toc371414855"/>
      <w:bookmarkStart w:id="12" w:name="_Toc399511061"/>
      <w:bookmarkStart w:id="13" w:name="_Toc399511206"/>
      <w:bookmarkStart w:id="14" w:name="_Toc403052513"/>
      <w:bookmarkStart w:id="15" w:name="_Toc403052848"/>
      <w:bookmarkStart w:id="16" w:name="_Toc420392582"/>
      <w:r w:rsidR="009A7221" w:rsidRPr="005D2158">
        <w:rPr>
          <w:rFonts w:cs="Times New Roman"/>
          <w:sz w:val="22"/>
          <w:szCs w:val="22"/>
        </w:rPr>
        <w:t>EXECUTIVE</w:t>
      </w:r>
      <w:r w:rsidR="00003A31" w:rsidRPr="005D2158">
        <w:rPr>
          <w:rFonts w:cs="Times New Roman"/>
          <w:sz w:val="22"/>
          <w:szCs w:val="22"/>
        </w:rPr>
        <w:t xml:space="preserve"> </w:t>
      </w:r>
      <w:r w:rsidRPr="005D2158">
        <w:rPr>
          <w:rFonts w:cs="Times New Roman"/>
          <w:sz w:val="22"/>
          <w:szCs w:val="22"/>
        </w:rPr>
        <w:t>SUMMARY</w:t>
      </w:r>
      <w:bookmarkEnd w:id="10"/>
      <w:bookmarkEnd w:id="11"/>
      <w:bookmarkEnd w:id="12"/>
      <w:bookmarkEnd w:id="13"/>
      <w:bookmarkEnd w:id="14"/>
      <w:bookmarkEnd w:id="15"/>
      <w:bookmarkEnd w:id="16"/>
    </w:p>
    <w:p w:rsidR="00F34DEB" w:rsidRDefault="00F34DEB" w:rsidP="00497C90">
      <w:pPr>
        <w:rPr>
          <w:szCs w:val="22"/>
        </w:rPr>
      </w:pPr>
    </w:p>
    <w:p w:rsidR="00134036" w:rsidRPr="00134036" w:rsidRDefault="00134036" w:rsidP="00134036">
      <w:pPr>
        <w:jc w:val="both"/>
        <w:rPr>
          <w:szCs w:val="22"/>
        </w:rPr>
      </w:pPr>
      <w:r w:rsidRPr="00134036">
        <w:rPr>
          <w:szCs w:val="22"/>
        </w:rPr>
        <w:t xml:space="preserve">This report describes the </w:t>
      </w:r>
      <w:r w:rsidR="00CC3933">
        <w:rPr>
          <w:szCs w:val="22"/>
        </w:rPr>
        <w:t>second</w:t>
      </w:r>
      <w:r w:rsidRPr="00134036">
        <w:rPr>
          <w:szCs w:val="22"/>
        </w:rPr>
        <w:t xml:space="preserve"> phase of the </w:t>
      </w:r>
      <w:r w:rsidR="00CC3933">
        <w:rPr>
          <w:szCs w:val="22"/>
        </w:rPr>
        <w:t xml:space="preserve">2012 </w:t>
      </w:r>
      <w:r w:rsidRPr="00134036">
        <w:rPr>
          <w:szCs w:val="22"/>
        </w:rPr>
        <w:t>National Gambling Study</w:t>
      </w:r>
      <w:r w:rsidR="00CC3933">
        <w:rPr>
          <w:szCs w:val="22"/>
        </w:rPr>
        <w:t>, presenting and discussing results from the 12-month follow-up assessment of participants conducted in 2013</w:t>
      </w:r>
      <w:r w:rsidR="00173EB8">
        <w:rPr>
          <w:szCs w:val="22"/>
        </w:rPr>
        <w:t xml:space="preserve"> (Wave 2)</w:t>
      </w:r>
      <w:r w:rsidRPr="00134036">
        <w:rPr>
          <w:szCs w:val="22"/>
        </w:rPr>
        <w:t xml:space="preserve">.  It </w:t>
      </w:r>
      <w:r w:rsidR="00CC3933">
        <w:rPr>
          <w:szCs w:val="22"/>
        </w:rPr>
        <w:t>focus</w:t>
      </w:r>
      <w:r w:rsidR="001D6975">
        <w:rPr>
          <w:szCs w:val="22"/>
        </w:rPr>
        <w:t>es</w:t>
      </w:r>
      <w:r w:rsidR="00CC3933">
        <w:rPr>
          <w:szCs w:val="22"/>
        </w:rPr>
        <w:t xml:space="preserve"> on incidence of problem gambling (i.e. the number of ‘new’ cases of problem gambling arising since 2012</w:t>
      </w:r>
      <w:r w:rsidR="00173EB8">
        <w:rPr>
          <w:szCs w:val="22"/>
        </w:rPr>
        <w:t>; Wave 1</w:t>
      </w:r>
      <w:r w:rsidR="00CC3933">
        <w:rPr>
          <w:szCs w:val="22"/>
        </w:rPr>
        <w:t>), transitions between gambling states (no gambling, non-problem gambling, low-risk</w:t>
      </w:r>
      <w:r w:rsidR="001D6975">
        <w:rPr>
          <w:szCs w:val="22"/>
        </w:rPr>
        <w:t xml:space="preserve"> gambling</w:t>
      </w:r>
      <w:r w:rsidR="00CC3933">
        <w:rPr>
          <w:szCs w:val="22"/>
        </w:rPr>
        <w:t xml:space="preserve">, moderate-risk </w:t>
      </w:r>
      <w:r w:rsidR="001D6975">
        <w:rPr>
          <w:szCs w:val="22"/>
        </w:rPr>
        <w:t xml:space="preserve">gambling </w:t>
      </w:r>
      <w:r w:rsidR="00CC3933">
        <w:rPr>
          <w:szCs w:val="22"/>
        </w:rPr>
        <w:t>and problem gambling)</w:t>
      </w:r>
      <w:r w:rsidR="00B036C5">
        <w:rPr>
          <w:szCs w:val="22"/>
        </w:rPr>
        <w:t xml:space="preserve">, risk and resilience for problem </w:t>
      </w:r>
      <w:r w:rsidR="00CB1346">
        <w:rPr>
          <w:szCs w:val="22"/>
        </w:rPr>
        <w:t xml:space="preserve">and at-risk </w:t>
      </w:r>
      <w:r w:rsidR="00B036C5">
        <w:rPr>
          <w:szCs w:val="22"/>
        </w:rPr>
        <w:t xml:space="preserve">gambling, and factors </w:t>
      </w:r>
      <w:r w:rsidR="00CB1346">
        <w:rPr>
          <w:szCs w:val="22"/>
        </w:rPr>
        <w:t>that predict some of these transitions including problem gambling remission (‘natural recovery’)</w:t>
      </w:r>
      <w:r w:rsidRPr="00134036">
        <w:rPr>
          <w:szCs w:val="22"/>
        </w:rPr>
        <w:t xml:space="preserve">. </w:t>
      </w:r>
    </w:p>
    <w:p w:rsidR="00134036" w:rsidRPr="00134036" w:rsidRDefault="00134036" w:rsidP="00134036">
      <w:pPr>
        <w:jc w:val="both"/>
        <w:rPr>
          <w:szCs w:val="22"/>
        </w:rPr>
      </w:pPr>
    </w:p>
    <w:p w:rsidR="00134036" w:rsidRDefault="00134036" w:rsidP="00134036">
      <w:pPr>
        <w:jc w:val="both"/>
        <w:rPr>
          <w:szCs w:val="22"/>
        </w:rPr>
      </w:pPr>
      <w:r w:rsidRPr="00134036">
        <w:rPr>
          <w:szCs w:val="22"/>
        </w:rPr>
        <w:t>A randomly selected national sample of 6,251 people aged 18 years and older living in private households w</w:t>
      </w:r>
      <w:r>
        <w:rPr>
          <w:szCs w:val="22"/>
        </w:rPr>
        <w:t>as</w:t>
      </w:r>
      <w:r w:rsidRPr="00134036">
        <w:rPr>
          <w:szCs w:val="22"/>
        </w:rPr>
        <w:t xml:space="preserve"> interviewed face-to-face from March to October 2012</w:t>
      </w:r>
      <w:r w:rsidR="00173EB8">
        <w:rPr>
          <w:szCs w:val="22"/>
        </w:rPr>
        <w:t xml:space="preserve"> (Wave 1)</w:t>
      </w:r>
      <w:r w:rsidRPr="00134036">
        <w:rPr>
          <w:szCs w:val="22"/>
        </w:rPr>
        <w:t>.  The response rate was 64% and the sample was weighted to enable generalisation of the survey findings to the general adult popu</w:t>
      </w:r>
      <w:r w:rsidR="00BB4EFE">
        <w:rPr>
          <w:szCs w:val="22"/>
        </w:rPr>
        <w:t>lation.</w:t>
      </w:r>
      <w:r w:rsidR="00B036C5">
        <w:rPr>
          <w:szCs w:val="22"/>
        </w:rPr>
        <w:t xml:space="preserve">  One year later from March to November 2013</w:t>
      </w:r>
      <w:r w:rsidR="00173EB8">
        <w:rPr>
          <w:szCs w:val="22"/>
        </w:rPr>
        <w:t xml:space="preserve"> (Wave 2), 3,745 </w:t>
      </w:r>
      <w:r w:rsidR="00B036C5">
        <w:rPr>
          <w:szCs w:val="22"/>
        </w:rPr>
        <w:t xml:space="preserve">participants were re-contacted and re-interviewed.  Due to budgetary constraints, attempts were only made to re-contact 5,266 of the original 6,251 participants.  Therefore, a 71% response rate was achieved in 2013 (60% of the total original sample). </w:t>
      </w:r>
    </w:p>
    <w:p w:rsidR="00355E8E" w:rsidRDefault="00355E8E" w:rsidP="00134036">
      <w:pPr>
        <w:jc w:val="both"/>
        <w:rPr>
          <w:szCs w:val="22"/>
        </w:rPr>
      </w:pPr>
    </w:p>
    <w:p w:rsidR="00355E8E" w:rsidRDefault="00355E8E" w:rsidP="00134036">
      <w:pPr>
        <w:jc w:val="both"/>
        <w:rPr>
          <w:szCs w:val="22"/>
        </w:rPr>
      </w:pPr>
      <w:r w:rsidRPr="00355E8E">
        <w:rPr>
          <w:szCs w:val="22"/>
        </w:rPr>
        <w:t xml:space="preserve">There was some differential attrition from </w:t>
      </w:r>
      <w:r>
        <w:rPr>
          <w:szCs w:val="22"/>
        </w:rPr>
        <w:t>Wave 1</w:t>
      </w:r>
      <w:r w:rsidRPr="00355E8E">
        <w:rPr>
          <w:szCs w:val="22"/>
        </w:rPr>
        <w:t xml:space="preserve"> to </w:t>
      </w:r>
      <w:r>
        <w:rPr>
          <w:szCs w:val="22"/>
        </w:rPr>
        <w:t>Wave 2</w:t>
      </w:r>
      <w:r w:rsidRPr="00355E8E">
        <w:rPr>
          <w:szCs w:val="22"/>
        </w:rPr>
        <w:t xml:space="preserve">.  While the differences between the samples </w:t>
      </w:r>
      <w:r>
        <w:rPr>
          <w:szCs w:val="22"/>
        </w:rPr>
        <w:t>were</w:t>
      </w:r>
      <w:r w:rsidRPr="00355E8E">
        <w:rPr>
          <w:szCs w:val="22"/>
        </w:rPr>
        <w:t xml:space="preserve"> generally small, there was greater attrition among younger participants, </w:t>
      </w:r>
      <w:r w:rsidR="00971147">
        <w:rPr>
          <w:szCs w:val="22"/>
        </w:rPr>
        <w:t>Asian people</w:t>
      </w:r>
      <w:r w:rsidRPr="00355E8E">
        <w:rPr>
          <w:szCs w:val="22"/>
        </w:rPr>
        <w:t>, people who had not gambled in the past year, people who had experienced five or more major life events in the past year</w:t>
      </w:r>
      <w:r>
        <w:rPr>
          <w:szCs w:val="22"/>
        </w:rPr>
        <w:t>,</w:t>
      </w:r>
      <w:r w:rsidRPr="00355E8E">
        <w:rPr>
          <w:szCs w:val="22"/>
        </w:rPr>
        <w:t xml:space="preserve"> and </w:t>
      </w:r>
      <w:r>
        <w:rPr>
          <w:szCs w:val="22"/>
        </w:rPr>
        <w:t>people</w:t>
      </w:r>
      <w:r w:rsidRPr="00355E8E">
        <w:rPr>
          <w:szCs w:val="22"/>
        </w:rPr>
        <w:t xml:space="preserve"> whose quality of life was below the median score.  There was greater retention among people resident in Wellington and Christchurch, non-problem gamblers and people who had not sought help </w:t>
      </w:r>
      <w:r w:rsidR="00FA7721" w:rsidRPr="009F5E09">
        <w:rPr>
          <w:szCs w:val="22"/>
        </w:rPr>
        <w:t xml:space="preserve">(from formal </w:t>
      </w:r>
      <w:r w:rsidR="00FA7721">
        <w:rPr>
          <w:szCs w:val="22"/>
        </w:rPr>
        <w:t>or</w:t>
      </w:r>
      <w:r w:rsidR="00FA7721" w:rsidRPr="009F5E09">
        <w:rPr>
          <w:szCs w:val="22"/>
        </w:rPr>
        <w:t xml:space="preserve"> informal sources) </w:t>
      </w:r>
      <w:r w:rsidRPr="00355E8E">
        <w:rPr>
          <w:szCs w:val="22"/>
        </w:rPr>
        <w:t xml:space="preserve">for gambling in the past year.  </w:t>
      </w:r>
      <w:r>
        <w:rPr>
          <w:szCs w:val="22"/>
        </w:rPr>
        <w:t>Wave 2</w:t>
      </w:r>
      <w:r w:rsidRPr="00355E8E">
        <w:rPr>
          <w:szCs w:val="22"/>
        </w:rPr>
        <w:t xml:space="preserve"> data analyses were adjusted to account for attrition effects.  These adjustments for differential attrition and weighting enabled findings to be generalised to the New Zealand adult population.  </w:t>
      </w:r>
    </w:p>
    <w:p w:rsidR="00BB4EFE" w:rsidRDefault="00BB4EFE" w:rsidP="00134036">
      <w:pPr>
        <w:jc w:val="both"/>
        <w:rPr>
          <w:szCs w:val="22"/>
        </w:rPr>
      </w:pPr>
    </w:p>
    <w:p w:rsidR="00BB4EFE" w:rsidRDefault="00BB4EFE" w:rsidP="00BB4EFE">
      <w:pPr>
        <w:jc w:val="both"/>
        <w:rPr>
          <w:szCs w:val="22"/>
        </w:rPr>
      </w:pPr>
      <w:r>
        <w:rPr>
          <w:szCs w:val="22"/>
        </w:rPr>
        <w:t>The survey instrument for the 201</w:t>
      </w:r>
      <w:r w:rsidR="00B036C5">
        <w:rPr>
          <w:szCs w:val="22"/>
        </w:rPr>
        <w:t xml:space="preserve">3 12-month follow-up </w:t>
      </w:r>
      <w:r w:rsidR="00BF0EA0">
        <w:rPr>
          <w:szCs w:val="22"/>
        </w:rPr>
        <w:t xml:space="preserve">(Wave 2) </w:t>
      </w:r>
      <w:r w:rsidR="00B036C5">
        <w:rPr>
          <w:szCs w:val="22"/>
        </w:rPr>
        <w:t>of the</w:t>
      </w:r>
      <w:r>
        <w:rPr>
          <w:szCs w:val="22"/>
        </w:rPr>
        <w:t xml:space="preserve"> National Gambling Survey was </w:t>
      </w:r>
      <w:r w:rsidR="00B036C5">
        <w:rPr>
          <w:szCs w:val="22"/>
        </w:rPr>
        <w:t>similar to the baseline survey</w:t>
      </w:r>
      <w:r>
        <w:rPr>
          <w:szCs w:val="22"/>
        </w:rPr>
        <w:t xml:space="preserve"> </w:t>
      </w:r>
      <w:r w:rsidR="00BF0EA0">
        <w:rPr>
          <w:szCs w:val="22"/>
        </w:rPr>
        <w:t xml:space="preserve">(Wave 1) </w:t>
      </w:r>
      <w:r>
        <w:rPr>
          <w:szCs w:val="22"/>
        </w:rPr>
        <w:t>and covered 1</w:t>
      </w:r>
      <w:r w:rsidR="004C44C8">
        <w:rPr>
          <w:szCs w:val="22"/>
        </w:rPr>
        <w:t>1</w:t>
      </w:r>
      <w:r>
        <w:rPr>
          <w:szCs w:val="22"/>
        </w:rPr>
        <w:t> key areas:</w:t>
      </w:r>
    </w:p>
    <w:p w:rsidR="00BB4EFE" w:rsidRDefault="00BB4EFE" w:rsidP="005636CC">
      <w:pPr>
        <w:pStyle w:val="ListParagraph"/>
        <w:numPr>
          <w:ilvl w:val="0"/>
          <w:numId w:val="33"/>
        </w:numPr>
        <w:jc w:val="both"/>
        <w:rPr>
          <w:szCs w:val="22"/>
        </w:rPr>
      </w:pPr>
      <w:r>
        <w:rPr>
          <w:szCs w:val="22"/>
        </w:rPr>
        <w:t>Leisure activities and gambling participation</w:t>
      </w:r>
    </w:p>
    <w:p w:rsidR="00BB4EFE" w:rsidRDefault="00BB4EFE" w:rsidP="005636CC">
      <w:pPr>
        <w:pStyle w:val="ListParagraph"/>
        <w:numPr>
          <w:ilvl w:val="0"/>
          <w:numId w:val="33"/>
        </w:numPr>
        <w:jc w:val="both"/>
        <w:rPr>
          <w:szCs w:val="22"/>
        </w:rPr>
      </w:pPr>
      <w:r>
        <w:rPr>
          <w:szCs w:val="22"/>
        </w:rPr>
        <w:t>Past gambling and recent gambling behaviour change</w:t>
      </w:r>
    </w:p>
    <w:p w:rsidR="00BB4EFE" w:rsidRDefault="00BB4EFE" w:rsidP="005636CC">
      <w:pPr>
        <w:pStyle w:val="ListParagraph"/>
        <w:numPr>
          <w:ilvl w:val="0"/>
          <w:numId w:val="33"/>
        </w:numPr>
        <w:jc w:val="both"/>
        <w:rPr>
          <w:szCs w:val="22"/>
        </w:rPr>
      </w:pPr>
      <w:r>
        <w:rPr>
          <w:szCs w:val="22"/>
        </w:rPr>
        <w:t>Problem gambling</w:t>
      </w:r>
    </w:p>
    <w:p w:rsidR="00BB4EFE" w:rsidRDefault="00BB4EFE" w:rsidP="005636CC">
      <w:pPr>
        <w:pStyle w:val="ListParagraph"/>
        <w:numPr>
          <w:ilvl w:val="1"/>
          <w:numId w:val="33"/>
        </w:numPr>
        <w:jc w:val="both"/>
        <w:rPr>
          <w:szCs w:val="22"/>
        </w:rPr>
      </w:pPr>
      <w:r>
        <w:rPr>
          <w:szCs w:val="22"/>
        </w:rPr>
        <w:t>Problem Gambling Severity Index</w:t>
      </w:r>
    </w:p>
    <w:p w:rsidR="00BB4EFE" w:rsidRDefault="00FA7721" w:rsidP="005636CC">
      <w:pPr>
        <w:pStyle w:val="ListParagraph"/>
        <w:numPr>
          <w:ilvl w:val="1"/>
          <w:numId w:val="33"/>
        </w:numPr>
        <w:jc w:val="both"/>
        <w:rPr>
          <w:szCs w:val="22"/>
        </w:rPr>
      </w:pPr>
      <w:r>
        <w:rPr>
          <w:szCs w:val="22"/>
        </w:rPr>
        <w:t>Formal and informal h</w:t>
      </w:r>
      <w:r w:rsidR="00BB4EFE">
        <w:rPr>
          <w:szCs w:val="22"/>
        </w:rPr>
        <w:t xml:space="preserve">elp-seeking behaviours </w:t>
      </w:r>
    </w:p>
    <w:p w:rsidR="00BB4EFE" w:rsidRDefault="00BB4EFE" w:rsidP="005636CC">
      <w:pPr>
        <w:pStyle w:val="ListParagraph"/>
        <w:numPr>
          <w:ilvl w:val="1"/>
          <w:numId w:val="33"/>
        </w:numPr>
        <w:jc w:val="both"/>
        <w:rPr>
          <w:szCs w:val="22"/>
        </w:rPr>
      </w:pPr>
      <w:r>
        <w:rPr>
          <w:szCs w:val="22"/>
        </w:rPr>
        <w:t>Gambling in households</w:t>
      </w:r>
    </w:p>
    <w:p w:rsidR="00BB4EFE" w:rsidRDefault="00BB4EFE" w:rsidP="005636CC">
      <w:pPr>
        <w:pStyle w:val="ListParagraph"/>
        <w:numPr>
          <w:ilvl w:val="0"/>
          <w:numId w:val="33"/>
        </w:numPr>
        <w:jc w:val="both"/>
        <w:rPr>
          <w:szCs w:val="22"/>
        </w:rPr>
      </w:pPr>
      <w:r>
        <w:rPr>
          <w:szCs w:val="22"/>
        </w:rPr>
        <w:t>Life events and on-going hassles</w:t>
      </w:r>
    </w:p>
    <w:p w:rsidR="00BB4EFE" w:rsidRDefault="00BB4EFE" w:rsidP="005636CC">
      <w:pPr>
        <w:pStyle w:val="ListParagraph"/>
        <w:numPr>
          <w:ilvl w:val="0"/>
          <w:numId w:val="33"/>
        </w:numPr>
        <w:jc w:val="both"/>
        <w:rPr>
          <w:szCs w:val="22"/>
        </w:rPr>
      </w:pPr>
      <w:r>
        <w:rPr>
          <w:szCs w:val="22"/>
        </w:rPr>
        <w:t>Mental health</w:t>
      </w:r>
    </w:p>
    <w:p w:rsidR="00BB4EFE" w:rsidRDefault="00BB4EFE" w:rsidP="005636CC">
      <w:pPr>
        <w:pStyle w:val="ListParagraph"/>
        <w:numPr>
          <w:ilvl w:val="1"/>
          <w:numId w:val="33"/>
        </w:numPr>
        <w:jc w:val="both"/>
        <w:rPr>
          <w:szCs w:val="22"/>
        </w:rPr>
      </w:pPr>
      <w:r>
        <w:rPr>
          <w:szCs w:val="22"/>
        </w:rPr>
        <w:t>General psychological distress</w:t>
      </w:r>
    </w:p>
    <w:p w:rsidR="00BB4EFE" w:rsidRDefault="00BB4EFE" w:rsidP="005636CC">
      <w:pPr>
        <w:pStyle w:val="ListParagraph"/>
        <w:numPr>
          <w:ilvl w:val="1"/>
          <w:numId w:val="33"/>
        </w:numPr>
        <w:jc w:val="both"/>
        <w:rPr>
          <w:szCs w:val="22"/>
        </w:rPr>
      </w:pPr>
      <w:r>
        <w:rPr>
          <w:szCs w:val="22"/>
        </w:rPr>
        <w:t>Quality of life</w:t>
      </w:r>
    </w:p>
    <w:p w:rsidR="00BB4EFE" w:rsidRDefault="00BB4EFE" w:rsidP="005636CC">
      <w:pPr>
        <w:pStyle w:val="ListParagraph"/>
        <w:keepNext/>
        <w:numPr>
          <w:ilvl w:val="0"/>
          <w:numId w:val="33"/>
        </w:numPr>
        <w:jc w:val="both"/>
        <w:rPr>
          <w:szCs w:val="22"/>
        </w:rPr>
      </w:pPr>
      <w:r>
        <w:rPr>
          <w:szCs w:val="22"/>
        </w:rPr>
        <w:t>Alcohol use/misuse</w:t>
      </w:r>
    </w:p>
    <w:p w:rsidR="00BB4EFE" w:rsidRDefault="00BB4EFE" w:rsidP="005636CC">
      <w:pPr>
        <w:pStyle w:val="ListParagraph"/>
        <w:numPr>
          <w:ilvl w:val="0"/>
          <w:numId w:val="33"/>
        </w:numPr>
        <w:jc w:val="both"/>
        <w:rPr>
          <w:szCs w:val="22"/>
        </w:rPr>
      </w:pPr>
      <w:r>
        <w:rPr>
          <w:szCs w:val="22"/>
        </w:rPr>
        <w:t>Substance use/misuse</w:t>
      </w:r>
    </w:p>
    <w:p w:rsidR="00BB4EFE" w:rsidRDefault="00BB4EFE" w:rsidP="005636CC">
      <w:pPr>
        <w:pStyle w:val="ListParagraph"/>
        <w:numPr>
          <w:ilvl w:val="1"/>
          <w:numId w:val="33"/>
        </w:numPr>
        <w:jc w:val="both"/>
        <w:rPr>
          <w:szCs w:val="22"/>
        </w:rPr>
      </w:pPr>
      <w:r>
        <w:rPr>
          <w:szCs w:val="22"/>
        </w:rPr>
        <w:t>Tobacco</w:t>
      </w:r>
    </w:p>
    <w:p w:rsidR="00BB4EFE" w:rsidRDefault="00BB4EFE" w:rsidP="005636CC">
      <w:pPr>
        <w:pStyle w:val="ListParagraph"/>
        <w:numPr>
          <w:ilvl w:val="1"/>
          <w:numId w:val="33"/>
        </w:numPr>
        <w:jc w:val="both"/>
        <w:rPr>
          <w:szCs w:val="22"/>
        </w:rPr>
      </w:pPr>
      <w:r>
        <w:rPr>
          <w:szCs w:val="22"/>
        </w:rPr>
        <w:t>Other drugs</w:t>
      </w:r>
    </w:p>
    <w:p w:rsidR="00BB4EFE" w:rsidRDefault="00BB4EFE" w:rsidP="005636CC">
      <w:pPr>
        <w:pStyle w:val="ListParagraph"/>
        <w:numPr>
          <w:ilvl w:val="0"/>
          <w:numId w:val="33"/>
        </w:numPr>
        <w:jc w:val="both"/>
        <w:rPr>
          <w:szCs w:val="22"/>
        </w:rPr>
      </w:pPr>
      <w:r>
        <w:rPr>
          <w:szCs w:val="22"/>
        </w:rPr>
        <w:t>Health conditions</w:t>
      </w:r>
    </w:p>
    <w:p w:rsidR="007E4882" w:rsidRDefault="00BB4EFE" w:rsidP="005636CC">
      <w:pPr>
        <w:pStyle w:val="ListParagraph"/>
        <w:numPr>
          <w:ilvl w:val="0"/>
          <w:numId w:val="33"/>
        </w:numPr>
        <w:jc w:val="both"/>
        <w:rPr>
          <w:szCs w:val="22"/>
        </w:rPr>
      </w:pPr>
      <w:r>
        <w:rPr>
          <w:szCs w:val="22"/>
        </w:rPr>
        <w:t xml:space="preserve">Social connectedness </w:t>
      </w:r>
    </w:p>
    <w:p w:rsidR="00BB4EFE" w:rsidRDefault="00BB4EFE" w:rsidP="005636CC">
      <w:pPr>
        <w:pStyle w:val="ListParagraph"/>
        <w:numPr>
          <w:ilvl w:val="0"/>
          <w:numId w:val="33"/>
        </w:numPr>
        <w:jc w:val="both"/>
        <w:rPr>
          <w:szCs w:val="22"/>
        </w:rPr>
      </w:pPr>
      <w:r>
        <w:rPr>
          <w:szCs w:val="22"/>
        </w:rPr>
        <w:t xml:space="preserve">New Zealand </w:t>
      </w:r>
      <w:r w:rsidR="00B41039">
        <w:rPr>
          <w:szCs w:val="22"/>
        </w:rPr>
        <w:t xml:space="preserve">Individual </w:t>
      </w:r>
      <w:r>
        <w:rPr>
          <w:szCs w:val="22"/>
        </w:rPr>
        <w:t>Deprivation Index</w:t>
      </w:r>
    </w:p>
    <w:p w:rsidR="00BB4EFE" w:rsidRDefault="00BB4EFE" w:rsidP="005636CC">
      <w:pPr>
        <w:pStyle w:val="ListParagraph"/>
        <w:numPr>
          <w:ilvl w:val="0"/>
          <w:numId w:val="33"/>
        </w:numPr>
        <w:jc w:val="both"/>
        <w:rPr>
          <w:szCs w:val="22"/>
        </w:rPr>
      </w:pPr>
      <w:r>
        <w:rPr>
          <w:szCs w:val="22"/>
        </w:rPr>
        <w:t>Demographics</w:t>
      </w:r>
    </w:p>
    <w:p w:rsidR="00C21066" w:rsidRDefault="004C44C8" w:rsidP="00973A31">
      <w:pPr>
        <w:keepNext/>
        <w:jc w:val="both"/>
        <w:rPr>
          <w:szCs w:val="22"/>
        </w:rPr>
      </w:pPr>
      <w:r>
        <w:rPr>
          <w:b/>
          <w:szCs w:val="22"/>
        </w:rPr>
        <w:lastRenderedPageBreak/>
        <w:t>Results</w:t>
      </w:r>
    </w:p>
    <w:p w:rsidR="004C44C8" w:rsidRDefault="004C44C8" w:rsidP="00973A31">
      <w:pPr>
        <w:keepNext/>
        <w:jc w:val="both"/>
        <w:rPr>
          <w:szCs w:val="22"/>
        </w:rPr>
      </w:pPr>
    </w:p>
    <w:p w:rsidR="00D94777" w:rsidRPr="00D94777" w:rsidRDefault="00D94777" w:rsidP="00973A31">
      <w:pPr>
        <w:keepNext/>
        <w:jc w:val="both"/>
        <w:rPr>
          <w:b/>
          <w:i/>
          <w:szCs w:val="22"/>
        </w:rPr>
      </w:pPr>
      <w:r w:rsidRPr="00D94777">
        <w:rPr>
          <w:b/>
          <w:i/>
          <w:szCs w:val="22"/>
        </w:rPr>
        <w:t>New Zealand gambling and problem gambling prevalence: 2012 and 2013</w:t>
      </w:r>
    </w:p>
    <w:p w:rsidR="00D94777" w:rsidRPr="00D94777" w:rsidRDefault="00D94777" w:rsidP="00D94777">
      <w:pPr>
        <w:jc w:val="both"/>
        <w:rPr>
          <w:szCs w:val="22"/>
        </w:rPr>
      </w:pPr>
    </w:p>
    <w:p w:rsidR="00D94777" w:rsidRPr="00D94777" w:rsidRDefault="00D94777" w:rsidP="00D94777">
      <w:pPr>
        <w:jc w:val="both"/>
        <w:rPr>
          <w:szCs w:val="22"/>
          <w:u w:val="single"/>
        </w:rPr>
      </w:pPr>
      <w:r w:rsidRPr="00D94777">
        <w:rPr>
          <w:szCs w:val="22"/>
          <w:u w:val="single"/>
        </w:rPr>
        <w:t xml:space="preserve">Gambling participation </w:t>
      </w:r>
    </w:p>
    <w:p w:rsidR="00D94777" w:rsidRPr="00D94777" w:rsidRDefault="00D94777" w:rsidP="0028155F">
      <w:pPr>
        <w:pStyle w:val="ListParagraph"/>
        <w:numPr>
          <w:ilvl w:val="0"/>
          <w:numId w:val="44"/>
        </w:numPr>
        <w:ind w:left="851" w:hanging="491"/>
        <w:jc w:val="both"/>
        <w:rPr>
          <w:szCs w:val="22"/>
        </w:rPr>
      </w:pPr>
      <w:r w:rsidRPr="00D94777">
        <w:rPr>
          <w:szCs w:val="22"/>
        </w:rPr>
        <w:t>In 2013 it was estimated that 77.9% of adults participated in one or more gambling activities during the past 12 months, slightly less than in 2012 (79.8%)</w:t>
      </w:r>
      <w:r w:rsidR="00A67A98">
        <w:rPr>
          <w:szCs w:val="22"/>
        </w:rPr>
        <w:t>.</w:t>
      </w:r>
    </w:p>
    <w:p w:rsidR="00D94777" w:rsidRPr="00D94777" w:rsidRDefault="00D94777" w:rsidP="0028155F">
      <w:pPr>
        <w:pStyle w:val="ListParagraph"/>
        <w:numPr>
          <w:ilvl w:val="0"/>
          <w:numId w:val="44"/>
        </w:numPr>
        <w:ind w:left="851" w:hanging="491"/>
        <w:jc w:val="both"/>
        <w:rPr>
          <w:szCs w:val="22"/>
        </w:rPr>
      </w:pPr>
      <w:r w:rsidRPr="00D94777">
        <w:rPr>
          <w:szCs w:val="22"/>
        </w:rPr>
        <w:t xml:space="preserve">There were no </w:t>
      </w:r>
      <w:r w:rsidR="00A67A98">
        <w:rPr>
          <w:szCs w:val="22"/>
        </w:rPr>
        <w:t xml:space="preserve">major </w:t>
      </w:r>
      <w:r w:rsidRPr="00D94777">
        <w:rPr>
          <w:szCs w:val="22"/>
        </w:rPr>
        <w:t xml:space="preserve">changes from 2012 </w:t>
      </w:r>
      <w:r w:rsidR="00A67A98">
        <w:rPr>
          <w:szCs w:val="22"/>
        </w:rPr>
        <w:t>to</w:t>
      </w:r>
      <w:r w:rsidRPr="00D94777">
        <w:rPr>
          <w:szCs w:val="22"/>
        </w:rPr>
        <w:t xml:space="preserve"> 2013 </w:t>
      </w:r>
      <w:r w:rsidR="00A67A98">
        <w:rPr>
          <w:szCs w:val="22"/>
        </w:rPr>
        <w:t>in</w:t>
      </w:r>
      <w:r w:rsidRPr="00D94777">
        <w:rPr>
          <w:szCs w:val="22"/>
        </w:rPr>
        <w:t xml:space="preserve"> regard to the proportion of non-gamblers, infrequent gamblers, regular non-continuous gamblers and regular continuous gamblers</w:t>
      </w:r>
      <w:r w:rsidR="00A67A98">
        <w:rPr>
          <w:szCs w:val="22"/>
        </w:rPr>
        <w:t>.</w:t>
      </w:r>
    </w:p>
    <w:p w:rsidR="00D94777" w:rsidRPr="00D94777" w:rsidRDefault="00A67A98" w:rsidP="00A67A98">
      <w:pPr>
        <w:pStyle w:val="ListParagraph"/>
        <w:numPr>
          <w:ilvl w:val="1"/>
          <w:numId w:val="44"/>
        </w:numPr>
        <w:jc w:val="both"/>
        <w:rPr>
          <w:szCs w:val="22"/>
        </w:rPr>
      </w:pPr>
      <w:r>
        <w:rPr>
          <w:szCs w:val="22"/>
        </w:rPr>
        <w:t>In 2</w:t>
      </w:r>
      <w:r w:rsidR="00D94777" w:rsidRPr="00D94777">
        <w:rPr>
          <w:szCs w:val="22"/>
        </w:rPr>
        <w:t>013</w:t>
      </w:r>
      <w:r>
        <w:rPr>
          <w:szCs w:val="22"/>
        </w:rPr>
        <w:t>,</w:t>
      </w:r>
      <w:r w:rsidR="00D94777" w:rsidRPr="00D94777">
        <w:rPr>
          <w:szCs w:val="22"/>
        </w:rPr>
        <w:t xml:space="preserve"> 22.1% were non-gamblers, 57.1% infrequent gamblers, 14.6% regular non-continuous gamblers and 6.1% regular continuous gamblers</w:t>
      </w:r>
    </w:p>
    <w:p w:rsidR="00D94777" w:rsidRPr="00D523BD" w:rsidRDefault="00D94777" w:rsidP="0028155F">
      <w:pPr>
        <w:pStyle w:val="ListParagraph"/>
        <w:numPr>
          <w:ilvl w:val="0"/>
          <w:numId w:val="44"/>
        </w:numPr>
        <w:ind w:left="851" w:hanging="491"/>
        <w:jc w:val="both"/>
        <w:rPr>
          <w:szCs w:val="22"/>
        </w:rPr>
      </w:pPr>
      <w:r w:rsidRPr="00D94777">
        <w:rPr>
          <w:szCs w:val="22"/>
        </w:rPr>
        <w:t xml:space="preserve">There were no </w:t>
      </w:r>
      <w:r w:rsidR="00A67A98">
        <w:rPr>
          <w:szCs w:val="22"/>
        </w:rPr>
        <w:t>major</w:t>
      </w:r>
      <w:r w:rsidRPr="00D94777">
        <w:rPr>
          <w:szCs w:val="22"/>
        </w:rPr>
        <w:t xml:space="preserve"> changes </w:t>
      </w:r>
      <w:r w:rsidR="00A67A98" w:rsidRPr="00D94777">
        <w:rPr>
          <w:szCs w:val="22"/>
        </w:rPr>
        <w:t xml:space="preserve">from 2012 </w:t>
      </w:r>
      <w:r w:rsidR="00A67A98">
        <w:rPr>
          <w:szCs w:val="22"/>
        </w:rPr>
        <w:t>to</w:t>
      </w:r>
      <w:r w:rsidR="00A67A98" w:rsidRPr="00D94777">
        <w:rPr>
          <w:szCs w:val="22"/>
        </w:rPr>
        <w:t xml:space="preserve"> 2013 </w:t>
      </w:r>
      <w:r w:rsidRPr="00D94777">
        <w:rPr>
          <w:szCs w:val="22"/>
        </w:rPr>
        <w:t xml:space="preserve">in gambling frequency, overall gambling expenditure, most preferred gambling activity, who they gambled with and </w:t>
      </w:r>
      <w:r w:rsidRPr="00D523BD">
        <w:rPr>
          <w:szCs w:val="22"/>
        </w:rPr>
        <w:t>knowing other</w:t>
      </w:r>
      <w:r w:rsidR="00A67A98" w:rsidRPr="00D523BD">
        <w:rPr>
          <w:szCs w:val="22"/>
        </w:rPr>
        <w:t xml:space="preserve"> people with a gambling problem.</w:t>
      </w:r>
      <w:r w:rsidRPr="00D523BD">
        <w:rPr>
          <w:szCs w:val="22"/>
        </w:rPr>
        <w:t xml:space="preserve"> </w:t>
      </w:r>
    </w:p>
    <w:p w:rsidR="00D94777" w:rsidRPr="00D523BD" w:rsidRDefault="00D94777" w:rsidP="0028155F">
      <w:pPr>
        <w:pStyle w:val="ListParagraph"/>
        <w:numPr>
          <w:ilvl w:val="0"/>
          <w:numId w:val="44"/>
        </w:numPr>
        <w:ind w:left="851" w:hanging="491"/>
        <w:jc w:val="both"/>
        <w:rPr>
          <w:szCs w:val="22"/>
        </w:rPr>
      </w:pPr>
      <w:r w:rsidRPr="00D523BD">
        <w:rPr>
          <w:szCs w:val="22"/>
        </w:rPr>
        <w:t xml:space="preserve">There was a slight reduction in the proportion of adults who took part in </w:t>
      </w:r>
      <w:r w:rsidR="00A67A98" w:rsidRPr="00D523BD">
        <w:rPr>
          <w:szCs w:val="22"/>
        </w:rPr>
        <w:t>seven to nine</w:t>
      </w:r>
      <w:r w:rsidRPr="00D523BD">
        <w:rPr>
          <w:szCs w:val="22"/>
        </w:rPr>
        <w:t xml:space="preserve"> gambling activities during the past 12 months</w:t>
      </w:r>
      <w:r w:rsidR="00A67A98" w:rsidRPr="00D523BD">
        <w:rPr>
          <w:szCs w:val="22"/>
        </w:rPr>
        <w:t>,</w:t>
      </w:r>
      <w:r w:rsidRPr="00D523BD">
        <w:rPr>
          <w:szCs w:val="22"/>
        </w:rPr>
        <w:t xml:space="preserve"> </w:t>
      </w:r>
      <w:r w:rsidR="00A67A98" w:rsidRPr="00D523BD">
        <w:rPr>
          <w:szCs w:val="22"/>
        </w:rPr>
        <w:t xml:space="preserve">from 2012 </w:t>
      </w:r>
      <w:r w:rsidR="00A31938" w:rsidRPr="00D523BD">
        <w:rPr>
          <w:szCs w:val="22"/>
        </w:rPr>
        <w:t xml:space="preserve">(3.3%) </w:t>
      </w:r>
      <w:r w:rsidR="00A67A98" w:rsidRPr="00D523BD">
        <w:rPr>
          <w:szCs w:val="22"/>
        </w:rPr>
        <w:t>to 2013</w:t>
      </w:r>
      <w:r w:rsidR="00A31938" w:rsidRPr="00D523BD">
        <w:rPr>
          <w:szCs w:val="22"/>
        </w:rPr>
        <w:t xml:space="preserve"> (2.0%)</w:t>
      </w:r>
      <w:r w:rsidR="00A67A98" w:rsidRPr="00D523BD">
        <w:rPr>
          <w:szCs w:val="22"/>
        </w:rPr>
        <w:t xml:space="preserve">, </w:t>
      </w:r>
      <w:r w:rsidRPr="00D523BD">
        <w:rPr>
          <w:szCs w:val="22"/>
        </w:rPr>
        <w:t xml:space="preserve">as well as for people who participated in some continuous gambling activities including pub and casino </w:t>
      </w:r>
      <w:r w:rsidR="00A67A98" w:rsidRPr="00D523BD">
        <w:rPr>
          <w:szCs w:val="22"/>
        </w:rPr>
        <w:t>electronic gaming machines (</w:t>
      </w:r>
      <w:r w:rsidRPr="00D523BD">
        <w:rPr>
          <w:szCs w:val="22"/>
        </w:rPr>
        <w:t>EGMs</w:t>
      </w:r>
      <w:r w:rsidR="00A67A98" w:rsidRPr="00D523BD">
        <w:rPr>
          <w:szCs w:val="22"/>
        </w:rPr>
        <w:t>)</w:t>
      </w:r>
      <w:r w:rsidRPr="00D523BD">
        <w:rPr>
          <w:szCs w:val="22"/>
        </w:rPr>
        <w:t>, casino table games, sports betting and making bets with friends or workmates</w:t>
      </w:r>
      <w:r w:rsidR="00A67A98" w:rsidRPr="00D523BD">
        <w:rPr>
          <w:szCs w:val="22"/>
        </w:rPr>
        <w:t>.</w:t>
      </w:r>
      <w:r w:rsidR="00A6030C" w:rsidRPr="00D523BD">
        <w:rPr>
          <w:szCs w:val="22"/>
        </w:rPr>
        <w:t xml:space="preserve">  There was no major change in the proportion of adults participating in four to six gambling activities between 2012</w:t>
      </w:r>
      <w:r w:rsidR="00A31938" w:rsidRPr="00D523BD">
        <w:rPr>
          <w:szCs w:val="22"/>
        </w:rPr>
        <w:t xml:space="preserve"> (17.6%)</w:t>
      </w:r>
      <w:r w:rsidR="00A6030C" w:rsidRPr="00D523BD">
        <w:rPr>
          <w:szCs w:val="22"/>
        </w:rPr>
        <w:t xml:space="preserve"> and 2013</w:t>
      </w:r>
      <w:r w:rsidR="00A31938" w:rsidRPr="00D523BD">
        <w:rPr>
          <w:szCs w:val="22"/>
        </w:rPr>
        <w:t xml:space="preserve"> (15.5%)</w:t>
      </w:r>
      <w:r w:rsidR="00A6030C" w:rsidRPr="00D523BD">
        <w:rPr>
          <w:szCs w:val="22"/>
        </w:rPr>
        <w:t>.</w:t>
      </w:r>
    </w:p>
    <w:p w:rsidR="00D94777" w:rsidRPr="00D94777" w:rsidRDefault="00D94777" w:rsidP="0028155F">
      <w:pPr>
        <w:pStyle w:val="ListParagraph"/>
        <w:numPr>
          <w:ilvl w:val="0"/>
          <w:numId w:val="44"/>
        </w:numPr>
        <w:ind w:left="851" w:hanging="491"/>
        <w:jc w:val="both"/>
        <w:rPr>
          <w:szCs w:val="22"/>
        </w:rPr>
      </w:pPr>
      <w:r w:rsidRPr="00D523BD">
        <w:rPr>
          <w:szCs w:val="22"/>
        </w:rPr>
        <w:t>2013 monthly participation in all gambling activities was similar to 2012, apart from past month EGM participation (pubs,</w:t>
      </w:r>
      <w:r w:rsidRPr="00D94777">
        <w:rPr>
          <w:szCs w:val="22"/>
        </w:rPr>
        <w:t xml:space="preserve"> casinos and clubs combined) which was slightly lower in 2013</w:t>
      </w:r>
      <w:r>
        <w:rPr>
          <w:szCs w:val="22"/>
        </w:rPr>
        <w:t>.</w:t>
      </w:r>
    </w:p>
    <w:p w:rsidR="00D94777" w:rsidRDefault="00D94777" w:rsidP="00D94777">
      <w:pPr>
        <w:jc w:val="both"/>
        <w:rPr>
          <w:szCs w:val="22"/>
        </w:rPr>
      </w:pPr>
    </w:p>
    <w:p w:rsidR="00D94777" w:rsidRPr="00D94777" w:rsidRDefault="00D94777" w:rsidP="00D94777">
      <w:pPr>
        <w:jc w:val="both"/>
        <w:rPr>
          <w:szCs w:val="22"/>
        </w:rPr>
      </w:pPr>
    </w:p>
    <w:p w:rsidR="00D94777" w:rsidRPr="00D94777" w:rsidRDefault="00D94777" w:rsidP="00D94777">
      <w:pPr>
        <w:jc w:val="both"/>
        <w:rPr>
          <w:szCs w:val="22"/>
          <w:u w:val="single"/>
        </w:rPr>
      </w:pPr>
      <w:r w:rsidRPr="00D94777">
        <w:rPr>
          <w:szCs w:val="22"/>
          <w:u w:val="single"/>
        </w:rPr>
        <w:t>At-risk and problem gambling</w:t>
      </w:r>
    </w:p>
    <w:p w:rsidR="00D94777" w:rsidRPr="00D94777" w:rsidRDefault="008C12C4" w:rsidP="0028155F">
      <w:pPr>
        <w:pStyle w:val="ListParagraph"/>
        <w:numPr>
          <w:ilvl w:val="0"/>
          <w:numId w:val="45"/>
        </w:numPr>
        <w:ind w:left="851" w:hanging="491"/>
        <w:jc w:val="both"/>
        <w:rPr>
          <w:szCs w:val="22"/>
        </w:rPr>
      </w:pPr>
      <w:r w:rsidRPr="00D523BD">
        <w:rPr>
          <w:szCs w:val="22"/>
        </w:rPr>
        <w:t>Overall, t</w:t>
      </w:r>
      <w:r w:rsidR="00D94777" w:rsidRPr="00D523BD">
        <w:rPr>
          <w:szCs w:val="22"/>
        </w:rPr>
        <w:t>here</w:t>
      </w:r>
      <w:r w:rsidR="00D94777" w:rsidRPr="00D94777">
        <w:rPr>
          <w:szCs w:val="22"/>
        </w:rPr>
        <w:t xml:space="preserve"> were no </w:t>
      </w:r>
      <w:r w:rsidR="00A67A98">
        <w:rPr>
          <w:szCs w:val="22"/>
        </w:rPr>
        <w:t>major</w:t>
      </w:r>
      <w:r w:rsidR="00D94777" w:rsidRPr="00D94777">
        <w:rPr>
          <w:szCs w:val="22"/>
        </w:rPr>
        <w:t xml:space="preserve"> differences from 2012 </w:t>
      </w:r>
      <w:r w:rsidR="00A67A98">
        <w:rPr>
          <w:szCs w:val="22"/>
        </w:rPr>
        <w:t>to</w:t>
      </w:r>
      <w:r w:rsidR="00D94777" w:rsidRPr="00D94777">
        <w:rPr>
          <w:szCs w:val="22"/>
        </w:rPr>
        <w:t xml:space="preserve"> 2013 in the proportion of problem gamblers, moderate-risk gamblers, low-risk gamblers and non-problem gamblers</w:t>
      </w:r>
      <w:r w:rsidR="00A67A98">
        <w:rPr>
          <w:szCs w:val="22"/>
        </w:rPr>
        <w:t>.</w:t>
      </w:r>
    </w:p>
    <w:p w:rsidR="00A31938" w:rsidRPr="009F5E09" w:rsidRDefault="00D94777" w:rsidP="00A31938">
      <w:pPr>
        <w:pStyle w:val="ListParagraph"/>
        <w:numPr>
          <w:ilvl w:val="1"/>
          <w:numId w:val="45"/>
        </w:numPr>
        <w:jc w:val="both"/>
        <w:rPr>
          <w:szCs w:val="22"/>
        </w:rPr>
      </w:pPr>
      <w:r w:rsidRPr="00D94777">
        <w:rPr>
          <w:szCs w:val="22"/>
        </w:rPr>
        <w:t>In 2013</w:t>
      </w:r>
      <w:r w:rsidR="00A67A98">
        <w:rPr>
          <w:szCs w:val="22"/>
        </w:rPr>
        <w:t>,</w:t>
      </w:r>
      <w:r w:rsidRPr="00D94777">
        <w:rPr>
          <w:szCs w:val="22"/>
        </w:rPr>
        <w:t xml:space="preserve"> 0.5% of</w:t>
      </w:r>
      <w:r w:rsidR="00CB1346">
        <w:rPr>
          <w:szCs w:val="22"/>
        </w:rPr>
        <w:t xml:space="preserve"> adults were problem gamblers, 1</w:t>
      </w:r>
      <w:r w:rsidRPr="00D94777">
        <w:rPr>
          <w:szCs w:val="22"/>
        </w:rPr>
        <w:t>.</w:t>
      </w:r>
      <w:r w:rsidR="00036A40">
        <w:rPr>
          <w:szCs w:val="22"/>
        </w:rPr>
        <w:t>5</w:t>
      </w:r>
      <w:r w:rsidRPr="00D94777">
        <w:rPr>
          <w:szCs w:val="22"/>
        </w:rPr>
        <w:t xml:space="preserve">% moderate-risk gamblers, </w:t>
      </w:r>
      <w:r w:rsidR="00036A40" w:rsidRPr="009F5E09">
        <w:rPr>
          <w:szCs w:val="22"/>
        </w:rPr>
        <w:t>5.6</w:t>
      </w:r>
      <w:r w:rsidRPr="009F5E09">
        <w:rPr>
          <w:szCs w:val="22"/>
        </w:rPr>
        <w:t xml:space="preserve">% low-risk gamblers and </w:t>
      </w:r>
      <w:r w:rsidR="00036A40" w:rsidRPr="009F5E09">
        <w:rPr>
          <w:szCs w:val="22"/>
        </w:rPr>
        <w:t>70.3</w:t>
      </w:r>
      <w:r w:rsidRPr="009F5E09">
        <w:rPr>
          <w:szCs w:val="22"/>
        </w:rPr>
        <w:t>% non-problem gamblers.</w:t>
      </w:r>
    </w:p>
    <w:p w:rsidR="00E51E0E" w:rsidRPr="009F5E09" w:rsidRDefault="00E51E0E" w:rsidP="00E51E0E">
      <w:pPr>
        <w:pStyle w:val="ListParagraph"/>
        <w:numPr>
          <w:ilvl w:val="0"/>
          <w:numId w:val="45"/>
        </w:numPr>
        <w:ind w:left="851" w:hanging="491"/>
        <w:jc w:val="both"/>
        <w:rPr>
          <w:szCs w:val="22"/>
        </w:rPr>
      </w:pPr>
      <w:r w:rsidRPr="009F5E09">
        <w:rPr>
          <w:szCs w:val="22"/>
        </w:rPr>
        <w:t>Māori and Pacific people continued to have higher prevalence of moderate-risk and/or problem gambling in 2013</w:t>
      </w:r>
      <w:r w:rsidR="00D523BD" w:rsidRPr="009F5E09">
        <w:rPr>
          <w:szCs w:val="22"/>
        </w:rPr>
        <w:t xml:space="preserve"> than European/Other</w:t>
      </w:r>
      <w:r w:rsidR="009F5E09" w:rsidRPr="009F5E09">
        <w:rPr>
          <w:szCs w:val="22"/>
        </w:rPr>
        <w:t>.</w:t>
      </w:r>
      <w:r w:rsidR="00D523BD" w:rsidRPr="009F5E09">
        <w:rPr>
          <w:szCs w:val="22"/>
        </w:rPr>
        <w:t xml:space="preserve"> </w:t>
      </w:r>
      <w:r w:rsidR="009F5E09" w:rsidRPr="009F5E09">
        <w:rPr>
          <w:szCs w:val="22"/>
        </w:rPr>
        <w:t xml:space="preserve"> </w:t>
      </w:r>
      <w:r w:rsidR="00D523BD" w:rsidRPr="009F5E09">
        <w:rPr>
          <w:szCs w:val="22"/>
        </w:rPr>
        <w:t>Asian people</w:t>
      </w:r>
      <w:r w:rsidR="009F5E09" w:rsidRPr="009F5E09">
        <w:rPr>
          <w:szCs w:val="22"/>
        </w:rPr>
        <w:t xml:space="preserve"> had a similar prevalence to European/Other</w:t>
      </w:r>
      <w:r w:rsidRPr="009F5E09">
        <w:rPr>
          <w:szCs w:val="22"/>
        </w:rPr>
        <w:t>.</w:t>
      </w:r>
    </w:p>
    <w:p w:rsidR="00A31938" w:rsidRPr="009F5E09" w:rsidRDefault="00E51E0E" w:rsidP="00A31938">
      <w:pPr>
        <w:pStyle w:val="ListParagraph"/>
        <w:numPr>
          <w:ilvl w:val="1"/>
          <w:numId w:val="45"/>
        </w:numPr>
        <w:jc w:val="both"/>
        <w:rPr>
          <w:szCs w:val="22"/>
        </w:rPr>
      </w:pPr>
      <w:r w:rsidRPr="009F5E09">
        <w:rPr>
          <w:szCs w:val="22"/>
        </w:rPr>
        <w:t>Māori: 1.6% problem gamblers, 4.4% moderate-risk gamblers, 11.9% low-risk gamblers and 65.7% non-problem gamblers.</w:t>
      </w:r>
    </w:p>
    <w:p w:rsidR="00E51E0E" w:rsidRPr="009F5E09" w:rsidRDefault="00E51E0E" w:rsidP="00A31938">
      <w:pPr>
        <w:pStyle w:val="ListParagraph"/>
        <w:numPr>
          <w:ilvl w:val="1"/>
          <w:numId w:val="45"/>
        </w:numPr>
        <w:jc w:val="both"/>
        <w:rPr>
          <w:szCs w:val="22"/>
        </w:rPr>
      </w:pPr>
      <w:r w:rsidRPr="009F5E09">
        <w:rPr>
          <w:szCs w:val="22"/>
        </w:rPr>
        <w:t>Pacific people: 0.6% problem gamblers, 6.</w:t>
      </w:r>
      <w:r w:rsidR="009F5E09" w:rsidRPr="009F5E09">
        <w:rPr>
          <w:szCs w:val="22"/>
        </w:rPr>
        <w:t>3% moderate-risk gamblers, 9.0% </w:t>
      </w:r>
      <w:r w:rsidRPr="009F5E09">
        <w:rPr>
          <w:szCs w:val="22"/>
        </w:rPr>
        <w:t>low-risk gamblers and 55.4% non-problem gamblers.</w:t>
      </w:r>
    </w:p>
    <w:p w:rsidR="00E51E0E" w:rsidRPr="009F5E09" w:rsidRDefault="00E51E0E" w:rsidP="00A31938">
      <w:pPr>
        <w:pStyle w:val="ListParagraph"/>
        <w:numPr>
          <w:ilvl w:val="1"/>
          <w:numId w:val="45"/>
        </w:numPr>
        <w:jc w:val="both"/>
        <w:rPr>
          <w:szCs w:val="22"/>
        </w:rPr>
      </w:pPr>
      <w:r w:rsidRPr="009F5E09">
        <w:rPr>
          <w:szCs w:val="22"/>
        </w:rPr>
        <w:t>Asian people: 0.4% problem gamblers, 1.</w:t>
      </w:r>
      <w:r w:rsidR="009F5E09" w:rsidRPr="009F5E09">
        <w:rPr>
          <w:szCs w:val="22"/>
        </w:rPr>
        <w:t>3% moderate-risk gamblers, 5.1% </w:t>
      </w:r>
      <w:r w:rsidRPr="009F5E09">
        <w:rPr>
          <w:szCs w:val="22"/>
        </w:rPr>
        <w:t>low-risk gamblers and 49.4% non-problem gamblers.</w:t>
      </w:r>
    </w:p>
    <w:p w:rsidR="00D523BD" w:rsidRPr="009F5E09" w:rsidRDefault="00D523BD" w:rsidP="00D523BD">
      <w:pPr>
        <w:pStyle w:val="ListParagraph"/>
        <w:numPr>
          <w:ilvl w:val="1"/>
          <w:numId w:val="45"/>
        </w:numPr>
        <w:jc w:val="both"/>
        <w:rPr>
          <w:szCs w:val="22"/>
        </w:rPr>
      </w:pPr>
      <w:r w:rsidRPr="009F5E09">
        <w:rPr>
          <w:szCs w:val="22"/>
        </w:rPr>
        <w:t xml:space="preserve">European/Other: 0.3% problem gamblers, 0.9% moderate-risk gamblers, </w:t>
      </w:r>
      <w:r w:rsidR="009F5E09" w:rsidRPr="009F5E09">
        <w:rPr>
          <w:szCs w:val="22"/>
        </w:rPr>
        <w:t>4.7% </w:t>
      </w:r>
      <w:r w:rsidRPr="009F5E09">
        <w:rPr>
          <w:szCs w:val="22"/>
        </w:rPr>
        <w:t xml:space="preserve">low-risk gamblers and </w:t>
      </w:r>
      <w:r w:rsidR="009F5E09" w:rsidRPr="009F5E09">
        <w:rPr>
          <w:szCs w:val="22"/>
        </w:rPr>
        <w:t>74.6</w:t>
      </w:r>
      <w:r w:rsidRPr="009F5E09">
        <w:rPr>
          <w:szCs w:val="22"/>
        </w:rPr>
        <w:t>% non-problem gamblers.</w:t>
      </w:r>
    </w:p>
    <w:p w:rsidR="00D94777" w:rsidRDefault="00D94777" w:rsidP="00D94777">
      <w:pPr>
        <w:jc w:val="both"/>
        <w:rPr>
          <w:szCs w:val="22"/>
        </w:rPr>
      </w:pPr>
    </w:p>
    <w:p w:rsidR="00D94777" w:rsidRPr="00D94777" w:rsidRDefault="00D94777" w:rsidP="00D94777">
      <w:pPr>
        <w:jc w:val="both"/>
        <w:rPr>
          <w:szCs w:val="22"/>
        </w:rPr>
      </w:pPr>
    </w:p>
    <w:p w:rsidR="00D94777" w:rsidRPr="00D94777" w:rsidRDefault="00D94777" w:rsidP="009F5E09">
      <w:pPr>
        <w:keepNext/>
        <w:keepLines/>
        <w:jc w:val="both"/>
        <w:rPr>
          <w:szCs w:val="22"/>
          <w:u w:val="single"/>
        </w:rPr>
      </w:pPr>
      <w:r w:rsidRPr="00D94777">
        <w:rPr>
          <w:szCs w:val="22"/>
          <w:u w:val="single"/>
        </w:rPr>
        <w:lastRenderedPageBreak/>
        <w:t>Use of ways to stop gambling too much and help-seeking</w:t>
      </w:r>
    </w:p>
    <w:p w:rsidR="00D94777" w:rsidRPr="00D94777" w:rsidRDefault="00D94777" w:rsidP="009F5E09">
      <w:pPr>
        <w:pStyle w:val="ListParagraph"/>
        <w:keepNext/>
        <w:keepLines/>
        <w:numPr>
          <w:ilvl w:val="0"/>
          <w:numId w:val="45"/>
        </w:numPr>
        <w:ind w:left="851" w:hanging="491"/>
        <w:jc w:val="both"/>
        <w:rPr>
          <w:szCs w:val="22"/>
        </w:rPr>
      </w:pPr>
      <w:r w:rsidRPr="00D94777">
        <w:rPr>
          <w:szCs w:val="22"/>
        </w:rPr>
        <w:t xml:space="preserve">Similar percentages in both </w:t>
      </w:r>
      <w:r w:rsidR="00A67A98">
        <w:rPr>
          <w:szCs w:val="22"/>
        </w:rPr>
        <w:t>2012 and 2013</w:t>
      </w:r>
      <w:r w:rsidRPr="00D94777">
        <w:rPr>
          <w:szCs w:val="22"/>
        </w:rPr>
        <w:t xml:space="preserve"> used the following methods to stop gambling too much: a trusted person managing gambling money (0.4% in 2013), leaving </w:t>
      </w:r>
      <w:r w:rsidR="00A67A98">
        <w:rPr>
          <w:szCs w:val="22"/>
        </w:rPr>
        <w:t>automated teller machine (</w:t>
      </w:r>
      <w:r w:rsidRPr="00D94777">
        <w:rPr>
          <w:szCs w:val="22"/>
        </w:rPr>
        <w:t>ATM</w:t>
      </w:r>
      <w:r w:rsidR="00A67A98">
        <w:rPr>
          <w:szCs w:val="22"/>
        </w:rPr>
        <w:t>)</w:t>
      </w:r>
      <w:r w:rsidRPr="00D94777">
        <w:rPr>
          <w:szCs w:val="22"/>
        </w:rPr>
        <w:t>/credit cards at home (1.1%), setting a time limit for gambling (1.2%) and avoiding betting/gambling venues (1.5%)</w:t>
      </w:r>
      <w:r w:rsidR="00A67A98">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Somewhat lower percentages reported setting a money limit for gambling in </w:t>
      </w:r>
      <w:r w:rsidR="00A67A98" w:rsidRPr="00D94777">
        <w:rPr>
          <w:szCs w:val="22"/>
        </w:rPr>
        <w:t xml:space="preserve">Wave </w:t>
      </w:r>
      <w:r w:rsidR="00A67A98">
        <w:rPr>
          <w:szCs w:val="22"/>
        </w:rPr>
        <w:t>2</w:t>
      </w:r>
      <w:r w:rsidRPr="00D94777">
        <w:rPr>
          <w:szCs w:val="22"/>
        </w:rPr>
        <w:t xml:space="preserve"> (16% in 2012; 13% in 2013) and separating betting money and stopping when it was used (3.5%; 2.0%)</w:t>
      </w:r>
      <w:r w:rsidR="00A67A98">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There was no difference in the percentage of adults </w:t>
      </w:r>
      <w:r w:rsidR="00A67A98">
        <w:rPr>
          <w:szCs w:val="22"/>
        </w:rPr>
        <w:t>who</w:t>
      </w:r>
      <w:r w:rsidRPr="00D94777">
        <w:rPr>
          <w:szCs w:val="22"/>
        </w:rPr>
        <w:t xml:space="preserve"> sought help </w:t>
      </w:r>
      <w:r w:rsidR="00FA7721" w:rsidRPr="009F5E09">
        <w:rPr>
          <w:szCs w:val="22"/>
        </w:rPr>
        <w:t xml:space="preserve">(from formal and informal sources) </w:t>
      </w:r>
      <w:r w:rsidRPr="00D94777">
        <w:rPr>
          <w:szCs w:val="22"/>
        </w:rPr>
        <w:t xml:space="preserve">for gambling in 2012 and 2013 (0.3% in </w:t>
      </w:r>
      <w:r w:rsidR="00CB1346">
        <w:rPr>
          <w:szCs w:val="22"/>
        </w:rPr>
        <w:t>both years</w:t>
      </w:r>
      <w:r w:rsidRPr="00D94777">
        <w:rPr>
          <w:szCs w:val="22"/>
        </w:rPr>
        <w:t>)</w:t>
      </w:r>
      <w:r>
        <w:rPr>
          <w:szCs w:val="22"/>
        </w:rPr>
        <w:t>.</w:t>
      </w:r>
    </w:p>
    <w:p w:rsidR="00D94777" w:rsidRDefault="00D94777" w:rsidP="00D94777">
      <w:pPr>
        <w:jc w:val="both"/>
        <w:rPr>
          <w:szCs w:val="22"/>
        </w:rPr>
      </w:pPr>
    </w:p>
    <w:p w:rsidR="00D94777" w:rsidRPr="00D94777" w:rsidRDefault="00D94777" w:rsidP="00D94777">
      <w:pPr>
        <w:jc w:val="both"/>
        <w:rPr>
          <w:szCs w:val="22"/>
        </w:rPr>
      </w:pPr>
    </w:p>
    <w:p w:rsidR="00D94777" w:rsidRPr="00D94777" w:rsidRDefault="00D94777" w:rsidP="00D94777">
      <w:pPr>
        <w:jc w:val="both"/>
        <w:rPr>
          <w:szCs w:val="22"/>
          <w:u w:val="single"/>
        </w:rPr>
      </w:pPr>
      <w:r w:rsidRPr="00D94777">
        <w:rPr>
          <w:szCs w:val="22"/>
          <w:u w:val="single"/>
        </w:rPr>
        <w:t>Significant life events: 2012 and 2013</w:t>
      </w:r>
    </w:p>
    <w:p w:rsidR="00D94777" w:rsidRPr="00D94777" w:rsidRDefault="00D94777" w:rsidP="0028155F">
      <w:pPr>
        <w:pStyle w:val="ListParagraph"/>
        <w:numPr>
          <w:ilvl w:val="0"/>
          <w:numId w:val="45"/>
        </w:numPr>
        <w:ind w:left="851" w:hanging="491"/>
        <w:jc w:val="both"/>
        <w:rPr>
          <w:szCs w:val="22"/>
        </w:rPr>
      </w:pPr>
      <w:r w:rsidRPr="00D94777">
        <w:rPr>
          <w:szCs w:val="22"/>
        </w:rPr>
        <w:t>Generally</w:t>
      </w:r>
      <w:r w:rsidR="00A67A98">
        <w:rPr>
          <w:szCs w:val="22"/>
        </w:rPr>
        <w:t>,</w:t>
      </w:r>
      <w:r w:rsidRPr="00D94777">
        <w:rPr>
          <w:szCs w:val="22"/>
        </w:rPr>
        <w:t xml:space="preserve"> similar percentages of adults experienced major life events in both </w:t>
      </w:r>
      <w:r w:rsidR="00A67A98">
        <w:rPr>
          <w:szCs w:val="22"/>
        </w:rPr>
        <w:t>waves</w:t>
      </w:r>
      <w:r w:rsidRPr="00D94777">
        <w:rPr>
          <w:szCs w:val="22"/>
        </w:rPr>
        <w:t>, with the exception of those who experienced one event (26.3% in 2012; 30.0% in 2013)</w:t>
      </w:r>
      <w:r w:rsidR="00A67A98">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In 2013</w:t>
      </w:r>
      <w:r w:rsidR="00A67A98">
        <w:rPr>
          <w:szCs w:val="22"/>
        </w:rPr>
        <w:t>,</w:t>
      </w:r>
      <w:r w:rsidRPr="00D94777">
        <w:rPr>
          <w:szCs w:val="22"/>
        </w:rPr>
        <w:t xml:space="preserve"> 28.9% had not experienced any life event, 30.0% experienced one</w:t>
      </w:r>
      <w:r w:rsidR="00A67A98">
        <w:rPr>
          <w:szCs w:val="22"/>
        </w:rPr>
        <w:t xml:space="preserve"> event</w:t>
      </w:r>
      <w:r w:rsidRPr="00D94777">
        <w:rPr>
          <w:szCs w:val="22"/>
        </w:rPr>
        <w:t xml:space="preserve">, 40.3% </w:t>
      </w:r>
      <w:r w:rsidR="00A67A98">
        <w:rPr>
          <w:szCs w:val="22"/>
        </w:rPr>
        <w:t xml:space="preserve">experienced </w:t>
      </w:r>
      <w:r w:rsidRPr="00D94777">
        <w:rPr>
          <w:szCs w:val="22"/>
        </w:rPr>
        <w:t xml:space="preserve">two or three </w:t>
      </w:r>
      <w:r w:rsidR="00A67A98">
        <w:rPr>
          <w:szCs w:val="22"/>
        </w:rPr>
        <w:t xml:space="preserve">events, </w:t>
      </w:r>
      <w:r w:rsidRPr="00D94777">
        <w:rPr>
          <w:szCs w:val="22"/>
        </w:rPr>
        <w:t xml:space="preserve">and 10.8% </w:t>
      </w:r>
      <w:r w:rsidR="00A67A98">
        <w:rPr>
          <w:szCs w:val="22"/>
        </w:rPr>
        <w:t xml:space="preserve">experienced </w:t>
      </w:r>
      <w:r w:rsidRPr="00D94777">
        <w:rPr>
          <w:szCs w:val="22"/>
        </w:rPr>
        <w:t>four or more</w:t>
      </w:r>
      <w:r w:rsidR="00A67A98">
        <w:rPr>
          <w:szCs w:val="22"/>
        </w:rPr>
        <w:t xml:space="preserve"> events</w:t>
      </w:r>
      <w:r>
        <w:rPr>
          <w:szCs w:val="22"/>
        </w:rPr>
        <w:t>.</w:t>
      </w:r>
    </w:p>
    <w:p w:rsidR="00D94777" w:rsidRDefault="00D94777" w:rsidP="00D94777">
      <w:pPr>
        <w:jc w:val="both"/>
        <w:rPr>
          <w:szCs w:val="22"/>
        </w:rPr>
      </w:pPr>
    </w:p>
    <w:p w:rsidR="00D94777" w:rsidRPr="00D94777" w:rsidRDefault="00D94777" w:rsidP="00D94777">
      <w:pPr>
        <w:jc w:val="both"/>
        <w:rPr>
          <w:szCs w:val="22"/>
        </w:rPr>
      </w:pPr>
    </w:p>
    <w:p w:rsidR="00D94777" w:rsidRPr="00D94777" w:rsidRDefault="00D94777" w:rsidP="00D94777">
      <w:pPr>
        <w:jc w:val="both"/>
        <w:rPr>
          <w:szCs w:val="22"/>
          <w:u w:val="single"/>
        </w:rPr>
      </w:pPr>
      <w:r w:rsidRPr="00D94777">
        <w:rPr>
          <w:szCs w:val="22"/>
          <w:u w:val="single"/>
        </w:rPr>
        <w:t>Quality of life, health, psychological distress and substance use/misuse: 2012 and 2013</w:t>
      </w:r>
    </w:p>
    <w:p w:rsidR="00D94777" w:rsidRPr="009F5E09" w:rsidRDefault="00D94777" w:rsidP="0028155F">
      <w:pPr>
        <w:pStyle w:val="ListParagraph"/>
        <w:numPr>
          <w:ilvl w:val="0"/>
          <w:numId w:val="45"/>
        </w:numPr>
        <w:ind w:left="851" w:hanging="491"/>
        <w:jc w:val="both"/>
        <w:rPr>
          <w:szCs w:val="22"/>
        </w:rPr>
      </w:pPr>
      <w:r w:rsidRPr="009F5E09">
        <w:rPr>
          <w:szCs w:val="22"/>
        </w:rPr>
        <w:t>There were similar levels of quality of life</w:t>
      </w:r>
      <w:r w:rsidR="0032338D" w:rsidRPr="009F5E09">
        <w:rPr>
          <w:szCs w:val="22"/>
        </w:rPr>
        <w:t xml:space="preserve"> </w:t>
      </w:r>
      <w:r w:rsidR="008824CB">
        <w:rPr>
          <w:szCs w:val="22"/>
        </w:rPr>
        <w:t xml:space="preserve">(low quality of life; </w:t>
      </w:r>
      <w:r w:rsidR="0065643C">
        <w:rPr>
          <w:szCs w:val="22"/>
        </w:rPr>
        <w:t>42</w:t>
      </w:r>
      <w:r w:rsidR="0032338D" w:rsidRPr="009F5E09">
        <w:rPr>
          <w:szCs w:val="22"/>
        </w:rPr>
        <w:t xml:space="preserve">% </w:t>
      </w:r>
      <w:r w:rsidR="008824CB">
        <w:rPr>
          <w:szCs w:val="22"/>
        </w:rPr>
        <w:t xml:space="preserve">in 2012, </w:t>
      </w:r>
      <w:r w:rsidR="0065643C">
        <w:rPr>
          <w:szCs w:val="22"/>
        </w:rPr>
        <w:t>41% in 2013</w:t>
      </w:r>
      <w:r w:rsidR="008824CB">
        <w:rPr>
          <w:szCs w:val="22"/>
        </w:rPr>
        <w:t>)</w:t>
      </w:r>
      <w:r w:rsidRPr="009F5E09">
        <w:rPr>
          <w:szCs w:val="22"/>
        </w:rPr>
        <w:t>, psychological distress</w:t>
      </w:r>
      <w:r w:rsidR="00D85508" w:rsidRPr="009F5E09">
        <w:rPr>
          <w:szCs w:val="22"/>
        </w:rPr>
        <w:t xml:space="preserve"> (low level</w:t>
      </w:r>
      <w:r w:rsidR="008824CB">
        <w:rPr>
          <w:szCs w:val="22"/>
        </w:rPr>
        <w:t>; 74% in 2012, 76% in 2013</w:t>
      </w:r>
      <w:r w:rsidR="00D85508" w:rsidRPr="009F5E09">
        <w:rPr>
          <w:szCs w:val="22"/>
        </w:rPr>
        <w:t>)</w:t>
      </w:r>
      <w:r w:rsidRPr="009F5E09">
        <w:rPr>
          <w:szCs w:val="22"/>
        </w:rPr>
        <w:t xml:space="preserve">, hazardous alcohol consumption </w:t>
      </w:r>
      <w:r w:rsidR="00D85508" w:rsidRPr="009F5E09">
        <w:rPr>
          <w:szCs w:val="22"/>
        </w:rPr>
        <w:t xml:space="preserve">(37% in 2012, 35% in 2013) </w:t>
      </w:r>
      <w:r w:rsidRPr="009F5E09">
        <w:rPr>
          <w:szCs w:val="22"/>
        </w:rPr>
        <w:t xml:space="preserve">and tobacco use </w:t>
      </w:r>
      <w:r w:rsidR="00D85508" w:rsidRPr="009F5E09">
        <w:rPr>
          <w:szCs w:val="22"/>
        </w:rPr>
        <w:t>(ever smoked</w:t>
      </w:r>
      <w:r w:rsidR="008824CB">
        <w:rPr>
          <w:szCs w:val="22"/>
        </w:rPr>
        <w:t>; 66% in 2012, 65% in 2013</w:t>
      </w:r>
      <w:r w:rsidR="00D85508" w:rsidRPr="009F5E09">
        <w:rPr>
          <w:szCs w:val="22"/>
        </w:rPr>
        <w:t xml:space="preserve">) </w:t>
      </w:r>
      <w:r w:rsidRPr="009F5E09">
        <w:rPr>
          <w:szCs w:val="22"/>
        </w:rPr>
        <w:t>in both years</w:t>
      </w:r>
      <w:r w:rsidR="00A67A98" w:rsidRPr="009F5E09">
        <w:rPr>
          <w:szCs w:val="22"/>
        </w:rPr>
        <w:t>.</w:t>
      </w:r>
    </w:p>
    <w:p w:rsidR="00D94777" w:rsidRPr="009F5E09" w:rsidRDefault="00D94777" w:rsidP="0028155F">
      <w:pPr>
        <w:pStyle w:val="ListParagraph"/>
        <w:numPr>
          <w:ilvl w:val="0"/>
          <w:numId w:val="45"/>
        </w:numPr>
        <w:ind w:left="851" w:hanging="491"/>
        <w:jc w:val="both"/>
        <w:rPr>
          <w:szCs w:val="22"/>
        </w:rPr>
      </w:pPr>
      <w:r w:rsidRPr="009F5E09">
        <w:rPr>
          <w:szCs w:val="22"/>
        </w:rPr>
        <w:t>A somewhat lower percentage of adults used recreational drugs (other than alcohol and tobacco) and illegal drugs in 2013 than in 2012 (14.7% in 2012; 11.4% in 2013)</w:t>
      </w:r>
      <w:r w:rsidR="0028155F" w:rsidRPr="009F5E09">
        <w:rPr>
          <w:szCs w:val="22"/>
        </w:rPr>
        <w:t>.</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D94777" w:rsidP="00D94777">
      <w:pPr>
        <w:jc w:val="both"/>
        <w:rPr>
          <w:b/>
          <w:szCs w:val="22"/>
        </w:rPr>
      </w:pPr>
      <w:r w:rsidRPr="0028155F">
        <w:rPr>
          <w:b/>
          <w:szCs w:val="22"/>
        </w:rPr>
        <w:t>Transitions from 2012 to 2013 including problem gambling incidence and relapse</w:t>
      </w:r>
    </w:p>
    <w:p w:rsidR="00D94777" w:rsidRPr="00D94777" w:rsidRDefault="00D94777" w:rsidP="00D94777">
      <w:pPr>
        <w:jc w:val="both"/>
        <w:rPr>
          <w:szCs w:val="22"/>
        </w:rPr>
      </w:pPr>
    </w:p>
    <w:p w:rsidR="00D94777" w:rsidRPr="0028155F" w:rsidRDefault="00D94777" w:rsidP="00D94777">
      <w:pPr>
        <w:jc w:val="both"/>
        <w:rPr>
          <w:szCs w:val="22"/>
          <w:u w:val="single"/>
        </w:rPr>
      </w:pPr>
      <w:r w:rsidRPr="0028155F">
        <w:rPr>
          <w:szCs w:val="22"/>
          <w:u w:val="single"/>
        </w:rPr>
        <w:t>Incidence and relapse</w:t>
      </w:r>
    </w:p>
    <w:p w:rsidR="00D94777" w:rsidRPr="00D94777" w:rsidRDefault="00D94777" w:rsidP="0028155F">
      <w:pPr>
        <w:pStyle w:val="ListParagraph"/>
        <w:numPr>
          <w:ilvl w:val="0"/>
          <w:numId w:val="45"/>
        </w:numPr>
        <w:ind w:left="851" w:hanging="491"/>
        <w:jc w:val="both"/>
        <w:rPr>
          <w:szCs w:val="22"/>
        </w:rPr>
      </w:pPr>
      <w:r w:rsidRPr="00D94777">
        <w:rPr>
          <w:szCs w:val="22"/>
        </w:rPr>
        <w:t>Based on the number of participants who became problem gamblers during the 12</w:t>
      </w:r>
      <w:r w:rsidR="00725764">
        <w:rPr>
          <w:szCs w:val="22"/>
        </w:rPr>
        <w:t> </w:t>
      </w:r>
      <w:r w:rsidRPr="00D94777">
        <w:rPr>
          <w:szCs w:val="22"/>
        </w:rPr>
        <w:t xml:space="preserve">month period between the two </w:t>
      </w:r>
      <w:r w:rsidR="00A67A98">
        <w:rPr>
          <w:szCs w:val="22"/>
        </w:rPr>
        <w:t>waves,</w:t>
      </w:r>
      <w:r w:rsidRPr="00D94777">
        <w:rPr>
          <w:szCs w:val="22"/>
        </w:rPr>
        <w:t xml:space="preserve"> it is estimated that the national incidence rate for problem gambling is 0.2</w:t>
      </w:r>
      <w:r w:rsidR="00725764">
        <w:rPr>
          <w:szCs w:val="22"/>
        </w:rPr>
        <w:t>8</w:t>
      </w:r>
      <w:r w:rsidRPr="00D94777">
        <w:rPr>
          <w:szCs w:val="22"/>
        </w:rPr>
        <w:t xml:space="preserve">% (CI </w:t>
      </w:r>
      <w:r w:rsidR="00725764">
        <w:rPr>
          <w:szCs w:val="22"/>
        </w:rPr>
        <w:t>0.10 - 0.45);</w:t>
      </w:r>
      <w:r w:rsidRPr="00D94777">
        <w:rPr>
          <w:szCs w:val="22"/>
        </w:rPr>
        <w:t xml:space="preserve"> </w:t>
      </w:r>
      <w:r w:rsidR="00A67A98">
        <w:rPr>
          <w:szCs w:val="22"/>
        </w:rPr>
        <w:t>approximately</w:t>
      </w:r>
      <w:r w:rsidR="00725764">
        <w:rPr>
          <w:szCs w:val="22"/>
        </w:rPr>
        <w:t xml:space="preserve"> 8,046 people (CI 2,874 - 12,931).</w:t>
      </w:r>
      <w:r w:rsidRPr="00D94777">
        <w:rPr>
          <w:szCs w:val="22"/>
        </w:rPr>
        <w:t xml:space="preserve"> </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Of those who developed problems between 2012 and 2013, </w:t>
      </w:r>
      <w:r w:rsidR="00964B49">
        <w:rPr>
          <w:szCs w:val="22"/>
        </w:rPr>
        <w:t>51.6</w:t>
      </w:r>
      <w:r w:rsidRPr="00D94777">
        <w:rPr>
          <w:szCs w:val="22"/>
        </w:rPr>
        <w:t xml:space="preserve">% (CI </w:t>
      </w:r>
      <w:r w:rsidR="00964B49">
        <w:rPr>
          <w:szCs w:val="22"/>
        </w:rPr>
        <w:t xml:space="preserve">14.5 - 88.7) </w:t>
      </w:r>
      <w:r w:rsidRPr="00D94777">
        <w:rPr>
          <w:szCs w:val="22"/>
        </w:rPr>
        <w:t xml:space="preserve">were new problem gamblers and </w:t>
      </w:r>
      <w:r w:rsidR="00964B49">
        <w:rPr>
          <w:szCs w:val="22"/>
        </w:rPr>
        <w:t>48.4</w:t>
      </w:r>
      <w:r w:rsidRPr="00D94777">
        <w:rPr>
          <w:szCs w:val="22"/>
        </w:rPr>
        <w:t>% were people who, while not problem gamblers during the 12 months prior to 2012, were assessed as having previously been a problem or probable pathological gambler</w:t>
      </w:r>
      <w:r w:rsidR="00964B49">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It is estimated that </w:t>
      </w:r>
      <w:r w:rsidR="00725764">
        <w:rPr>
          <w:szCs w:val="22"/>
        </w:rPr>
        <w:t>1.1</w:t>
      </w:r>
      <w:r w:rsidRPr="00D94777">
        <w:rPr>
          <w:szCs w:val="22"/>
        </w:rPr>
        <w:t xml:space="preserve">% (CI </w:t>
      </w:r>
      <w:r w:rsidR="00725764">
        <w:rPr>
          <w:szCs w:val="22"/>
        </w:rPr>
        <w:t>0.7 - 1.5)</w:t>
      </w:r>
      <w:r w:rsidR="00964B49">
        <w:rPr>
          <w:szCs w:val="22"/>
        </w:rPr>
        <w:t>,</w:t>
      </w:r>
      <w:r w:rsidRPr="00D94777">
        <w:rPr>
          <w:szCs w:val="22"/>
        </w:rPr>
        <w:t xml:space="preserve"> </w:t>
      </w:r>
      <w:r w:rsidR="00A67A98">
        <w:rPr>
          <w:szCs w:val="22"/>
        </w:rPr>
        <w:t xml:space="preserve">approximately </w:t>
      </w:r>
      <w:r w:rsidR="00725764">
        <w:rPr>
          <w:szCs w:val="22"/>
        </w:rPr>
        <w:t>31,158</w:t>
      </w:r>
      <w:r w:rsidRPr="00D94777">
        <w:rPr>
          <w:szCs w:val="22"/>
        </w:rPr>
        <w:t xml:space="preserve"> people</w:t>
      </w:r>
      <w:r w:rsidR="00725764">
        <w:rPr>
          <w:szCs w:val="22"/>
        </w:rPr>
        <w:t xml:space="preserve"> (CI 19,828 - 42,488)</w:t>
      </w:r>
      <w:r w:rsidR="00964B49">
        <w:rPr>
          <w:szCs w:val="22"/>
        </w:rPr>
        <w:t>,</w:t>
      </w:r>
      <w:r w:rsidRPr="00D94777">
        <w:rPr>
          <w:szCs w:val="22"/>
        </w:rPr>
        <w:t xml:space="preserve"> became moderate-risk gamblers </w:t>
      </w:r>
      <w:r w:rsidR="00A67A98">
        <w:rPr>
          <w:szCs w:val="22"/>
        </w:rPr>
        <w:t>in</w:t>
      </w:r>
      <w:r w:rsidRPr="00D94777">
        <w:rPr>
          <w:szCs w:val="22"/>
        </w:rPr>
        <w:t xml:space="preserve"> 2013</w:t>
      </w:r>
      <w:r w:rsidR="00725764">
        <w:rPr>
          <w:szCs w:val="22"/>
        </w:rPr>
        <w:t>, who were not moderate-risk or problem gamblers in 2012.</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Of those who </w:t>
      </w:r>
      <w:r w:rsidR="00964B49">
        <w:rPr>
          <w:szCs w:val="22"/>
        </w:rPr>
        <w:t>became</w:t>
      </w:r>
      <w:r w:rsidRPr="00D94777">
        <w:rPr>
          <w:szCs w:val="22"/>
        </w:rPr>
        <w:t xml:space="preserve"> moderate-risk gamb</w:t>
      </w:r>
      <w:r w:rsidR="00964B49">
        <w:rPr>
          <w:szCs w:val="22"/>
        </w:rPr>
        <w:t>lers in 2013,</w:t>
      </w:r>
      <w:r w:rsidRPr="00D94777">
        <w:rPr>
          <w:szCs w:val="22"/>
        </w:rPr>
        <w:t xml:space="preserve"> </w:t>
      </w:r>
      <w:r w:rsidR="00964B49">
        <w:rPr>
          <w:szCs w:val="22"/>
        </w:rPr>
        <w:t>71.1</w:t>
      </w:r>
      <w:r w:rsidRPr="00D94777">
        <w:rPr>
          <w:szCs w:val="22"/>
        </w:rPr>
        <w:t xml:space="preserve">% (CI </w:t>
      </w:r>
      <w:r w:rsidR="00964B49">
        <w:rPr>
          <w:szCs w:val="22"/>
        </w:rPr>
        <w:t xml:space="preserve">54.2 - 87.9) </w:t>
      </w:r>
      <w:r w:rsidRPr="00D94777">
        <w:rPr>
          <w:szCs w:val="22"/>
        </w:rPr>
        <w:t xml:space="preserve">were people who were not past problem or probable pathological gamblers prior to </w:t>
      </w:r>
      <w:r w:rsidR="00964B49">
        <w:rPr>
          <w:szCs w:val="22"/>
        </w:rPr>
        <w:t>2012</w:t>
      </w:r>
      <w:r w:rsidRPr="00D94777">
        <w:rPr>
          <w:szCs w:val="22"/>
        </w:rPr>
        <w:t xml:space="preserve">, and </w:t>
      </w:r>
      <w:r w:rsidR="00964B49">
        <w:rPr>
          <w:szCs w:val="22"/>
        </w:rPr>
        <w:t>28.9</w:t>
      </w:r>
      <w:r w:rsidRPr="00D94777">
        <w:rPr>
          <w:szCs w:val="22"/>
        </w:rPr>
        <w:t>% were people who had previously been problem or probable pathological gamblers</w:t>
      </w:r>
      <w:r w:rsidR="00964B49">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Overall 74.3% (CI 58.9 </w:t>
      </w:r>
      <w:r w:rsidR="00964B49">
        <w:rPr>
          <w:szCs w:val="22"/>
        </w:rPr>
        <w:t>-</w:t>
      </w:r>
      <w:r w:rsidRPr="00D94777">
        <w:rPr>
          <w:szCs w:val="22"/>
        </w:rPr>
        <w:t xml:space="preserve"> 89.7) of 2013 ‘new’ problem and moderate-risk gamblers were assessed as not having been a problem or probable pathological gambler prior </w:t>
      </w:r>
      <w:r w:rsidRPr="00D94777">
        <w:rPr>
          <w:szCs w:val="22"/>
        </w:rPr>
        <w:lastRenderedPageBreak/>
        <w:t>to 2012; 25.7% were assessed as previously having</w:t>
      </w:r>
      <w:r w:rsidR="00964B49">
        <w:rPr>
          <w:szCs w:val="22"/>
        </w:rPr>
        <w:t xml:space="preserve"> been a problem (24.5%, CI 9.2 -</w:t>
      </w:r>
      <w:r w:rsidRPr="00D94777">
        <w:rPr>
          <w:szCs w:val="22"/>
        </w:rPr>
        <w:t xml:space="preserve"> 39.7) or probable pathological ga</w:t>
      </w:r>
      <w:r w:rsidR="00964B49">
        <w:rPr>
          <w:szCs w:val="22"/>
        </w:rPr>
        <w:t>mbler (</w:t>
      </w:r>
      <w:r w:rsidR="0063748C">
        <w:rPr>
          <w:szCs w:val="22"/>
        </w:rPr>
        <w:t>1.2</w:t>
      </w:r>
      <w:r w:rsidR="00964B49">
        <w:rPr>
          <w:szCs w:val="22"/>
        </w:rPr>
        <w:t>%, CI 0.0 -</w:t>
      </w:r>
      <w:r w:rsidR="0028155F">
        <w:rPr>
          <w:szCs w:val="22"/>
        </w:rPr>
        <w:t xml:space="preserve"> 3.7).</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D94777" w:rsidP="0076750D">
      <w:pPr>
        <w:keepNext/>
        <w:jc w:val="both"/>
        <w:rPr>
          <w:szCs w:val="22"/>
          <w:u w:val="single"/>
        </w:rPr>
      </w:pPr>
      <w:r w:rsidRPr="0028155F">
        <w:rPr>
          <w:szCs w:val="22"/>
          <w:u w:val="single"/>
        </w:rPr>
        <w:t>Problem cessation</w:t>
      </w:r>
    </w:p>
    <w:p w:rsidR="00D94777" w:rsidRPr="00D94777" w:rsidRDefault="00A67A98" w:rsidP="0076750D">
      <w:pPr>
        <w:pStyle w:val="ListParagraph"/>
        <w:keepNext/>
        <w:numPr>
          <w:ilvl w:val="0"/>
          <w:numId w:val="45"/>
        </w:numPr>
        <w:ind w:left="851" w:hanging="491"/>
        <w:jc w:val="both"/>
        <w:rPr>
          <w:szCs w:val="22"/>
        </w:rPr>
      </w:pPr>
      <w:r>
        <w:rPr>
          <w:szCs w:val="22"/>
        </w:rPr>
        <w:t>Of those</w:t>
      </w:r>
      <w:r w:rsidRPr="00D94777">
        <w:rPr>
          <w:szCs w:val="22"/>
        </w:rPr>
        <w:t xml:space="preserve"> who were problem gamblers in 2012</w:t>
      </w:r>
      <w:r>
        <w:rPr>
          <w:szCs w:val="22"/>
        </w:rPr>
        <w:t>,</w:t>
      </w:r>
      <w:r w:rsidRPr="00D94777">
        <w:rPr>
          <w:szCs w:val="22"/>
        </w:rPr>
        <w:t xml:space="preserve"> </w:t>
      </w:r>
      <w:r w:rsidR="00D94777" w:rsidRPr="00D94777">
        <w:rPr>
          <w:szCs w:val="22"/>
        </w:rPr>
        <w:t xml:space="preserve">55.9% (CI </w:t>
      </w:r>
      <w:r w:rsidR="00725764">
        <w:rPr>
          <w:szCs w:val="22"/>
        </w:rPr>
        <w:t>35.0 - 76.8)</w:t>
      </w:r>
      <w:r w:rsidR="00964B49">
        <w:rPr>
          <w:szCs w:val="22"/>
        </w:rPr>
        <w:t xml:space="preserve">, </w:t>
      </w:r>
      <w:r>
        <w:rPr>
          <w:szCs w:val="22"/>
        </w:rPr>
        <w:t>approximately</w:t>
      </w:r>
      <w:r w:rsidR="00964B49">
        <w:rPr>
          <w:szCs w:val="22"/>
        </w:rPr>
        <w:t xml:space="preserve"> 7,261 people (CI 4,546 - 9,976), </w:t>
      </w:r>
      <w:r w:rsidR="00D94777" w:rsidRPr="00D94777">
        <w:rPr>
          <w:szCs w:val="22"/>
        </w:rPr>
        <w:t>were no longer problem gamblers in 2013; 9.7% became moderate-risk gamblers and 46.2% became low-risk or non-problem gamblers</w:t>
      </w:r>
      <w:r>
        <w:rPr>
          <w:szCs w:val="22"/>
        </w:rPr>
        <w:t>.</w:t>
      </w:r>
    </w:p>
    <w:p w:rsidR="00D94777" w:rsidRPr="00D94777" w:rsidRDefault="00A67A98" w:rsidP="0028155F">
      <w:pPr>
        <w:pStyle w:val="ListParagraph"/>
        <w:numPr>
          <w:ilvl w:val="0"/>
          <w:numId w:val="45"/>
        </w:numPr>
        <w:ind w:left="851" w:hanging="491"/>
        <w:jc w:val="both"/>
        <w:rPr>
          <w:szCs w:val="22"/>
        </w:rPr>
      </w:pPr>
      <w:r>
        <w:rPr>
          <w:szCs w:val="22"/>
        </w:rPr>
        <w:t>Of those</w:t>
      </w:r>
      <w:r w:rsidRPr="00D94777">
        <w:rPr>
          <w:szCs w:val="22"/>
        </w:rPr>
        <w:t xml:space="preserve"> who were moderate-risk gamblers in 2012</w:t>
      </w:r>
      <w:r>
        <w:rPr>
          <w:szCs w:val="22"/>
        </w:rPr>
        <w:t xml:space="preserve">, </w:t>
      </w:r>
      <w:r w:rsidR="00D94777" w:rsidRPr="00D94777">
        <w:rPr>
          <w:szCs w:val="22"/>
        </w:rPr>
        <w:t xml:space="preserve">62.9% (CI </w:t>
      </w:r>
      <w:r w:rsidR="00964B49">
        <w:rPr>
          <w:szCs w:val="22"/>
        </w:rPr>
        <w:t xml:space="preserve">49.3 - 76.5), </w:t>
      </w:r>
      <w:r>
        <w:rPr>
          <w:szCs w:val="22"/>
        </w:rPr>
        <w:t xml:space="preserve">approximately </w:t>
      </w:r>
      <w:r w:rsidR="00964B49">
        <w:rPr>
          <w:szCs w:val="22"/>
        </w:rPr>
        <w:t xml:space="preserve">25,782 people (CI 20,207 - 31,356) </w:t>
      </w:r>
      <w:r w:rsidR="00D94777" w:rsidRPr="00D94777">
        <w:rPr>
          <w:szCs w:val="22"/>
        </w:rPr>
        <w:t xml:space="preserve">were no longer moderate-risk or problem gamblers </w:t>
      </w:r>
      <w:r w:rsidR="00964B49">
        <w:rPr>
          <w:szCs w:val="22"/>
        </w:rPr>
        <w:t xml:space="preserve">in </w:t>
      </w:r>
      <w:r w:rsidR="00D94777" w:rsidRPr="00D94777">
        <w:rPr>
          <w:szCs w:val="22"/>
        </w:rPr>
        <w:t>2013</w:t>
      </w:r>
      <w:r w:rsidR="0028155F">
        <w:rPr>
          <w:szCs w:val="22"/>
        </w:rPr>
        <w:t>.</w:t>
      </w:r>
    </w:p>
    <w:p w:rsidR="00D94777" w:rsidRDefault="00D94777" w:rsidP="00D94777">
      <w:pPr>
        <w:jc w:val="both"/>
        <w:rPr>
          <w:szCs w:val="22"/>
        </w:rPr>
      </w:pPr>
    </w:p>
    <w:p w:rsidR="006B005C" w:rsidRPr="00D94777" w:rsidRDefault="006B005C" w:rsidP="00D94777">
      <w:pPr>
        <w:jc w:val="both"/>
        <w:rPr>
          <w:szCs w:val="22"/>
        </w:rPr>
      </w:pPr>
    </w:p>
    <w:p w:rsidR="00D94777" w:rsidRPr="0028155F" w:rsidRDefault="00D94777" w:rsidP="0028155F">
      <w:pPr>
        <w:keepNext/>
        <w:jc w:val="both"/>
        <w:rPr>
          <w:szCs w:val="22"/>
          <w:u w:val="single"/>
        </w:rPr>
      </w:pPr>
      <w:r w:rsidRPr="0028155F">
        <w:rPr>
          <w:szCs w:val="22"/>
          <w:u w:val="single"/>
        </w:rPr>
        <w:t>Stability of PGSI groups</w:t>
      </w:r>
    </w:p>
    <w:p w:rsidR="00D94777" w:rsidRPr="00D94777" w:rsidRDefault="00D94777" w:rsidP="0028155F">
      <w:pPr>
        <w:pStyle w:val="ListParagraph"/>
        <w:keepNext/>
        <w:numPr>
          <w:ilvl w:val="0"/>
          <w:numId w:val="45"/>
        </w:numPr>
        <w:ind w:left="851" w:hanging="491"/>
        <w:jc w:val="both"/>
        <w:rPr>
          <w:szCs w:val="22"/>
        </w:rPr>
      </w:pPr>
      <w:r w:rsidRPr="00D94777">
        <w:rPr>
          <w:szCs w:val="22"/>
        </w:rPr>
        <w:t>Non-problem and non-gamblers were the most stable between 2012 and 2013 with 82.5% and 64.7% respectively staying in the same group</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Problem gamblers were the next most stable with 44.1% staying in the same group</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Participants in the low-risk and moderate-risk groups were the least stable with only 25.7% and 2</w:t>
      </w:r>
      <w:r w:rsidR="00906FD8">
        <w:rPr>
          <w:szCs w:val="22"/>
        </w:rPr>
        <w:t>7</w:t>
      </w:r>
      <w:r w:rsidRPr="00D94777">
        <w:rPr>
          <w:szCs w:val="22"/>
        </w:rPr>
        <w:t>.</w:t>
      </w:r>
      <w:r w:rsidR="00906FD8">
        <w:rPr>
          <w:szCs w:val="22"/>
        </w:rPr>
        <w:t>5</w:t>
      </w:r>
      <w:r w:rsidRPr="00D94777">
        <w:rPr>
          <w:szCs w:val="22"/>
        </w:rPr>
        <w:t>% respectively remaining in the same group</w:t>
      </w:r>
      <w:r w:rsidR="0028155F">
        <w:rPr>
          <w:szCs w:val="22"/>
        </w:rPr>
        <w:t>.</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D94777" w:rsidP="00D94777">
      <w:pPr>
        <w:jc w:val="both"/>
        <w:rPr>
          <w:szCs w:val="22"/>
          <w:u w:val="single"/>
        </w:rPr>
      </w:pPr>
      <w:r w:rsidRPr="0028155F">
        <w:rPr>
          <w:szCs w:val="22"/>
          <w:u w:val="single"/>
        </w:rPr>
        <w:t>Transition to increased risk or problem gambling</w:t>
      </w:r>
    </w:p>
    <w:p w:rsidR="00D94777" w:rsidRPr="00D94777" w:rsidRDefault="00D94777" w:rsidP="0028155F">
      <w:pPr>
        <w:pStyle w:val="ListParagraph"/>
        <w:numPr>
          <w:ilvl w:val="0"/>
          <w:numId w:val="45"/>
        </w:numPr>
        <w:ind w:left="851" w:hanging="491"/>
        <w:jc w:val="both"/>
        <w:rPr>
          <w:szCs w:val="22"/>
        </w:rPr>
      </w:pPr>
      <w:r w:rsidRPr="00D94777">
        <w:rPr>
          <w:szCs w:val="22"/>
        </w:rPr>
        <w:t>A third o</w:t>
      </w:r>
      <w:r w:rsidR="00A24871">
        <w:rPr>
          <w:szCs w:val="22"/>
        </w:rPr>
        <w:t>f</w:t>
      </w:r>
      <w:r w:rsidRPr="00D94777">
        <w:rPr>
          <w:szCs w:val="22"/>
        </w:rPr>
        <w:t xml:space="preserve"> non-gamblers in 2012 became non-problem gamblers in 2013; 2.2% became low-risk or moderate-risk gamblers and 0.1% became problem gamblers</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A small proportion (5.5%) of 2012 non-problem gamblers became low-risk or moderate-risk gamblers in 2012 and 0.1% became problem gamblers</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A somewhat larger proportion (11.7%) of low-risk gamblers became moderate-risk gamblers in 2013 and 0.8% transitioned to problem gambling</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Around one</w:t>
      </w:r>
      <w:r w:rsidR="00A24871">
        <w:rPr>
          <w:szCs w:val="22"/>
        </w:rPr>
        <w:t xml:space="preserve"> </w:t>
      </w:r>
      <w:r w:rsidRPr="00D94777">
        <w:rPr>
          <w:szCs w:val="22"/>
        </w:rPr>
        <w:t>in ten (9.6%) moderate-risk gamblers became problem gamblers in 2013</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Although moderate-risk gamblers had a much higher probability of becoming problem gamblers than did low-risk, non-problem and non-gamblers, as a consequence of their greater size approximately half of new problem </w:t>
      </w:r>
      <w:r w:rsidR="0028155F">
        <w:rPr>
          <w:szCs w:val="22"/>
        </w:rPr>
        <w:t>gamblers came from these groups.</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D94777" w:rsidP="00D94777">
      <w:pPr>
        <w:jc w:val="both"/>
        <w:rPr>
          <w:szCs w:val="22"/>
          <w:u w:val="single"/>
        </w:rPr>
      </w:pPr>
      <w:r w:rsidRPr="0028155F">
        <w:rPr>
          <w:szCs w:val="22"/>
          <w:u w:val="single"/>
        </w:rPr>
        <w:t>Transition to lower risk, non-problem gambling and non-gambling</w:t>
      </w:r>
    </w:p>
    <w:p w:rsidR="00D94777" w:rsidRPr="00D94777" w:rsidRDefault="00D94777" w:rsidP="0028155F">
      <w:pPr>
        <w:pStyle w:val="ListParagraph"/>
        <w:numPr>
          <w:ilvl w:val="0"/>
          <w:numId w:val="45"/>
        </w:numPr>
        <w:ind w:left="851" w:hanging="491"/>
        <w:jc w:val="both"/>
        <w:rPr>
          <w:szCs w:val="22"/>
        </w:rPr>
      </w:pPr>
      <w:r w:rsidRPr="00D94777">
        <w:rPr>
          <w:szCs w:val="22"/>
        </w:rPr>
        <w:t>A third of 2012 problem gamblers moved into the non-problem gambling category in 2013, 26.6% became low-risk and gamblers and 9.7% became moderate-risk gamblers</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 xml:space="preserve">Over half of moderate-risk gamblers moved into the low-risk </w:t>
      </w:r>
      <w:r w:rsidR="00A24871">
        <w:rPr>
          <w:szCs w:val="22"/>
        </w:rPr>
        <w:t>(</w:t>
      </w:r>
      <w:r w:rsidRPr="00D94777">
        <w:rPr>
          <w:szCs w:val="22"/>
        </w:rPr>
        <w:t xml:space="preserve">25.3%) or non-problem </w:t>
      </w:r>
      <w:r w:rsidR="00A24871">
        <w:rPr>
          <w:szCs w:val="22"/>
        </w:rPr>
        <w:t xml:space="preserve">groups </w:t>
      </w:r>
      <w:r w:rsidRPr="00D94777">
        <w:rPr>
          <w:szCs w:val="22"/>
        </w:rPr>
        <w:t>(30.7%) and 6.9% stopped gambling</w:t>
      </w:r>
      <w:r w:rsidR="00A24871">
        <w:rPr>
          <w:szCs w:val="22"/>
        </w:rPr>
        <w:t>.</w:t>
      </w:r>
    </w:p>
    <w:p w:rsidR="00D94777" w:rsidRPr="00D94777" w:rsidRDefault="00D94777" w:rsidP="0028155F">
      <w:pPr>
        <w:pStyle w:val="ListParagraph"/>
        <w:numPr>
          <w:ilvl w:val="0"/>
          <w:numId w:val="45"/>
        </w:numPr>
        <w:ind w:left="851" w:hanging="491"/>
        <w:jc w:val="both"/>
        <w:rPr>
          <w:szCs w:val="22"/>
        </w:rPr>
      </w:pPr>
      <w:r w:rsidRPr="00D94777">
        <w:rPr>
          <w:szCs w:val="22"/>
        </w:rPr>
        <w:t>Over half (54.6%) of low-risk gamblers became non-problem gambl</w:t>
      </w:r>
      <w:r w:rsidR="00A24871">
        <w:rPr>
          <w:szCs w:val="22"/>
        </w:rPr>
        <w:t>ers and 7.2% </w:t>
      </w:r>
      <w:r w:rsidR="0028155F">
        <w:rPr>
          <w:szCs w:val="22"/>
        </w:rPr>
        <w:t>stopped gambling.</w:t>
      </w:r>
    </w:p>
    <w:p w:rsidR="00D94777" w:rsidRDefault="00D94777" w:rsidP="00D94777">
      <w:pPr>
        <w:jc w:val="both"/>
        <w:rPr>
          <w:szCs w:val="22"/>
        </w:rPr>
      </w:pPr>
    </w:p>
    <w:p w:rsidR="0028155F" w:rsidRDefault="0076750D" w:rsidP="0076750D">
      <w:pPr>
        <w:keepNext/>
        <w:jc w:val="both"/>
        <w:rPr>
          <w:szCs w:val="22"/>
        </w:rPr>
      </w:pPr>
      <w:r w:rsidRPr="009F5E09">
        <w:rPr>
          <w:szCs w:val="22"/>
        </w:rPr>
        <w:lastRenderedPageBreak/>
        <w:t>Transitions to increased or lower risk are shown pictorially below.</w:t>
      </w:r>
    </w:p>
    <w:p w:rsidR="0076750D" w:rsidRDefault="0076750D" w:rsidP="0076750D">
      <w:pPr>
        <w:keepNext/>
        <w:jc w:val="both"/>
        <w:rPr>
          <w:szCs w:val="22"/>
        </w:rPr>
      </w:pPr>
    </w:p>
    <w:p w:rsidR="0076750D" w:rsidRDefault="0076750D" w:rsidP="0076750D">
      <w:pPr>
        <w:keepNext/>
        <w:jc w:val="both"/>
        <w:rPr>
          <w:szCs w:val="22"/>
        </w:rPr>
      </w:pPr>
      <w:r w:rsidRPr="000C00B1">
        <w:rPr>
          <w:noProof/>
          <w:lang w:eastAsia="en-NZ"/>
        </w:rPr>
        <w:drawing>
          <wp:inline distT="0" distB="0" distL="0" distR="0" wp14:anchorId="3D67726F" wp14:editId="449DDF92">
            <wp:extent cx="5274310" cy="201891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018917"/>
                    </a:xfrm>
                    <a:prstGeom prst="rect">
                      <a:avLst/>
                    </a:prstGeom>
                    <a:noFill/>
                    <a:ln>
                      <a:noFill/>
                    </a:ln>
                  </pic:spPr>
                </pic:pic>
              </a:graphicData>
            </a:graphic>
          </wp:inline>
        </w:drawing>
      </w:r>
    </w:p>
    <w:p w:rsidR="0076750D" w:rsidRDefault="0076750D" w:rsidP="00D94777">
      <w:pPr>
        <w:jc w:val="both"/>
        <w:rPr>
          <w:szCs w:val="22"/>
        </w:rPr>
      </w:pPr>
    </w:p>
    <w:p w:rsidR="0076750D" w:rsidRDefault="0076750D" w:rsidP="00D94777">
      <w:pPr>
        <w:jc w:val="both"/>
        <w:rPr>
          <w:b/>
          <w:szCs w:val="22"/>
          <w:highlight w:val="yellow"/>
        </w:rPr>
      </w:pPr>
    </w:p>
    <w:p w:rsidR="00D94777" w:rsidRPr="009F5E09" w:rsidRDefault="00A6030C" w:rsidP="00D94777">
      <w:pPr>
        <w:jc w:val="both"/>
        <w:rPr>
          <w:b/>
          <w:szCs w:val="22"/>
        </w:rPr>
      </w:pPr>
      <w:r w:rsidRPr="009F5E09">
        <w:rPr>
          <w:b/>
          <w:szCs w:val="22"/>
        </w:rPr>
        <w:t>Risk</w:t>
      </w:r>
      <w:r w:rsidR="004C5D0D" w:rsidRPr="009F5E09">
        <w:rPr>
          <w:b/>
          <w:szCs w:val="22"/>
        </w:rPr>
        <w:t xml:space="preserve"> and protective</w:t>
      </w:r>
      <w:r w:rsidRPr="009F5E09">
        <w:rPr>
          <w:b/>
          <w:szCs w:val="22"/>
        </w:rPr>
        <w:t xml:space="preserve"> factors </w:t>
      </w:r>
      <w:r w:rsidR="004C5D0D" w:rsidRPr="009F5E09">
        <w:rPr>
          <w:b/>
          <w:szCs w:val="22"/>
        </w:rPr>
        <w:t>and associations with</w:t>
      </w:r>
      <w:r w:rsidR="00D94777" w:rsidRPr="009F5E09">
        <w:rPr>
          <w:b/>
          <w:szCs w:val="22"/>
        </w:rPr>
        <w:t xml:space="preserve"> transition to moderate-risk</w:t>
      </w:r>
      <w:r w:rsidR="000419A2" w:rsidRPr="009F5E09">
        <w:rPr>
          <w:b/>
          <w:szCs w:val="22"/>
        </w:rPr>
        <w:t>/</w:t>
      </w:r>
      <w:r w:rsidR="00D94777" w:rsidRPr="009F5E09">
        <w:rPr>
          <w:b/>
          <w:szCs w:val="22"/>
        </w:rPr>
        <w:t>problem gambling</w:t>
      </w:r>
    </w:p>
    <w:p w:rsidR="00D94777" w:rsidRPr="009F5E09" w:rsidRDefault="00D94777" w:rsidP="00D94777">
      <w:pPr>
        <w:jc w:val="both"/>
        <w:rPr>
          <w:szCs w:val="22"/>
        </w:rPr>
      </w:pPr>
    </w:p>
    <w:p w:rsidR="00D94777" w:rsidRPr="009F5E09" w:rsidRDefault="00D94777" w:rsidP="00D94777">
      <w:pPr>
        <w:jc w:val="both"/>
        <w:rPr>
          <w:szCs w:val="22"/>
        </w:rPr>
      </w:pPr>
      <w:r w:rsidRPr="009F5E09">
        <w:rPr>
          <w:szCs w:val="22"/>
        </w:rPr>
        <w:t>In 2013</w:t>
      </w:r>
      <w:r w:rsidR="00A24871" w:rsidRPr="009F5E09">
        <w:rPr>
          <w:szCs w:val="22"/>
        </w:rPr>
        <w:t>,</w:t>
      </w:r>
      <w:r w:rsidRPr="009F5E09">
        <w:rPr>
          <w:szCs w:val="22"/>
        </w:rPr>
        <w:t xml:space="preserve"> 45 participants (adjusted data) transitioned into the moderate-risk or problem gambling </w:t>
      </w:r>
      <w:r w:rsidR="00A24871" w:rsidRPr="009F5E09">
        <w:rPr>
          <w:szCs w:val="22"/>
        </w:rPr>
        <w:t xml:space="preserve">groups </w:t>
      </w:r>
      <w:r w:rsidRPr="009F5E09">
        <w:rPr>
          <w:szCs w:val="22"/>
        </w:rPr>
        <w:t>from being non-problem or low-risk gamblers in 2012.</w:t>
      </w:r>
    </w:p>
    <w:p w:rsidR="00D94777" w:rsidRPr="009F5E09" w:rsidRDefault="00D94777" w:rsidP="00D94777">
      <w:pPr>
        <w:jc w:val="both"/>
        <w:rPr>
          <w:szCs w:val="22"/>
        </w:rPr>
      </w:pPr>
    </w:p>
    <w:p w:rsidR="00D94777" w:rsidRPr="00D94777" w:rsidRDefault="00D94777" w:rsidP="00D94777">
      <w:pPr>
        <w:jc w:val="both"/>
        <w:rPr>
          <w:szCs w:val="22"/>
        </w:rPr>
      </w:pPr>
      <w:r w:rsidRPr="009F5E09">
        <w:rPr>
          <w:szCs w:val="22"/>
        </w:rPr>
        <w:t xml:space="preserve">Gambling participation measures, assessed in 2012, were generally the strongest predictors </w:t>
      </w:r>
      <w:r w:rsidR="00A6030C" w:rsidRPr="009F5E09">
        <w:rPr>
          <w:szCs w:val="22"/>
        </w:rPr>
        <w:t xml:space="preserve">(risk factors) </w:t>
      </w:r>
      <w:r w:rsidRPr="009F5E09">
        <w:rPr>
          <w:szCs w:val="22"/>
        </w:rPr>
        <w:t>of movement from non-problem and low-risk gambling to problem and moderate-</w:t>
      </w:r>
      <w:r w:rsidRPr="00D94777">
        <w:rPr>
          <w:szCs w:val="22"/>
        </w:rPr>
        <w:t>risk gambling in 2013.  For example, relative to adults who participated in one gambling activity in the past 12 months, those who took part in seven to nine (</w:t>
      </w:r>
      <w:r w:rsidR="00A24871">
        <w:rPr>
          <w:szCs w:val="22"/>
        </w:rPr>
        <w:t>Odds Ratio (OR)</w:t>
      </w:r>
      <w:r w:rsidRPr="00D94777">
        <w:rPr>
          <w:szCs w:val="22"/>
        </w:rPr>
        <w:t xml:space="preserve"> 4.6) or 10 </w:t>
      </w:r>
      <w:r w:rsidR="00A24871">
        <w:rPr>
          <w:szCs w:val="22"/>
        </w:rPr>
        <w:t xml:space="preserve">or </w:t>
      </w:r>
      <w:r w:rsidR="00665A34">
        <w:rPr>
          <w:szCs w:val="22"/>
        </w:rPr>
        <w:t>more (OR </w:t>
      </w:r>
      <w:r w:rsidRPr="00D94777">
        <w:rPr>
          <w:szCs w:val="22"/>
        </w:rPr>
        <w:t xml:space="preserve">16.0) </w:t>
      </w:r>
      <w:r w:rsidR="00A24871">
        <w:rPr>
          <w:szCs w:val="22"/>
        </w:rPr>
        <w:t xml:space="preserve">activities </w:t>
      </w:r>
      <w:r w:rsidRPr="00D94777">
        <w:rPr>
          <w:szCs w:val="22"/>
        </w:rPr>
        <w:t xml:space="preserve">were respectively nearly five and sixteen more times more likely to become a problem or moderate-risk gambler.  Relative to infrequent gamblers, </w:t>
      </w:r>
      <w:r w:rsidR="00A24871">
        <w:rPr>
          <w:szCs w:val="22"/>
        </w:rPr>
        <w:t>regular continuous gamblers (OR </w:t>
      </w:r>
      <w:r w:rsidRPr="00D94777">
        <w:rPr>
          <w:szCs w:val="22"/>
        </w:rPr>
        <w:t>2.7) were around three times more likely to develop problems.  High typical monthly gambling expenditure ($101</w:t>
      </w:r>
      <w:r w:rsidR="00A24871">
        <w:rPr>
          <w:szCs w:val="22"/>
        </w:rPr>
        <w:t xml:space="preserve"> </w:t>
      </w:r>
      <w:r w:rsidRPr="00D94777">
        <w:rPr>
          <w:szCs w:val="22"/>
        </w:rPr>
        <w:t>-</w:t>
      </w:r>
      <w:r w:rsidR="00A24871">
        <w:rPr>
          <w:szCs w:val="22"/>
        </w:rPr>
        <w:t xml:space="preserve"> </w:t>
      </w:r>
      <w:r w:rsidRPr="00D94777">
        <w:rPr>
          <w:szCs w:val="22"/>
        </w:rPr>
        <w:t>$500</w:t>
      </w:r>
      <w:r w:rsidR="00A24871">
        <w:rPr>
          <w:szCs w:val="22"/>
        </w:rPr>
        <w:t>,</w:t>
      </w:r>
      <w:r w:rsidRPr="00D94777">
        <w:rPr>
          <w:szCs w:val="22"/>
        </w:rPr>
        <w:t xml:space="preserve"> OR 4.</w:t>
      </w:r>
      <w:r w:rsidR="00665A34">
        <w:rPr>
          <w:szCs w:val="22"/>
        </w:rPr>
        <w:t>1</w:t>
      </w:r>
      <w:r w:rsidRPr="00D94777">
        <w:rPr>
          <w:szCs w:val="22"/>
        </w:rPr>
        <w:t>) was also a risk factor</w:t>
      </w:r>
      <w:r w:rsidR="00A24871">
        <w:rPr>
          <w:szCs w:val="22"/>
        </w:rPr>
        <w:t>,</w:t>
      </w:r>
      <w:r w:rsidRPr="00D94777">
        <w:rPr>
          <w:szCs w:val="22"/>
        </w:rPr>
        <w:t xml:space="preserve"> as </w:t>
      </w:r>
      <w:r w:rsidR="00A24871">
        <w:rPr>
          <w:szCs w:val="22"/>
        </w:rPr>
        <w:t>were</w:t>
      </w:r>
      <w:r w:rsidRPr="00D94777">
        <w:rPr>
          <w:szCs w:val="22"/>
        </w:rPr>
        <w:t xml:space="preserve"> both annual and monthly participation in a wide variety of particular gambling activities.  Monthly or more frequent participation in EGMs was particularly strongly linked (casino EGMs OR 11.5; club EGMs OR 14.1; pub EGMs OR 6.1) to the development of problem and moderate-risk gambling as was longer average EGM sessions in these venues.  Gambling with other people was a protective factor (approximately 0.3 times) relative to gambling alone.  Setting a dollar figure before leaving home (OR 3.0), avoiding places that have gambling or betting (OR 5.2) and seeking help </w:t>
      </w:r>
      <w:r w:rsidR="00FA7721" w:rsidRPr="009F5E09">
        <w:rPr>
          <w:szCs w:val="22"/>
        </w:rPr>
        <w:t xml:space="preserve">(from formal and informal sources) </w:t>
      </w:r>
      <w:r w:rsidRPr="00D94777">
        <w:rPr>
          <w:szCs w:val="22"/>
        </w:rPr>
        <w:t xml:space="preserve">in the past year for gambling (OR 26.0) were additional risk factors.  Thirty-one percent of new moderate-risk or problem gamblers said they had sought help </w:t>
      </w:r>
      <w:r w:rsidR="00FA7721" w:rsidRPr="009F5E09">
        <w:rPr>
          <w:szCs w:val="22"/>
        </w:rPr>
        <w:t xml:space="preserve">(from formal and informal sources) </w:t>
      </w:r>
      <w:r w:rsidRPr="00D94777">
        <w:rPr>
          <w:szCs w:val="22"/>
        </w:rPr>
        <w:t xml:space="preserve">in the past year. </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Ethnicity was also significantly associated with the development of problem and moderate-risk gambling with Pacific adults being at particularly high risk (OR 7.1) relative to European/</w:t>
      </w:r>
      <w:r w:rsidR="00A24871">
        <w:rPr>
          <w:szCs w:val="22"/>
        </w:rPr>
        <w:t xml:space="preserve"> </w:t>
      </w:r>
      <w:r w:rsidRPr="00D94777">
        <w:rPr>
          <w:szCs w:val="22"/>
        </w:rPr>
        <w:t xml:space="preserve">Other.  </w:t>
      </w:r>
      <w:r w:rsidR="00A24871" w:rsidRPr="00D94777">
        <w:rPr>
          <w:szCs w:val="22"/>
        </w:rPr>
        <w:t>Mā</w:t>
      </w:r>
      <w:r w:rsidR="00A24871">
        <w:rPr>
          <w:szCs w:val="22"/>
        </w:rPr>
        <w:t>o</w:t>
      </w:r>
      <w:r w:rsidR="00A24871" w:rsidRPr="00D94777">
        <w:rPr>
          <w:szCs w:val="22"/>
        </w:rPr>
        <w:t>ri</w:t>
      </w:r>
      <w:r w:rsidRPr="00D94777">
        <w:rPr>
          <w:szCs w:val="22"/>
        </w:rPr>
        <w:t xml:space="preserve"> (OR 3.7) and </w:t>
      </w:r>
      <w:r w:rsidR="00971147">
        <w:rPr>
          <w:szCs w:val="22"/>
        </w:rPr>
        <w:t>Asian people</w:t>
      </w:r>
      <w:r w:rsidRPr="00D94777">
        <w:rPr>
          <w:szCs w:val="22"/>
        </w:rPr>
        <w:t xml:space="preserve"> (OR 3.2) also were more likely to develop problems than European/</w:t>
      </w:r>
      <w:r w:rsidR="0063582D" w:rsidRPr="00D94777">
        <w:rPr>
          <w:szCs w:val="22"/>
        </w:rPr>
        <w:t>Other</w:t>
      </w:r>
      <w:r w:rsidRPr="00D94777">
        <w:rPr>
          <w:szCs w:val="22"/>
        </w:rPr>
        <w:t>.  Additional demographic risk factors included being non-New Zealand born (OR 1.9) and having household incomes of $40,001</w:t>
      </w:r>
      <w:r w:rsidR="0063582D">
        <w:rPr>
          <w:szCs w:val="22"/>
        </w:rPr>
        <w:t xml:space="preserve"> </w:t>
      </w:r>
      <w:r w:rsidRPr="00D94777">
        <w:rPr>
          <w:szCs w:val="22"/>
        </w:rPr>
        <w:t>-</w:t>
      </w:r>
      <w:r w:rsidR="0063582D">
        <w:rPr>
          <w:szCs w:val="22"/>
        </w:rPr>
        <w:t xml:space="preserve"> </w:t>
      </w:r>
      <w:r w:rsidRPr="00D94777">
        <w:rPr>
          <w:szCs w:val="22"/>
        </w:rPr>
        <w:t>$60,000 (OR 2.7) or $60,001</w:t>
      </w:r>
      <w:r w:rsidR="0063582D">
        <w:rPr>
          <w:szCs w:val="22"/>
        </w:rPr>
        <w:t xml:space="preserve"> </w:t>
      </w:r>
      <w:r w:rsidRPr="00D94777">
        <w:rPr>
          <w:szCs w:val="22"/>
        </w:rPr>
        <w:t>-</w:t>
      </w:r>
      <w:r w:rsidR="0063582D">
        <w:rPr>
          <w:szCs w:val="22"/>
        </w:rPr>
        <w:t xml:space="preserve"> $80,000 (OR 3.3) relative to &lt;$20,000</w:t>
      </w:r>
      <w:r w:rsidRPr="00D94777">
        <w:rPr>
          <w:szCs w:val="22"/>
        </w:rPr>
        <w:t>.  Psychological distres</w:t>
      </w:r>
      <w:r w:rsidR="0063582D">
        <w:rPr>
          <w:szCs w:val="22"/>
        </w:rPr>
        <w:t>s (mid-high range, OR </w:t>
      </w:r>
      <w:r w:rsidR="00004F68">
        <w:rPr>
          <w:szCs w:val="22"/>
        </w:rPr>
        <w:t>5.1</w:t>
      </w:r>
      <w:r w:rsidRPr="00D94777">
        <w:rPr>
          <w:szCs w:val="22"/>
        </w:rPr>
        <w:t>, relative to low range) was the only health-related factor significantly associated with the transition to problem or moderate-risk gambling.</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lastRenderedPageBreak/>
        <w:t>Given the substantial overlap between the various measures</w:t>
      </w:r>
      <w:r w:rsidR="0063582D">
        <w:rPr>
          <w:szCs w:val="22"/>
        </w:rPr>
        <w:t>,</w:t>
      </w:r>
      <w:r w:rsidRPr="00D94777">
        <w:rPr>
          <w:szCs w:val="22"/>
        </w:rPr>
        <w:t xml:space="preserve"> a multivariate logistic regression analysis was conducted to identify the strongest independent predictors.  Past year participation in casino table games or EGMs in New Zealand (OR 5.2) and overseas (OR 3.9) were the only gambling participation measures that remained.  Gambling with other people was again found to be protective (OR 0.2 for gambling with one other person; OR 0.</w:t>
      </w:r>
      <w:r w:rsidR="00004F68">
        <w:rPr>
          <w:szCs w:val="22"/>
        </w:rPr>
        <w:t>3</w:t>
      </w:r>
      <w:r w:rsidRPr="00D94777">
        <w:rPr>
          <w:szCs w:val="22"/>
        </w:rPr>
        <w:t xml:space="preserve"> for gambling with several people/a group) and avoiding places th</w:t>
      </w:r>
      <w:r w:rsidR="0063582D">
        <w:rPr>
          <w:szCs w:val="22"/>
        </w:rPr>
        <w:t>at have betting or gambling (OR </w:t>
      </w:r>
      <w:r w:rsidRPr="00D94777">
        <w:rPr>
          <w:szCs w:val="22"/>
        </w:rPr>
        <w:t>4.1) remained a ri</w:t>
      </w:r>
      <w:r w:rsidR="0063582D">
        <w:rPr>
          <w:szCs w:val="22"/>
        </w:rPr>
        <w:t xml:space="preserve">sk factor.  Pacific (OR 6.0), Māori </w:t>
      </w:r>
      <w:r w:rsidRPr="00D94777">
        <w:rPr>
          <w:szCs w:val="22"/>
        </w:rPr>
        <w:t xml:space="preserve">(OR 3.5) and </w:t>
      </w:r>
      <w:r w:rsidR="00971147">
        <w:rPr>
          <w:szCs w:val="22"/>
        </w:rPr>
        <w:t xml:space="preserve">Asian </w:t>
      </w:r>
      <w:r w:rsidRPr="00D94777">
        <w:rPr>
          <w:szCs w:val="22"/>
        </w:rPr>
        <w:t xml:space="preserve">(OR 3.2) ethnicity also remained significant risk factors when confounding factors were controlled, as did mid-high psychological distress (OR 4.4).  </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4C5D0D" w:rsidP="00D94777">
      <w:pPr>
        <w:jc w:val="both"/>
        <w:rPr>
          <w:b/>
          <w:szCs w:val="22"/>
        </w:rPr>
      </w:pPr>
      <w:r w:rsidRPr="009F5E09">
        <w:rPr>
          <w:b/>
          <w:szCs w:val="22"/>
        </w:rPr>
        <w:t xml:space="preserve">Risk and protective factors and associations with </w:t>
      </w:r>
      <w:r w:rsidR="00D94777" w:rsidRPr="009F5E09">
        <w:rPr>
          <w:b/>
          <w:szCs w:val="22"/>
        </w:rPr>
        <w:t>transition to low-risk</w:t>
      </w:r>
      <w:r w:rsidR="000419A2" w:rsidRPr="009F5E09">
        <w:rPr>
          <w:b/>
          <w:szCs w:val="22"/>
        </w:rPr>
        <w:t>/</w:t>
      </w:r>
      <w:r w:rsidR="00D94777" w:rsidRPr="009F5E09">
        <w:rPr>
          <w:b/>
          <w:szCs w:val="22"/>
        </w:rPr>
        <w:t>moderate-risk</w:t>
      </w:r>
      <w:r w:rsidR="000419A2" w:rsidRPr="009F5E09">
        <w:rPr>
          <w:b/>
          <w:szCs w:val="22"/>
        </w:rPr>
        <w:t>/</w:t>
      </w:r>
      <w:r>
        <w:rPr>
          <w:b/>
          <w:szCs w:val="22"/>
        </w:rPr>
        <w:t xml:space="preserve"> </w:t>
      </w:r>
      <w:r w:rsidR="00D94777" w:rsidRPr="0028155F">
        <w:rPr>
          <w:b/>
          <w:szCs w:val="22"/>
        </w:rPr>
        <w:t>problem gambling</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In 2013</w:t>
      </w:r>
      <w:r w:rsidR="005A4C04">
        <w:rPr>
          <w:szCs w:val="22"/>
        </w:rPr>
        <w:t>,</w:t>
      </w:r>
      <w:r w:rsidRPr="00D94777">
        <w:rPr>
          <w:szCs w:val="22"/>
        </w:rPr>
        <w:t xml:space="preserve"> 155 participants </w:t>
      </w:r>
      <w:r w:rsidR="005A4C04" w:rsidRPr="00D94777">
        <w:rPr>
          <w:szCs w:val="22"/>
        </w:rPr>
        <w:t xml:space="preserve">(adjusted data) </w:t>
      </w:r>
      <w:r w:rsidRPr="00D94777">
        <w:rPr>
          <w:szCs w:val="22"/>
        </w:rPr>
        <w:t>transitioned into the low-risk, moderate-risk or problem gambling categories from the non-problem gambling category in 2012.</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 xml:space="preserve">As with the transition to moderate-risk or problem gambling, a large number of gambling participation measures predicted future low-risk, moderate-risk or problem gambling.  </w:t>
      </w:r>
      <w:r w:rsidR="005A4C04">
        <w:rPr>
          <w:szCs w:val="22"/>
        </w:rPr>
        <w:t>Similar to</w:t>
      </w:r>
      <w:r w:rsidRPr="00D94777">
        <w:rPr>
          <w:szCs w:val="22"/>
        </w:rPr>
        <w:t xml:space="preserve"> the previous analyses</w:t>
      </w:r>
      <w:r w:rsidR="005A4C04">
        <w:rPr>
          <w:szCs w:val="22"/>
        </w:rPr>
        <w:t>,</w:t>
      </w:r>
      <w:r w:rsidRPr="00D94777">
        <w:rPr>
          <w:szCs w:val="22"/>
        </w:rPr>
        <w:t xml:space="preserve"> strong participation predictors included number of activities engaged in (7</w:t>
      </w:r>
      <w:r w:rsidR="005A4C04">
        <w:rPr>
          <w:szCs w:val="22"/>
        </w:rPr>
        <w:t xml:space="preserve"> </w:t>
      </w:r>
      <w:r w:rsidRPr="00D94777">
        <w:rPr>
          <w:szCs w:val="22"/>
        </w:rPr>
        <w:t>-</w:t>
      </w:r>
      <w:r w:rsidR="005A4C04">
        <w:rPr>
          <w:szCs w:val="22"/>
        </w:rPr>
        <w:t xml:space="preserve"> </w:t>
      </w:r>
      <w:r w:rsidRPr="00D94777">
        <w:rPr>
          <w:szCs w:val="22"/>
        </w:rPr>
        <w:t>9 OR 7.1; 10+ OR 17.1) and high typical monthly expenditure ($101</w:t>
      </w:r>
      <w:r w:rsidR="005A4C04">
        <w:rPr>
          <w:szCs w:val="22"/>
        </w:rPr>
        <w:t xml:space="preserve"> </w:t>
      </w:r>
      <w:r w:rsidRPr="00D94777">
        <w:rPr>
          <w:szCs w:val="22"/>
        </w:rPr>
        <w:t>-</w:t>
      </w:r>
      <w:r w:rsidR="005A4C04">
        <w:rPr>
          <w:szCs w:val="22"/>
        </w:rPr>
        <w:t xml:space="preserve"> </w:t>
      </w:r>
      <w:r w:rsidRPr="00D94777">
        <w:rPr>
          <w:szCs w:val="22"/>
        </w:rPr>
        <w:t xml:space="preserve">$500 OR 5.5; &gt;$500 OR 5.0).  Relative to other participation categories, </w:t>
      </w:r>
      <w:r w:rsidR="00BF5F3D">
        <w:rPr>
          <w:szCs w:val="22"/>
        </w:rPr>
        <w:t>regular continuous gamblers (OR </w:t>
      </w:r>
      <w:r w:rsidRPr="00D94777">
        <w:rPr>
          <w:szCs w:val="22"/>
        </w:rPr>
        <w:t xml:space="preserve">4.0) were also at higher risk.  As with the prediction of the transition to moderate-risk or problem gambling, annual and monthly participation in a wide variety of continuous gambling activities were implicated.  The strongest predictors </w:t>
      </w:r>
      <w:r w:rsidR="00BF5F3D" w:rsidRPr="00D94777">
        <w:rPr>
          <w:szCs w:val="22"/>
        </w:rPr>
        <w:t xml:space="preserve">again </w:t>
      </w:r>
      <w:r w:rsidRPr="00D94777">
        <w:rPr>
          <w:szCs w:val="22"/>
        </w:rPr>
        <w:t>were monthly EGM participation (casino EGMs OR</w:t>
      </w:r>
      <w:r w:rsidR="00004F68">
        <w:rPr>
          <w:szCs w:val="22"/>
        </w:rPr>
        <w:t xml:space="preserve"> </w:t>
      </w:r>
      <w:r w:rsidRPr="00D94777">
        <w:rPr>
          <w:szCs w:val="22"/>
        </w:rPr>
        <w:t>14.7; club EGMs OR 8.2; pub EGMs OR</w:t>
      </w:r>
      <w:r w:rsidR="00BF5F3D">
        <w:rPr>
          <w:szCs w:val="22"/>
        </w:rPr>
        <w:t xml:space="preserve"> </w:t>
      </w:r>
      <w:r w:rsidRPr="00D94777">
        <w:rPr>
          <w:szCs w:val="22"/>
        </w:rPr>
        <w:t>10.1; EGMs overall OR</w:t>
      </w:r>
      <w:r w:rsidR="00004F68">
        <w:rPr>
          <w:szCs w:val="22"/>
        </w:rPr>
        <w:t xml:space="preserve"> </w:t>
      </w:r>
      <w:r w:rsidRPr="00D94777">
        <w:rPr>
          <w:szCs w:val="22"/>
        </w:rPr>
        <w:t xml:space="preserve">10.6).  </w:t>
      </w:r>
      <w:r w:rsidR="00BF5F3D">
        <w:rPr>
          <w:szCs w:val="22"/>
        </w:rPr>
        <w:t>For</w:t>
      </w:r>
      <w:r w:rsidRPr="00D94777">
        <w:rPr>
          <w:szCs w:val="22"/>
        </w:rPr>
        <w:t xml:space="preserve"> this transition, monthly housie or bingo participation was also a strong risk factor (OR 9.4).  Time spent playing EGMs in an average day were additional predictors and were strongest </w:t>
      </w:r>
      <w:r w:rsidR="00BF5F3D">
        <w:rPr>
          <w:szCs w:val="22"/>
        </w:rPr>
        <w:t>for</w:t>
      </w:r>
      <w:r w:rsidRPr="00D94777">
        <w:rPr>
          <w:szCs w:val="22"/>
        </w:rPr>
        <w:t xml:space="preserve"> pub (31</w:t>
      </w:r>
      <w:r w:rsidR="00BF5F3D">
        <w:rPr>
          <w:szCs w:val="22"/>
        </w:rPr>
        <w:t xml:space="preserve"> </w:t>
      </w:r>
      <w:r w:rsidRPr="00D94777">
        <w:rPr>
          <w:szCs w:val="22"/>
        </w:rPr>
        <w:t>-</w:t>
      </w:r>
      <w:r w:rsidR="00BF5F3D">
        <w:rPr>
          <w:szCs w:val="22"/>
        </w:rPr>
        <w:t xml:space="preserve"> </w:t>
      </w:r>
      <w:r w:rsidRPr="00D94777">
        <w:rPr>
          <w:szCs w:val="22"/>
        </w:rPr>
        <w:t>60 minutes OR 5.9; &gt;60 minutes OR 9.7) and club (31</w:t>
      </w:r>
      <w:r w:rsidR="00BF5F3D">
        <w:rPr>
          <w:szCs w:val="22"/>
        </w:rPr>
        <w:t xml:space="preserve"> </w:t>
      </w:r>
      <w:r w:rsidRPr="00D94777">
        <w:rPr>
          <w:szCs w:val="22"/>
        </w:rPr>
        <w:t>-</w:t>
      </w:r>
      <w:r w:rsidR="00BF5F3D">
        <w:rPr>
          <w:szCs w:val="22"/>
        </w:rPr>
        <w:t xml:space="preserve"> 60 </w:t>
      </w:r>
      <w:r w:rsidRPr="00D94777">
        <w:rPr>
          <w:szCs w:val="22"/>
        </w:rPr>
        <w:t xml:space="preserve">minutes OR </w:t>
      </w:r>
      <w:r w:rsidR="00004F68">
        <w:rPr>
          <w:szCs w:val="22"/>
        </w:rPr>
        <w:t>6.0</w:t>
      </w:r>
      <w:r w:rsidRPr="00D94777">
        <w:rPr>
          <w:szCs w:val="22"/>
        </w:rPr>
        <w:t xml:space="preserve">; &gt;60 minutes OR 10.9) EGMs. </w:t>
      </w:r>
      <w:r w:rsidR="00004F68">
        <w:rPr>
          <w:szCs w:val="22"/>
        </w:rPr>
        <w:t xml:space="preserve"> </w:t>
      </w:r>
      <w:r w:rsidRPr="00D94777">
        <w:rPr>
          <w:szCs w:val="22"/>
        </w:rPr>
        <w:t>Gambling with other people was not protective of progression to low-risk or more serious gambling risk or problems.  Setting a dollar figure before leaving home (OR 1.9), separating gambling money from other money (OR 3.4) and setting a time limit (OR 3.9) were additional predictors, as was knowing other people with</w:t>
      </w:r>
      <w:r w:rsidR="005A4C04">
        <w:rPr>
          <w:szCs w:val="22"/>
        </w:rPr>
        <w:t xml:space="preserve"> a gambling problem (OR 1.8). </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As in the earlier analyses</w:t>
      </w:r>
      <w:r w:rsidR="00BF5F3D">
        <w:rPr>
          <w:szCs w:val="22"/>
        </w:rPr>
        <w:t>,</w:t>
      </w:r>
      <w:r w:rsidRPr="00D94777">
        <w:rPr>
          <w:szCs w:val="22"/>
        </w:rPr>
        <w:t xml:space="preserve"> ethnicity was again strongly implicated with high odds ratios for Pacific (4.1), </w:t>
      </w:r>
      <w:r w:rsidR="00BF5F3D">
        <w:rPr>
          <w:szCs w:val="22"/>
        </w:rPr>
        <w:t>Māori</w:t>
      </w:r>
      <w:r w:rsidRPr="00D94777">
        <w:rPr>
          <w:szCs w:val="22"/>
        </w:rPr>
        <w:t xml:space="preserve"> (3.2) and Asian (2.6) adults.  Being </w:t>
      </w:r>
      <w:r w:rsidR="00496FE5">
        <w:rPr>
          <w:szCs w:val="22"/>
        </w:rPr>
        <w:t>non-</w:t>
      </w:r>
      <w:r w:rsidRPr="00D94777">
        <w:rPr>
          <w:szCs w:val="22"/>
        </w:rPr>
        <w:t>New Zealand born was</w:t>
      </w:r>
      <w:r w:rsidR="00BF5F3D">
        <w:rPr>
          <w:szCs w:val="22"/>
        </w:rPr>
        <w:t xml:space="preserve"> </w:t>
      </w:r>
      <w:r w:rsidRPr="00D94777">
        <w:rPr>
          <w:szCs w:val="22"/>
        </w:rPr>
        <w:t>n</w:t>
      </w:r>
      <w:r w:rsidR="00BF5F3D">
        <w:rPr>
          <w:szCs w:val="22"/>
        </w:rPr>
        <w:t>o</w:t>
      </w:r>
      <w:r w:rsidRPr="00D94777">
        <w:rPr>
          <w:szCs w:val="22"/>
        </w:rPr>
        <w:t>t a risk factor for moving into the low-risk, moderate-risk and problem gambling categories</w:t>
      </w:r>
      <w:r w:rsidR="00BF5F3D">
        <w:rPr>
          <w:szCs w:val="22"/>
        </w:rPr>
        <w:t>;</w:t>
      </w:r>
      <w:r w:rsidRPr="00D94777">
        <w:rPr>
          <w:szCs w:val="22"/>
        </w:rPr>
        <w:t xml:space="preserve"> however</w:t>
      </w:r>
      <w:r w:rsidR="00BF5F3D">
        <w:rPr>
          <w:szCs w:val="22"/>
        </w:rPr>
        <w:t>,</w:t>
      </w:r>
      <w:r w:rsidRPr="00D94777">
        <w:rPr>
          <w:szCs w:val="22"/>
        </w:rPr>
        <w:t xml:space="preserve"> a number of additional demographic factors were</w:t>
      </w:r>
      <w:r w:rsidR="00496FE5">
        <w:rPr>
          <w:szCs w:val="22"/>
        </w:rPr>
        <w:t>,</w:t>
      </w:r>
      <w:r w:rsidRPr="00D94777">
        <w:rPr>
          <w:szCs w:val="22"/>
        </w:rPr>
        <w:t xml:space="preserve"> including older age which was protective (55</w:t>
      </w:r>
      <w:r w:rsidR="00496FE5">
        <w:rPr>
          <w:szCs w:val="22"/>
        </w:rPr>
        <w:t> </w:t>
      </w:r>
      <w:r w:rsidRPr="00D94777">
        <w:rPr>
          <w:szCs w:val="22"/>
        </w:rPr>
        <w:t>-</w:t>
      </w:r>
      <w:r w:rsidR="00BF5F3D">
        <w:rPr>
          <w:szCs w:val="22"/>
        </w:rPr>
        <w:t xml:space="preserve"> </w:t>
      </w:r>
      <w:r w:rsidRPr="00D94777">
        <w:rPr>
          <w:szCs w:val="22"/>
        </w:rPr>
        <w:t>64</w:t>
      </w:r>
      <w:r w:rsidR="00BF5F3D">
        <w:rPr>
          <w:szCs w:val="22"/>
        </w:rPr>
        <w:t xml:space="preserve"> years</w:t>
      </w:r>
      <w:r w:rsidRPr="00D94777">
        <w:rPr>
          <w:szCs w:val="22"/>
        </w:rPr>
        <w:t xml:space="preserve"> </w:t>
      </w:r>
      <w:r w:rsidR="00004F68">
        <w:rPr>
          <w:szCs w:val="22"/>
        </w:rPr>
        <w:t>and</w:t>
      </w:r>
      <w:r w:rsidRPr="00D94777">
        <w:rPr>
          <w:szCs w:val="22"/>
        </w:rPr>
        <w:t xml:space="preserve"> 56+ </w:t>
      </w:r>
      <w:r w:rsidR="00BF5F3D">
        <w:rPr>
          <w:szCs w:val="22"/>
        </w:rPr>
        <w:t xml:space="preserve">years </w:t>
      </w:r>
      <w:r w:rsidR="00004F68">
        <w:rPr>
          <w:szCs w:val="22"/>
        </w:rPr>
        <w:t xml:space="preserve">both </w:t>
      </w:r>
      <w:r w:rsidRPr="00D94777">
        <w:rPr>
          <w:szCs w:val="22"/>
        </w:rPr>
        <w:t>OR 0.4) relative to younger age (18</w:t>
      </w:r>
      <w:r w:rsidR="00BF5F3D">
        <w:rPr>
          <w:szCs w:val="22"/>
        </w:rPr>
        <w:t xml:space="preserve"> </w:t>
      </w:r>
      <w:r w:rsidRPr="00D94777">
        <w:rPr>
          <w:szCs w:val="22"/>
        </w:rPr>
        <w:t>-</w:t>
      </w:r>
      <w:r w:rsidR="00BF5F3D">
        <w:rPr>
          <w:szCs w:val="22"/>
        </w:rPr>
        <w:t xml:space="preserve"> </w:t>
      </w:r>
      <w:r w:rsidRPr="00D94777">
        <w:rPr>
          <w:szCs w:val="22"/>
        </w:rPr>
        <w:t>24</w:t>
      </w:r>
      <w:r w:rsidR="00BF5F3D">
        <w:rPr>
          <w:szCs w:val="22"/>
        </w:rPr>
        <w:t xml:space="preserve"> years)</w:t>
      </w:r>
      <w:r w:rsidR="00004F68">
        <w:rPr>
          <w:szCs w:val="22"/>
        </w:rPr>
        <w:t>;</w:t>
      </w:r>
      <w:r w:rsidRPr="00D94777">
        <w:rPr>
          <w:szCs w:val="22"/>
        </w:rPr>
        <w:t xml:space="preserve"> area of residence (Chr</w:t>
      </w:r>
      <w:r w:rsidR="00BF5F3D">
        <w:rPr>
          <w:szCs w:val="22"/>
        </w:rPr>
        <w:t>istchurch OR 0.3; Wellington OR </w:t>
      </w:r>
      <w:r w:rsidRPr="00D94777">
        <w:rPr>
          <w:szCs w:val="22"/>
        </w:rPr>
        <w:t>0.5</w:t>
      </w:r>
      <w:r w:rsidR="00004F68">
        <w:rPr>
          <w:szCs w:val="22"/>
        </w:rPr>
        <w:t>)</w:t>
      </w:r>
      <w:r w:rsidRPr="00D94777">
        <w:rPr>
          <w:szCs w:val="22"/>
        </w:rPr>
        <w:t xml:space="preserve"> relative to Auckland and religion (Other Christians OR 2.2; Other religion </w:t>
      </w:r>
      <w:r w:rsidR="00BF5F3D">
        <w:rPr>
          <w:szCs w:val="22"/>
        </w:rPr>
        <w:t xml:space="preserve"> OR </w:t>
      </w:r>
      <w:r w:rsidRPr="00D94777">
        <w:rPr>
          <w:szCs w:val="22"/>
        </w:rPr>
        <w:t>2.2</w:t>
      </w:r>
      <w:r w:rsidR="00004F68">
        <w:rPr>
          <w:szCs w:val="22"/>
        </w:rPr>
        <w:t>)</w:t>
      </w:r>
      <w:r w:rsidRPr="00D94777">
        <w:rPr>
          <w:szCs w:val="22"/>
        </w:rPr>
        <w:t xml:space="preserve"> relative to people with no religion.</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In contrast to the situation for the development of moderate-risk and problem gambl</w:t>
      </w:r>
      <w:r w:rsidR="00BF5F3D">
        <w:rPr>
          <w:szCs w:val="22"/>
        </w:rPr>
        <w:t>ing</w:t>
      </w:r>
      <w:r w:rsidRPr="00D94777">
        <w:rPr>
          <w:szCs w:val="22"/>
        </w:rPr>
        <w:t xml:space="preserve">, experiencing major life events was a risk factor that reached significance </w:t>
      </w:r>
      <w:r w:rsidR="00BF5F3D">
        <w:rPr>
          <w:szCs w:val="22"/>
        </w:rPr>
        <w:t>for</w:t>
      </w:r>
      <w:r w:rsidRPr="00D94777">
        <w:rPr>
          <w:szCs w:val="22"/>
        </w:rPr>
        <w:t xml:space="preserve"> people who experienced one, two, three or five or more events (OR range 2.0</w:t>
      </w:r>
      <w:r w:rsidR="00BF5F3D">
        <w:rPr>
          <w:szCs w:val="22"/>
        </w:rPr>
        <w:t xml:space="preserve"> </w:t>
      </w:r>
      <w:r w:rsidRPr="00D94777">
        <w:rPr>
          <w:szCs w:val="22"/>
        </w:rPr>
        <w:t>-</w:t>
      </w:r>
      <w:r w:rsidR="00BF5F3D">
        <w:rPr>
          <w:szCs w:val="22"/>
        </w:rPr>
        <w:t xml:space="preserve"> </w:t>
      </w:r>
      <w:r w:rsidRPr="00D94777">
        <w:rPr>
          <w:szCs w:val="22"/>
        </w:rPr>
        <w:t>3.8) relative to those who reported none.  Also in contrast, household income was not a risk factor.  Psychological distress was again implicated (high range OR 5.1; mid-high range OR 2.6).  A number of additional health-related factors were predictive of low-risk, moderate-risk and problem gambling development, namely quality of life (below media</w:t>
      </w:r>
      <w:r w:rsidR="006C4AC4">
        <w:rPr>
          <w:szCs w:val="22"/>
        </w:rPr>
        <w:t>n score OR 2.1; median score OR </w:t>
      </w:r>
      <w:r w:rsidRPr="00D94777">
        <w:rPr>
          <w:szCs w:val="22"/>
        </w:rPr>
        <w:t xml:space="preserve">2.0; </w:t>
      </w:r>
      <w:r w:rsidR="00BF5F3D">
        <w:rPr>
          <w:szCs w:val="22"/>
        </w:rPr>
        <w:t xml:space="preserve">relative </w:t>
      </w:r>
      <w:r w:rsidR="00BF5F3D">
        <w:rPr>
          <w:szCs w:val="22"/>
        </w:rPr>
        <w:lastRenderedPageBreak/>
        <w:t xml:space="preserve">to </w:t>
      </w:r>
      <w:r w:rsidRPr="00D94777">
        <w:rPr>
          <w:szCs w:val="22"/>
        </w:rPr>
        <w:t xml:space="preserve">above median score), cannabis use </w:t>
      </w:r>
      <w:r w:rsidR="00BF5F3D">
        <w:rPr>
          <w:szCs w:val="22"/>
        </w:rPr>
        <w:t>(OR 2.8), daily tobacco use (OR </w:t>
      </w:r>
      <w:r w:rsidRPr="00D94777">
        <w:rPr>
          <w:szCs w:val="22"/>
        </w:rPr>
        <w:t>2.2) and other drug use (</w:t>
      </w:r>
      <w:r w:rsidR="006C4AC4">
        <w:rPr>
          <w:szCs w:val="22"/>
        </w:rPr>
        <w:t>non-</w:t>
      </w:r>
      <w:r w:rsidRPr="00D94777">
        <w:rPr>
          <w:szCs w:val="22"/>
        </w:rPr>
        <w:t xml:space="preserve">drug use OR </w:t>
      </w:r>
      <w:r w:rsidR="0021528E" w:rsidRPr="00D94777">
        <w:rPr>
          <w:szCs w:val="22"/>
        </w:rPr>
        <w:t>0.4</w:t>
      </w:r>
      <w:r w:rsidR="0021528E">
        <w:rPr>
          <w:szCs w:val="22"/>
        </w:rPr>
        <w:t xml:space="preserve"> </w:t>
      </w:r>
      <w:r w:rsidRPr="00D94777">
        <w:rPr>
          <w:szCs w:val="22"/>
        </w:rPr>
        <w:t xml:space="preserve">relative to drug use).   </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 xml:space="preserve">A multivariate logistic regression substantially reduced the number of statistically significant predictors.  As </w:t>
      </w:r>
      <w:r w:rsidR="004266C9">
        <w:rPr>
          <w:szCs w:val="22"/>
        </w:rPr>
        <w:t>for</w:t>
      </w:r>
      <w:r w:rsidRPr="00D94777">
        <w:rPr>
          <w:szCs w:val="22"/>
        </w:rPr>
        <w:t xml:space="preserve"> the transition to moderate-risk or problem gambling</w:t>
      </w:r>
      <w:r w:rsidR="004266C9">
        <w:rPr>
          <w:szCs w:val="22"/>
        </w:rPr>
        <w:t>,</w:t>
      </w:r>
      <w:r w:rsidRPr="00D94777">
        <w:rPr>
          <w:szCs w:val="22"/>
        </w:rPr>
        <w:t xml:space="preserve"> ethnicity and psychological distress remained significant.</w:t>
      </w:r>
      <w:r w:rsidR="004266C9">
        <w:rPr>
          <w:szCs w:val="22"/>
        </w:rPr>
        <w:t xml:space="preserve"> </w:t>
      </w:r>
      <w:r w:rsidRPr="00D94777">
        <w:rPr>
          <w:szCs w:val="22"/>
        </w:rPr>
        <w:t xml:space="preserve"> Pacific (OR 5.0), </w:t>
      </w:r>
      <w:r w:rsidR="006C4AC4">
        <w:rPr>
          <w:szCs w:val="22"/>
        </w:rPr>
        <w:t xml:space="preserve">Māori </w:t>
      </w:r>
      <w:r w:rsidR="00027612">
        <w:rPr>
          <w:szCs w:val="22"/>
        </w:rPr>
        <w:t>(OR 2.6) and Asian (OR </w:t>
      </w:r>
      <w:r w:rsidRPr="00D94777">
        <w:rPr>
          <w:szCs w:val="22"/>
        </w:rPr>
        <w:t>3.9) adults were at high risk relative to European/</w:t>
      </w:r>
      <w:r w:rsidR="00027612" w:rsidRPr="00D94777">
        <w:rPr>
          <w:szCs w:val="22"/>
        </w:rPr>
        <w:t xml:space="preserve">Other </w:t>
      </w:r>
      <w:r w:rsidRPr="00D94777">
        <w:rPr>
          <w:szCs w:val="22"/>
        </w:rPr>
        <w:t>adults</w:t>
      </w:r>
      <w:r w:rsidR="00027612">
        <w:rPr>
          <w:szCs w:val="22"/>
        </w:rPr>
        <w:t>,</w:t>
      </w:r>
      <w:r w:rsidRPr="00D94777">
        <w:rPr>
          <w:szCs w:val="22"/>
        </w:rPr>
        <w:t xml:space="preserve"> as were adults with high (OR 7.4) and mid-range (OR 2.4) psychological distress.  The strongest gambling participation predictor was monthly EGM participation overall (OR 7.6), followed by typical monthly gambling expenditure ($51</w:t>
      </w:r>
      <w:r w:rsidR="00027612">
        <w:rPr>
          <w:szCs w:val="22"/>
        </w:rPr>
        <w:t xml:space="preserve"> </w:t>
      </w:r>
      <w:r w:rsidRPr="00D94777">
        <w:rPr>
          <w:szCs w:val="22"/>
        </w:rPr>
        <w:t>-</w:t>
      </w:r>
      <w:r w:rsidR="00027612">
        <w:rPr>
          <w:szCs w:val="22"/>
        </w:rPr>
        <w:t xml:space="preserve"> </w:t>
      </w:r>
      <w:r w:rsidRPr="00D94777">
        <w:rPr>
          <w:szCs w:val="22"/>
        </w:rPr>
        <w:t>$100 OR 2.9; $101</w:t>
      </w:r>
      <w:r w:rsidR="00027612">
        <w:rPr>
          <w:szCs w:val="22"/>
        </w:rPr>
        <w:t xml:space="preserve"> </w:t>
      </w:r>
      <w:r w:rsidRPr="00D94777">
        <w:rPr>
          <w:szCs w:val="22"/>
        </w:rPr>
        <w:t>-</w:t>
      </w:r>
      <w:r w:rsidR="00027612">
        <w:rPr>
          <w:szCs w:val="22"/>
        </w:rPr>
        <w:t xml:space="preserve"> </w:t>
      </w:r>
      <w:r w:rsidRPr="00D94777">
        <w:rPr>
          <w:szCs w:val="22"/>
        </w:rPr>
        <w:t xml:space="preserve">$500 </w:t>
      </w:r>
      <w:r w:rsidR="00027612">
        <w:rPr>
          <w:szCs w:val="22"/>
        </w:rPr>
        <w:t xml:space="preserve">OR </w:t>
      </w:r>
      <w:r w:rsidRPr="00D94777">
        <w:rPr>
          <w:szCs w:val="22"/>
        </w:rPr>
        <w:t xml:space="preserve">3.2; &gt;$500 OR 4.6).  The other predictors that remained were major life events (4 of 5 groups </w:t>
      </w:r>
      <w:r w:rsidR="005A5EC9">
        <w:rPr>
          <w:szCs w:val="22"/>
        </w:rPr>
        <w:t>who</w:t>
      </w:r>
      <w:r w:rsidRPr="00D94777">
        <w:rPr>
          <w:szCs w:val="22"/>
        </w:rPr>
        <w:t xml:space="preserve"> experienced one or more events had higher </w:t>
      </w:r>
      <w:r w:rsidR="005A5EC9">
        <w:rPr>
          <w:szCs w:val="22"/>
        </w:rPr>
        <w:t>odds ratios</w:t>
      </w:r>
      <w:r w:rsidRPr="00D94777">
        <w:rPr>
          <w:szCs w:val="22"/>
        </w:rPr>
        <w:t xml:space="preserve"> </w:t>
      </w:r>
      <w:r w:rsidR="005A5EC9">
        <w:rPr>
          <w:szCs w:val="22"/>
        </w:rPr>
        <w:t>(</w:t>
      </w:r>
      <w:r w:rsidRPr="00D94777">
        <w:rPr>
          <w:szCs w:val="22"/>
        </w:rPr>
        <w:t xml:space="preserve">range of 2.1 </w:t>
      </w:r>
      <w:r w:rsidR="005A5EC9">
        <w:rPr>
          <w:szCs w:val="22"/>
        </w:rPr>
        <w:t>-</w:t>
      </w:r>
      <w:r w:rsidRPr="00D94777">
        <w:rPr>
          <w:szCs w:val="22"/>
        </w:rPr>
        <w:t xml:space="preserve"> 3.4</w:t>
      </w:r>
      <w:r w:rsidR="005A5EC9">
        <w:rPr>
          <w:szCs w:val="22"/>
        </w:rPr>
        <w:t>)</w:t>
      </w:r>
      <w:r w:rsidRPr="00D94777">
        <w:rPr>
          <w:szCs w:val="22"/>
        </w:rPr>
        <w:t xml:space="preserve"> relative to the group that experienced no major events</w:t>
      </w:r>
      <w:r w:rsidR="005A5EC9">
        <w:rPr>
          <w:szCs w:val="22"/>
        </w:rPr>
        <w:t>,</w:t>
      </w:r>
      <w:r w:rsidRPr="00D94777">
        <w:rPr>
          <w:szCs w:val="22"/>
        </w:rPr>
        <w:t xml:space="preserve"> and cannabis use (OR 2.1).</w:t>
      </w:r>
    </w:p>
    <w:p w:rsidR="00D94777" w:rsidRDefault="00D94777" w:rsidP="00D94777">
      <w:pPr>
        <w:jc w:val="both"/>
        <w:rPr>
          <w:szCs w:val="22"/>
        </w:rPr>
      </w:pPr>
    </w:p>
    <w:p w:rsidR="0028155F" w:rsidRPr="00D94777" w:rsidRDefault="0028155F" w:rsidP="00D94777">
      <w:pPr>
        <w:jc w:val="both"/>
        <w:rPr>
          <w:szCs w:val="22"/>
        </w:rPr>
      </w:pPr>
    </w:p>
    <w:p w:rsidR="00D94777" w:rsidRPr="0028155F" w:rsidRDefault="004C5D0D" w:rsidP="00D94777">
      <w:pPr>
        <w:jc w:val="both"/>
        <w:rPr>
          <w:b/>
          <w:szCs w:val="22"/>
        </w:rPr>
      </w:pPr>
      <w:r w:rsidRPr="009F5E09">
        <w:rPr>
          <w:b/>
          <w:szCs w:val="22"/>
        </w:rPr>
        <w:t xml:space="preserve">Risk and protective factors and associations with </w:t>
      </w:r>
      <w:r w:rsidR="00D94777" w:rsidRPr="009F5E09">
        <w:rPr>
          <w:b/>
          <w:szCs w:val="22"/>
        </w:rPr>
        <w:t>staying a moderate risk</w:t>
      </w:r>
      <w:r w:rsidR="000419A2" w:rsidRPr="009F5E09">
        <w:rPr>
          <w:b/>
          <w:szCs w:val="22"/>
        </w:rPr>
        <w:t>/</w:t>
      </w:r>
      <w:r w:rsidR="00D94777" w:rsidRPr="009F5E09">
        <w:rPr>
          <w:b/>
          <w:szCs w:val="22"/>
        </w:rPr>
        <w:t>problem</w:t>
      </w:r>
      <w:r w:rsidR="00D94777" w:rsidRPr="0028155F">
        <w:rPr>
          <w:b/>
          <w:szCs w:val="22"/>
        </w:rPr>
        <w:t xml:space="preserve"> gambler</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In 2013</w:t>
      </w:r>
      <w:r w:rsidR="005A5EC9">
        <w:rPr>
          <w:szCs w:val="22"/>
        </w:rPr>
        <w:t>,</w:t>
      </w:r>
      <w:r w:rsidRPr="00D94777">
        <w:rPr>
          <w:szCs w:val="22"/>
        </w:rPr>
        <w:t xml:space="preserve"> 29 participants (adjusted data) remained in the moderate-risk and problem gambling categories.  Thirty-eight moderate-risk and problem gamblers shifted to lower risk (low-risk, non-problem and non-gambling) categories.</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A number of gambling participation measures predicted a continuation of moderate-risk and problem gambling from 2012 to 2013, namely regular continuous gambling (OR 5.6), at least weekly gambling (OR 4.5) and spending 31 to 60 minutes playing club EGMs on an average day</w:t>
      </w:r>
      <w:r w:rsidR="0085722A">
        <w:rPr>
          <w:szCs w:val="22"/>
        </w:rPr>
        <w:t xml:space="preserve"> (OR 3.3)</w:t>
      </w:r>
      <w:r w:rsidRPr="00D94777">
        <w:rPr>
          <w:szCs w:val="22"/>
        </w:rPr>
        <w:t>.  Leaving ATM and credit cards at home (OR 0.</w:t>
      </w:r>
      <w:r w:rsidR="0085722A">
        <w:rPr>
          <w:szCs w:val="22"/>
        </w:rPr>
        <w:t>2</w:t>
      </w:r>
      <w:r w:rsidRPr="00D94777">
        <w:rPr>
          <w:szCs w:val="22"/>
        </w:rPr>
        <w:t>) was protective, being associate</w:t>
      </w:r>
      <w:r w:rsidR="0028155F">
        <w:rPr>
          <w:szCs w:val="22"/>
        </w:rPr>
        <w:t>d</w:t>
      </w:r>
      <w:r w:rsidRPr="00D94777">
        <w:rPr>
          <w:szCs w:val="22"/>
        </w:rPr>
        <w:t xml:space="preserve"> with a lower probability of continuing to experience moderate-risk and problem gambling.  In contrast, having sought help </w:t>
      </w:r>
      <w:r w:rsidR="00FA7721" w:rsidRPr="009F5E09">
        <w:rPr>
          <w:szCs w:val="22"/>
        </w:rPr>
        <w:t xml:space="preserve">(from formal and informal sources) </w:t>
      </w:r>
      <w:r w:rsidRPr="00D94777">
        <w:rPr>
          <w:szCs w:val="22"/>
        </w:rPr>
        <w:t xml:space="preserve">for gambling during the past year (OR 5.2) predicted a continuation of problems or moderate-risk status.  </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 xml:space="preserve">Relative to people born in New Zealand, migrants had a lower risk of staying </w:t>
      </w:r>
      <w:r w:rsidR="00117073">
        <w:rPr>
          <w:szCs w:val="22"/>
        </w:rPr>
        <w:t xml:space="preserve">as </w:t>
      </w:r>
      <w:r w:rsidRPr="00D94777">
        <w:rPr>
          <w:szCs w:val="22"/>
        </w:rPr>
        <w:t xml:space="preserve">a moderate-risk or problem gambler (0.2 times).  People aged 55 </w:t>
      </w:r>
      <w:r w:rsidR="00117073">
        <w:rPr>
          <w:szCs w:val="22"/>
        </w:rPr>
        <w:t xml:space="preserve">years </w:t>
      </w:r>
      <w:r w:rsidRPr="00D94777">
        <w:rPr>
          <w:szCs w:val="22"/>
        </w:rPr>
        <w:t xml:space="preserve">and </w:t>
      </w:r>
      <w:r w:rsidR="00117073">
        <w:rPr>
          <w:szCs w:val="22"/>
        </w:rPr>
        <w:t>older</w:t>
      </w:r>
      <w:r w:rsidRPr="00D94777">
        <w:rPr>
          <w:szCs w:val="22"/>
        </w:rPr>
        <w:t xml:space="preserve"> (OR 7.5) and daily smokers (OR 9.8) appeared to be at high risk</w:t>
      </w:r>
      <w:r w:rsidR="00117073">
        <w:rPr>
          <w:szCs w:val="22"/>
        </w:rPr>
        <w:t xml:space="preserve">; </w:t>
      </w:r>
      <w:r w:rsidRPr="00D94777">
        <w:rPr>
          <w:szCs w:val="22"/>
        </w:rPr>
        <w:t>however</w:t>
      </w:r>
      <w:r w:rsidR="00117073">
        <w:rPr>
          <w:szCs w:val="22"/>
        </w:rPr>
        <w:t>,</w:t>
      </w:r>
      <w:r w:rsidRPr="00D94777">
        <w:rPr>
          <w:szCs w:val="22"/>
        </w:rPr>
        <w:t xml:space="preserve"> small sample size and wide confidence intervals mean that these results are not conclusive and should be treated with caution.  </w:t>
      </w:r>
    </w:p>
    <w:p w:rsidR="00D94777" w:rsidRPr="00D94777" w:rsidRDefault="00D94777" w:rsidP="00D94777">
      <w:pPr>
        <w:jc w:val="both"/>
        <w:rPr>
          <w:szCs w:val="22"/>
        </w:rPr>
      </w:pPr>
    </w:p>
    <w:p w:rsidR="00D94777" w:rsidRPr="00D94777" w:rsidRDefault="00D94777" w:rsidP="00D94777">
      <w:pPr>
        <w:jc w:val="both"/>
        <w:rPr>
          <w:szCs w:val="22"/>
        </w:rPr>
      </w:pPr>
      <w:r w:rsidRPr="00D94777">
        <w:rPr>
          <w:szCs w:val="22"/>
        </w:rPr>
        <w:t xml:space="preserve">A multivariate analysis was conducted but results were not sufficiently robust </w:t>
      </w:r>
      <w:r w:rsidR="00117073">
        <w:rPr>
          <w:szCs w:val="22"/>
        </w:rPr>
        <w:t>for</w:t>
      </w:r>
      <w:r w:rsidRPr="00D94777">
        <w:rPr>
          <w:szCs w:val="22"/>
        </w:rPr>
        <w:t xml:space="preserve"> interpret</w:t>
      </w:r>
      <w:r w:rsidR="00117073">
        <w:rPr>
          <w:szCs w:val="22"/>
        </w:rPr>
        <w:t>ation</w:t>
      </w:r>
      <w:r w:rsidRPr="00D94777">
        <w:rPr>
          <w:szCs w:val="22"/>
        </w:rPr>
        <w:t>.</w:t>
      </w:r>
    </w:p>
    <w:p w:rsidR="00D94777" w:rsidRDefault="00D94777" w:rsidP="00D94777">
      <w:pPr>
        <w:jc w:val="both"/>
        <w:rPr>
          <w:szCs w:val="22"/>
        </w:rPr>
      </w:pPr>
    </w:p>
    <w:p w:rsidR="0085722A" w:rsidRDefault="0085722A" w:rsidP="00D94777">
      <w:pPr>
        <w:jc w:val="both"/>
        <w:rPr>
          <w:szCs w:val="22"/>
        </w:rPr>
      </w:pPr>
    </w:p>
    <w:p w:rsidR="00D94777" w:rsidRPr="0028155F" w:rsidRDefault="004C5D0D" w:rsidP="0034184F">
      <w:pPr>
        <w:keepNext/>
        <w:jc w:val="both"/>
        <w:rPr>
          <w:b/>
          <w:szCs w:val="22"/>
        </w:rPr>
      </w:pPr>
      <w:r w:rsidRPr="009F5E09">
        <w:rPr>
          <w:b/>
          <w:szCs w:val="22"/>
        </w:rPr>
        <w:t xml:space="preserve">Risk and protective factors and associations with </w:t>
      </w:r>
      <w:r w:rsidR="00D94777" w:rsidRPr="009F5E09">
        <w:rPr>
          <w:b/>
          <w:szCs w:val="22"/>
        </w:rPr>
        <w:t>staying a low-risk</w:t>
      </w:r>
      <w:r w:rsidR="000419A2" w:rsidRPr="009F5E09">
        <w:rPr>
          <w:b/>
          <w:szCs w:val="22"/>
        </w:rPr>
        <w:t>/</w:t>
      </w:r>
      <w:r w:rsidR="00D94777" w:rsidRPr="009F5E09">
        <w:rPr>
          <w:b/>
          <w:szCs w:val="22"/>
        </w:rPr>
        <w:t>moderate-risk</w:t>
      </w:r>
      <w:r w:rsidR="000419A2" w:rsidRPr="009F5E09">
        <w:rPr>
          <w:b/>
          <w:szCs w:val="22"/>
        </w:rPr>
        <w:t>/</w:t>
      </w:r>
      <w:r>
        <w:rPr>
          <w:b/>
          <w:szCs w:val="22"/>
        </w:rPr>
        <w:t xml:space="preserve"> </w:t>
      </w:r>
      <w:r w:rsidR="00D94777" w:rsidRPr="0028155F">
        <w:rPr>
          <w:b/>
          <w:szCs w:val="22"/>
        </w:rPr>
        <w:t>problem gambler</w:t>
      </w:r>
    </w:p>
    <w:p w:rsidR="00D94777" w:rsidRPr="00D94777" w:rsidRDefault="00D94777" w:rsidP="0034184F">
      <w:pPr>
        <w:keepNext/>
        <w:jc w:val="both"/>
        <w:rPr>
          <w:szCs w:val="22"/>
        </w:rPr>
      </w:pPr>
    </w:p>
    <w:p w:rsidR="0028155F" w:rsidRPr="0028155F" w:rsidRDefault="0028155F" w:rsidP="0034184F">
      <w:pPr>
        <w:keepNext/>
        <w:jc w:val="both"/>
        <w:rPr>
          <w:szCs w:val="22"/>
        </w:rPr>
      </w:pPr>
      <w:r w:rsidRPr="0028155F">
        <w:rPr>
          <w:szCs w:val="22"/>
        </w:rPr>
        <w:t>In 2013</w:t>
      </w:r>
      <w:r>
        <w:rPr>
          <w:szCs w:val="22"/>
        </w:rPr>
        <w:t>,</w:t>
      </w:r>
      <w:r w:rsidRPr="0028155F">
        <w:rPr>
          <w:szCs w:val="22"/>
        </w:rPr>
        <w:t xml:space="preserve"> 113 participants (adjusted data) stayed in the low-risk/moderate-risk/problem gambling categories.  One hundred and nineteen </w:t>
      </w:r>
      <w:r w:rsidR="007738CA">
        <w:rPr>
          <w:szCs w:val="22"/>
        </w:rPr>
        <w:t xml:space="preserve">participants </w:t>
      </w:r>
      <w:r w:rsidRPr="0028155F">
        <w:rPr>
          <w:szCs w:val="22"/>
        </w:rPr>
        <w:t xml:space="preserve">shifted to non-problem and non-gambling categories.  </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A substantial number of gambling participation measures predicted a continuation of at-risk and problem gambling from 2012 to 2013.  Regular continuous gamblers had over three times (OR 3.3) the probability of remaining in these categories than did infrequent gamblers.  Increased risk was also found for people who gambled at least weekly (OR 6.1) or monthly (OR 3.4)</w:t>
      </w:r>
      <w:r w:rsidR="007738CA">
        <w:rPr>
          <w:szCs w:val="22"/>
        </w:rPr>
        <w:t>,</w:t>
      </w:r>
      <w:r w:rsidRPr="0028155F">
        <w:rPr>
          <w:szCs w:val="22"/>
        </w:rPr>
        <w:t xml:space="preserve"> and for people who typically lost $500 or more gambling per month (OR 6.9).</w:t>
      </w:r>
    </w:p>
    <w:p w:rsidR="0028155F" w:rsidRPr="0028155F" w:rsidRDefault="0028155F" w:rsidP="0028155F">
      <w:pPr>
        <w:jc w:val="both"/>
        <w:rPr>
          <w:szCs w:val="22"/>
        </w:rPr>
      </w:pPr>
      <w:r w:rsidRPr="0028155F">
        <w:rPr>
          <w:szCs w:val="22"/>
        </w:rPr>
        <w:lastRenderedPageBreak/>
        <w:t>Elevated risk was also evident for past year participation in housie</w:t>
      </w:r>
      <w:r w:rsidR="0085722A">
        <w:rPr>
          <w:szCs w:val="22"/>
        </w:rPr>
        <w:t xml:space="preserve"> or </w:t>
      </w:r>
      <w:r w:rsidRPr="0028155F">
        <w:rPr>
          <w:szCs w:val="22"/>
        </w:rPr>
        <w:t>bingo (OR 4.6), club EGMs (OR 5.1) and EGMs overall (OR 4.</w:t>
      </w:r>
      <w:r w:rsidR="0085722A">
        <w:rPr>
          <w:szCs w:val="22"/>
        </w:rPr>
        <w:t>0</w:t>
      </w:r>
      <w:r w:rsidRPr="0028155F">
        <w:rPr>
          <w:szCs w:val="22"/>
        </w:rPr>
        <w:t xml:space="preserve">).  Additionally, past month participation in card games (OR 4.3), Lotto (OR 2.1), casino EGMs (OR 4.4), pub EGMs (OR 3.8), club EGMs (OR 5.9) and EGMs overall (OR 5.3) was associated with higher risk of remaining in the risk and problem categories.  Further gambling-related risk factors included time spent playing EGMs on a typical day.  For casino EGMs increased risk was found for those who played for more than 60 minutes (OR 3.4).  Similar results were obtained for pub </w:t>
      </w:r>
      <w:r w:rsidR="007738CA">
        <w:rPr>
          <w:szCs w:val="22"/>
        </w:rPr>
        <w:t>(OR 3.8 for 31 - 60 </w:t>
      </w:r>
      <w:r w:rsidRPr="0028155F">
        <w:rPr>
          <w:szCs w:val="22"/>
        </w:rPr>
        <w:t>minutes participation; OR 4.8 for 60</w:t>
      </w:r>
      <w:r w:rsidR="007738CA">
        <w:rPr>
          <w:szCs w:val="22"/>
        </w:rPr>
        <w:t xml:space="preserve"> or more</w:t>
      </w:r>
      <w:r w:rsidR="007738CA" w:rsidRPr="0028155F">
        <w:rPr>
          <w:szCs w:val="22"/>
        </w:rPr>
        <w:t xml:space="preserve"> </w:t>
      </w:r>
      <w:r w:rsidRPr="0028155F">
        <w:rPr>
          <w:szCs w:val="22"/>
        </w:rPr>
        <w:t>minutes) and club (OR for 31</w:t>
      </w:r>
      <w:r w:rsidR="007738CA">
        <w:rPr>
          <w:szCs w:val="22"/>
        </w:rPr>
        <w:t xml:space="preserve"> </w:t>
      </w:r>
      <w:r w:rsidRPr="0028155F">
        <w:rPr>
          <w:szCs w:val="22"/>
        </w:rPr>
        <w:t>-</w:t>
      </w:r>
      <w:r w:rsidR="007738CA">
        <w:rPr>
          <w:szCs w:val="22"/>
        </w:rPr>
        <w:t xml:space="preserve"> </w:t>
      </w:r>
      <w:r w:rsidRPr="0028155F">
        <w:rPr>
          <w:szCs w:val="22"/>
        </w:rPr>
        <w:t>60 minutes 32.</w:t>
      </w:r>
      <w:r w:rsidR="0085722A">
        <w:rPr>
          <w:szCs w:val="22"/>
        </w:rPr>
        <w:t>7</w:t>
      </w:r>
      <w:r w:rsidRPr="0028155F">
        <w:rPr>
          <w:szCs w:val="22"/>
        </w:rPr>
        <w:t xml:space="preserve">; OR 7.7 for 60 </w:t>
      </w:r>
      <w:r w:rsidR="007738CA">
        <w:rPr>
          <w:szCs w:val="22"/>
        </w:rPr>
        <w:t xml:space="preserve">or more </w:t>
      </w:r>
      <w:r w:rsidRPr="0028155F">
        <w:rPr>
          <w:szCs w:val="22"/>
        </w:rPr>
        <w:t xml:space="preserve">minutes) EGM participants.  Avoiding places with betting or gambling (OR 2.5) and seeking help </w:t>
      </w:r>
      <w:r w:rsidR="00FA7721" w:rsidRPr="009F5E09">
        <w:rPr>
          <w:szCs w:val="22"/>
        </w:rPr>
        <w:t xml:space="preserve">(from formal and informal sources) </w:t>
      </w:r>
      <w:r w:rsidR="009D18F1">
        <w:rPr>
          <w:szCs w:val="22"/>
        </w:rPr>
        <w:t xml:space="preserve">for </w:t>
      </w:r>
      <w:r w:rsidRPr="0028155F">
        <w:rPr>
          <w:szCs w:val="22"/>
        </w:rPr>
        <w:t>gambling in the past year (OR 7.4) were additional risk factors.</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Lower quality of life (below median OR 2.4) and week</w:t>
      </w:r>
      <w:r w:rsidR="007738CA">
        <w:rPr>
          <w:szCs w:val="22"/>
        </w:rPr>
        <w:t>ly or more frequent smoking (OR </w:t>
      </w:r>
      <w:r w:rsidRPr="0028155F">
        <w:rPr>
          <w:szCs w:val="22"/>
        </w:rPr>
        <w:t>44.4) also predicted continued risk or problem gambling.</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 xml:space="preserve">Only a few demographic risk factors were identified, namely </w:t>
      </w:r>
      <w:r w:rsidR="007738CA">
        <w:rPr>
          <w:szCs w:val="22"/>
        </w:rPr>
        <w:t xml:space="preserve">Māori </w:t>
      </w:r>
      <w:r w:rsidRPr="0028155F">
        <w:rPr>
          <w:szCs w:val="22"/>
        </w:rPr>
        <w:t>ethnicity (OR 2.9) and having a personal income of $80,001 - $100,000</w:t>
      </w:r>
      <w:r w:rsidR="0085722A">
        <w:rPr>
          <w:szCs w:val="22"/>
        </w:rPr>
        <w:t xml:space="preserve"> (OR 7.3)</w:t>
      </w:r>
      <w:r w:rsidRPr="0028155F">
        <w:rPr>
          <w:szCs w:val="22"/>
        </w:rPr>
        <w:t>.  Having a secondary school qualification (OR 0.3) was protective relative to people with no high school qualifications.</w:t>
      </w:r>
    </w:p>
    <w:p w:rsidR="0028155F" w:rsidRPr="0028155F" w:rsidRDefault="0028155F" w:rsidP="0028155F">
      <w:pPr>
        <w:jc w:val="both"/>
        <w:rPr>
          <w:szCs w:val="22"/>
        </w:rPr>
      </w:pPr>
    </w:p>
    <w:p w:rsidR="0028155F" w:rsidRDefault="0028155F" w:rsidP="0028155F">
      <w:pPr>
        <w:jc w:val="both"/>
        <w:rPr>
          <w:szCs w:val="22"/>
        </w:rPr>
      </w:pPr>
      <w:r w:rsidRPr="0028155F">
        <w:rPr>
          <w:szCs w:val="22"/>
        </w:rPr>
        <w:t>A greatly reduced number of variables remained when confounding factors were controlled in a multivariate logistic regression analysis.  The variables associated with greater likelihood of continued at-risk and problem gambling were overall monthly EGM (OR 7.</w:t>
      </w:r>
      <w:r w:rsidR="00F56E88">
        <w:rPr>
          <w:szCs w:val="22"/>
        </w:rPr>
        <w:t>5</w:t>
      </w:r>
      <w:r w:rsidRPr="0028155F">
        <w:rPr>
          <w:szCs w:val="22"/>
        </w:rPr>
        <w:t>)</w:t>
      </w:r>
      <w:r w:rsidR="00FA5635">
        <w:rPr>
          <w:szCs w:val="22"/>
        </w:rPr>
        <w:t xml:space="preserve"> and</w:t>
      </w:r>
      <w:r w:rsidRPr="0028155F">
        <w:rPr>
          <w:szCs w:val="22"/>
        </w:rPr>
        <w:t xml:space="preserve"> card games participation (OR 6.4)</w:t>
      </w:r>
      <w:r w:rsidR="00FA5635">
        <w:rPr>
          <w:szCs w:val="22"/>
        </w:rPr>
        <w:t>,</w:t>
      </w:r>
      <w:r w:rsidRPr="0028155F">
        <w:rPr>
          <w:szCs w:val="22"/>
        </w:rPr>
        <w:t xml:space="preserve"> and annual gambling on housie</w:t>
      </w:r>
      <w:r w:rsidR="00F56E88">
        <w:rPr>
          <w:szCs w:val="22"/>
        </w:rPr>
        <w:t xml:space="preserve"> or </w:t>
      </w:r>
      <w:r w:rsidRPr="0028155F">
        <w:rPr>
          <w:szCs w:val="22"/>
        </w:rPr>
        <w:t xml:space="preserve">bingo (OR 4.5).  Gambling with one other person (OR 0.3) or several people/a group (OR 0.1) was associated with lower risk than gambling alone.  This finding just </w:t>
      </w:r>
      <w:r w:rsidR="007738CA">
        <w:rPr>
          <w:szCs w:val="22"/>
        </w:rPr>
        <w:t>failed to reach a level of statistical</w:t>
      </w:r>
      <w:r w:rsidRPr="0028155F">
        <w:rPr>
          <w:szCs w:val="22"/>
        </w:rPr>
        <w:t xml:space="preserve"> significance in the univariate analyses.</w:t>
      </w:r>
    </w:p>
    <w:p w:rsidR="0076750D" w:rsidRDefault="0076750D" w:rsidP="0028155F">
      <w:pPr>
        <w:jc w:val="both"/>
        <w:rPr>
          <w:szCs w:val="22"/>
        </w:rPr>
      </w:pPr>
    </w:p>
    <w:p w:rsidR="0076750D" w:rsidRDefault="0076750D" w:rsidP="0028155F">
      <w:pPr>
        <w:jc w:val="both"/>
        <w:rPr>
          <w:szCs w:val="22"/>
        </w:rPr>
      </w:pPr>
    </w:p>
    <w:p w:rsidR="0076750D" w:rsidRPr="0028155F" w:rsidRDefault="004C5D0D" w:rsidP="0028155F">
      <w:pPr>
        <w:jc w:val="both"/>
        <w:rPr>
          <w:szCs w:val="22"/>
        </w:rPr>
      </w:pPr>
      <w:r w:rsidRPr="009F5E09">
        <w:rPr>
          <w:szCs w:val="22"/>
        </w:rPr>
        <w:t xml:space="preserve">Risk and protective factors and associations with </w:t>
      </w:r>
      <w:r w:rsidR="0076750D" w:rsidRPr="009F5E09">
        <w:rPr>
          <w:szCs w:val="22"/>
        </w:rPr>
        <w:t>transitions to higher or lower problem gambling categories or for staying in a category are shown pictorially in the figure overleaf.</w:t>
      </w:r>
    </w:p>
    <w:p w:rsidR="0028155F" w:rsidRDefault="0028155F" w:rsidP="0028155F">
      <w:pPr>
        <w:jc w:val="both"/>
        <w:rPr>
          <w:szCs w:val="22"/>
        </w:rPr>
      </w:pPr>
    </w:p>
    <w:p w:rsidR="0028155F" w:rsidRDefault="0076750D" w:rsidP="0028155F">
      <w:pPr>
        <w:jc w:val="both"/>
        <w:rPr>
          <w:szCs w:val="22"/>
        </w:rPr>
      </w:pPr>
      <w:r w:rsidRPr="00E50A2D">
        <w:rPr>
          <w:noProof/>
          <w:lang w:eastAsia="en-NZ"/>
        </w:rPr>
        <w:lastRenderedPageBreak/>
        <w:drawing>
          <wp:inline distT="0" distB="0" distL="0" distR="0" wp14:anchorId="07170B98" wp14:editId="1A248802">
            <wp:extent cx="5274310" cy="5581092"/>
            <wp:effectExtent l="0" t="0" r="2540"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581092"/>
                    </a:xfrm>
                    <a:prstGeom prst="rect">
                      <a:avLst/>
                    </a:prstGeom>
                    <a:noFill/>
                    <a:ln>
                      <a:noFill/>
                    </a:ln>
                  </pic:spPr>
                </pic:pic>
              </a:graphicData>
            </a:graphic>
          </wp:inline>
        </w:drawing>
      </w:r>
    </w:p>
    <w:p w:rsidR="00F87CE6" w:rsidRPr="00F87CE6" w:rsidRDefault="00F87CE6" w:rsidP="00F87CE6">
      <w:pPr>
        <w:jc w:val="both"/>
        <w:rPr>
          <w:sz w:val="18"/>
          <w:szCs w:val="22"/>
        </w:rPr>
      </w:pPr>
      <w:r>
        <w:rPr>
          <w:sz w:val="18"/>
          <w:szCs w:val="22"/>
        </w:rPr>
        <w:t>Note that the sam</w:t>
      </w:r>
      <w:r w:rsidR="00FC7FDB">
        <w:rPr>
          <w:sz w:val="18"/>
          <w:szCs w:val="22"/>
        </w:rPr>
        <w:t>pl</w:t>
      </w:r>
      <w:r>
        <w:rPr>
          <w:sz w:val="18"/>
          <w:szCs w:val="22"/>
        </w:rPr>
        <w:t>e size for remaining in the moderate-risk/problem gambler categories</w:t>
      </w:r>
      <w:r w:rsidRPr="00F87CE6">
        <w:rPr>
          <w:sz w:val="18"/>
          <w:szCs w:val="22"/>
        </w:rPr>
        <w:t xml:space="preserve"> </w:t>
      </w:r>
      <w:r>
        <w:rPr>
          <w:sz w:val="18"/>
          <w:szCs w:val="22"/>
        </w:rPr>
        <w:t>was very small so results should be considered cautiously</w:t>
      </w:r>
    </w:p>
    <w:p w:rsidR="0076750D" w:rsidRPr="0028155F" w:rsidRDefault="0076750D" w:rsidP="0028155F">
      <w:pPr>
        <w:jc w:val="both"/>
        <w:rPr>
          <w:szCs w:val="22"/>
        </w:rPr>
      </w:pPr>
    </w:p>
    <w:p w:rsidR="0076750D" w:rsidRDefault="0076750D" w:rsidP="0028155F">
      <w:pPr>
        <w:jc w:val="both"/>
        <w:rPr>
          <w:b/>
          <w:szCs w:val="22"/>
        </w:rPr>
      </w:pPr>
    </w:p>
    <w:p w:rsidR="0028155F" w:rsidRPr="0028155F" w:rsidRDefault="0028155F" w:rsidP="0028155F">
      <w:pPr>
        <w:jc w:val="both"/>
        <w:rPr>
          <w:b/>
          <w:szCs w:val="22"/>
        </w:rPr>
      </w:pPr>
      <w:r w:rsidRPr="005D3657">
        <w:rPr>
          <w:b/>
          <w:szCs w:val="22"/>
        </w:rPr>
        <w:t>Initiation of gambling in 2013</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In 2013, 165 participants (adjusted data) who did not gamble in 2012 and h</w:t>
      </w:r>
      <w:r w:rsidR="005D3657">
        <w:rPr>
          <w:szCs w:val="22"/>
        </w:rPr>
        <w:t xml:space="preserve">ad also not gambled in the past, </w:t>
      </w:r>
      <w:r w:rsidRPr="0028155F">
        <w:rPr>
          <w:szCs w:val="22"/>
        </w:rPr>
        <w:t>started gambling during 2013.  A further 35</w:t>
      </w:r>
      <w:r w:rsidR="00FA5635">
        <w:rPr>
          <w:szCs w:val="22"/>
        </w:rPr>
        <w:t>4 (adjusted data)</w:t>
      </w:r>
      <w:r w:rsidR="00FC7E13">
        <w:rPr>
          <w:szCs w:val="22"/>
        </w:rPr>
        <w:t xml:space="preserve"> </w:t>
      </w:r>
      <w:r w:rsidRPr="0028155F">
        <w:rPr>
          <w:szCs w:val="22"/>
        </w:rPr>
        <w:t>remained non-gamblers.</w:t>
      </w:r>
    </w:p>
    <w:p w:rsidR="0028155F" w:rsidRPr="0028155F" w:rsidRDefault="0028155F" w:rsidP="0028155F">
      <w:pPr>
        <w:jc w:val="both"/>
        <w:rPr>
          <w:szCs w:val="22"/>
        </w:rPr>
      </w:pPr>
    </w:p>
    <w:p w:rsidR="0028155F" w:rsidRPr="0028155F" w:rsidRDefault="005D3657" w:rsidP="0028155F">
      <w:pPr>
        <w:jc w:val="both"/>
        <w:rPr>
          <w:szCs w:val="22"/>
        </w:rPr>
      </w:pPr>
      <w:r>
        <w:rPr>
          <w:szCs w:val="22"/>
        </w:rPr>
        <w:t>Māori</w:t>
      </w:r>
      <w:r w:rsidR="0028155F" w:rsidRPr="0028155F">
        <w:rPr>
          <w:szCs w:val="22"/>
        </w:rPr>
        <w:t xml:space="preserve"> (OR 2.6) were more likely to start gambling than people in other ethnic groups.  Relative to New Zealand-born, recent migrants were less likely (OR 0.3) to start gambling.  Relative </w:t>
      </w:r>
      <w:r>
        <w:rPr>
          <w:szCs w:val="22"/>
        </w:rPr>
        <w:t xml:space="preserve">to </w:t>
      </w:r>
      <w:r w:rsidR="0028155F" w:rsidRPr="0028155F">
        <w:rPr>
          <w:szCs w:val="22"/>
        </w:rPr>
        <w:t xml:space="preserve">people with no religion, </w:t>
      </w:r>
      <w:r w:rsidR="004D5D4C">
        <w:rPr>
          <w:szCs w:val="22"/>
        </w:rPr>
        <w:t>O</w:t>
      </w:r>
      <w:r w:rsidR="0028155F" w:rsidRPr="0028155F">
        <w:rPr>
          <w:szCs w:val="22"/>
        </w:rPr>
        <w:t>ther Christians (OR 0.</w:t>
      </w:r>
      <w:r w:rsidR="009C45DA">
        <w:rPr>
          <w:szCs w:val="22"/>
        </w:rPr>
        <w:t>3</w:t>
      </w:r>
      <w:r w:rsidR="0028155F" w:rsidRPr="0028155F">
        <w:rPr>
          <w:szCs w:val="22"/>
        </w:rPr>
        <w:t>) less often commenced gambling.  Other risk factors included ha</w:t>
      </w:r>
      <w:r>
        <w:rPr>
          <w:szCs w:val="22"/>
        </w:rPr>
        <w:t>zardous alcohol consumption (OR </w:t>
      </w:r>
      <w:r w:rsidR="0028155F" w:rsidRPr="0028155F">
        <w:rPr>
          <w:szCs w:val="22"/>
        </w:rPr>
        <w:t>1.7) and a number of smoking measures (ever smoked OR 2.</w:t>
      </w:r>
      <w:r w:rsidR="009C45DA">
        <w:rPr>
          <w:szCs w:val="22"/>
        </w:rPr>
        <w:t>0</w:t>
      </w:r>
      <w:r w:rsidR="0028155F" w:rsidRPr="0028155F">
        <w:rPr>
          <w:szCs w:val="22"/>
        </w:rPr>
        <w:t xml:space="preserve">, smoked more than </w:t>
      </w:r>
      <w:r w:rsidR="0028155F" w:rsidRPr="005D3657">
        <w:t>100</w:t>
      </w:r>
      <w:r>
        <w:t> </w:t>
      </w:r>
      <w:r w:rsidR="0028155F" w:rsidRPr="005D3657">
        <w:t>cigarettes</w:t>
      </w:r>
      <w:r w:rsidR="0028155F" w:rsidRPr="0028155F">
        <w:rPr>
          <w:szCs w:val="22"/>
        </w:rPr>
        <w:t xml:space="preserve"> in lifetime OR 2.5, ever smoked daily </w:t>
      </w:r>
      <w:r w:rsidR="0028155F" w:rsidRPr="0028155F">
        <w:rPr>
          <w:szCs w:val="22"/>
        </w:rPr>
        <w:lastRenderedPageBreak/>
        <w:t xml:space="preserve">for a period of time OR 2.5 and smokes at least once a day now OR 3.4).  People in the low-mid psychological distress range had a lower risk (0.4) of starting gambling than those in the lowest </w:t>
      </w:r>
      <w:r w:rsidR="009C45DA">
        <w:rPr>
          <w:szCs w:val="22"/>
        </w:rPr>
        <w:t>distress</w:t>
      </w:r>
      <w:r w:rsidR="0028155F" w:rsidRPr="0028155F">
        <w:rPr>
          <w:szCs w:val="22"/>
        </w:rPr>
        <w:t xml:space="preserve"> group.</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 xml:space="preserve">Multivariate logistic regression analyses, controlling for confounding factors, showed that recent migrants (OR 0.3), </w:t>
      </w:r>
      <w:r w:rsidR="004D5D4C" w:rsidRPr="0028155F">
        <w:rPr>
          <w:szCs w:val="22"/>
        </w:rPr>
        <w:t xml:space="preserve">Other </w:t>
      </w:r>
      <w:r w:rsidR="004D5D4C">
        <w:rPr>
          <w:szCs w:val="22"/>
        </w:rPr>
        <w:t>Religion</w:t>
      </w:r>
      <w:r w:rsidR="004D5D4C" w:rsidRPr="0028155F">
        <w:rPr>
          <w:szCs w:val="22"/>
        </w:rPr>
        <w:t xml:space="preserve"> </w:t>
      </w:r>
      <w:r w:rsidRPr="0028155F">
        <w:rPr>
          <w:szCs w:val="22"/>
        </w:rPr>
        <w:t xml:space="preserve">(OR 0.4) and people in the low-mid psychological distress range (OR 0.4) remained at lower risk of starting gambling in 2013.  Daily current tobacco use (OR 2.8) remained significantly associated with taking up gambling.  </w:t>
      </w:r>
    </w:p>
    <w:p w:rsidR="0028155F" w:rsidRDefault="0028155F" w:rsidP="0028155F">
      <w:pPr>
        <w:jc w:val="both"/>
        <w:rPr>
          <w:szCs w:val="22"/>
        </w:rPr>
      </w:pPr>
    </w:p>
    <w:p w:rsidR="0028155F" w:rsidRPr="0028155F" w:rsidRDefault="0028155F" w:rsidP="0028155F">
      <w:pPr>
        <w:jc w:val="both"/>
        <w:rPr>
          <w:szCs w:val="22"/>
        </w:rPr>
      </w:pPr>
    </w:p>
    <w:p w:rsidR="0028155F" w:rsidRPr="0028155F" w:rsidRDefault="0028155F" w:rsidP="0028155F">
      <w:pPr>
        <w:jc w:val="both"/>
        <w:rPr>
          <w:b/>
          <w:szCs w:val="22"/>
        </w:rPr>
      </w:pPr>
      <w:r w:rsidRPr="0028155F">
        <w:rPr>
          <w:b/>
          <w:szCs w:val="22"/>
        </w:rPr>
        <w:t>Re-initiation of gambling in 2013</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In 2013, 99 participants (adjusted data) who in 2012 had not gambled in the past year, but who had gambled prior to that at some time, started gambling again.</w:t>
      </w:r>
    </w:p>
    <w:p w:rsidR="0028155F" w:rsidRPr="0028155F" w:rsidRDefault="0028155F" w:rsidP="0028155F">
      <w:pPr>
        <w:jc w:val="both"/>
        <w:rPr>
          <w:szCs w:val="22"/>
        </w:rPr>
      </w:pPr>
    </w:p>
    <w:p w:rsidR="0028155F" w:rsidRPr="0028155F" w:rsidRDefault="0028155F" w:rsidP="0028155F">
      <w:pPr>
        <w:jc w:val="both"/>
        <w:rPr>
          <w:szCs w:val="22"/>
        </w:rPr>
      </w:pPr>
      <w:r w:rsidRPr="0028155F">
        <w:rPr>
          <w:szCs w:val="22"/>
        </w:rPr>
        <w:t xml:space="preserve">Deprivation </w:t>
      </w:r>
      <w:r w:rsidR="00701E1C">
        <w:rPr>
          <w:szCs w:val="22"/>
        </w:rPr>
        <w:t xml:space="preserve">was the </w:t>
      </w:r>
      <w:r w:rsidRPr="0028155F">
        <w:rPr>
          <w:szCs w:val="22"/>
        </w:rPr>
        <w:t>strongest predictor of starting gambling aga</w:t>
      </w:r>
      <w:r w:rsidR="00DF6F1A">
        <w:rPr>
          <w:szCs w:val="22"/>
        </w:rPr>
        <w:t>in with people who reported one or</w:t>
      </w:r>
      <w:r w:rsidRPr="0028155F">
        <w:rPr>
          <w:szCs w:val="22"/>
        </w:rPr>
        <w:t xml:space="preserve"> four deprivation characteristics at gre</w:t>
      </w:r>
      <w:r w:rsidR="00DF6F1A">
        <w:rPr>
          <w:szCs w:val="22"/>
        </w:rPr>
        <w:t>ater risk (ORs respectively 2.4 and</w:t>
      </w:r>
      <w:r w:rsidRPr="0028155F">
        <w:rPr>
          <w:szCs w:val="22"/>
        </w:rPr>
        <w:t xml:space="preserve"> 7.9) than those who reported no deprivation characteristics.  Ever smoked tobacco, ever smoked daily for a period of time and current daily or more frequent use (ORs 2.1, 2.0 and 3.7 respectively) and hazardous alcohol consumption (OR 2.3) were additional predictors.  People who did not use drugs had a lower risk (OR 0.4) which means that those who </w:t>
      </w:r>
      <w:r w:rsidR="00033673">
        <w:rPr>
          <w:szCs w:val="22"/>
        </w:rPr>
        <w:t>used drugs</w:t>
      </w:r>
      <w:r w:rsidRPr="0028155F">
        <w:rPr>
          <w:szCs w:val="22"/>
        </w:rPr>
        <w:t xml:space="preserve"> had higher risk.</w:t>
      </w:r>
    </w:p>
    <w:p w:rsidR="0028155F" w:rsidRPr="0028155F" w:rsidRDefault="0028155F" w:rsidP="0028155F">
      <w:pPr>
        <w:jc w:val="both"/>
        <w:rPr>
          <w:szCs w:val="22"/>
        </w:rPr>
      </w:pPr>
    </w:p>
    <w:p w:rsidR="004C44C8" w:rsidRDefault="0028155F" w:rsidP="0028155F">
      <w:pPr>
        <w:jc w:val="both"/>
        <w:rPr>
          <w:szCs w:val="22"/>
        </w:rPr>
      </w:pPr>
      <w:r w:rsidRPr="0028155F">
        <w:rPr>
          <w:szCs w:val="22"/>
        </w:rPr>
        <w:t>In the multivariate analysis</w:t>
      </w:r>
      <w:r w:rsidR="00033673">
        <w:rPr>
          <w:szCs w:val="22"/>
        </w:rPr>
        <w:t>,</w:t>
      </w:r>
      <w:r w:rsidRPr="0028155F">
        <w:rPr>
          <w:szCs w:val="22"/>
        </w:rPr>
        <w:t xml:space="preserve"> only deprivation was retained as a significant pred</w:t>
      </w:r>
      <w:r w:rsidR="00DF6F1A">
        <w:rPr>
          <w:szCs w:val="22"/>
        </w:rPr>
        <w:t>ictor with people reporting one or</w:t>
      </w:r>
      <w:r w:rsidRPr="0028155F">
        <w:rPr>
          <w:szCs w:val="22"/>
        </w:rPr>
        <w:t xml:space="preserve"> four characteristics at higher risk.  The odds ratios were unchanged from the univariate analysis.      </w:t>
      </w:r>
    </w:p>
    <w:p w:rsidR="004C44C8" w:rsidRDefault="004C44C8" w:rsidP="007703DF">
      <w:pPr>
        <w:jc w:val="both"/>
        <w:rPr>
          <w:szCs w:val="22"/>
        </w:rPr>
      </w:pPr>
    </w:p>
    <w:p w:rsidR="00033673" w:rsidRDefault="00033673" w:rsidP="007703DF">
      <w:pPr>
        <w:jc w:val="both"/>
        <w:rPr>
          <w:szCs w:val="22"/>
        </w:rPr>
      </w:pPr>
    </w:p>
    <w:p w:rsidR="002A43B8" w:rsidRDefault="002A43B8" w:rsidP="007703DF">
      <w:pPr>
        <w:jc w:val="both"/>
        <w:rPr>
          <w:szCs w:val="22"/>
        </w:rPr>
      </w:pPr>
      <w:r>
        <w:rPr>
          <w:b/>
          <w:szCs w:val="22"/>
        </w:rPr>
        <w:t>Conclusion</w:t>
      </w:r>
    </w:p>
    <w:p w:rsidR="002A43B8" w:rsidRDefault="002A43B8" w:rsidP="007703DF">
      <w:pPr>
        <w:jc w:val="both"/>
        <w:rPr>
          <w:szCs w:val="22"/>
        </w:rPr>
      </w:pPr>
    </w:p>
    <w:p w:rsidR="00F6509B" w:rsidRPr="00621ACF" w:rsidRDefault="00F6509B" w:rsidP="00F6509B">
      <w:pPr>
        <w:jc w:val="both"/>
        <w:rPr>
          <w:szCs w:val="22"/>
        </w:rPr>
      </w:pPr>
      <w:r w:rsidRPr="00621ACF">
        <w:rPr>
          <w:szCs w:val="22"/>
        </w:rPr>
        <w:t>The 12 month follow-up findings confirm the major gambling participation, at-risk and problem gambling prevalence estimates from the baseline survey</w:t>
      </w:r>
      <w:r>
        <w:rPr>
          <w:szCs w:val="22"/>
        </w:rPr>
        <w:t>, although</w:t>
      </w:r>
      <w:r w:rsidRPr="00621ACF">
        <w:rPr>
          <w:szCs w:val="22"/>
        </w:rPr>
        <w:t xml:space="preserve"> there was some reduction in regular EGM participation and in the number of people who took part in large n</w:t>
      </w:r>
      <w:r>
        <w:rPr>
          <w:szCs w:val="22"/>
        </w:rPr>
        <w:t>umbers of gambling activities.</w:t>
      </w:r>
      <w:r w:rsidRPr="00621ACF">
        <w:rPr>
          <w:szCs w:val="22"/>
        </w:rPr>
        <w:t xml:space="preserve">  </w:t>
      </w:r>
      <w:r w:rsidR="00DF01B6">
        <w:rPr>
          <w:szCs w:val="22"/>
        </w:rPr>
        <w:t>The longitudinal nature of this study means that</w:t>
      </w:r>
      <w:r w:rsidRPr="00621ACF">
        <w:rPr>
          <w:szCs w:val="22"/>
        </w:rPr>
        <w:t>, for the first time, problem gambling and at-risk gambling incidence estimates for the New Zealand adult population</w:t>
      </w:r>
      <w:r w:rsidR="00DF01B6">
        <w:rPr>
          <w:szCs w:val="22"/>
        </w:rPr>
        <w:t xml:space="preserve"> can be estimated</w:t>
      </w:r>
      <w:r w:rsidRPr="00621ACF">
        <w:rPr>
          <w:szCs w:val="22"/>
        </w:rPr>
        <w:t xml:space="preserve">. </w:t>
      </w:r>
      <w:r>
        <w:rPr>
          <w:szCs w:val="22"/>
        </w:rPr>
        <w:t xml:space="preserve"> The problem gambling </w:t>
      </w:r>
      <w:r w:rsidRPr="00621ACF">
        <w:rPr>
          <w:szCs w:val="22"/>
        </w:rPr>
        <w:t xml:space="preserve">incidence rate was approximately half the prevalence rate.  This indicates that around half of </w:t>
      </w:r>
      <w:r w:rsidR="00DF01B6">
        <w:rPr>
          <w:szCs w:val="22"/>
        </w:rPr>
        <w:t xml:space="preserve">the </w:t>
      </w:r>
      <w:r w:rsidRPr="00621ACF">
        <w:rPr>
          <w:szCs w:val="22"/>
        </w:rPr>
        <w:t>current problem gamblers recently developed problems.  The prevalence rate did not change because a comparable number of problem gamblers</w:t>
      </w:r>
      <w:r>
        <w:rPr>
          <w:szCs w:val="22"/>
        </w:rPr>
        <w:t xml:space="preserve"> in 2012 ceased being problem gamblers in 2013.</w:t>
      </w:r>
      <w:r w:rsidRPr="00621ACF">
        <w:rPr>
          <w:szCs w:val="22"/>
        </w:rPr>
        <w:t xml:space="preserve">  </w:t>
      </w:r>
      <w:r w:rsidR="00BE13BA">
        <w:rPr>
          <w:szCs w:val="22"/>
        </w:rPr>
        <w:t>However,</w:t>
      </w:r>
      <w:r w:rsidRPr="00621ACF">
        <w:rPr>
          <w:szCs w:val="22"/>
        </w:rPr>
        <w:t xml:space="preserve"> the at-risk groups were less stable, with around three-quarters of low- and moderate-risk gamblers transitioning over </w:t>
      </w:r>
      <w:r w:rsidR="00DF01B6">
        <w:rPr>
          <w:szCs w:val="22"/>
        </w:rPr>
        <w:t>the</w:t>
      </w:r>
      <w:r w:rsidRPr="00621ACF">
        <w:rPr>
          <w:szCs w:val="22"/>
        </w:rPr>
        <w:t xml:space="preserve"> 12 month period.    </w:t>
      </w:r>
    </w:p>
    <w:p w:rsidR="00F6509B" w:rsidRPr="00621ACF" w:rsidRDefault="00F6509B" w:rsidP="00F6509B">
      <w:pPr>
        <w:jc w:val="both"/>
        <w:rPr>
          <w:szCs w:val="22"/>
        </w:rPr>
      </w:pPr>
    </w:p>
    <w:p w:rsidR="00F6509B" w:rsidRPr="00621ACF" w:rsidRDefault="00F6509B" w:rsidP="00F6509B">
      <w:pPr>
        <w:jc w:val="both"/>
        <w:rPr>
          <w:szCs w:val="22"/>
        </w:rPr>
      </w:pPr>
      <w:r w:rsidRPr="00621ACF">
        <w:rPr>
          <w:szCs w:val="22"/>
        </w:rPr>
        <w:t xml:space="preserve">The </w:t>
      </w:r>
      <w:r w:rsidR="00BE13BA">
        <w:rPr>
          <w:szCs w:val="22"/>
        </w:rPr>
        <w:t>NGS also</w:t>
      </w:r>
      <w:r w:rsidRPr="00621ACF">
        <w:rPr>
          <w:szCs w:val="22"/>
        </w:rPr>
        <w:t xml:space="preserve"> included lifetime measures of problem gambling as well </w:t>
      </w:r>
      <w:r w:rsidR="00DF01B6">
        <w:rPr>
          <w:szCs w:val="22"/>
        </w:rPr>
        <w:t xml:space="preserve">as </w:t>
      </w:r>
      <w:r w:rsidRPr="00621ACF">
        <w:rPr>
          <w:szCs w:val="22"/>
        </w:rPr>
        <w:t>current measure</w:t>
      </w:r>
      <w:r w:rsidR="00DF01B6">
        <w:rPr>
          <w:szCs w:val="22"/>
        </w:rPr>
        <w:t>s</w:t>
      </w:r>
      <w:r w:rsidRPr="00621ACF">
        <w:rPr>
          <w:szCs w:val="22"/>
        </w:rPr>
        <w:t xml:space="preserve">.  </w:t>
      </w:r>
      <w:r w:rsidR="00BE13BA">
        <w:rPr>
          <w:szCs w:val="22"/>
        </w:rPr>
        <w:t>I</w:t>
      </w:r>
      <w:r w:rsidR="00DF01B6">
        <w:rPr>
          <w:szCs w:val="22"/>
        </w:rPr>
        <w:t>t was found that j</w:t>
      </w:r>
      <w:r w:rsidRPr="00621ACF">
        <w:rPr>
          <w:szCs w:val="22"/>
        </w:rPr>
        <w:t xml:space="preserve">ust over half of the ‘new’ 2013 problem gamblers had previously been problem gamblers and were relapsing.  Over a quarter of the ‘new’ moderate-risk gamblers had previously been a problem or probable pathological gambler.  </w:t>
      </w:r>
      <w:r w:rsidR="00DF01B6">
        <w:rPr>
          <w:szCs w:val="22"/>
        </w:rPr>
        <w:t>This finding</w:t>
      </w:r>
      <w:r w:rsidR="00DF01B6" w:rsidRPr="00621ACF">
        <w:rPr>
          <w:szCs w:val="22"/>
        </w:rPr>
        <w:t xml:space="preserve"> confirm</w:t>
      </w:r>
      <w:r w:rsidR="00DF01B6">
        <w:rPr>
          <w:szCs w:val="22"/>
        </w:rPr>
        <w:t>s</w:t>
      </w:r>
      <w:r w:rsidR="00DF01B6" w:rsidRPr="00621ACF">
        <w:rPr>
          <w:szCs w:val="22"/>
        </w:rPr>
        <w:t xml:space="preserve"> that problem and at-risk gambling are often transitory over the short-term, </w:t>
      </w:r>
      <w:r w:rsidR="00DF01B6">
        <w:rPr>
          <w:szCs w:val="22"/>
        </w:rPr>
        <w:t>but</w:t>
      </w:r>
      <w:r w:rsidR="00DF01B6" w:rsidRPr="00621ACF">
        <w:rPr>
          <w:szCs w:val="22"/>
        </w:rPr>
        <w:t xml:space="preserve"> that relapse is common.  Additionally, </w:t>
      </w:r>
      <w:r w:rsidR="00DF01B6">
        <w:rPr>
          <w:szCs w:val="22"/>
        </w:rPr>
        <w:t>it</w:t>
      </w:r>
      <w:r w:rsidR="00DF01B6" w:rsidRPr="00621ACF">
        <w:rPr>
          <w:szCs w:val="22"/>
        </w:rPr>
        <w:t xml:space="preserve"> indicate</w:t>
      </w:r>
      <w:r w:rsidR="00DF01B6">
        <w:rPr>
          <w:szCs w:val="22"/>
        </w:rPr>
        <w:t>s</w:t>
      </w:r>
      <w:r w:rsidR="00DF01B6" w:rsidRPr="00621ACF">
        <w:rPr>
          <w:szCs w:val="22"/>
        </w:rPr>
        <w:t xml:space="preserve"> that relapse propensity increases with problem severity.  </w:t>
      </w:r>
      <w:r w:rsidR="00DF01B6">
        <w:rPr>
          <w:szCs w:val="22"/>
        </w:rPr>
        <w:t>It is of note that</w:t>
      </w:r>
      <w:r w:rsidR="00BE13BA">
        <w:rPr>
          <w:szCs w:val="22"/>
        </w:rPr>
        <w:t xml:space="preserve"> l</w:t>
      </w:r>
      <w:r w:rsidRPr="00621ACF">
        <w:rPr>
          <w:szCs w:val="22"/>
        </w:rPr>
        <w:t>ifetime measures are highly conservative when re-administered with a long time-lag</w:t>
      </w:r>
      <w:r w:rsidR="00DF01B6">
        <w:rPr>
          <w:szCs w:val="22"/>
        </w:rPr>
        <w:t xml:space="preserve"> so it</w:t>
      </w:r>
      <w:r w:rsidRPr="00621ACF">
        <w:rPr>
          <w:szCs w:val="22"/>
        </w:rPr>
        <w:t xml:space="preserve"> is probable that the actual proportions of ‘new’ problem and moderate</w:t>
      </w:r>
      <w:r>
        <w:rPr>
          <w:szCs w:val="22"/>
        </w:rPr>
        <w:t>-</w:t>
      </w:r>
      <w:r w:rsidRPr="00621ACF">
        <w:rPr>
          <w:szCs w:val="22"/>
        </w:rPr>
        <w:t xml:space="preserve">risk gamblers who are relapsing are considerably larger than the study estimates.  </w:t>
      </w:r>
    </w:p>
    <w:p w:rsidR="00F6509B" w:rsidRPr="00621ACF" w:rsidRDefault="00DF01B6" w:rsidP="00F6509B">
      <w:pPr>
        <w:jc w:val="both"/>
        <w:rPr>
          <w:szCs w:val="22"/>
        </w:rPr>
      </w:pPr>
      <w:r>
        <w:rPr>
          <w:szCs w:val="22"/>
        </w:rPr>
        <w:lastRenderedPageBreak/>
        <w:t>Risk f</w:t>
      </w:r>
      <w:r w:rsidR="00F6509B" w:rsidRPr="00621ACF">
        <w:rPr>
          <w:szCs w:val="22"/>
        </w:rPr>
        <w:t xml:space="preserve">actors that predicted continued problem and at-risk gambling </w:t>
      </w:r>
      <w:r>
        <w:rPr>
          <w:szCs w:val="22"/>
        </w:rPr>
        <w:t>were identified and</w:t>
      </w:r>
      <w:r w:rsidR="00F6509B" w:rsidRPr="00621ACF">
        <w:rPr>
          <w:szCs w:val="22"/>
        </w:rPr>
        <w:t xml:space="preserve"> included heavy gambling involvement, gambling alone, </w:t>
      </w:r>
      <w:r w:rsidR="00F6509B">
        <w:rPr>
          <w:szCs w:val="22"/>
        </w:rPr>
        <w:t xml:space="preserve">Māori </w:t>
      </w:r>
      <w:r w:rsidR="00F6509B" w:rsidRPr="00621ACF">
        <w:rPr>
          <w:szCs w:val="22"/>
        </w:rPr>
        <w:t xml:space="preserve">ethnicity, </w:t>
      </w:r>
      <w:r w:rsidR="00F6509B">
        <w:rPr>
          <w:szCs w:val="22"/>
        </w:rPr>
        <w:t xml:space="preserve">being </w:t>
      </w:r>
      <w:r w:rsidR="00F6509B" w:rsidRPr="00621ACF">
        <w:rPr>
          <w:szCs w:val="22"/>
        </w:rPr>
        <w:t>New Zealand born, lack of formal qualifications, current tobacco use and low quality of life.  People who sought help</w:t>
      </w:r>
      <w:r w:rsidR="00FA7721">
        <w:rPr>
          <w:szCs w:val="22"/>
        </w:rPr>
        <w:t xml:space="preserve"> </w:t>
      </w:r>
      <w:r w:rsidR="00FA7721" w:rsidRPr="009F5E09">
        <w:rPr>
          <w:szCs w:val="22"/>
        </w:rPr>
        <w:t xml:space="preserve">(from formal and informal sources) </w:t>
      </w:r>
      <w:r w:rsidR="00F6509B" w:rsidRPr="00621ACF">
        <w:rPr>
          <w:szCs w:val="22"/>
        </w:rPr>
        <w:t xml:space="preserve">for gambling and who avoided gambling venues were also more likely to continue to be at-risk or problem gamblers whereas those who left </w:t>
      </w:r>
      <w:r>
        <w:rPr>
          <w:szCs w:val="22"/>
        </w:rPr>
        <w:t>automated teller machine (</w:t>
      </w:r>
      <w:r w:rsidR="00F6509B" w:rsidRPr="00621ACF">
        <w:rPr>
          <w:szCs w:val="22"/>
        </w:rPr>
        <w:t>ATM</w:t>
      </w:r>
      <w:r>
        <w:rPr>
          <w:szCs w:val="22"/>
        </w:rPr>
        <w:t>)</w:t>
      </w:r>
      <w:r w:rsidR="00F6509B" w:rsidRPr="00621ACF">
        <w:rPr>
          <w:szCs w:val="22"/>
        </w:rPr>
        <w:t xml:space="preserve"> and credit cards </w:t>
      </w:r>
      <w:r w:rsidR="00F6509B" w:rsidRPr="009F5E09">
        <w:rPr>
          <w:szCs w:val="22"/>
        </w:rPr>
        <w:t xml:space="preserve">at home when gambling were less likely.  The </w:t>
      </w:r>
      <w:r w:rsidRPr="009F5E09">
        <w:rPr>
          <w:szCs w:val="22"/>
        </w:rPr>
        <w:t>proportion</w:t>
      </w:r>
      <w:r w:rsidR="00F6509B" w:rsidRPr="009F5E09">
        <w:rPr>
          <w:szCs w:val="22"/>
        </w:rPr>
        <w:t xml:space="preserve"> of people seeking help </w:t>
      </w:r>
      <w:r w:rsidR="00903A09" w:rsidRPr="009F5E09">
        <w:rPr>
          <w:szCs w:val="22"/>
        </w:rPr>
        <w:t xml:space="preserve">(from formal and informal sources) </w:t>
      </w:r>
      <w:r w:rsidR="00F6509B" w:rsidRPr="009F5E09">
        <w:rPr>
          <w:szCs w:val="22"/>
        </w:rPr>
        <w:t xml:space="preserve">for gambling problems during the past year was around 80% of the current problem gamblers.  Just </w:t>
      </w:r>
      <w:r w:rsidRPr="009F5E09">
        <w:rPr>
          <w:szCs w:val="22"/>
        </w:rPr>
        <w:t>less than</w:t>
      </w:r>
      <w:r w:rsidR="00F6509B" w:rsidRPr="009F5E09">
        <w:rPr>
          <w:szCs w:val="22"/>
        </w:rPr>
        <w:t xml:space="preserve"> a third of new problem and moderate-risk gamblers</w:t>
      </w:r>
      <w:r w:rsidR="00F6509B" w:rsidRPr="00621ACF">
        <w:rPr>
          <w:szCs w:val="22"/>
        </w:rPr>
        <w:t xml:space="preserve"> said they had sought help </w:t>
      </w:r>
      <w:r w:rsidR="00FA7721" w:rsidRPr="009F5E09">
        <w:rPr>
          <w:szCs w:val="22"/>
        </w:rPr>
        <w:t xml:space="preserve">(from formal and informal sources) </w:t>
      </w:r>
      <w:r w:rsidR="00F6509B" w:rsidRPr="00621ACF">
        <w:rPr>
          <w:szCs w:val="22"/>
        </w:rPr>
        <w:t>during this period.  This indicates a high level of help-seeking.</w:t>
      </w:r>
    </w:p>
    <w:p w:rsidR="00F6509B" w:rsidRPr="00621ACF" w:rsidRDefault="00F6509B" w:rsidP="00F6509B">
      <w:pPr>
        <w:jc w:val="both"/>
        <w:rPr>
          <w:szCs w:val="22"/>
        </w:rPr>
      </w:pPr>
    </w:p>
    <w:p w:rsidR="0032338D" w:rsidRDefault="00F6509B" w:rsidP="00F6509B">
      <w:pPr>
        <w:jc w:val="both"/>
        <w:rPr>
          <w:szCs w:val="22"/>
        </w:rPr>
      </w:pPr>
      <w:r w:rsidRPr="00621ACF">
        <w:rPr>
          <w:szCs w:val="22"/>
        </w:rPr>
        <w:t xml:space="preserve">A number of the risk factors </w:t>
      </w:r>
      <w:r w:rsidR="00DF01B6">
        <w:rPr>
          <w:szCs w:val="22"/>
        </w:rPr>
        <w:t xml:space="preserve">were </w:t>
      </w:r>
      <w:r w:rsidRPr="00621ACF">
        <w:rPr>
          <w:szCs w:val="22"/>
        </w:rPr>
        <w:t xml:space="preserve">common both to initiating gambling and developing at-risk or problem gambling.  </w:t>
      </w:r>
      <w:r w:rsidR="00FA5635">
        <w:rPr>
          <w:szCs w:val="22"/>
        </w:rPr>
        <w:t xml:space="preserve">There were also a few notable exceptions.  </w:t>
      </w:r>
      <w:r>
        <w:rPr>
          <w:szCs w:val="22"/>
        </w:rPr>
        <w:t xml:space="preserve">Māori </w:t>
      </w:r>
      <w:r w:rsidRPr="00621ACF">
        <w:rPr>
          <w:szCs w:val="22"/>
        </w:rPr>
        <w:t xml:space="preserve">more often took up gambling than did people of other ethnicities.  Recent migrants and other Christians were less likely to do </w:t>
      </w:r>
      <w:r w:rsidR="00DF01B6">
        <w:rPr>
          <w:szCs w:val="22"/>
        </w:rPr>
        <w:t>so.  All three of these groups we</w:t>
      </w:r>
      <w:r w:rsidRPr="00621ACF">
        <w:rPr>
          <w:szCs w:val="22"/>
        </w:rPr>
        <w:t>re also at high risk for the development of at-risk and problem gambling.  Psychological distress, tobacco and hazardous alcohol use also predict</w:t>
      </w:r>
      <w:r w:rsidR="00DF01B6">
        <w:rPr>
          <w:szCs w:val="22"/>
        </w:rPr>
        <w:t>ed</w:t>
      </w:r>
      <w:r w:rsidRPr="00621ACF">
        <w:rPr>
          <w:szCs w:val="22"/>
        </w:rPr>
        <w:t xml:space="preserve"> both taking up gambling and developing gambling problems.  Deprivation</w:t>
      </w:r>
      <w:r>
        <w:rPr>
          <w:szCs w:val="22"/>
        </w:rPr>
        <w:t>,</w:t>
      </w:r>
      <w:r w:rsidRPr="00621ACF">
        <w:rPr>
          <w:szCs w:val="22"/>
        </w:rPr>
        <w:t xml:space="preserve"> and tobacco and hazardous alcohol use also predicted re-initiating gambling.  Apart from prior history of problem gambling, intensity of involvement in a number of continuous forms of gambling including EGMs </w:t>
      </w:r>
      <w:r w:rsidR="00DF01B6">
        <w:rPr>
          <w:szCs w:val="22"/>
        </w:rPr>
        <w:t>we</w:t>
      </w:r>
      <w:r w:rsidRPr="00621ACF">
        <w:rPr>
          <w:szCs w:val="22"/>
        </w:rPr>
        <w:t xml:space="preserve">re the strongest predictors of problem gambling development.  Pacific and Asian ethnicity </w:t>
      </w:r>
      <w:r w:rsidR="00DF01B6">
        <w:rPr>
          <w:szCs w:val="22"/>
        </w:rPr>
        <w:t>we</w:t>
      </w:r>
      <w:r w:rsidRPr="00621ACF">
        <w:rPr>
          <w:szCs w:val="22"/>
        </w:rPr>
        <w:t xml:space="preserve">re also strong risk factors for problem development. </w:t>
      </w:r>
    </w:p>
    <w:p w:rsidR="0032338D" w:rsidRDefault="0032338D" w:rsidP="00F6509B">
      <w:pPr>
        <w:jc w:val="both"/>
        <w:rPr>
          <w:szCs w:val="22"/>
        </w:rPr>
      </w:pPr>
    </w:p>
    <w:p w:rsidR="00F6509B" w:rsidRDefault="00F6509B" w:rsidP="00F6509B">
      <w:pPr>
        <w:jc w:val="both"/>
        <w:rPr>
          <w:szCs w:val="22"/>
        </w:rPr>
      </w:pPr>
      <w:r w:rsidRPr="00621ACF">
        <w:rPr>
          <w:szCs w:val="22"/>
        </w:rPr>
        <w:t>Given the high proportion of ‘new’ problem and moderate-risk gamblers that are relapsing rather than developing problems for the first time, it is important that public education and prevention programmes target both first time onset and problem recurrence.  Treatment services could also give greater attention to relapse prevention.  Of those who developed gambling problems, similar numbers came from the moderate-risk gambling group and the remaining low-risk, non-problem gambling and non-gambling groups.  It is likely that both whole</w:t>
      </w:r>
      <w:r>
        <w:rPr>
          <w:szCs w:val="22"/>
        </w:rPr>
        <w:t>-</w:t>
      </w:r>
      <w:r w:rsidRPr="00621ACF">
        <w:rPr>
          <w:szCs w:val="22"/>
        </w:rPr>
        <w:t>of</w:t>
      </w:r>
      <w:r>
        <w:rPr>
          <w:szCs w:val="22"/>
        </w:rPr>
        <w:t>-</w:t>
      </w:r>
      <w:r w:rsidRPr="00621ACF">
        <w:rPr>
          <w:szCs w:val="22"/>
        </w:rPr>
        <w:t>population and at-risk group prevention strategies will be required to reduce the incidence and prevalence of prob</w:t>
      </w:r>
      <w:r>
        <w:rPr>
          <w:szCs w:val="22"/>
        </w:rPr>
        <w:t>lem gambling and other gambling-</w:t>
      </w:r>
      <w:r w:rsidRPr="00621ACF">
        <w:rPr>
          <w:szCs w:val="22"/>
        </w:rPr>
        <w:t xml:space="preserve">related harms.  This could include greater attention to high risk ethnic and other social groups.  High incidence as well as prevalence rates in these groups, and apparently higher problem chronicity for </w:t>
      </w:r>
      <w:r>
        <w:rPr>
          <w:szCs w:val="22"/>
        </w:rPr>
        <w:t>Māori</w:t>
      </w:r>
      <w:r w:rsidRPr="00621ACF">
        <w:rPr>
          <w:szCs w:val="22"/>
        </w:rPr>
        <w:t>, suggest that long-standing disparities will remain or increase unless more effective ways are found to address them.</w:t>
      </w:r>
    </w:p>
    <w:p w:rsidR="00DF01B6" w:rsidRDefault="00DF01B6" w:rsidP="00F6509B">
      <w:pPr>
        <w:jc w:val="both"/>
        <w:rPr>
          <w:szCs w:val="22"/>
        </w:rPr>
      </w:pPr>
    </w:p>
    <w:p w:rsidR="00033673" w:rsidRPr="004C44C8" w:rsidRDefault="00033673" w:rsidP="007703DF">
      <w:pPr>
        <w:jc w:val="both"/>
        <w:rPr>
          <w:szCs w:val="22"/>
        </w:rPr>
      </w:pPr>
    </w:p>
    <w:p w:rsidR="009A2FE2" w:rsidRPr="00BB5435" w:rsidRDefault="009A2FE2" w:rsidP="003613EB">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sidRPr="00D13ADD">
        <w:rPr>
          <w:rFonts w:cs="Times New Roman"/>
          <w:sz w:val="22"/>
          <w:szCs w:val="22"/>
        </w:rPr>
        <w:br w:type="page"/>
      </w:r>
      <w:bookmarkStart w:id="17" w:name="_Toc399511062"/>
      <w:bookmarkStart w:id="18" w:name="_Toc399511207"/>
      <w:bookmarkStart w:id="19" w:name="_Toc403052514"/>
      <w:bookmarkStart w:id="20" w:name="_Toc403052849"/>
      <w:bookmarkStart w:id="21" w:name="_Toc420392583"/>
      <w:r w:rsidR="00DD5133">
        <w:rPr>
          <w:rFonts w:cs="Times New Roman"/>
          <w:sz w:val="22"/>
          <w:szCs w:val="22"/>
        </w:rPr>
        <w:lastRenderedPageBreak/>
        <w:t xml:space="preserve">OVERVIEW AND PURPOSE OF THE </w:t>
      </w:r>
      <w:r w:rsidR="004A6EE1">
        <w:rPr>
          <w:rFonts w:cs="Times New Roman"/>
          <w:sz w:val="22"/>
          <w:szCs w:val="22"/>
        </w:rPr>
        <w:t>PROJECT</w:t>
      </w:r>
      <w:bookmarkEnd w:id="17"/>
      <w:bookmarkEnd w:id="18"/>
      <w:bookmarkEnd w:id="19"/>
      <w:bookmarkEnd w:id="20"/>
      <w:bookmarkEnd w:id="21"/>
    </w:p>
    <w:p w:rsidR="003613EB" w:rsidRDefault="003613EB" w:rsidP="003613EB">
      <w:pPr>
        <w:rPr>
          <w:szCs w:val="22"/>
        </w:rPr>
      </w:pPr>
      <w:bookmarkStart w:id="22" w:name="_Toc109453377"/>
    </w:p>
    <w:p w:rsidR="00DD5133" w:rsidRPr="00DD5133" w:rsidRDefault="00DD5133" w:rsidP="00DD5133">
      <w:pPr>
        <w:jc w:val="both"/>
        <w:rPr>
          <w:b/>
          <w:lang w:eastAsia="en-US"/>
        </w:rPr>
      </w:pPr>
      <w:bookmarkStart w:id="23" w:name="_Toc109453382"/>
      <w:bookmarkEnd w:id="22"/>
      <w:r w:rsidRPr="00DD5133">
        <w:rPr>
          <w:b/>
          <w:lang w:eastAsia="en-US"/>
        </w:rPr>
        <w:t>Introduction</w:t>
      </w:r>
    </w:p>
    <w:p w:rsidR="00DD5133" w:rsidRDefault="00DD5133" w:rsidP="00DD5133">
      <w:pPr>
        <w:jc w:val="both"/>
        <w:rPr>
          <w:lang w:eastAsia="en-US"/>
        </w:rPr>
      </w:pPr>
    </w:p>
    <w:p w:rsidR="00280A00" w:rsidRDefault="00280A00" w:rsidP="00280A00">
      <w:pPr>
        <w:jc w:val="both"/>
        <w:rPr>
          <w:szCs w:val="22"/>
        </w:rPr>
      </w:pPr>
      <w:r>
        <w:rPr>
          <w:szCs w:val="22"/>
        </w:rPr>
        <w:t>W</w:t>
      </w:r>
      <w:r w:rsidRPr="00280A00">
        <w:rPr>
          <w:szCs w:val="22"/>
        </w:rPr>
        <w:t xml:space="preserve">ave 1 </w:t>
      </w:r>
      <w:r>
        <w:rPr>
          <w:szCs w:val="22"/>
        </w:rPr>
        <w:t xml:space="preserve">of the National Gambling Study </w:t>
      </w:r>
      <w:r w:rsidRPr="00280A00">
        <w:rPr>
          <w:szCs w:val="22"/>
        </w:rPr>
        <w:t>(NGS)</w:t>
      </w:r>
      <w:r>
        <w:rPr>
          <w:szCs w:val="22"/>
        </w:rPr>
        <w:t xml:space="preserve"> </w:t>
      </w:r>
      <w:r w:rsidRPr="00280A00">
        <w:rPr>
          <w:szCs w:val="22"/>
        </w:rPr>
        <w:t>collected information from 6</w:t>
      </w:r>
      <w:r>
        <w:rPr>
          <w:szCs w:val="22"/>
        </w:rPr>
        <w:t>,</w:t>
      </w:r>
      <w:r w:rsidRPr="00280A00">
        <w:rPr>
          <w:szCs w:val="22"/>
        </w:rPr>
        <w:t>251 participants across N</w:t>
      </w:r>
      <w:r>
        <w:rPr>
          <w:szCs w:val="22"/>
        </w:rPr>
        <w:t xml:space="preserve">ew </w:t>
      </w:r>
      <w:r w:rsidRPr="00280A00">
        <w:rPr>
          <w:szCs w:val="22"/>
        </w:rPr>
        <w:t>Z</w:t>
      </w:r>
      <w:r>
        <w:rPr>
          <w:szCs w:val="22"/>
        </w:rPr>
        <w:t>ealand</w:t>
      </w:r>
      <w:r w:rsidRPr="00280A00">
        <w:rPr>
          <w:szCs w:val="22"/>
        </w:rPr>
        <w:t xml:space="preserve"> </w:t>
      </w:r>
      <w:r w:rsidR="00BF0EA0">
        <w:rPr>
          <w:szCs w:val="22"/>
        </w:rPr>
        <w:t>via</w:t>
      </w:r>
      <w:r w:rsidRPr="00280A00">
        <w:rPr>
          <w:szCs w:val="22"/>
        </w:rPr>
        <w:t xml:space="preserve"> a national cross-sectional gambling survey of people aged 18 years and older, employing face-to-face household recruitment and interviews.  The sample design followed that used in the 2006/7 New Zealand Health Survey (NZHS).  It was a multi-stage, stratified, probability proportional to size sample. </w:t>
      </w:r>
      <w:r>
        <w:rPr>
          <w:szCs w:val="22"/>
        </w:rPr>
        <w:t xml:space="preserve"> </w:t>
      </w:r>
      <w:r w:rsidR="00BF0EA0">
        <w:rPr>
          <w:szCs w:val="22"/>
        </w:rPr>
        <w:t>Māori</w:t>
      </w:r>
      <w:r>
        <w:rPr>
          <w:szCs w:val="22"/>
        </w:rPr>
        <w:t xml:space="preserve">, </w:t>
      </w:r>
      <w:r w:rsidRPr="00280A00">
        <w:rPr>
          <w:szCs w:val="22"/>
        </w:rPr>
        <w:t>Pacific people and Asian</w:t>
      </w:r>
      <w:r w:rsidR="00971147">
        <w:rPr>
          <w:szCs w:val="22"/>
        </w:rPr>
        <w:t xml:space="preserve"> people</w:t>
      </w:r>
      <w:r w:rsidRPr="00280A00">
        <w:rPr>
          <w:szCs w:val="22"/>
        </w:rPr>
        <w:t xml:space="preserve"> </w:t>
      </w:r>
      <w:r>
        <w:rPr>
          <w:szCs w:val="22"/>
        </w:rPr>
        <w:t>we</w:t>
      </w:r>
      <w:r w:rsidRPr="00280A00">
        <w:rPr>
          <w:szCs w:val="22"/>
        </w:rPr>
        <w:t>re over-sampled.  Wave 2 re-contacted and interviewed 3</w:t>
      </w:r>
      <w:r>
        <w:rPr>
          <w:szCs w:val="22"/>
        </w:rPr>
        <w:t>,</w:t>
      </w:r>
      <w:r w:rsidRPr="00280A00">
        <w:rPr>
          <w:szCs w:val="22"/>
        </w:rPr>
        <w:t xml:space="preserve">745 participants </w:t>
      </w:r>
      <w:r w:rsidR="00BF0EA0">
        <w:rPr>
          <w:szCs w:val="22"/>
        </w:rPr>
        <w:t>12 </w:t>
      </w:r>
      <w:r w:rsidRPr="00280A00">
        <w:rPr>
          <w:szCs w:val="22"/>
        </w:rPr>
        <w:t>months after the initial interview.</w:t>
      </w:r>
    </w:p>
    <w:p w:rsidR="00280A00" w:rsidRPr="00280A00" w:rsidRDefault="00280A00" w:rsidP="00280A00">
      <w:pPr>
        <w:jc w:val="both"/>
        <w:rPr>
          <w:szCs w:val="22"/>
        </w:rPr>
      </w:pPr>
    </w:p>
    <w:p w:rsidR="00280A00" w:rsidRDefault="00280A00" w:rsidP="00280A00">
      <w:pPr>
        <w:jc w:val="both"/>
        <w:rPr>
          <w:szCs w:val="22"/>
        </w:rPr>
      </w:pPr>
      <w:r w:rsidRPr="00280A00">
        <w:rPr>
          <w:szCs w:val="22"/>
        </w:rPr>
        <w:t xml:space="preserve">A range of measures was included in the </w:t>
      </w:r>
      <w:r>
        <w:rPr>
          <w:szCs w:val="22"/>
        </w:rPr>
        <w:t xml:space="preserve">Wave 1 </w:t>
      </w:r>
      <w:r w:rsidRPr="00280A00">
        <w:rPr>
          <w:szCs w:val="22"/>
        </w:rPr>
        <w:t>baseline survey including measures of problem gambling.  Other measures include</w:t>
      </w:r>
      <w:r>
        <w:rPr>
          <w:szCs w:val="22"/>
        </w:rPr>
        <w:t>d</w:t>
      </w:r>
      <w:r w:rsidRPr="00280A00">
        <w:rPr>
          <w:szCs w:val="22"/>
        </w:rPr>
        <w:t xml:space="preserve"> demographics, gambling participation, gambling strategies and cognitions, gambling attitudes, health and well-being, psychological status, readiness to change, substance use/misuse, life events, and social capital/support. </w:t>
      </w:r>
      <w:r>
        <w:rPr>
          <w:szCs w:val="22"/>
        </w:rPr>
        <w:t xml:space="preserve"> </w:t>
      </w:r>
      <w:r w:rsidRPr="00280A00">
        <w:rPr>
          <w:szCs w:val="22"/>
        </w:rPr>
        <w:t xml:space="preserve">Many of these measures have been used in previous New Zealand and international gambling studies, facilitating comparison with these studies as well as with future </w:t>
      </w:r>
      <w:r>
        <w:rPr>
          <w:szCs w:val="22"/>
        </w:rPr>
        <w:t>New Zealand surveys</w:t>
      </w:r>
      <w:r w:rsidRPr="00280A00">
        <w:rPr>
          <w:szCs w:val="22"/>
        </w:rPr>
        <w:t xml:space="preserve"> and high quality </w:t>
      </w:r>
      <w:r>
        <w:rPr>
          <w:szCs w:val="22"/>
        </w:rPr>
        <w:t xml:space="preserve">gambling </w:t>
      </w:r>
      <w:r w:rsidRPr="00280A00">
        <w:rPr>
          <w:szCs w:val="22"/>
        </w:rPr>
        <w:t>prevalence and incidence studies underway in Victoria</w:t>
      </w:r>
      <w:r w:rsidR="001D6975">
        <w:rPr>
          <w:szCs w:val="22"/>
        </w:rPr>
        <w:t>, Australia</w:t>
      </w:r>
      <w:r w:rsidRPr="00280A00">
        <w:rPr>
          <w:szCs w:val="22"/>
        </w:rPr>
        <w:t xml:space="preserve"> and Sweden.  Most measures were repeated in </w:t>
      </w:r>
      <w:r>
        <w:rPr>
          <w:szCs w:val="22"/>
        </w:rPr>
        <w:t>Wave 2</w:t>
      </w:r>
      <w:r w:rsidRPr="00280A00">
        <w:rPr>
          <w:szCs w:val="22"/>
        </w:rPr>
        <w:t xml:space="preserve"> </w:t>
      </w:r>
      <w:r>
        <w:rPr>
          <w:szCs w:val="22"/>
        </w:rPr>
        <w:t>after</w:t>
      </w:r>
      <w:r w:rsidRPr="00280A00">
        <w:rPr>
          <w:szCs w:val="22"/>
        </w:rPr>
        <w:t xml:space="preserve"> 12 months in order to measure change over time and identify factors predictive of change in gambling and problem gambling.</w:t>
      </w:r>
    </w:p>
    <w:p w:rsidR="00280A00" w:rsidRDefault="00280A00" w:rsidP="004C44C8">
      <w:pPr>
        <w:jc w:val="both"/>
        <w:rPr>
          <w:szCs w:val="22"/>
        </w:rPr>
      </w:pPr>
    </w:p>
    <w:p w:rsidR="004C44C8" w:rsidRPr="00134036" w:rsidRDefault="004C44C8" w:rsidP="004C44C8">
      <w:pPr>
        <w:jc w:val="both"/>
        <w:rPr>
          <w:szCs w:val="22"/>
        </w:rPr>
      </w:pPr>
      <w:r w:rsidRPr="00134036">
        <w:rPr>
          <w:szCs w:val="22"/>
        </w:rPr>
        <w:t xml:space="preserve">This report describes the </w:t>
      </w:r>
      <w:r>
        <w:rPr>
          <w:szCs w:val="22"/>
        </w:rPr>
        <w:t>second</w:t>
      </w:r>
      <w:r w:rsidRPr="00134036">
        <w:rPr>
          <w:szCs w:val="22"/>
        </w:rPr>
        <w:t xml:space="preserve"> phase of the </w:t>
      </w:r>
      <w:r>
        <w:rPr>
          <w:szCs w:val="22"/>
        </w:rPr>
        <w:t xml:space="preserve">2012 </w:t>
      </w:r>
      <w:r w:rsidRPr="00134036">
        <w:rPr>
          <w:szCs w:val="22"/>
        </w:rPr>
        <w:t>National Gambling Study</w:t>
      </w:r>
      <w:r>
        <w:rPr>
          <w:szCs w:val="22"/>
        </w:rPr>
        <w:t>, presenting and discussing results from the 12-month follow-up assessment of participants conducted in 2013</w:t>
      </w:r>
      <w:r w:rsidR="00173EB8">
        <w:rPr>
          <w:szCs w:val="22"/>
        </w:rPr>
        <w:t xml:space="preserve"> (Wave 2)</w:t>
      </w:r>
      <w:r w:rsidR="00484E38">
        <w:rPr>
          <w:szCs w:val="22"/>
        </w:rPr>
        <w:t>.</w:t>
      </w:r>
      <w:r w:rsidRPr="00134036">
        <w:rPr>
          <w:szCs w:val="22"/>
        </w:rPr>
        <w:t xml:space="preserve"> </w:t>
      </w:r>
      <w:r w:rsidR="00280A00">
        <w:rPr>
          <w:szCs w:val="22"/>
        </w:rPr>
        <w:t xml:space="preserve"> </w:t>
      </w:r>
      <w:r w:rsidR="00484E38">
        <w:rPr>
          <w:szCs w:val="22"/>
        </w:rPr>
        <w:t>The baseline (2012</w:t>
      </w:r>
      <w:r w:rsidR="00173EB8">
        <w:rPr>
          <w:szCs w:val="22"/>
        </w:rPr>
        <w:t>, Wave 1</w:t>
      </w:r>
      <w:r w:rsidR="00484E38">
        <w:rPr>
          <w:szCs w:val="22"/>
        </w:rPr>
        <w:t xml:space="preserve">) results are presented in three </w:t>
      </w:r>
      <w:r w:rsidR="00280A00">
        <w:rPr>
          <w:szCs w:val="22"/>
        </w:rPr>
        <w:t xml:space="preserve">previous </w:t>
      </w:r>
      <w:r w:rsidR="00484E38">
        <w:rPr>
          <w:szCs w:val="22"/>
        </w:rPr>
        <w:t>reports covering an overview of gambling and gambling participation findings (Abbott, Bellringer, Garrett, &amp; Mundy-McPherson, 2014a), gambling harm and problem gambling (Abbott et al., 2014b), and attitudes towards gambling (Abbott et al., 201</w:t>
      </w:r>
      <w:r w:rsidR="001D6975">
        <w:rPr>
          <w:szCs w:val="22"/>
        </w:rPr>
        <w:t>5</w:t>
      </w:r>
      <w:r w:rsidR="00484E38">
        <w:rPr>
          <w:szCs w:val="22"/>
        </w:rPr>
        <w:t>).</w:t>
      </w:r>
    </w:p>
    <w:p w:rsidR="00FE661D" w:rsidRDefault="00FE661D" w:rsidP="00DD5133">
      <w:pPr>
        <w:jc w:val="both"/>
        <w:rPr>
          <w:lang w:eastAsia="en-US"/>
        </w:rPr>
      </w:pPr>
    </w:p>
    <w:p w:rsidR="00DD5133" w:rsidRPr="00DD5133" w:rsidRDefault="00DD5133" w:rsidP="00DD5133">
      <w:pPr>
        <w:jc w:val="both"/>
        <w:rPr>
          <w:lang w:eastAsia="en-US"/>
        </w:rPr>
      </w:pPr>
      <w:r w:rsidRPr="00DD5133">
        <w:rPr>
          <w:lang w:eastAsia="en-US"/>
        </w:rPr>
        <w:t xml:space="preserve">This </w:t>
      </w:r>
      <w:r w:rsidR="004C44C8">
        <w:rPr>
          <w:lang w:eastAsia="en-US"/>
        </w:rPr>
        <w:t>chapter</w:t>
      </w:r>
      <w:r w:rsidRPr="00DD5133">
        <w:rPr>
          <w:lang w:eastAsia="en-US"/>
        </w:rPr>
        <w:t xml:space="preserve"> provides </w:t>
      </w:r>
      <w:r w:rsidR="001D6975" w:rsidRPr="00DD5133">
        <w:rPr>
          <w:lang w:eastAsia="en-US"/>
        </w:rPr>
        <w:t xml:space="preserve">an outline of the study objectives </w:t>
      </w:r>
      <w:r w:rsidR="001D6975">
        <w:rPr>
          <w:lang w:eastAsia="en-US"/>
        </w:rPr>
        <w:t xml:space="preserve">and </w:t>
      </w:r>
      <w:r w:rsidRPr="00DD5133">
        <w:rPr>
          <w:lang w:eastAsia="en-US"/>
        </w:rPr>
        <w:t>background information.</w:t>
      </w:r>
    </w:p>
    <w:p w:rsidR="00DD5133" w:rsidRDefault="00DD5133" w:rsidP="00DD5133">
      <w:pPr>
        <w:jc w:val="both"/>
        <w:rPr>
          <w:lang w:eastAsia="en-US"/>
        </w:rPr>
      </w:pPr>
    </w:p>
    <w:p w:rsidR="005330D3" w:rsidRDefault="005330D3" w:rsidP="00DD5133">
      <w:pPr>
        <w:jc w:val="both"/>
        <w:rPr>
          <w:lang w:eastAsia="en-US"/>
        </w:rPr>
      </w:pPr>
    </w:p>
    <w:p w:rsidR="00DD5133" w:rsidRPr="00DD5133" w:rsidRDefault="00DD5133" w:rsidP="00DD5133">
      <w:pPr>
        <w:jc w:val="both"/>
        <w:rPr>
          <w:b/>
          <w:lang w:eastAsia="en-US"/>
        </w:rPr>
      </w:pPr>
      <w:r w:rsidRPr="00DD5133">
        <w:rPr>
          <w:b/>
          <w:lang w:eastAsia="en-US"/>
        </w:rPr>
        <w:t xml:space="preserve">Study </w:t>
      </w:r>
      <w:r w:rsidR="002913EF" w:rsidRPr="00DD5133">
        <w:rPr>
          <w:b/>
          <w:lang w:eastAsia="en-US"/>
        </w:rPr>
        <w:t>objectives</w:t>
      </w:r>
    </w:p>
    <w:p w:rsidR="00DD5133" w:rsidRDefault="00DD5133" w:rsidP="00DD5133">
      <w:pPr>
        <w:jc w:val="both"/>
        <w:rPr>
          <w:lang w:eastAsia="en-US"/>
        </w:rPr>
      </w:pPr>
    </w:p>
    <w:p w:rsidR="00DD5133" w:rsidRPr="00DD5133" w:rsidRDefault="00DD5133" w:rsidP="00DD5133">
      <w:pPr>
        <w:jc w:val="both"/>
        <w:rPr>
          <w:lang w:eastAsia="en-US"/>
        </w:rPr>
      </w:pPr>
      <w:r w:rsidRPr="00DD5133">
        <w:rPr>
          <w:lang w:eastAsia="en-US"/>
        </w:rPr>
        <w:t xml:space="preserve">The primary aims of </w:t>
      </w:r>
      <w:r w:rsidR="00173EB8">
        <w:rPr>
          <w:lang w:eastAsia="en-US"/>
        </w:rPr>
        <w:t>Wave 2</w:t>
      </w:r>
      <w:r w:rsidRPr="00DD5133">
        <w:rPr>
          <w:lang w:eastAsia="en-US"/>
        </w:rPr>
        <w:t xml:space="preserve"> of the N</w:t>
      </w:r>
      <w:r w:rsidR="004C44C8">
        <w:rPr>
          <w:lang w:eastAsia="en-US"/>
        </w:rPr>
        <w:t xml:space="preserve">ational </w:t>
      </w:r>
      <w:r w:rsidRPr="00DD5133">
        <w:rPr>
          <w:lang w:eastAsia="en-US"/>
        </w:rPr>
        <w:t>G</w:t>
      </w:r>
      <w:r w:rsidR="004C44C8">
        <w:rPr>
          <w:lang w:eastAsia="en-US"/>
        </w:rPr>
        <w:t xml:space="preserve">ambling </w:t>
      </w:r>
      <w:r w:rsidRPr="00DD5133">
        <w:rPr>
          <w:lang w:eastAsia="en-US"/>
        </w:rPr>
        <w:t>S</w:t>
      </w:r>
      <w:r w:rsidR="004C44C8">
        <w:rPr>
          <w:lang w:eastAsia="en-US"/>
        </w:rPr>
        <w:t>tudy</w:t>
      </w:r>
      <w:r w:rsidRPr="00DD5133">
        <w:rPr>
          <w:lang w:eastAsia="en-US"/>
        </w:rPr>
        <w:t xml:space="preserve"> </w:t>
      </w:r>
      <w:r w:rsidR="005E1C26">
        <w:rPr>
          <w:lang w:eastAsia="en-US"/>
        </w:rPr>
        <w:t>we</w:t>
      </w:r>
      <w:r w:rsidRPr="00DD5133">
        <w:rPr>
          <w:lang w:eastAsia="en-US"/>
        </w:rPr>
        <w:t>re to:</w:t>
      </w:r>
    </w:p>
    <w:p w:rsidR="00484E38" w:rsidRPr="00484E38" w:rsidRDefault="00484E38" w:rsidP="005636CC">
      <w:pPr>
        <w:numPr>
          <w:ilvl w:val="0"/>
          <w:numId w:val="34"/>
        </w:numPr>
        <w:jc w:val="both"/>
        <w:rPr>
          <w:lang w:eastAsia="en-US"/>
        </w:rPr>
      </w:pPr>
      <w:r>
        <w:rPr>
          <w:szCs w:val="22"/>
        </w:rPr>
        <w:t>Investigate incidence of problem gambling (i.e. the number of ‘new’ cases of problem gambling arising since 2012)</w:t>
      </w:r>
    </w:p>
    <w:p w:rsidR="00484E38" w:rsidRPr="00484E38" w:rsidRDefault="00484E38" w:rsidP="005636CC">
      <w:pPr>
        <w:numPr>
          <w:ilvl w:val="0"/>
          <w:numId w:val="34"/>
        </w:numPr>
        <w:jc w:val="both"/>
        <w:rPr>
          <w:lang w:eastAsia="en-US"/>
        </w:rPr>
      </w:pPr>
      <w:r>
        <w:rPr>
          <w:szCs w:val="22"/>
        </w:rPr>
        <w:t>Investigate transitions between gambling states (no gambling, non-problem gambling, low-risk</w:t>
      </w:r>
      <w:r w:rsidR="001D6975">
        <w:rPr>
          <w:szCs w:val="22"/>
        </w:rPr>
        <w:t xml:space="preserve"> gambling</w:t>
      </w:r>
      <w:r>
        <w:rPr>
          <w:szCs w:val="22"/>
        </w:rPr>
        <w:t xml:space="preserve">, moderate-risk </w:t>
      </w:r>
      <w:r w:rsidR="001D6975">
        <w:rPr>
          <w:szCs w:val="22"/>
        </w:rPr>
        <w:t xml:space="preserve">gambling </w:t>
      </w:r>
      <w:r>
        <w:rPr>
          <w:szCs w:val="22"/>
        </w:rPr>
        <w:t>and problem gambling)</w:t>
      </w:r>
    </w:p>
    <w:p w:rsidR="00484E38" w:rsidRPr="00484E38" w:rsidRDefault="00484E38" w:rsidP="005636CC">
      <w:pPr>
        <w:numPr>
          <w:ilvl w:val="0"/>
          <w:numId w:val="34"/>
        </w:numPr>
        <w:jc w:val="both"/>
        <w:rPr>
          <w:lang w:eastAsia="en-US"/>
        </w:rPr>
      </w:pPr>
      <w:r>
        <w:rPr>
          <w:szCs w:val="22"/>
        </w:rPr>
        <w:t>Investigate risk and resilience for problem gambling</w:t>
      </w:r>
    </w:p>
    <w:p w:rsidR="00DD5133" w:rsidRPr="00484E38" w:rsidRDefault="00484E38" w:rsidP="005636CC">
      <w:pPr>
        <w:numPr>
          <w:ilvl w:val="0"/>
          <w:numId w:val="34"/>
        </w:numPr>
        <w:jc w:val="both"/>
        <w:rPr>
          <w:lang w:eastAsia="en-US"/>
        </w:rPr>
      </w:pPr>
      <w:r>
        <w:rPr>
          <w:szCs w:val="22"/>
        </w:rPr>
        <w:t>Investigate factors associated with ‘natural recovery’</w:t>
      </w:r>
      <w:r w:rsidRPr="00134036">
        <w:rPr>
          <w:szCs w:val="22"/>
        </w:rPr>
        <w:t>.</w:t>
      </w:r>
    </w:p>
    <w:p w:rsidR="00DD5133" w:rsidRDefault="00DD5133" w:rsidP="00DD5133">
      <w:pPr>
        <w:jc w:val="both"/>
        <w:rPr>
          <w:lang w:eastAsia="en-US"/>
        </w:rPr>
      </w:pPr>
    </w:p>
    <w:p w:rsidR="005330D3" w:rsidRDefault="005330D3" w:rsidP="00DD5133">
      <w:pPr>
        <w:jc w:val="both"/>
        <w:rPr>
          <w:lang w:eastAsia="en-US"/>
        </w:rPr>
      </w:pPr>
    </w:p>
    <w:p w:rsidR="00AF7A06" w:rsidRPr="00A16522" w:rsidRDefault="00AF7A06" w:rsidP="00AF7A06">
      <w:pPr>
        <w:keepNext/>
        <w:keepLines/>
        <w:jc w:val="both"/>
        <w:rPr>
          <w:b/>
          <w:szCs w:val="22"/>
        </w:rPr>
      </w:pPr>
      <w:r w:rsidRPr="00A16522">
        <w:rPr>
          <w:b/>
          <w:szCs w:val="22"/>
        </w:rPr>
        <w:lastRenderedPageBreak/>
        <w:t>Background and context</w:t>
      </w:r>
    </w:p>
    <w:p w:rsidR="00AF7A06" w:rsidRPr="00AF7A06" w:rsidRDefault="00AF7A06" w:rsidP="00AF7A06">
      <w:pPr>
        <w:keepNext/>
        <w:keepLines/>
        <w:jc w:val="both"/>
        <w:rPr>
          <w:szCs w:val="22"/>
        </w:rPr>
      </w:pPr>
    </w:p>
    <w:p w:rsidR="00AF7A06" w:rsidRPr="00AF7A06" w:rsidRDefault="00AF7A06" w:rsidP="00AF7A06">
      <w:pPr>
        <w:keepNext/>
        <w:keepLines/>
        <w:jc w:val="both"/>
        <w:rPr>
          <w:szCs w:val="22"/>
        </w:rPr>
      </w:pPr>
      <w:r w:rsidRPr="00AF7A06">
        <w:rPr>
          <w:szCs w:val="22"/>
        </w:rPr>
        <w:t>During the past few deca</w:t>
      </w:r>
      <w:r>
        <w:rPr>
          <w:szCs w:val="22"/>
        </w:rPr>
        <w:t>des, in many parts of the world</w:t>
      </w:r>
      <w:r w:rsidRPr="00AF7A06">
        <w:rPr>
          <w:szCs w:val="22"/>
        </w:rPr>
        <w:t xml:space="preserve"> there has been unprecedented growth in gambling availability, participation and expenditure.  It has been argued that this expansion is qualitatively and quantitatively unprecedented</w:t>
      </w:r>
      <w:r>
        <w:rPr>
          <w:szCs w:val="22"/>
        </w:rPr>
        <w:t>,</w:t>
      </w:r>
      <w:r w:rsidRPr="00AF7A06">
        <w:rPr>
          <w:szCs w:val="22"/>
        </w:rPr>
        <w:t xml:space="preserve"> driven by a growing acceptance of legal gambling, the intersection of gambling and financial technologies, impacts of the internet, the spread of gambling to traditionally non-gambling settings and other forces of globalisation (Abbott &amp; Volberg, 1999).</w:t>
      </w:r>
      <w:r>
        <w:rPr>
          <w:szCs w:val="22"/>
        </w:rPr>
        <w:t xml:space="preserve"> </w:t>
      </w:r>
      <w:r w:rsidRPr="00AF7A06">
        <w:rPr>
          <w:szCs w:val="22"/>
        </w:rPr>
        <w:t xml:space="preserve"> While gambling is now widespread, some societies had little or no exposure to it until recently (Binde, 2005). </w:t>
      </w:r>
      <w:r w:rsidR="006B13B5">
        <w:rPr>
          <w:szCs w:val="22"/>
        </w:rPr>
        <w:t xml:space="preserve"> </w:t>
      </w:r>
      <w:r w:rsidRPr="00AF7A06">
        <w:rPr>
          <w:szCs w:val="22"/>
        </w:rPr>
        <w:t>Others have experienced cycles of liberalisation and restriction going back many hundreds of years.  Restriction generally arose from increasing public and official concern about gambling leading to personal and s</w:t>
      </w:r>
      <w:r w:rsidR="006B13B5">
        <w:rPr>
          <w:szCs w:val="22"/>
        </w:rPr>
        <w:t xml:space="preserve">ocial harm (Miers, 2004; Rose, </w:t>
      </w:r>
      <w:r w:rsidRPr="00AF7A06">
        <w:rPr>
          <w:szCs w:val="22"/>
        </w:rPr>
        <w:t>2003).  The present global gambling boom has also led to increased awareness of</w:t>
      </w:r>
      <w:r w:rsidR="006B13B5">
        <w:rPr>
          <w:szCs w:val="22"/>
        </w:rPr>
        <w:t>,</w:t>
      </w:r>
      <w:r w:rsidRPr="00AF7A06">
        <w:rPr>
          <w:szCs w:val="22"/>
        </w:rPr>
        <w:t xml:space="preserve"> and concern about</w:t>
      </w:r>
      <w:r w:rsidR="006B13B5">
        <w:rPr>
          <w:szCs w:val="22"/>
        </w:rPr>
        <w:t>,</w:t>
      </w:r>
      <w:r w:rsidRPr="00AF7A06">
        <w:rPr>
          <w:szCs w:val="22"/>
        </w:rPr>
        <w:t xml:space="preserve"> harm of this type. </w:t>
      </w:r>
      <w:r w:rsidR="006B13B5">
        <w:rPr>
          <w:szCs w:val="22"/>
        </w:rPr>
        <w:t xml:space="preserve"> </w:t>
      </w:r>
      <w:r w:rsidRPr="00AF7A06">
        <w:rPr>
          <w:szCs w:val="22"/>
        </w:rPr>
        <w:t xml:space="preserve">Governments responded and commissioned general population surveys to quantify the extent of problem gambling. </w:t>
      </w:r>
      <w:r w:rsidR="006B13B5">
        <w:rPr>
          <w:szCs w:val="22"/>
        </w:rPr>
        <w:t xml:space="preserve"> </w:t>
      </w:r>
      <w:r w:rsidRPr="00AF7A06">
        <w:rPr>
          <w:szCs w:val="22"/>
        </w:rPr>
        <w:t xml:space="preserve">They also conducted inquiries and established commissions to examine various aspects of gambling, including gambling-related harm. </w:t>
      </w:r>
      <w:r w:rsidR="006B13B5">
        <w:rPr>
          <w:szCs w:val="22"/>
        </w:rPr>
        <w:t xml:space="preserve"> </w:t>
      </w:r>
      <w:r w:rsidRPr="00AF7A06">
        <w:rPr>
          <w:szCs w:val="22"/>
        </w:rPr>
        <w:t>The first general population study of problem gambling to use a validated measure, at a national level, was undertaken in New Zealand in 1990 (Abbott &amp; Volberg, 1991; 1996).</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Gambling surveys and other studies, in New Zealand and elsewhere, contributed to awareness and understanding of problem gambling and other personal, family and social costs associated with commercial gambling.  In a number of jurisdictions this research informed political and public debate and played a part in the initiation of legislative and other measures to assist problem gamblers and people adversely affected by their behaviour.</w:t>
      </w:r>
      <w:r w:rsidR="006B13B5">
        <w:rPr>
          <w:szCs w:val="22"/>
        </w:rPr>
        <w:t xml:space="preserve"> </w:t>
      </w:r>
      <w:r w:rsidRPr="00AF7A06">
        <w:rPr>
          <w:szCs w:val="22"/>
        </w:rPr>
        <w:t xml:space="preserve"> New Zealand, commencing in 1993, was among the firs</w:t>
      </w:r>
      <w:r w:rsidR="006B13B5">
        <w:rPr>
          <w:szCs w:val="22"/>
        </w:rPr>
        <w:t>t countries to establish nation</w:t>
      </w:r>
      <w:r w:rsidRPr="00AF7A06">
        <w:rPr>
          <w:szCs w:val="22"/>
        </w:rPr>
        <w:t>wide services for problem gamblers (Sullivan, Abbott, McAvoy &amp; Arroll, 1994).  It was the first, in 2004, to place gambling within an explicit public health framework with a harm reduction emphasis.</w:t>
      </w:r>
      <w:r w:rsidR="006B13B5">
        <w:rPr>
          <w:szCs w:val="22"/>
        </w:rPr>
        <w:t xml:space="preserve"> </w:t>
      </w:r>
      <w:r w:rsidRPr="00AF7A06">
        <w:rPr>
          <w:szCs w:val="22"/>
        </w:rPr>
        <w:t xml:space="preserve"> This legislation also tightened regulation, especially concerning </w:t>
      </w:r>
      <w:r w:rsidR="006B13B5">
        <w:rPr>
          <w:szCs w:val="22"/>
        </w:rPr>
        <w:t>electronic gaming machines (</w:t>
      </w:r>
      <w:r w:rsidRPr="00AF7A06">
        <w:rPr>
          <w:szCs w:val="22"/>
        </w:rPr>
        <w:t>EGMs</w:t>
      </w:r>
      <w:r w:rsidR="006B13B5">
        <w:rPr>
          <w:szCs w:val="22"/>
        </w:rPr>
        <w:t>)</w:t>
      </w:r>
      <w:r w:rsidRPr="00AF7A06">
        <w:rPr>
          <w:szCs w:val="22"/>
        </w:rPr>
        <w:t xml:space="preserve"> and other gambling activities that had been shown to be strongly associated with gambling-related harm.</w:t>
      </w:r>
      <w:r w:rsidR="006B13B5">
        <w:rPr>
          <w:szCs w:val="22"/>
        </w:rPr>
        <w:t xml:space="preserve"> </w:t>
      </w:r>
      <w:r w:rsidRPr="00AF7A06">
        <w:rPr>
          <w:szCs w:val="22"/>
        </w:rPr>
        <w:t xml:space="preserve"> Additionally, it mandated and provided ongoing funding for independent research to inform Government's gambling health strategy including public education and prevention programmes</w:t>
      </w:r>
      <w:r w:rsidR="006B13B5">
        <w:rPr>
          <w:szCs w:val="22"/>
        </w:rPr>
        <w:t>,</w:t>
      </w:r>
      <w:r w:rsidRPr="00AF7A06">
        <w:rPr>
          <w:szCs w:val="22"/>
        </w:rPr>
        <w:t xml:space="preserve"> and a range of counselling and other support services.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As documented in Abbott</w:t>
      </w:r>
      <w:r w:rsidR="006B13B5">
        <w:rPr>
          <w:szCs w:val="22"/>
        </w:rPr>
        <w:t>, Bellringer, Garrett and Mundy-McPherson</w:t>
      </w:r>
      <w:r w:rsidRPr="00AF7A06">
        <w:rPr>
          <w:szCs w:val="22"/>
        </w:rPr>
        <w:t xml:space="preserve"> (2014a)</w:t>
      </w:r>
      <w:r w:rsidR="006B13B5">
        <w:rPr>
          <w:szCs w:val="22"/>
        </w:rPr>
        <w:t>,</w:t>
      </w:r>
      <w:r w:rsidRPr="00AF7A06">
        <w:rPr>
          <w:szCs w:val="22"/>
        </w:rPr>
        <w:t xml:space="preserve"> from 1987 onwards new forms of gambling were introduced to New Zealand.</w:t>
      </w:r>
      <w:r w:rsidR="006B13B5">
        <w:rPr>
          <w:szCs w:val="22"/>
        </w:rPr>
        <w:t xml:space="preserve"> </w:t>
      </w:r>
      <w:r w:rsidRPr="00AF7A06">
        <w:rPr>
          <w:szCs w:val="22"/>
        </w:rPr>
        <w:t xml:space="preserve"> Participation and expenditure initially increased rapidly.  Although further gambling activities continued to be made available and ways of accessing them diversified, since the mid-1990s participation declined markedly. </w:t>
      </w:r>
      <w:r w:rsidR="006B13B5">
        <w:rPr>
          <w:szCs w:val="22"/>
        </w:rPr>
        <w:t xml:space="preserve"> </w:t>
      </w:r>
      <w:r w:rsidRPr="00AF7A06">
        <w:rPr>
          <w:szCs w:val="22"/>
        </w:rPr>
        <w:t xml:space="preserve">This decline was most evident for weekly or more frequent participation, especially in high risk activities. </w:t>
      </w:r>
      <w:r w:rsidR="00F81895">
        <w:rPr>
          <w:szCs w:val="22"/>
        </w:rPr>
        <w:t xml:space="preserve"> </w:t>
      </w:r>
      <w:r w:rsidRPr="00AF7A06">
        <w:rPr>
          <w:szCs w:val="22"/>
        </w:rPr>
        <w:t>Additionally, a decline occurred in the proportion of adults taking part in multiple gambling activities (Abbott et al</w:t>
      </w:r>
      <w:r w:rsidR="00F81895">
        <w:rPr>
          <w:szCs w:val="22"/>
        </w:rPr>
        <w:t>.</w:t>
      </w:r>
      <w:r w:rsidRPr="00AF7A06">
        <w:rPr>
          <w:szCs w:val="22"/>
        </w:rPr>
        <w:t>, 2014a).  Since 2004</w:t>
      </w:r>
      <w:r w:rsidR="00F81895">
        <w:rPr>
          <w:szCs w:val="22"/>
        </w:rPr>
        <w:t>,</w:t>
      </w:r>
      <w:r w:rsidRPr="00AF7A06">
        <w:rPr>
          <w:szCs w:val="22"/>
        </w:rPr>
        <w:t xml:space="preserve"> official gambling expenditure also </w:t>
      </w:r>
      <w:r w:rsidR="00F81895">
        <w:rPr>
          <w:szCs w:val="22"/>
        </w:rPr>
        <w:t>decreased</w:t>
      </w:r>
      <w:r w:rsidRPr="00AF7A06">
        <w:rPr>
          <w:szCs w:val="22"/>
        </w:rPr>
        <w:t xml:space="preserve">.  During the past decade it has </w:t>
      </w:r>
      <w:r w:rsidR="00F81895">
        <w:rPr>
          <w:szCs w:val="22"/>
        </w:rPr>
        <w:t>reduced</w:t>
      </w:r>
      <w:r w:rsidRPr="00AF7A06">
        <w:rPr>
          <w:szCs w:val="22"/>
        </w:rPr>
        <w:t xml:space="preserve"> by a fifth in inflation-adjusted terms. </w:t>
      </w:r>
      <w:r w:rsidR="00F81895">
        <w:rPr>
          <w:szCs w:val="22"/>
        </w:rPr>
        <w:t xml:space="preserve"> </w:t>
      </w:r>
      <w:r w:rsidRPr="00AF7A06">
        <w:rPr>
          <w:szCs w:val="22"/>
        </w:rPr>
        <w:t>Nevertheless</w:t>
      </w:r>
      <w:r w:rsidR="00F81895">
        <w:rPr>
          <w:szCs w:val="22"/>
        </w:rPr>
        <w:t>,</w:t>
      </w:r>
      <w:r w:rsidRPr="00AF7A06">
        <w:rPr>
          <w:szCs w:val="22"/>
        </w:rPr>
        <w:t xml:space="preserve"> New Zealand remains among the top ranked countries in terms of average gambling expenditure per adult (The House Wins, The Economist 2014). </w:t>
      </w:r>
      <w:r w:rsidR="00F81895">
        <w:rPr>
          <w:szCs w:val="22"/>
        </w:rPr>
        <w:t xml:space="preserve"> </w:t>
      </w:r>
      <w:r w:rsidRPr="00AF7A06">
        <w:rPr>
          <w:szCs w:val="22"/>
        </w:rPr>
        <w:t>It is highly likely that gambling-related harm</w:t>
      </w:r>
      <w:r w:rsidR="00F81895">
        <w:rPr>
          <w:szCs w:val="22"/>
        </w:rPr>
        <w:t>,</w:t>
      </w:r>
      <w:r w:rsidRPr="00AF7A06">
        <w:rPr>
          <w:szCs w:val="22"/>
        </w:rPr>
        <w:t xml:space="preserve"> including problem gambling</w:t>
      </w:r>
      <w:r w:rsidR="00F81895">
        <w:rPr>
          <w:szCs w:val="22"/>
        </w:rPr>
        <w:t>,</w:t>
      </w:r>
      <w:r w:rsidRPr="00AF7A06">
        <w:rPr>
          <w:szCs w:val="22"/>
        </w:rPr>
        <w:t xml:space="preserve"> reduced during the 1990s. </w:t>
      </w:r>
      <w:r w:rsidR="00F81895">
        <w:rPr>
          <w:szCs w:val="22"/>
        </w:rPr>
        <w:t xml:space="preserve"> </w:t>
      </w:r>
      <w:r w:rsidRPr="00AF7A06">
        <w:rPr>
          <w:szCs w:val="22"/>
        </w:rPr>
        <w:t>However it has remained at ab</w:t>
      </w:r>
      <w:r w:rsidR="00F81895">
        <w:rPr>
          <w:szCs w:val="22"/>
        </w:rPr>
        <w:t>out the same level since (Abbott, Bellringer, Garrett, Mundy-McPherson</w:t>
      </w:r>
      <w:r w:rsidRPr="00AF7A06">
        <w:rPr>
          <w:szCs w:val="22"/>
        </w:rPr>
        <w:t xml:space="preserve">, 2014b). </w:t>
      </w:r>
      <w:r w:rsidR="00F81895">
        <w:rPr>
          <w:szCs w:val="22"/>
        </w:rPr>
        <w:t xml:space="preserve"> </w:t>
      </w:r>
      <w:r w:rsidRPr="00AF7A06">
        <w:rPr>
          <w:szCs w:val="22"/>
        </w:rPr>
        <w:t xml:space="preserve">These findings are consistent with both the availability and adaptation hypotheses (Abbott, 2006). </w:t>
      </w:r>
      <w:r w:rsidR="00F81895">
        <w:rPr>
          <w:szCs w:val="22"/>
        </w:rPr>
        <w:t xml:space="preserve"> </w:t>
      </w:r>
      <w:r w:rsidRPr="00AF7A06">
        <w:rPr>
          <w:szCs w:val="22"/>
        </w:rPr>
        <w:t xml:space="preserve">The former states that during exposure to new forms of gambling, particularly EGMs and other continuous activities, previously unexposed individuals, population sectors and societies are at elevated risk for the development of gambling problems. </w:t>
      </w:r>
      <w:r w:rsidR="00F81895">
        <w:rPr>
          <w:szCs w:val="22"/>
        </w:rPr>
        <w:t xml:space="preserve"> </w:t>
      </w:r>
      <w:r w:rsidRPr="00AF7A06">
        <w:rPr>
          <w:szCs w:val="22"/>
        </w:rPr>
        <w:t xml:space="preserve">The latter proposes that over time adaptation (‘host’ immunity and protective environmental </w:t>
      </w:r>
      <w:r w:rsidRPr="00AF7A06">
        <w:rPr>
          <w:szCs w:val="22"/>
        </w:rPr>
        <w:lastRenderedPageBreak/>
        <w:t xml:space="preserve">changes) typically occurs and problem levels reduce, even in the face of increasing gambling exposure. </w:t>
      </w:r>
      <w:r w:rsidR="00F81895">
        <w:rPr>
          <w:szCs w:val="22"/>
        </w:rPr>
        <w:t xml:space="preserve"> </w:t>
      </w:r>
      <w:r w:rsidRPr="00AF7A06">
        <w:rPr>
          <w:szCs w:val="22"/>
        </w:rPr>
        <w:t xml:space="preserve">The adaptation hypothesis was initially controversial and contested (Orford, 2005a; 2005b). </w:t>
      </w:r>
      <w:r w:rsidR="00F81895">
        <w:rPr>
          <w:szCs w:val="22"/>
        </w:rPr>
        <w:t xml:space="preserve"> </w:t>
      </w:r>
      <w:r w:rsidRPr="00AF7A06">
        <w:rPr>
          <w:szCs w:val="22"/>
        </w:rPr>
        <w:t>However, a similar pattern to that found in New Zealand has since been observed in a number of other jurisdictions (Abbott et al</w:t>
      </w:r>
      <w:r w:rsidR="00F81895">
        <w:rPr>
          <w:szCs w:val="22"/>
        </w:rPr>
        <w:t>., 2014b</w:t>
      </w:r>
      <w:r w:rsidRPr="00AF7A06">
        <w:rPr>
          <w:szCs w:val="22"/>
        </w:rPr>
        <w:t>; Abbott, Romild &amp; Volberg, 201</w:t>
      </w:r>
      <w:r w:rsidR="001D0AE2">
        <w:rPr>
          <w:szCs w:val="22"/>
        </w:rPr>
        <w:t>4</w:t>
      </w:r>
      <w:r w:rsidRPr="00AF7A06">
        <w:rPr>
          <w:szCs w:val="22"/>
        </w:rPr>
        <w:t>; Williams, Volberg &amp; Stevens, 2011).</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While gambling participation in New Zealand decreased during the past 15 years or so and problem gambling and related harm has p</w:t>
      </w:r>
      <w:r w:rsidR="00036968">
        <w:rPr>
          <w:szCs w:val="22"/>
        </w:rPr>
        <w:t>robably plateaued, there remain</w:t>
      </w:r>
      <w:r w:rsidRPr="00AF7A06">
        <w:rPr>
          <w:szCs w:val="22"/>
        </w:rPr>
        <w:t xml:space="preserve"> substantial differences between some demographic groups, both with respect to participation and harm (Abbott et al</w:t>
      </w:r>
      <w:r w:rsidR="00036968">
        <w:rPr>
          <w:szCs w:val="22"/>
        </w:rPr>
        <w:t>.</w:t>
      </w:r>
      <w:r w:rsidRPr="00AF7A06">
        <w:rPr>
          <w:szCs w:val="22"/>
        </w:rPr>
        <w:t xml:space="preserve">, 2014b). </w:t>
      </w:r>
      <w:r w:rsidR="00036968">
        <w:rPr>
          <w:szCs w:val="22"/>
        </w:rPr>
        <w:t xml:space="preserve"> </w:t>
      </w:r>
      <w:r w:rsidRPr="00AF7A06">
        <w:rPr>
          <w:szCs w:val="22"/>
        </w:rPr>
        <w:t>Many of these differences were also evident 25 years ago (Abbott &amp; Volberg, 1991; 1992; 1996).</w:t>
      </w:r>
      <w:r w:rsidR="00036968">
        <w:rPr>
          <w:szCs w:val="22"/>
        </w:rPr>
        <w:t xml:space="preserve"> </w:t>
      </w:r>
      <w:r w:rsidRPr="00AF7A06">
        <w:rPr>
          <w:szCs w:val="22"/>
        </w:rPr>
        <w:t xml:space="preserve"> </w:t>
      </w:r>
      <w:r w:rsidR="00036968" w:rsidRPr="00AF7A06">
        <w:rPr>
          <w:szCs w:val="22"/>
        </w:rPr>
        <w:t>Mā</w:t>
      </w:r>
      <w:r w:rsidR="00036968">
        <w:rPr>
          <w:szCs w:val="22"/>
        </w:rPr>
        <w:t>o</w:t>
      </w:r>
      <w:r w:rsidR="00036968" w:rsidRPr="00AF7A06">
        <w:rPr>
          <w:szCs w:val="22"/>
        </w:rPr>
        <w:t>ri</w:t>
      </w:r>
      <w:r w:rsidR="00036968">
        <w:rPr>
          <w:szCs w:val="22"/>
        </w:rPr>
        <w:t xml:space="preserve"> </w:t>
      </w:r>
      <w:r w:rsidRPr="00AF7A06">
        <w:rPr>
          <w:szCs w:val="22"/>
        </w:rPr>
        <w:t xml:space="preserve">continue to have high rates of both gambling participation and harm. </w:t>
      </w:r>
      <w:r w:rsidR="00036968">
        <w:rPr>
          <w:szCs w:val="22"/>
        </w:rPr>
        <w:t xml:space="preserve"> </w:t>
      </w:r>
      <w:r w:rsidRPr="00AF7A06">
        <w:rPr>
          <w:szCs w:val="22"/>
        </w:rPr>
        <w:t xml:space="preserve">Pacific </w:t>
      </w:r>
      <w:r w:rsidR="00F50E6B">
        <w:rPr>
          <w:szCs w:val="22"/>
        </w:rPr>
        <w:t>people</w:t>
      </w:r>
      <w:r w:rsidRPr="00AF7A06">
        <w:rPr>
          <w:szCs w:val="22"/>
        </w:rPr>
        <w:t xml:space="preserve"> experience similarly high levels of harm but differ from </w:t>
      </w:r>
      <w:r w:rsidR="00036968" w:rsidRPr="00AF7A06">
        <w:rPr>
          <w:szCs w:val="22"/>
        </w:rPr>
        <w:t>Mā</w:t>
      </w:r>
      <w:r w:rsidR="00036968">
        <w:rPr>
          <w:szCs w:val="22"/>
        </w:rPr>
        <w:t>o</w:t>
      </w:r>
      <w:r w:rsidR="00036968" w:rsidRPr="00AF7A06">
        <w:rPr>
          <w:szCs w:val="22"/>
        </w:rPr>
        <w:t>ri</w:t>
      </w:r>
      <w:r w:rsidR="00036968">
        <w:rPr>
          <w:szCs w:val="22"/>
        </w:rPr>
        <w:t xml:space="preserve"> </w:t>
      </w:r>
      <w:r w:rsidRPr="00AF7A06">
        <w:rPr>
          <w:szCs w:val="22"/>
        </w:rPr>
        <w:t xml:space="preserve">in that their overall gambling participation rate is relatively low. </w:t>
      </w:r>
      <w:r w:rsidR="00C15020">
        <w:rPr>
          <w:szCs w:val="22"/>
        </w:rPr>
        <w:t xml:space="preserve"> </w:t>
      </w:r>
      <w:r w:rsidRPr="00AF7A06">
        <w:rPr>
          <w:szCs w:val="22"/>
        </w:rPr>
        <w:t xml:space="preserve">Young adults and some religious groups have a similar pattern to Pacific </w:t>
      </w:r>
      <w:r w:rsidR="00F50E6B">
        <w:rPr>
          <w:szCs w:val="22"/>
        </w:rPr>
        <w:t>people</w:t>
      </w:r>
      <w:r w:rsidRPr="00AF7A06">
        <w:rPr>
          <w:szCs w:val="22"/>
        </w:rPr>
        <w:t xml:space="preserve">. </w:t>
      </w:r>
      <w:r w:rsidR="00C15020">
        <w:rPr>
          <w:szCs w:val="22"/>
        </w:rPr>
        <w:t xml:space="preserve"> </w:t>
      </w:r>
      <w:r w:rsidRPr="00AF7A06">
        <w:rPr>
          <w:szCs w:val="22"/>
        </w:rPr>
        <w:t xml:space="preserve">While proportionately more people in these groups do not gamble, those who do include a substantial number who gamble intensively and are at high risk. </w:t>
      </w:r>
      <w:r w:rsidR="00C15020">
        <w:rPr>
          <w:szCs w:val="22"/>
        </w:rPr>
        <w:t xml:space="preserve"> </w:t>
      </w:r>
      <w:r w:rsidRPr="00AF7A06">
        <w:rPr>
          <w:szCs w:val="22"/>
        </w:rPr>
        <w:t>These groups are probably vulnerable for a variety of reasons including recent introduction to EGMs and other high-risk gambling activities</w:t>
      </w:r>
      <w:r w:rsidR="00C15020">
        <w:rPr>
          <w:szCs w:val="22"/>
        </w:rPr>
        <w:t>,</w:t>
      </w:r>
      <w:r w:rsidRPr="00AF7A06">
        <w:rPr>
          <w:szCs w:val="22"/>
        </w:rPr>
        <w:t xml:space="preserve"> and residence in more deprived communities with high densities of EGMs and </w:t>
      </w:r>
      <w:r w:rsidR="00C15020">
        <w:rPr>
          <w:szCs w:val="22"/>
        </w:rPr>
        <w:t>Totalisator Agency Boards (</w:t>
      </w:r>
      <w:r w:rsidRPr="00AF7A06">
        <w:rPr>
          <w:szCs w:val="22"/>
        </w:rPr>
        <w:t>TABs</w:t>
      </w:r>
      <w:r w:rsidR="00C15020">
        <w:rPr>
          <w:szCs w:val="22"/>
        </w:rPr>
        <w:t>)</w:t>
      </w:r>
      <w:r w:rsidRPr="00AF7A06">
        <w:rPr>
          <w:szCs w:val="22"/>
        </w:rPr>
        <w:t>.</w:t>
      </w:r>
      <w:r w:rsidR="00C15020">
        <w:rPr>
          <w:szCs w:val="22"/>
        </w:rPr>
        <w:t xml:space="preserve"> </w:t>
      </w:r>
      <w:r w:rsidRPr="00AF7A06">
        <w:rPr>
          <w:szCs w:val="22"/>
        </w:rPr>
        <w:t xml:space="preserve"> Lack of formal education and unemployment were further risk factors, as was recently experiencing a variety of major life events, deprivation and low quality of life (Abbott et al</w:t>
      </w:r>
      <w:r w:rsidR="00C15020">
        <w:rPr>
          <w:szCs w:val="22"/>
        </w:rPr>
        <w:t>.</w:t>
      </w:r>
      <w:r w:rsidRPr="00AF7A06">
        <w:rPr>
          <w:szCs w:val="22"/>
        </w:rPr>
        <w:t xml:space="preserve">, 2014b). </w:t>
      </w:r>
      <w:r w:rsidR="00C15020">
        <w:rPr>
          <w:szCs w:val="22"/>
        </w:rPr>
        <w:t xml:space="preserve"> </w:t>
      </w:r>
      <w:r w:rsidRPr="00AF7A06">
        <w:rPr>
          <w:szCs w:val="22"/>
        </w:rPr>
        <w:t>Additionally</w:t>
      </w:r>
      <w:r w:rsidR="00C15020">
        <w:rPr>
          <w:szCs w:val="22"/>
        </w:rPr>
        <w:t>,</w:t>
      </w:r>
      <w:r w:rsidRPr="00AF7A06">
        <w:rPr>
          <w:szCs w:val="22"/>
        </w:rPr>
        <w:t xml:space="preserve"> problem gamblers and, to a somewhat lower degree</w:t>
      </w:r>
      <w:r w:rsidR="00C15020">
        <w:rPr>
          <w:szCs w:val="22"/>
        </w:rPr>
        <w:t>,</w:t>
      </w:r>
      <w:r w:rsidRPr="00AF7A06">
        <w:rPr>
          <w:szCs w:val="22"/>
        </w:rPr>
        <w:t xml:space="preserve"> moderate- and low-risk gamblers, had high rates of hazardous drinking, tobacco and other drug use, self-rated poor health and high levels of psychological distress.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These and other findings from the NGS baseline survey are generally consistent with previous research. </w:t>
      </w:r>
      <w:r w:rsidR="00C15020">
        <w:rPr>
          <w:szCs w:val="22"/>
        </w:rPr>
        <w:t xml:space="preserve"> </w:t>
      </w:r>
      <w:r w:rsidRPr="00AF7A06">
        <w:rPr>
          <w:szCs w:val="22"/>
        </w:rPr>
        <w:t xml:space="preserve">They indicate that problem gambling and other gambling-related harm constitute a significant public health issue, predominantly impacting on </w:t>
      </w:r>
      <w:r w:rsidR="00C15020" w:rsidRPr="00AF7A06">
        <w:rPr>
          <w:szCs w:val="22"/>
        </w:rPr>
        <w:t>Mā</w:t>
      </w:r>
      <w:r w:rsidR="00C15020">
        <w:rPr>
          <w:szCs w:val="22"/>
        </w:rPr>
        <w:t>o</w:t>
      </w:r>
      <w:r w:rsidR="00C15020" w:rsidRPr="00AF7A06">
        <w:rPr>
          <w:szCs w:val="22"/>
        </w:rPr>
        <w:t>ri</w:t>
      </w:r>
      <w:r w:rsidR="00C15020">
        <w:rPr>
          <w:szCs w:val="22"/>
        </w:rPr>
        <w:t xml:space="preserve"> </w:t>
      </w:r>
      <w:r w:rsidRPr="00AF7A06">
        <w:rPr>
          <w:szCs w:val="22"/>
        </w:rPr>
        <w:t xml:space="preserve">and Pacific </w:t>
      </w:r>
      <w:r w:rsidR="00F50E6B">
        <w:rPr>
          <w:szCs w:val="22"/>
        </w:rPr>
        <w:t>people</w:t>
      </w:r>
      <w:r w:rsidRPr="00AF7A06">
        <w:rPr>
          <w:szCs w:val="22"/>
        </w:rPr>
        <w:t xml:space="preserve"> as well as on people from some other groups that are vulnerable for a variety of reasons. </w:t>
      </w:r>
      <w:r w:rsidR="00C15020">
        <w:rPr>
          <w:szCs w:val="22"/>
        </w:rPr>
        <w:t xml:space="preserve"> </w:t>
      </w:r>
      <w:r w:rsidRPr="00AF7A06">
        <w:rPr>
          <w:szCs w:val="22"/>
        </w:rPr>
        <w:t>As indicated</w:t>
      </w:r>
      <w:r w:rsidR="00C15020">
        <w:rPr>
          <w:szCs w:val="22"/>
        </w:rPr>
        <w:t>,</w:t>
      </w:r>
      <w:r w:rsidRPr="00AF7A06">
        <w:rPr>
          <w:szCs w:val="22"/>
        </w:rPr>
        <w:t xml:space="preserve"> gambling problems are strongly associated with a diversity of financial, social and health problems.  It is highly probable that they contribute to these problems and increase existing social and health inequalities.  Abbott et al</w:t>
      </w:r>
      <w:r w:rsidR="00C15020">
        <w:rPr>
          <w:szCs w:val="22"/>
        </w:rPr>
        <w:t>.</w:t>
      </w:r>
      <w:r w:rsidRPr="00AF7A06">
        <w:rPr>
          <w:szCs w:val="22"/>
        </w:rPr>
        <w:t xml:space="preserve"> (2014b) concluded that further research is required to identify barriers to further reductions in gambling-related harm including the substantial disparities between major ethnic and some other groups.  Given the persistence of these differences and the stabilisation of overall rates of harm despite continued reductions in gambling participation</w:t>
      </w:r>
      <w:r w:rsidR="00C15020">
        <w:rPr>
          <w:szCs w:val="22"/>
        </w:rPr>
        <w:t>,</w:t>
      </w:r>
      <w:r w:rsidRPr="00AF7A06">
        <w:rPr>
          <w:szCs w:val="22"/>
        </w:rPr>
        <w:t xml:space="preserve"> it appears that whole of population approaches to harm reduction, aimed at reducing gambling availability and participation, will need to be augmented by interventions focused on at-risk populations and the various factors that contribute to their vulnerability.</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It is evident from the NGS that most adults approve of gambling to raise money for worthy causes but oppose gambling as a business enterprise or way to increase government revenue (Abbott</w:t>
      </w:r>
      <w:r w:rsidR="00C15020">
        <w:rPr>
          <w:szCs w:val="22"/>
        </w:rPr>
        <w:t>, Bellringer, Garrett &amp; Mundy-McPherson</w:t>
      </w:r>
      <w:r w:rsidRPr="00AF7A06">
        <w:rPr>
          <w:szCs w:val="22"/>
        </w:rPr>
        <w:t xml:space="preserve">, </w:t>
      </w:r>
      <w:r w:rsidR="005447C2">
        <w:rPr>
          <w:szCs w:val="22"/>
        </w:rPr>
        <w:t>2015</w:t>
      </w:r>
      <w:r w:rsidRPr="00AF7A06">
        <w:rPr>
          <w:szCs w:val="22"/>
        </w:rPr>
        <w:t xml:space="preserve">). </w:t>
      </w:r>
      <w:r w:rsidR="00C15020">
        <w:rPr>
          <w:szCs w:val="22"/>
        </w:rPr>
        <w:t xml:space="preserve"> </w:t>
      </w:r>
      <w:r w:rsidRPr="00AF7A06">
        <w:rPr>
          <w:szCs w:val="22"/>
        </w:rPr>
        <w:t>These attitudes have strengthe</w:t>
      </w:r>
      <w:r w:rsidR="00C15020">
        <w:rPr>
          <w:szCs w:val="22"/>
        </w:rPr>
        <w:t>ned during the past 25 years.</w:t>
      </w:r>
      <w:r w:rsidRPr="00AF7A06">
        <w:rPr>
          <w:szCs w:val="22"/>
        </w:rPr>
        <w:t xml:space="preserve">  There are also high levels of public awareness that gambling is associated with harm and that some activities are substantially more harmful than others.  This awareness and concern has increased over time. </w:t>
      </w:r>
      <w:r w:rsidR="00A60D90">
        <w:rPr>
          <w:szCs w:val="22"/>
        </w:rPr>
        <w:t xml:space="preserve"> </w:t>
      </w:r>
      <w:r w:rsidRPr="00AF7A06">
        <w:rPr>
          <w:szCs w:val="22"/>
        </w:rPr>
        <w:t xml:space="preserve">A majority of adults believe that there are too many non-casino EGMs. </w:t>
      </w:r>
      <w:r w:rsidR="00A60D90">
        <w:rPr>
          <w:szCs w:val="22"/>
        </w:rPr>
        <w:t xml:space="preserve"> </w:t>
      </w:r>
      <w:r w:rsidRPr="00AF7A06">
        <w:rPr>
          <w:szCs w:val="22"/>
        </w:rPr>
        <w:t xml:space="preserve">Large majorities believe problems have increased and that both gambling providers and government should do more to help. </w:t>
      </w:r>
      <w:r w:rsidR="00A60D90">
        <w:rPr>
          <w:szCs w:val="22"/>
        </w:rPr>
        <w:t xml:space="preserve"> </w:t>
      </w:r>
      <w:r w:rsidRPr="00AF7A06">
        <w:rPr>
          <w:szCs w:val="22"/>
        </w:rPr>
        <w:t>While these findings apply across all gambling participation and demographic groups there is some variation.</w:t>
      </w:r>
      <w:r w:rsidR="00A60D90">
        <w:rPr>
          <w:szCs w:val="22"/>
        </w:rPr>
        <w:t xml:space="preserve"> </w:t>
      </w:r>
      <w:r w:rsidRPr="00AF7A06">
        <w:rPr>
          <w:szCs w:val="22"/>
        </w:rPr>
        <w:t xml:space="preserve"> This variation partly reflects different degrees of gambling involvement including experience and/or knowledge of gambling-related harm. </w:t>
      </w:r>
      <w:r w:rsidR="00A60D90">
        <w:rPr>
          <w:szCs w:val="22"/>
        </w:rPr>
        <w:t xml:space="preserve"> </w:t>
      </w:r>
      <w:r w:rsidRPr="00AF7A06">
        <w:rPr>
          <w:szCs w:val="22"/>
        </w:rPr>
        <w:t xml:space="preserve">Problem gamblers and demographic groups that </w:t>
      </w:r>
      <w:r w:rsidRPr="00AF7A06">
        <w:rPr>
          <w:szCs w:val="22"/>
        </w:rPr>
        <w:lastRenderedPageBreak/>
        <w:t xml:space="preserve">experience greater harm generally indicated heightened concern and wanted more to be done to reduce gambling availability, especially non-casino EGMs, and to assist people who gamble excessively. </w:t>
      </w:r>
      <w:r w:rsidR="00A60D90">
        <w:rPr>
          <w:szCs w:val="22"/>
        </w:rPr>
        <w:t xml:space="preserve"> </w:t>
      </w:r>
      <w:r w:rsidRPr="00AF7A06">
        <w:rPr>
          <w:szCs w:val="22"/>
        </w:rPr>
        <w:t xml:space="preserve">Some other groups that experienced high levels of harm, while having similar concerns, appeared to be concerned more because of moral and religious objections to gambling generally, rather than reflecting their knowledge of harm associated with different activities. </w:t>
      </w:r>
      <w:r w:rsidR="00A60D90">
        <w:rPr>
          <w:szCs w:val="22"/>
        </w:rPr>
        <w:t xml:space="preserve"> </w:t>
      </w:r>
      <w:r w:rsidRPr="00AF7A06">
        <w:rPr>
          <w:szCs w:val="22"/>
        </w:rPr>
        <w:t>These findings suggest that public attitudes have become less</w:t>
      </w:r>
      <w:r w:rsidR="00A60D90">
        <w:rPr>
          <w:szCs w:val="22"/>
        </w:rPr>
        <w:t>,</w:t>
      </w:r>
      <w:r w:rsidRPr="00AF7A06">
        <w:rPr>
          <w:szCs w:val="22"/>
        </w:rPr>
        <w:t xml:space="preserve"> rather than more</w:t>
      </w:r>
      <w:r w:rsidR="00A60D90">
        <w:rPr>
          <w:szCs w:val="22"/>
        </w:rPr>
        <w:t>,</w:t>
      </w:r>
      <w:r w:rsidRPr="00AF7A06">
        <w:rPr>
          <w:szCs w:val="22"/>
        </w:rPr>
        <w:t xml:space="preserve"> accepting of gambling in recent decades and that knowledge of different types of gambling a</w:t>
      </w:r>
      <w:r w:rsidR="00A60D90">
        <w:rPr>
          <w:szCs w:val="22"/>
        </w:rPr>
        <w:t>nd their impacts has increased.</w:t>
      </w:r>
      <w:r w:rsidRPr="00AF7A06">
        <w:rPr>
          <w:szCs w:val="22"/>
        </w:rPr>
        <w:t xml:space="preserve">  There appears to be little appetite for the addition of new forms of gambling and widespread support for measures that will reduce gambling-related harm.</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NGS objectives include providing detailed information on changes in gambling participation, providing epidemiological information on problem gambling and informing on risk and resiliency factors for problem gambling. </w:t>
      </w:r>
      <w:r w:rsidR="00596408">
        <w:rPr>
          <w:szCs w:val="22"/>
        </w:rPr>
        <w:t xml:space="preserve"> </w:t>
      </w:r>
      <w:r w:rsidRPr="00AF7A06">
        <w:rPr>
          <w:szCs w:val="22"/>
        </w:rPr>
        <w:t xml:space="preserve">These objectives were all addressed, to varying degrees, in the NGS baseline survey. </w:t>
      </w:r>
      <w:r w:rsidR="00596408">
        <w:rPr>
          <w:szCs w:val="22"/>
        </w:rPr>
        <w:t xml:space="preserve"> </w:t>
      </w:r>
      <w:r w:rsidRPr="00AF7A06">
        <w:rPr>
          <w:szCs w:val="22"/>
        </w:rPr>
        <w:t>A further baseline survey objective was to act as a sample frame for a 12 month follow-up re-assessment of appr</w:t>
      </w:r>
      <w:r w:rsidR="00596408">
        <w:rPr>
          <w:szCs w:val="22"/>
        </w:rPr>
        <w:t xml:space="preserve">oximately 3,000 participants.  </w:t>
      </w:r>
      <w:r w:rsidRPr="00AF7A06">
        <w:rPr>
          <w:szCs w:val="22"/>
        </w:rPr>
        <w:t>The main reason for limiting the second phase of the study to 3,000 was financial.  Priority was given to obtaining a high response rate, a nationally representative sample and high quality data.  Building rapport to facilitate ongoing contact was a further consideration.  Given these objectives the Minis</w:t>
      </w:r>
      <w:r w:rsidR="00596408">
        <w:rPr>
          <w:szCs w:val="22"/>
        </w:rPr>
        <w:t>try agreed to the use of nationwide face-to­</w:t>
      </w:r>
      <w:r w:rsidRPr="00AF7A06">
        <w:rPr>
          <w:szCs w:val="22"/>
        </w:rPr>
        <w:t xml:space="preserve">face residential recruitment and interviewing.  Subsequently, while the 12 month interviews were in progress, additional funding became available that enabled a further 745 participants to be included. </w:t>
      </w:r>
      <w:r w:rsidR="00596408">
        <w:rPr>
          <w:szCs w:val="22"/>
        </w:rPr>
        <w:t xml:space="preserve"> </w:t>
      </w:r>
      <w:r w:rsidRPr="00AF7A06">
        <w:rPr>
          <w:szCs w:val="22"/>
        </w:rPr>
        <w:t xml:space="preserve">This addition increased statistical power.  It enables more robust estimates of general population incidence to be determined as well as the detection of differences between major population groups of interest and examination of changes over time in gambling, other behaviours and health outcomes.  Given inevitable attrition, increasing the 12 month follow-up sample also enhanced the viability of the study should additional assessment waves be added. </w:t>
      </w:r>
      <w:r w:rsidR="00596408">
        <w:rPr>
          <w:szCs w:val="22"/>
        </w:rPr>
        <w:t xml:space="preserve"> </w:t>
      </w:r>
      <w:r w:rsidRPr="00AF7A06">
        <w:rPr>
          <w:szCs w:val="22"/>
        </w:rPr>
        <w:t xml:space="preserve">A decision has since been made to conduct 24 and 36 month waves.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The first three NGS reports primarily involve the examination of cross-sectional relationships. </w:t>
      </w:r>
      <w:r w:rsidR="00596408">
        <w:rPr>
          <w:szCs w:val="22"/>
        </w:rPr>
        <w:t xml:space="preserve"> Cross-</w:t>
      </w:r>
      <w:r w:rsidRPr="00AF7A06">
        <w:rPr>
          <w:szCs w:val="22"/>
        </w:rPr>
        <w:t xml:space="preserve">sectional studies, including this phase of the NGS and previous New Zealand studies, have provided a great deal of information about gambling and gambling-related harm. </w:t>
      </w:r>
      <w:r w:rsidR="00596408">
        <w:rPr>
          <w:szCs w:val="22"/>
        </w:rPr>
        <w:t xml:space="preserve"> </w:t>
      </w:r>
      <w:r w:rsidRPr="00AF7A06">
        <w:rPr>
          <w:szCs w:val="22"/>
        </w:rPr>
        <w:t xml:space="preserve">They have found that problem gambling is a fairly robust phenomenon across a variety of adolescent and adult populations. </w:t>
      </w:r>
      <w:r w:rsidR="00596408">
        <w:rPr>
          <w:szCs w:val="22"/>
        </w:rPr>
        <w:t xml:space="preserve"> </w:t>
      </w:r>
      <w:r w:rsidRPr="00AF7A06">
        <w:rPr>
          <w:szCs w:val="22"/>
        </w:rPr>
        <w:t xml:space="preserve">Where surveys of this type have been repeated on more than one occasion, it has sometimes been possible to estimate changes over time in general populations and in different population sectors. </w:t>
      </w:r>
      <w:r w:rsidR="00596408">
        <w:rPr>
          <w:szCs w:val="22"/>
        </w:rPr>
        <w:t xml:space="preserve"> </w:t>
      </w:r>
      <w:r w:rsidRPr="00AF7A06">
        <w:rPr>
          <w:szCs w:val="22"/>
        </w:rPr>
        <w:t xml:space="preserve">However, studies of this type provide only limited information about change at the individual level because it is obtained by asking people about past experiences. </w:t>
      </w:r>
      <w:r w:rsidR="00596408">
        <w:rPr>
          <w:szCs w:val="22"/>
        </w:rPr>
        <w:t xml:space="preserve"> </w:t>
      </w:r>
      <w:r w:rsidRPr="00AF7A06">
        <w:rPr>
          <w:szCs w:val="22"/>
        </w:rPr>
        <w:t xml:space="preserve">Their responses are distorted by recall deficiencies and other factors. </w:t>
      </w:r>
      <w:r w:rsidR="00596408">
        <w:rPr>
          <w:szCs w:val="22"/>
        </w:rPr>
        <w:t xml:space="preserve"> </w:t>
      </w:r>
      <w:r w:rsidRPr="00AF7A06">
        <w:rPr>
          <w:szCs w:val="22"/>
        </w:rPr>
        <w:t>Prospective studies, where the same people are re-assessed on a number of occasions, greatly reduce distortion and bias.</w:t>
      </w:r>
    </w:p>
    <w:p w:rsidR="00AF7A06" w:rsidRPr="00AF7A06" w:rsidRDefault="00AF7A06" w:rsidP="00AF7A06">
      <w:pPr>
        <w:jc w:val="both"/>
        <w:rPr>
          <w:szCs w:val="22"/>
        </w:rPr>
      </w:pPr>
    </w:p>
    <w:p w:rsidR="00AF7A06" w:rsidRPr="00AF7A06" w:rsidRDefault="00596408" w:rsidP="00AF7A06">
      <w:pPr>
        <w:jc w:val="both"/>
        <w:rPr>
          <w:szCs w:val="22"/>
        </w:rPr>
      </w:pPr>
      <w:r>
        <w:rPr>
          <w:szCs w:val="22"/>
        </w:rPr>
        <w:t>Cross-</w:t>
      </w:r>
      <w:r w:rsidR="00AF7A06" w:rsidRPr="00AF7A06">
        <w:rPr>
          <w:szCs w:val="22"/>
        </w:rPr>
        <w:t xml:space="preserve">sectional studies can identify associations between factors of interest such as demographic group membership, gambling participation, attitudes and gambling-related harm of various kinds. </w:t>
      </w:r>
      <w:r>
        <w:rPr>
          <w:szCs w:val="22"/>
        </w:rPr>
        <w:t xml:space="preserve"> </w:t>
      </w:r>
      <w:r w:rsidR="00AF7A06" w:rsidRPr="00AF7A06">
        <w:rPr>
          <w:szCs w:val="22"/>
        </w:rPr>
        <w:t>A great deal is known from studies of this type about correlates of problem gambling and comorbidities (Abbott et al</w:t>
      </w:r>
      <w:r>
        <w:rPr>
          <w:szCs w:val="22"/>
        </w:rPr>
        <w:t>.</w:t>
      </w:r>
      <w:r w:rsidR="00AF7A06" w:rsidRPr="00AF7A06">
        <w:rPr>
          <w:szCs w:val="22"/>
        </w:rPr>
        <w:t xml:space="preserve">, 2014b). </w:t>
      </w:r>
      <w:r>
        <w:rPr>
          <w:szCs w:val="22"/>
        </w:rPr>
        <w:t xml:space="preserve"> </w:t>
      </w:r>
      <w:r w:rsidR="00AF7A06" w:rsidRPr="00AF7A06">
        <w:rPr>
          <w:szCs w:val="22"/>
        </w:rPr>
        <w:t xml:space="preserve">They have been productive in identifying potential risk and protective factors and testing hypotheses.  However, owing to their cross-sectional nature, the temporal sequence of these associations is often uncertain. </w:t>
      </w:r>
      <w:r>
        <w:rPr>
          <w:szCs w:val="22"/>
        </w:rPr>
        <w:t xml:space="preserve"> </w:t>
      </w:r>
      <w:r w:rsidR="00AF7A06" w:rsidRPr="00AF7A06">
        <w:rPr>
          <w:szCs w:val="22"/>
        </w:rPr>
        <w:t>For example</w:t>
      </w:r>
      <w:r>
        <w:rPr>
          <w:szCs w:val="22"/>
        </w:rPr>
        <w:t>,</w:t>
      </w:r>
      <w:r w:rsidR="00AF7A06" w:rsidRPr="00AF7A06">
        <w:rPr>
          <w:szCs w:val="22"/>
        </w:rPr>
        <w:t xml:space="preserve"> an association between alcohol misuse and problem gambling could arise because problem gambling leads to alcohol misuse, or because alcohol misuse leads to problem gambling. </w:t>
      </w:r>
      <w:r>
        <w:rPr>
          <w:szCs w:val="22"/>
        </w:rPr>
        <w:t xml:space="preserve"> </w:t>
      </w:r>
      <w:r w:rsidR="00AF7A06" w:rsidRPr="00AF7A06">
        <w:rPr>
          <w:szCs w:val="22"/>
        </w:rPr>
        <w:t>Alternatively</w:t>
      </w:r>
      <w:r>
        <w:rPr>
          <w:szCs w:val="22"/>
        </w:rPr>
        <w:t>,</w:t>
      </w:r>
      <w:r w:rsidR="00AF7A06" w:rsidRPr="00AF7A06">
        <w:rPr>
          <w:szCs w:val="22"/>
        </w:rPr>
        <w:t xml:space="preserve"> they could be associated because they share common, underlying causes. </w:t>
      </w:r>
      <w:r>
        <w:rPr>
          <w:szCs w:val="22"/>
        </w:rPr>
        <w:t xml:space="preserve"> </w:t>
      </w:r>
      <w:r w:rsidR="00AF7A06" w:rsidRPr="00AF7A06">
        <w:rPr>
          <w:szCs w:val="22"/>
        </w:rPr>
        <w:t xml:space="preserve">These </w:t>
      </w:r>
      <w:r w:rsidR="00AF7A06" w:rsidRPr="00AF7A06">
        <w:rPr>
          <w:szCs w:val="22"/>
        </w:rPr>
        <w:lastRenderedPageBreak/>
        <w:t xml:space="preserve">possibilities are not mutually exclusive. </w:t>
      </w:r>
      <w:r>
        <w:rPr>
          <w:szCs w:val="22"/>
        </w:rPr>
        <w:t xml:space="preserve"> </w:t>
      </w:r>
      <w:r w:rsidR="00AF7A06" w:rsidRPr="00AF7A06">
        <w:rPr>
          <w:szCs w:val="22"/>
        </w:rPr>
        <w:t>They may or may not all apply in some circumstances or in some groups.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Prevalence studies allow the estimation of the number of people who are currently at risk for, or are currently experiencing, a gambling problem.  A 12 month frame is typically used. </w:t>
      </w:r>
      <w:r w:rsidR="00710805">
        <w:rPr>
          <w:szCs w:val="22"/>
        </w:rPr>
        <w:t xml:space="preserve"> </w:t>
      </w:r>
      <w:r w:rsidRPr="00AF7A06">
        <w:rPr>
          <w:szCs w:val="22"/>
        </w:rPr>
        <w:t xml:space="preserve">Studies sometimes also estimate life-time prevalence by asking people whether they have had particular experiences at any time during their lives. </w:t>
      </w:r>
      <w:r w:rsidR="00710805">
        <w:rPr>
          <w:szCs w:val="22"/>
        </w:rPr>
        <w:t xml:space="preserve"> </w:t>
      </w:r>
      <w:r w:rsidRPr="00AF7A06">
        <w:rPr>
          <w:szCs w:val="22"/>
        </w:rPr>
        <w:t>The 1990 national survey (Abbott &amp; Volberg, 1991;</w:t>
      </w:r>
      <w:r w:rsidR="00710805">
        <w:rPr>
          <w:szCs w:val="22"/>
        </w:rPr>
        <w:t xml:space="preserve"> 1992; 1996) used the South Oak</w:t>
      </w:r>
      <w:r w:rsidRPr="00AF7A06">
        <w:rPr>
          <w:szCs w:val="22"/>
        </w:rPr>
        <w:t>s Gambling Screen-Revised (SOGS-R).</w:t>
      </w:r>
      <w:r w:rsidR="00710805">
        <w:rPr>
          <w:szCs w:val="22"/>
        </w:rPr>
        <w:t xml:space="preserve"> </w:t>
      </w:r>
      <w:r w:rsidRPr="00AF7A06">
        <w:rPr>
          <w:szCs w:val="22"/>
        </w:rPr>
        <w:t xml:space="preserve"> This new measure was developed for the 1990 study.  It invol</w:t>
      </w:r>
      <w:r w:rsidR="00710805">
        <w:rPr>
          <w:szCs w:val="22"/>
        </w:rPr>
        <w:t>ved adaptation of the South Oak</w:t>
      </w:r>
      <w:r w:rsidRPr="00AF7A06">
        <w:rPr>
          <w:szCs w:val="22"/>
        </w:rPr>
        <w:t xml:space="preserve">s Gambling Screen (SOGS), the then most widely used problem gambling measure. </w:t>
      </w:r>
      <w:r w:rsidR="00710805">
        <w:rPr>
          <w:szCs w:val="22"/>
        </w:rPr>
        <w:t xml:space="preserve"> </w:t>
      </w:r>
      <w:r w:rsidRPr="00AF7A06">
        <w:rPr>
          <w:szCs w:val="22"/>
        </w:rPr>
        <w:t xml:space="preserve">The SOGS is a lifetime measure. </w:t>
      </w:r>
      <w:r w:rsidR="00710805">
        <w:rPr>
          <w:szCs w:val="22"/>
        </w:rPr>
        <w:t xml:space="preserve"> </w:t>
      </w:r>
      <w:r w:rsidRPr="00AF7A06">
        <w:rPr>
          <w:szCs w:val="22"/>
        </w:rPr>
        <w:t xml:space="preserve">It was designed this way because, in contrast to most mental disorders, the signs and symptoms for pathological gambling were not required to occur together during a specified timeframe (Abbott &amp; Volberg, 1996; 2006). </w:t>
      </w:r>
      <w:r w:rsidR="00710805">
        <w:rPr>
          <w:szCs w:val="22"/>
        </w:rPr>
        <w:t xml:space="preserve"> </w:t>
      </w:r>
      <w:r w:rsidRPr="00AF7A06">
        <w:rPr>
          <w:szCs w:val="22"/>
        </w:rPr>
        <w:t xml:space="preserve">They could have occurred at any time in the past. </w:t>
      </w:r>
      <w:r w:rsidR="00710805">
        <w:rPr>
          <w:szCs w:val="22"/>
        </w:rPr>
        <w:t xml:space="preserve"> </w:t>
      </w:r>
      <w:r w:rsidRPr="00AF7A06">
        <w:rPr>
          <w:szCs w:val="22"/>
        </w:rPr>
        <w:t xml:space="preserve">Neither was there provision for an 'in remission' diagnosis.  Both the SOGS lifetime frame and omission of an 'in remission' classification reflected the conceptualisation of serious problem gambling (pathological gambling) as an enduring, progressive mental disorder.  The SOGS-R involved the addition of a past six months frame to the original lifetime format, thus providing both </w:t>
      </w:r>
      <w:r w:rsidR="00710805">
        <w:rPr>
          <w:szCs w:val="22"/>
        </w:rPr>
        <w:t>a current and lifetime measure.</w:t>
      </w:r>
      <w:r w:rsidRPr="00AF7A06">
        <w:rPr>
          <w:szCs w:val="22"/>
        </w:rPr>
        <w:t xml:space="preserve">  Since 1991 the SOGS-R became the most widely used measure in the majority of problem gambling research contexts (Abbott &amp; Volberg, 2006). </w:t>
      </w:r>
      <w:r w:rsidR="00710805">
        <w:rPr>
          <w:szCs w:val="22"/>
        </w:rPr>
        <w:t xml:space="preserve"> </w:t>
      </w:r>
      <w:r w:rsidRPr="00AF7A06">
        <w:rPr>
          <w:szCs w:val="22"/>
        </w:rPr>
        <w:t xml:space="preserve">Most studies have used a 12 months format and, during the past decade, many have </w:t>
      </w:r>
      <w:r w:rsidR="00710805">
        <w:rPr>
          <w:szCs w:val="22"/>
        </w:rPr>
        <w:t>removed</w:t>
      </w:r>
      <w:r w:rsidRPr="00AF7A06">
        <w:rPr>
          <w:szCs w:val="22"/>
        </w:rPr>
        <w:t xml:space="preserve"> the lifetime frame.  In recent years a number of other screens, including the Problem Gambling Severity Index (PGSI), have been introduced and have replaced the SOGS-R in some parts of the world.</w:t>
      </w:r>
    </w:p>
    <w:p w:rsidR="00AF7A06" w:rsidRPr="00AF7A06" w:rsidRDefault="00AF7A06" w:rsidP="00AF7A06">
      <w:pPr>
        <w:jc w:val="both"/>
        <w:rPr>
          <w:szCs w:val="22"/>
        </w:rPr>
      </w:pPr>
    </w:p>
    <w:p w:rsidR="00966804" w:rsidRDefault="00AF7A06" w:rsidP="00AF7A06">
      <w:pPr>
        <w:jc w:val="both"/>
        <w:rPr>
          <w:szCs w:val="22"/>
        </w:rPr>
      </w:pPr>
      <w:r w:rsidRPr="00AF7A06">
        <w:rPr>
          <w:szCs w:val="22"/>
        </w:rPr>
        <w:t xml:space="preserve">In the 1990 national survey, and subsequent surveys conducted in New Zealand and elsewhere that used both current and lifetime frames, current rates have typically been approximately half lifetime rates.  </w:t>
      </w:r>
      <w:r w:rsidR="00710805" w:rsidRPr="00AF7A06">
        <w:rPr>
          <w:szCs w:val="22"/>
        </w:rPr>
        <w:t>Interestingly</w:t>
      </w:r>
      <w:r w:rsidR="00710805">
        <w:rPr>
          <w:szCs w:val="22"/>
        </w:rPr>
        <w:t>,</w:t>
      </w:r>
      <w:r w:rsidR="00710805" w:rsidRPr="00AF7A06">
        <w:rPr>
          <w:szCs w:val="22"/>
        </w:rPr>
        <w:t xml:space="preserve"> </w:t>
      </w:r>
      <w:r w:rsidR="00710805">
        <w:rPr>
          <w:szCs w:val="22"/>
        </w:rPr>
        <w:t>h</w:t>
      </w:r>
      <w:r w:rsidRPr="00AF7A06">
        <w:rPr>
          <w:szCs w:val="22"/>
        </w:rPr>
        <w:t xml:space="preserve">owever, over time this difference has increased somewhat, a consequence of past year rates decreasing more quickly than lifetime rates (Williams, Volberg &amp; Stevens, 2011).  The difference between current and lifetime rates is generally regarded as providing an indication of the extent of natural recovery and remission (Abbott &amp; Volberg, 1991; 1992; Slutske, 2006). </w:t>
      </w:r>
      <w:r w:rsidR="002608E7">
        <w:rPr>
          <w:szCs w:val="22"/>
        </w:rPr>
        <w:t xml:space="preserve"> </w:t>
      </w:r>
      <w:r w:rsidRPr="00AF7A06">
        <w:rPr>
          <w:szCs w:val="22"/>
        </w:rPr>
        <w:t>It contradicts the conceptualisation of pathological gambling as a chronic, lifelong disorder and suggests gambling problems are much more fluid than was originally thought.</w:t>
      </w:r>
      <w:r w:rsidR="00710805">
        <w:rPr>
          <w:szCs w:val="22"/>
        </w:rPr>
        <w:t xml:space="preserve"> </w:t>
      </w:r>
      <w:r w:rsidR="002608E7">
        <w:rPr>
          <w:szCs w:val="22"/>
        </w:rPr>
        <w:t xml:space="preserve"> </w:t>
      </w:r>
      <w:r w:rsidRPr="00AF7A06">
        <w:rPr>
          <w:szCs w:val="22"/>
        </w:rPr>
        <w:t xml:space="preserve">However, there are other possible interpretations. </w:t>
      </w:r>
      <w:r w:rsidR="00A16522">
        <w:rPr>
          <w:szCs w:val="22"/>
        </w:rPr>
        <w:t xml:space="preserve"> </w:t>
      </w:r>
      <w:r w:rsidRPr="00AF7A06">
        <w:rPr>
          <w:szCs w:val="22"/>
        </w:rPr>
        <w:t xml:space="preserve">To be classified as a past year (current) probable pathological or problem gambler, specified numbers of criteria are required to be met during the past 12 months. </w:t>
      </w:r>
      <w:r w:rsidR="00BC2FC2">
        <w:rPr>
          <w:szCs w:val="22"/>
        </w:rPr>
        <w:t xml:space="preserve"> </w:t>
      </w:r>
      <w:r w:rsidRPr="00AF7A06">
        <w:rPr>
          <w:szCs w:val="22"/>
        </w:rPr>
        <w:t>In determining classification as a lifetime probable pathological or problem gambler</w:t>
      </w:r>
      <w:r w:rsidR="00BC2FC2">
        <w:rPr>
          <w:szCs w:val="22"/>
        </w:rPr>
        <w:t>,</w:t>
      </w:r>
      <w:r w:rsidRPr="00AF7A06">
        <w:rPr>
          <w:szCs w:val="22"/>
        </w:rPr>
        <w:t xml:space="preserve"> the relevant signs and symptoms could have occurred at any time in the past. </w:t>
      </w:r>
      <w:r w:rsidR="00A16522">
        <w:rPr>
          <w:szCs w:val="22"/>
        </w:rPr>
        <w:t xml:space="preserve"> </w:t>
      </w:r>
      <w:r w:rsidRPr="00AF7A06">
        <w:rPr>
          <w:szCs w:val="22"/>
        </w:rPr>
        <w:t xml:space="preserve">There is no requirement for a certain number to have ever occurred during a particular 12 month period. </w:t>
      </w:r>
      <w:r w:rsidR="00BC2FC2">
        <w:rPr>
          <w:szCs w:val="22"/>
        </w:rPr>
        <w:t xml:space="preserve"> </w:t>
      </w:r>
      <w:r w:rsidRPr="00AF7A06">
        <w:rPr>
          <w:szCs w:val="22"/>
        </w:rPr>
        <w:t>An unknown, but possibly large proportion of 'lifetime' probable pathological and problem gamblers, may never have had sufficient co-occurrence of symptoms to warrant classification had they been administered a current screen.</w:t>
      </w:r>
      <w:r w:rsidR="00BC2FC2">
        <w:rPr>
          <w:szCs w:val="22"/>
        </w:rPr>
        <w:t xml:space="preserve"> </w:t>
      </w:r>
      <w:r w:rsidRPr="00AF7A06">
        <w:rPr>
          <w:szCs w:val="22"/>
        </w:rPr>
        <w:t xml:space="preserve"> This gives rise to uncertainty about what the difference between current and lifetime measures mean, including the degree to which study findings assess change in problems over time. </w:t>
      </w:r>
      <w:r w:rsidR="00BC2FC2">
        <w:rPr>
          <w:szCs w:val="22"/>
        </w:rPr>
        <w:t xml:space="preserve"> </w:t>
      </w:r>
      <w:r w:rsidRPr="00AF7A06">
        <w:rPr>
          <w:szCs w:val="22"/>
        </w:rPr>
        <w:t xml:space="preserve">The actual changes may be much less than they appear. </w:t>
      </w:r>
      <w:r w:rsidR="00BC2FC2">
        <w:rPr>
          <w:szCs w:val="22"/>
        </w:rPr>
        <w:t xml:space="preserve"> </w:t>
      </w:r>
      <w:r w:rsidRPr="00AF7A06">
        <w:rPr>
          <w:szCs w:val="22"/>
        </w:rPr>
        <w:t xml:space="preserve">However, there are also reasons why 'lifetime' rates could be underestimated.  When questions are phrased in the lifetime format, people are reflecting on experiences extending over many years, more so the older they are.  It is likely that recall will be less reliable for more distant experiences and that lifetime problems will, as a consequence, be under-stated. </w:t>
      </w:r>
      <w:r w:rsidR="00BC2FC2">
        <w:rPr>
          <w:szCs w:val="22"/>
        </w:rPr>
        <w:t xml:space="preserve"> </w:t>
      </w:r>
      <w:r w:rsidRPr="00AF7A06">
        <w:rPr>
          <w:szCs w:val="22"/>
        </w:rPr>
        <w:t xml:space="preserve">Past year accounts, on the other hand, </w:t>
      </w:r>
      <w:r w:rsidR="00BC2FC2">
        <w:rPr>
          <w:szCs w:val="22"/>
        </w:rPr>
        <w:t>are more likely to be accurate.</w:t>
      </w:r>
      <w:r w:rsidRPr="00AF7A06">
        <w:rPr>
          <w:szCs w:val="22"/>
        </w:rPr>
        <w:t xml:space="preserve">  Knowing how fluid gambling behaviour is generally, as well as knowing the extent to which high risk and problem gambling of varying severity fluctuates over time is important, both in advancing understanding of these phenomena and in developing gambling </w:t>
      </w:r>
      <w:r w:rsidRPr="00AF7A06">
        <w:rPr>
          <w:szCs w:val="22"/>
        </w:rPr>
        <w:lastRenderedPageBreak/>
        <w:t>policy and services.  While there are ways to ask questions about past behavio</w:t>
      </w:r>
      <w:r w:rsidR="00BC2FC2">
        <w:rPr>
          <w:szCs w:val="22"/>
        </w:rPr>
        <w:t>u</w:t>
      </w:r>
      <w:r w:rsidRPr="00AF7A06">
        <w:rPr>
          <w:szCs w:val="22"/>
        </w:rPr>
        <w:t>r that can increase its accuracy, such retrospectiv</w:t>
      </w:r>
      <w:r w:rsidR="00BC2FC2">
        <w:rPr>
          <w:szCs w:val="22"/>
        </w:rPr>
        <w:t>e inquiry will at best remain a</w:t>
      </w:r>
      <w:r w:rsidRPr="00AF7A06">
        <w:rPr>
          <w:szCs w:val="22"/>
        </w:rPr>
        <w:t xml:space="preserve"> poor proxy for prospective research.</w:t>
      </w:r>
    </w:p>
    <w:p w:rsidR="00AF7A06" w:rsidRPr="00AF7A06" w:rsidRDefault="00AF7A06" w:rsidP="00AF7A06">
      <w:pPr>
        <w:jc w:val="both"/>
        <w:rPr>
          <w:szCs w:val="22"/>
        </w:rPr>
      </w:pPr>
      <w:r w:rsidRPr="00AF7A06">
        <w:rPr>
          <w:szCs w:val="22"/>
        </w:rPr>
        <w:tab/>
      </w:r>
    </w:p>
    <w:p w:rsidR="00AF7A06" w:rsidRPr="00AF7A06" w:rsidRDefault="00AF7A06" w:rsidP="00AF7A06">
      <w:pPr>
        <w:jc w:val="both"/>
        <w:rPr>
          <w:szCs w:val="22"/>
        </w:rPr>
      </w:pPr>
      <w:r w:rsidRPr="00AF7A06">
        <w:rPr>
          <w:szCs w:val="22"/>
        </w:rPr>
        <w:t>The first prospective study of gambling and problem gambling in an adult general population was a seven year follow-up of selected sub-groups from the 1990 New Zealan</w:t>
      </w:r>
      <w:r w:rsidR="003D4AF4">
        <w:rPr>
          <w:szCs w:val="22"/>
        </w:rPr>
        <w:t>d survey (Abbott, Williams &amp; Vol</w:t>
      </w:r>
      <w:r w:rsidRPr="00AF7A06">
        <w:rPr>
          <w:szCs w:val="22"/>
        </w:rPr>
        <w:t xml:space="preserve">berg, 1999; </w:t>
      </w:r>
      <w:r w:rsidR="005E64CB">
        <w:rPr>
          <w:szCs w:val="22"/>
        </w:rPr>
        <w:t>200</w:t>
      </w:r>
      <w:r w:rsidRPr="00AF7A06">
        <w:rPr>
          <w:szCs w:val="22"/>
        </w:rPr>
        <w:t xml:space="preserve">4).  This study found that substantial numbers of lifetime probable pathological and problem gamblers assessed in 1990 did not report having experienced past problems when they were re-assessed in 1998. </w:t>
      </w:r>
      <w:r w:rsidR="003D4AF4">
        <w:rPr>
          <w:szCs w:val="22"/>
        </w:rPr>
        <w:t xml:space="preserve"> It wa</w:t>
      </w:r>
      <w:r w:rsidRPr="00AF7A06">
        <w:rPr>
          <w:szCs w:val="22"/>
        </w:rPr>
        <w:t xml:space="preserve">s expected that some people classified as currently having problems may no longer have current problems when re-assessed subsequently. </w:t>
      </w:r>
      <w:r w:rsidR="003D4AF4">
        <w:rPr>
          <w:szCs w:val="22"/>
        </w:rPr>
        <w:t xml:space="preserve"> </w:t>
      </w:r>
      <w:r w:rsidRPr="00AF7A06">
        <w:rPr>
          <w:szCs w:val="22"/>
        </w:rPr>
        <w:t>This was indeed the case, especially for those who had less severe problems in 1990, as well as for people who did not have co-morbid alcohol problems and favoured gambling</w:t>
      </w:r>
      <w:r w:rsidR="003D4AF4">
        <w:rPr>
          <w:szCs w:val="22"/>
        </w:rPr>
        <w:t xml:space="preserve"> activities</w:t>
      </w:r>
      <w:r w:rsidRPr="00AF7A06">
        <w:rPr>
          <w:szCs w:val="22"/>
        </w:rPr>
        <w:t xml:space="preserve"> other than betting on horse and dog races.</w:t>
      </w:r>
      <w:r w:rsidR="003D4AF4">
        <w:rPr>
          <w:szCs w:val="22"/>
        </w:rPr>
        <w:t xml:space="preserve"> </w:t>
      </w:r>
      <w:r w:rsidRPr="00AF7A06">
        <w:rPr>
          <w:szCs w:val="22"/>
        </w:rPr>
        <w:t xml:space="preserve"> However, people who had problems should also report having had problems in the past when they are asked about them on future occasions. </w:t>
      </w:r>
      <w:r w:rsidR="003D4AF4">
        <w:rPr>
          <w:szCs w:val="22"/>
        </w:rPr>
        <w:t xml:space="preserve"> </w:t>
      </w:r>
      <w:r w:rsidRPr="00AF7A06">
        <w:rPr>
          <w:szCs w:val="22"/>
        </w:rPr>
        <w:t>This study demonstrated that so-called lifetime rates derived this way significantly understate past problem gambling.</w:t>
      </w:r>
    </w:p>
    <w:p w:rsidR="00AF7A06" w:rsidRPr="00AF7A06" w:rsidRDefault="00AF7A06" w:rsidP="00AF7A06">
      <w:pPr>
        <w:jc w:val="both"/>
        <w:rPr>
          <w:szCs w:val="22"/>
        </w:rPr>
      </w:pPr>
    </w:p>
    <w:p w:rsidR="00AF7A06" w:rsidRPr="00AF7A06" w:rsidRDefault="00A16522" w:rsidP="00AF7A06">
      <w:pPr>
        <w:jc w:val="both"/>
        <w:rPr>
          <w:szCs w:val="22"/>
        </w:rPr>
      </w:pPr>
      <w:r>
        <w:rPr>
          <w:szCs w:val="22"/>
        </w:rPr>
        <w:t>Although cross-</w:t>
      </w:r>
      <w:r w:rsidR="00AF7A06" w:rsidRPr="00A16522">
        <w:rPr>
          <w:szCs w:val="22"/>
        </w:rPr>
        <w:t>sectional surveys can provide conservative indications of lifetime prevalence</w:t>
      </w:r>
      <w:r w:rsidR="00AF7A06" w:rsidRPr="00AF7A06">
        <w:rPr>
          <w:szCs w:val="22"/>
        </w:rPr>
        <w:t xml:space="preserve"> and more accurate estimates of current behaviours and conditions, they do not provide accurate indications of changes over time including problem recovery, remission and relapse.</w:t>
      </w:r>
      <w:r>
        <w:rPr>
          <w:szCs w:val="22"/>
        </w:rPr>
        <w:t xml:space="preserve">  </w:t>
      </w:r>
      <w:r w:rsidR="00AF7A06" w:rsidRPr="00AF7A06">
        <w:rPr>
          <w:szCs w:val="22"/>
        </w:rPr>
        <w:t xml:space="preserve">Neither can they accurately assess incidence </w:t>
      </w:r>
      <w:r>
        <w:rPr>
          <w:szCs w:val="22"/>
        </w:rPr>
        <w:t>-</w:t>
      </w:r>
      <w:r w:rsidR="00AF7A06" w:rsidRPr="00AF7A06">
        <w:rPr>
          <w:szCs w:val="22"/>
        </w:rPr>
        <w:t xml:space="preserve"> the onset of high risk and problem gambling.  Prospective studies are required to determine incidence and recovery rates and examine other transitions in gambling behaviour. </w:t>
      </w:r>
      <w:r>
        <w:rPr>
          <w:szCs w:val="22"/>
        </w:rPr>
        <w:t xml:space="preserve"> </w:t>
      </w:r>
      <w:r w:rsidR="00AF7A06" w:rsidRPr="00AF7A06">
        <w:rPr>
          <w:szCs w:val="22"/>
        </w:rPr>
        <w:t>Prevalence provides a measure of stock</w:t>
      </w:r>
      <w:r>
        <w:rPr>
          <w:szCs w:val="22"/>
        </w:rPr>
        <w:t>;</w:t>
      </w:r>
      <w:r w:rsidR="00AF7A06" w:rsidRPr="00AF7A06">
        <w:rPr>
          <w:szCs w:val="22"/>
        </w:rPr>
        <w:t xml:space="preserve"> the number of people with a particular attribute or condition.  Incidence provides a measure of inflow, the number of people who develop an attribute or condition during a particular period of time.  In psychiatric epidemiology, this period is also typically 12 months. </w:t>
      </w:r>
      <w:r>
        <w:rPr>
          <w:szCs w:val="22"/>
        </w:rPr>
        <w:t xml:space="preserve"> </w:t>
      </w:r>
      <w:r w:rsidR="00AF7A06" w:rsidRPr="00AF7A06">
        <w:rPr>
          <w:szCs w:val="22"/>
        </w:rPr>
        <w:t>Remission or recovery is a measure of outflow.  Estimating the incidence of</w:t>
      </w:r>
      <w:r>
        <w:rPr>
          <w:szCs w:val="22"/>
        </w:rPr>
        <w:t>,</w:t>
      </w:r>
      <w:r w:rsidR="00AF7A06" w:rsidRPr="00AF7A06">
        <w:rPr>
          <w:szCs w:val="22"/>
        </w:rPr>
        <w:t xml:space="preserve"> and remission from</w:t>
      </w:r>
      <w:r>
        <w:rPr>
          <w:szCs w:val="22"/>
        </w:rPr>
        <w:t>,</w:t>
      </w:r>
      <w:r w:rsidR="00AF7A06" w:rsidRPr="00AF7A06">
        <w:rPr>
          <w:szCs w:val="22"/>
        </w:rPr>
        <w:t xml:space="preserve"> moderate-risk and problem gambling for the New Zealand adult population is a major purpose of this phase of the NGS.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As mentioned, i</w:t>
      </w:r>
      <w:r w:rsidR="00A16522">
        <w:rPr>
          <w:szCs w:val="22"/>
        </w:rPr>
        <w:t>n addition to prevalence, cross-</w:t>
      </w:r>
      <w:r w:rsidRPr="00AF7A06">
        <w:rPr>
          <w:szCs w:val="22"/>
        </w:rPr>
        <w:t>sectional surveys identify potential risk and protective factors.</w:t>
      </w:r>
      <w:r w:rsidR="00A16522">
        <w:rPr>
          <w:szCs w:val="22"/>
        </w:rPr>
        <w:t xml:space="preserve"> </w:t>
      </w:r>
      <w:r w:rsidRPr="00AF7A06">
        <w:rPr>
          <w:szCs w:val="22"/>
        </w:rPr>
        <w:t xml:space="preserve"> However</w:t>
      </w:r>
      <w:r w:rsidR="00A16522">
        <w:rPr>
          <w:szCs w:val="22"/>
        </w:rPr>
        <w:t>,</w:t>
      </w:r>
      <w:r w:rsidRPr="00AF7A06">
        <w:rPr>
          <w:szCs w:val="22"/>
        </w:rPr>
        <w:t xml:space="preserve"> the temporal sequence is uncertain and this compromises understanding of study findings. </w:t>
      </w:r>
      <w:r w:rsidR="00A16522">
        <w:rPr>
          <w:szCs w:val="22"/>
        </w:rPr>
        <w:t xml:space="preserve"> </w:t>
      </w:r>
      <w:r w:rsidRPr="00AF7A06">
        <w:rPr>
          <w:szCs w:val="22"/>
        </w:rPr>
        <w:t xml:space="preserve">With respect to current problem gamblers, identified cases include people who recently developed problems, as well as people with long-term conditions. </w:t>
      </w:r>
      <w:r w:rsidR="00A16522">
        <w:rPr>
          <w:szCs w:val="22"/>
        </w:rPr>
        <w:t xml:space="preserve"> </w:t>
      </w:r>
      <w:r w:rsidRPr="00AF7A06">
        <w:rPr>
          <w:szCs w:val="22"/>
        </w:rPr>
        <w:t xml:space="preserve">The circumstances under which problems first arose could well be quite different from those associated with current problems. </w:t>
      </w:r>
      <w:r w:rsidR="00A16522">
        <w:rPr>
          <w:szCs w:val="22"/>
        </w:rPr>
        <w:t xml:space="preserve"> </w:t>
      </w:r>
      <w:r w:rsidRPr="00AF7A06">
        <w:rPr>
          <w:szCs w:val="22"/>
        </w:rPr>
        <w:t>This is obscured in cross-sectional studies.</w:t>
      </w:r>
      <w:r w:rsidR="00A16522">
        <w:rPr>
          <w:szCs w:val="22"/>
        </w:rPr>
        <w:t xml:space="preserve"> </w:t>
      </w:r>
      <w:r w:rsidRPr="00AF7A06">
        <w:rPr>
          <w:szCs w:val="22"/>
        </w:rPr>
        <w:t xml:space="preserve"> Prospective studies are required not only to generate reliable estimates of the onset </w:t>
      </w:r>
      <w:r w:rsidR="00A16522">
        <w:rPr>
          <w:szCs w:val="22"/>
        </w:rPr>
        <w:t xml:space="preserve">of </w:t>
      </w:r>
      <w:r w:rsidRPr="00AF7A06">
        <w:rPr>
          <w:szCs w:val="22"/>
        </w:rPr>
        <w:t xml:space="preserve">problems and other behaviours of interest, they are also necessary to determine temporal sequence and to identify particular risk factors for their initial onset. </w:t>
      </w:r>
      <w:r w:rsidR="00A16522">
        <w:rPr>
          <w:szCs w:val="22"/>
        </w:rPr>
        <w:t xml:space="preserve"> </w:t>
      </w:r>
      <w:r w:rsidRPr="00AF7A06">
        <w:rPr>
          <w:szCs w:val="22"/>
        </w:rPr>
        <w:t xml:space="preserve">Additionally, they can help identify risk and protective factors for other transitions including recovery, remission and relapse.  Studies of this type can also examine how people change in other ways when their gambling problems increase or diminish. </w:t>
      </w:r>
      <w:r w:rsidR="00A16522">
        <w:rPr>
          <w:szCs w:val="22"/>
        </w:rPr>
        <w:t xml:space="preserve"> </w:t>
      </w:r>
      <w:r w:rsidRPr="00AF7A06">
        <w:rPr>
          <w:szCs w:val="22"/>
        </w:rPr>
        <w:t>This includes consideration of what recovery from problem gambling means in terms of mental health and other outcomes and to what extent there is 'symptom substitution' where gambling problems are replaced by another form of addiction.</w:t>
      </w:r>
    </w:p>
    <w:p w:rsidR="00AF7A06" w:rsidRDefault="00AF7A06" w:rsidP="00AF7A06">
      <w:pPr>
        <w:jc w:val="both"/>
        <w:rPr>
          <w:szCs w:val="22"/>
        </w:rPr>
      </w:pPr>
    </w:p>
    <w:p w:rsidR="00A16522" w:rsidRPr="00AF7A06" w:rsidRDefault="00A16522" w:rsidP="00AF7A06">
      <w:pPr>
        <w:jc w:val="both"/>
        <w:rPr>
          <w:szCs w:val="22"/>
        </w:rPr>
      </w:pPr>
    </w:p>
    <w:p w:rsidR="00AF7A06" w:rsidRPr="00A16522" w:rsidRDefault="00AF7A06" w:rsidP="00A16522">
      <w:pPr>
        <w:keepNext/>
        <w:jc w:val="both"/>
        <w:rPr>
          <w:b/>
          <w:szCs w:val="22"/>
        </w:rPr>
      </w:pPr>
      <w:r w:rsidRPr="00A16522">
        <w:rPr>
          <w:b/>
          <w:szCs w:val="22"/>
        </w:rPr>
        <w:t>Literature review</w:t>
      </w:r>
    </w:p>
    <w:p w:rsidR="00AF7A06" w:rsidRPr="00AF7A06" w:rsidRDefault="00AF7A06" w:rsidP="00A16522">
      <w:pPr>
        <w:keepNext/>
        <w:jc w:val="both"/>
        <w:rPr>
          <w:szCs w:val="22"/>
        </w:rPr>
      </w:pPr>
    </w:p>
    <w:p w:rsidR="00AF7A06" w:rsidRPr="00AF7A06" w:rsidRDefault="00AF7A06" w:rsidP="00A16522">
      <w:pPr>
        <w:keepNext/>
        <w:jc w:val="both"/>
        <w:rPr>
          <w:szCs w:val="22"/>
        </w:rPr>
      </w:pPr>
      <w:r w:rsidRPr="00AF7A06">
        <w:rPr>
          <w:szCs w:val="22"/>
        </w:rPr>
        <w:t xml:space="preserve">The importance of prospective studies to advance understanding of the epidemiology of addictions and other mental disorders is increasingly recognised and noted.  However, representative general population studies with sufficiently large samples to accurately estimate </w:t>
      </w:r>
      <w:r w:rsidRPr="00AF7A06">
        <w:rPr>
          <w:szCs w:val="22"/>
        </w:rPr>
        <w:lastRenderedPageBreak/>
        <w:t xml:space="preserve">incidence rates, examine other transitions and identify risk and protective factors are uncommon (De Graaf, </w:t>
      </w:r>
      <w:r w:rsidR="005E64CB">
        <w:rPr>
          <w:szCs w:val="22"/>
        </w:rPr>
        <w:t>ten Have &amp; v</w:t>
      </w:r>
      <w:r w:rsidRPr="00AF7A06">
        <w:rPr>
          <w:szCs w:val="22"/>
        </w:rPr>
        <w:t xml:space="preserve">an Dorsselaer, 2010; Wittchen, </w:t>
      </w:r>
      <w:r w:rsidR="005E64CB">
        <w:rPr>
          <w:szCs w:val="22"/>
        </w:rPr>
        <w:t xml:space="preserve">Carter, Pfister, Montgomery &amp; Kessler, </w:t>
      </w:r>
      <w:r w:rsidRPr="00AF7A06">
        <w:rPr>
          <w:szCs w:val="22"/>
        </w:rPr>
        <w:t>2000).  This is especially the case with relatively rare disorders of which serious disordered gambling is one.  In large part</w:t>
      </w:r>
      <w:r w:rsidR="001E72DF">
        <w:rPr>
          <w:szCs w:val="22"/>
        </w:rPr>
        <w:t>,</w:t>
      </w:r>
      <w:r w:rsidRPr="00AF7A06">
        <w:rPr>
          <w:szCs w:val="22"/>
        </w:rPr>
        <w:t xml:space="preserve"> this is a consequence of the substantial sample size required to ‘capture’ disorder onset and cessation.  Conducting high quality studies involving thousands of participants over a number of years is expensive and challenging.</w:t>
      </w:r>
    </w:p>
    <w:p w:rsidR="00AF7A06" w:rsidRPr="00AF7A06" w:rsidRDefault="00AF7A06" w:rsidP="00AF7A06">
      <w:pPr>
        <w:jc w:val="both"/>
        <w:rPr>
          <w:szCs w:val="22"/>
        </w:rPr>
      </w:pPr>
    </w:p>
    <w:p w:rsidR="00D72F38" w:rsidRDefault="00AF7A06" w:rsidP="00AF7A06">
      <w:pPr>
        <w:jc w:val="both"/>
        <w:rPr>
          <w:szCs w:val="22"/>
        </w:rPr>
      </w:pPr>
      <w:r w:rsidRPr="00AF7A06">
        <w:rPr>
          <w:szCs w:val="22"/>
        </w:rPr>
        <w:t>Until recently there have been only a modest number of prospective gambling studies and most have employed small, atypical samples.  Others have added gambling questions to existing general health or other surveys.  In New Zealand the latter include gambling ‘add-ons’ to the Dunedin Multidisciplinary Health and Development Study (Slutske</w:t>
      </w:r>
      <w:r w:rsidR="005E64CB">
        <w:rPr>
          <w:szCs w:val="22"/>
        </w:rPr>
        <w:t>, Caspi, Moffitt, &amp; Poulton,</w:t>
      </w:r>
      <w:r w:rsidRPr="00AF7A06">
        <w:rPr>
          <w:szCs w:val="22"/>
        </w:rPr>
        <w:t xml:space="preserve"> 2005) and the Pacific Islands Families (PIF) Study (Bellringer et al</w:t>
      </w:r>
      <w:r w:rsidR="001E72DF">
        <w:rPr>
          <w:szCs w:val="22"/>
        </w:rPr>
        <w:t>.</w:t>
      </w:r>
      <w:r w:rsidRPr="00AF7A06">
        <w:rPr>
          <w:szCs w:val="22"/>
        </w:rPr>
        <w:t xml:space="preserve">, </w:t>
      </w:r>
      <w:r w:rsidR="001E72DF">
        <w:rPr>
          <w:szCs w:val="22"/>
        </w:rPr>
        <w:t xml:space="preserve">2008; </w:t>
      </w:r>
      <w:r w:rsidRPr="00AF7A06">
        <w:rPr>
          <w:szCs w:val="22"/>
        </w:rPr>
        <w:t>2012; Perese</w:t>
      </w:r>
      <w:r w:rsidR="005E64CB">
        <w:rPr>
          <w:szCs w:val="22"/>
        </w:rPr>
        <w:t>, Bellringer, Williams, &amp; Abbott,</w:t>
      </w:r>
      <w:r w:rsidRPr="00AF7A06">
        <w:rPr>
          <w:szCs w:val="22"/>
        </w:rPr>
        <w:t xml:space="preserve"> 2009; Sch</w:t>
      </w:r>
      <w:r w:rsidR="005E64CB">
        <w:rPr>
          <w:szCs w:val="22"/>
        </w:rPr>
        <w:t>luter, Abbott &amp; Bellringer, 2007</w:t>
      </w:r>
      <w:r w:rsidRPr="00AF7A06">
        <w:rPr>
          <w:szCs w:val="22"/>
        </w:rPr>
        <w:t>).  Studies of the latter type are less expensive for gambling researchers because the major study infrastructure costs have been met from other sources.  However, given that they were developed for other purposes there is typically little</w:t>
      </w:r>
      <w:r w:rsidR="00D72F38">
        <w:rPr>
          <w:szCs w:val="22"/>
        </w:rPr>
        <w:t>,</w:t>
      </w:r>
      <w:r w:rsidRPr="00AF7A06">
        <w:rPr>
          <w:szCs w:val="22"/>
        </w:rPr>
        <w:t xml:space="preserve"> if any</w:t>
      </w:r>
      <w:r w:rsidR="00D72F38">
        <w:rPr>
          <w:szCs w:val="22"/>
        </w:rPr>
        <w:t>,</w:t>
      </w:r>
      <w:r w:rsidRPr="00AF7A06">
        <w:rPr>
          <w:szCs w:val="22"/>
        </w:rPr>
        <w:t xml:space="preserve"> information on gambling from earlier years and space to add questions subsequently is limited given competition from other topics that are often seen to have higher priority than gambling.  </w:t>
      </w:r>
    </w:p>
    <w:p w:rsidR="00D72F38" w:rsidRDefault="00D72F38" w:rsidP="00AF7A06">
      <w:pPr>
        <w:jc w:val="both"/>
        <w:rPr>
          <w:szCs w:val="22"/>
        </w:rPr>
      </w:pPr>
    </w:p>
    <w:p w:rsidR="00AF7A06" w:rsidRPr="00AF7A06" w:rsidRDefault="00AF7A06" w:rsidP="00AF7A06">
      <w:pPr>
        <w:jc w:val="both"/>
        <w:rPr>
          <w:szCs w:val="22"/>
        </w:rPr>
      </w:pPr>
      <w:r w:rsidRPr="00AF7A06">
        <w:rPr>
          <w:szCs w:val="22"/>
        </w:rPr>
        <w:t xml:space="preserve">Two reviews of prospective gambling studies were published in 2007 (Abbott &amp; Clarke, 2007; Slutske, 2007).  Both focused on studies that examined gambling and problem gambling in non-clinical samples.  Abbott and Clarke (2007) identified ten studies; Slutske (2007) eight.  Both identified the New Zealand seven year prospective study mentioned earlier (Abbott, Williams &amp; Volberg, 1999; 2004), a USA casino employees study (Shaffer &amp; Hall, 2002), a Minnesota </w:t>
      </w:r>
      <w:r w:rsidR="00D72F38">
        <w:rPr>
          <w:szCs w:val="22"/>
        </w:rPr>
        <w:t xml:space="preserve">(USA) </w:t>
      </w:r>
      <w:r w:rsidRPr="00AF7A06">
        <w:rPr>
          <w:szCs w:val="22"/>
        </w:rPr>
        <w:t>youth study (Winters et al</w:t>
      </w:r>
      <w:r w:rsidR="00D72F38">
        <w:rPr>
          <w:szCs w:val="22"/>
        </w:rPr>
        <w:t>.</w:t>
      </w:r>
      <w:r w:rsidRPr="00AF7A06">
        <w:rPr>
          <w:szCs w:val="22"/>
        </w:rPr>
        <w:t xml:space="preserve">, 2002), a Missouri </w:t>
      </w:r>
      <w:r w:rsidR="00D72F38">
        <w:rPr>
          <w:szCs w:val="22"/>
        </w:rPr>
        <w:t xml:space="preserve">(USA) </w:t>
      </w:r>
      <w:r w:rsidRPr="00AF7A06">
        <w:rPr>
          <w:szCs w:val="22"/>
        </w:rPr>
        <w:t>college study (</w:t>
      </w:r>
      <w:r w:rsidR="00BD6B84" w:rsidRPr="00BD6B84">
        <w:rPr>
          <w:szCs w:val="22"/>
        </w:rPr>
        <w:t>Slutske, Jackson</w:t>
      </w:r>
      <w:r w:rsidR="00BD6B84">
        <w:rPr>
          <w:szCs w:val="22"/>
        </w:rPr>
        <w:t>,</w:t>
      </w:r>
      <w:r w:rsidR="00BD6B84" w:rsidRPr="00BD6B84">
        <w:rPr>
          <w:szCs w:val="22"/>
        </w:rPr>
        <w:t xml:space="preserve"> &amp; Sher</w:t>
      </w:r>
      <w:r w:rsidRPr="00AF7A06">
        <w:rPr>
          <w:szCs w:val="22"/>
        </w:rPr>
        <w:t xml:space="preserve">, 2003) and a Montreal </w:t>
      </w:r>
      <w:r w:rsidR="00D72F38">
        <w:rPr>
          <w:szCs w:val="22"/>
        </w:rPr>
        <w:t xml:space="preserve">(Canada) </w:t>
      </w:r>
      <w:r w:rsidRPr="00AF7A06">
        <w:rPr>
          <w:szCs w:val="22"/>
        </w:rPr>
        <w:t>adolescent boys study (</w:t>
      </w:r>
      <w:r w:rsidR="00BD6B84">
        <w:t>Vitaro, Wanner, Ladouceur, Brendgen,</w:t>
      </w:r>
      <w:r w:rsidR="00BD6B84" w:rsidRPr="00AB0183">
        <w:t xml:space="preserve"> &amp; Tremblay</w:t>
      </w:r>
      <w:r w:rsidR="00BD6B84">
        <w:t xml:space="preserve">, </w:t>
      </w:r>
      <w:r w:rsidRPr="00AF7A06">
        <w:rPr>
          <w:szCs w:val="22"/>
        </w:rPr>
        <w:t>2004).  Additionally</w:t>
      </w:r>
      <w:r w:rsidR="00D72F38">
        <w:rPr>
          <w:szCs w:val="22"/>
        </w:rPr>
        <w:t>,</w:t>
      </w:r>
      <w:r w:rsidRPr="00AF7A06">
        <w:rPr>
          <w:szCs w:val="22"/>
        </w:rPr>
        <w:t xml:space="preserve"> the Abbott </w:t>
      </w:r>
      <w:r w:rsidR="00D72F38">
        <w:rPr>
          <w:szCs w:val="22"/>
        </w:rPr>
        <w:t>and</w:t>
      </w:r>
      <w:r w:rsidRPr="00AF7A06">
        <w:rPr>
          <w:szCs w:val="22"/>
        </w:rPr>
        <w:t xml:space="preserve"> Clarke (2007) review included a study of USA illicit drug users (</w:t>
      </w:r>
      <w:r w:rsidR="00BD6B84">
        <w:t xml:space="preserve">Cunningham-Williams, </w:t>
      </w:r>
      <w:r w:rsidR="00BD6B84" w:rsidRPr="002A439A">
        <w:t>Cottler, Compton</w:t>
      </w:r>
      <w:r w:rsidR="00BD6B84">
        <w:t xml:space="preserve">, </w:t>
      </w:r>
      <w:r w:rsidR="00BD6B84" w:rsidRPr="002A439A">
        <w:t>&amp; Spitznagel</w:t>
      </w:r>
      <w:r w:rsidRPr="00AF7A06">
        <w:rPr>
          <w:szCs w:val="22"/>
        </w:rPr>
        <w:t>, 1998), a Nova Scotia</w:t>
      </w:r>
      <w:r w:rsidR="00D72F38">
        <w:rPr>
          <w:szCs w:val="22"/>
        </w:rPr>
        <w:t xml:space="preserve"> (Canada)</w:t>
      </w:r>
      <w:r w:rsidRPr="00AF7A06">
        <w:rPr>
          <w:szCs w:val="22"/>
        </w:rPr>
        <w:t xml:space="preserve"> study of </w:t>
      </w:r>
      <w:r w:rsidR="00D72F38">
        <w:rPr>
          <w:szCs w:val="22"/>
        </w:rPr>
        <w:t>Video Lottery terminal (</w:t>
      </w:r>
      <w:r w:rsidRPr="00AF7A06">
        <w:rPr>
          <w:szCs w:val="22"/>
        </w:rPr>
        <w:t>VLT</w:t>
      </w:r>
      <w:r w:rsidR="00D72F38">
        <w:rPr>
          <w:szCs w:val="22"/>
        </w:rPr>
        <w:t>)</w:t>
      </w:r>
      <w:r w:rsidRPr="00AF7A06">
        <w:rPr>
          <w:szCs w:val="22"/>
        </w:rPr>
        <w:t xml:space="preserve"> players (</w:t>
      </w:r>
      <w:r w:rsidR="00BD6B84">
        <w:t xml:space="preserve">Schrans, &amp; </w:t>
      </w:r>
      <w:r w:rsidR="00BD6B84" w:rsidRPr="002A439A">
        <w:t>Schellinck</w:t>
      </w:r>
      <w:r w:rsidRPr="00AF7A06">
        <w:rPr>
          <w:szCs w:val="22"/>
        </w:rPr>
        <w:t xml:space="preserve">, 2000), an Australian study of regular EGM gamblers (Dickerson, Haw &amp; Shepherd, 2003), an Ontario </w:t>
      </w:r>
      <w:r w:rsidR="00D72F38">
        <w:rPr>
          <w:szCs w:val="22"/>
        </w:rPr>
        <w:t xml:space="preserve">(Canada) </w:t>
      </w:r>
      <w:r w:rsidRPr="00AF7A06">
        <w:rPr>
          <w:szCs w:val="22"/>
        </w:rPr>
        <w:t>adult study (</w:t>
      </w:r>
      <w:r w:rsidR="00BD6B84">
        <w:t xml:space="preserve">Wiebe, </w:t>
      </w:r>
      <w:r w:rsidR="00BD6B84" w:rsidRPr="002A439A">
        <w:t>Cox, &amp; Falkowski-Ham</w:t>
      </w:r>
      <w:r w:rsidR="00BD6B84">
        <w:rPr>
          <w:szCs w:val="22"/>
        </w:rPr>
        <w:t xml:space="preserve">, 2003a; </w:t>
      </w:r>
      <w:r w:rsidR="00BD6B84">
        <w:t xml:space="preserve">Wiebe, </w:t>
      </w:r>
      <w:r w:rsidR="00BD6B84" w:rsidRPr="002A439A">
        <w:t>Single, &amp; Falkowski-Ham</w:t>
      </w:r>
      <w:r w:rsidR="00BD6B84">
        <w:t>,</w:t>
      </w:r>
      <w:r w:rsidR="00BD6B84" w:rsidRPr="002A439A">
        <w:t xml:space="preserve"> </w:t>
      </w:r>
      <w:r w:rsidR="00BD6B84">
        <w:t>2003</w:t>
      </w:r>
      <w:r w:rsidR="00BD6B84" w:rsidRPr="001830E5">
        <w:t>b</w:t>
      </w:r>
      <w:r w:rsidR="00BD6B84">
        <w:t xml:space="preserve">; </w:t>
      </w:r>
      <w:r w:rsidR="00BD6B84" w:rsidRPr="002A439A">
        <w:t>Wiebe, Single, Falkowski-Ham</w:t>
      </w:r>
      <w:r w:rsidR="00BD6B84">
        <w:t xml:space="preserve">, </w:t>
      </w:r>
      <w:r w:rsidR="00BD6B84" w:rsidRPr="002A439A">
        <w:t>&amp; Mun</w:t>
      </w:r>
      <w:r w:rsidR="00BD6B84">
        <w:t>, 2004</w:t>
      </w:r>
      <w:r w:rsidRPr="00AF7A06">
        <w:rPr>
          <w:szCs w:val="22"/>
        </w:rPr>
        <w:t>)</w:t>
      </w:r>
      <w:r w:rsidR="00D72F38">
        <w:rPr>
          <w:szCs w:val="22"/>
        </w:rPr>
        <w:t xml:space="preserve"> </w:t>
      </w:r>
      <w:r w:rsidRPr="00AF7A06">
        <w:rPr>
          <w:szCs w:val="22"/>
        </w:rPr>
        <w:t>and a Swedish adolescent study (Sven</w:t>
      </w:r>
      <w:r w:rsidR="00BD6B84">
        <w:rPr>
          <w:szCs w:val="22"/>
        </w:rPr>
        <w:t>s</w:t>
      </w:r>
      <w:r w:rsidRPr="00AF7A06">
        <w:rPr>
          <w:szCs w:val="22"/>
        </w:rPr>
        <w:t>son, 2005).  Additional studies included in the Slutske (2007) review were a Quebec study of boys aged 10 to 13</w:t>
      </w:r>
      <w:r w:rsidR="00D72F38">
        <w:rPr>
          <w:szCs w:val="22"/>
        </w:rPr>
        <w:t xml:space="preserve"> years</w:t>
      </w:r>
      <w:r w:rsidRPr="00AF7A06">
        <w:rPr>
          <w:szCs w:val="22"/>
        </w:rPr>
        <w:t xml:space="preserve"> (Vitaro, Ladouceur &amp; Bujold, 1996), a Buffalo, New York</w:t>
      </w:r>
      <w:r w:rsidR="00D72F38">
        <w:rPr>
          <w:szCs w:val="22"/>
        </w:rPr>
        <w:t xml:space="preserve"> (USA)</w:t>
      </w:r>
      <w:r w:rsidRPr="00AF7A06">
        <w:rPr>
          <w:szCs w:val="22"/>
        </w:rPr>
        <w:t xml:space="preserve"> study</w:t>
      </w:r>
      <w:r w:rsidR="00D72F38">
        <w:rPr>
          <w:szCs w:val="22"/>
        </w:rPr>
        <w:t xml:space="preserve"> (Barnes, Welte &amp; Hoffman, 1999;</w:t>
      </w:r>
      <w:r w:rsidRPr="00AF7A06">
        <w:rPr>
          <w:szCs w:val="22"/>
        </w:rPr>
        <w:t xml:space="preserve"> 2002</w:t>
      </w:r>
      <w:r w:rsidR="00D72F38">
        <w:rPr>
          <w:szCs w:val="22"/>
        </w:rPr>
        <w:t>;</w:t>
      </w:r>
      <w:r w:rsidRPr="00AF7A06">
        <w:rPr>
          <w:szCs w:val="22"/>
        </w:rPr>
        <w:t xml:space="preserve"> 2005) and the Dunedin study referred to previously (Slutske et al</w:t>
      </w:r>
      <w:r w:rsidR="00D72F38">
        <w:rPr>
          <w:szCs w:val="22"/>
        </w:rPr>
        <w:t>.</w:t>
      </w:r>
      <w:r w:rsidRPr="00AF7A06">
        <w:rPr>
          <w:szCs w:val="22"/>
        </w:rPr>
        <w:t>, 2005).  As noted by Slutske (2007)</w:t>
      </w:r>
      <w:r w:rsidR="00D72F38">
        <w:rPr>
          <w:szCs w:val="22"/>
        </w:rPr>
        <w:t>,</w:t>
      </w:r>
      <w:r w:rsidRPr="00AF7A06">
        <w:rPr>
          <w:szCs w:val="22"/>
        </w:rPr>
        <w:t xml:space="preserve"> these studies can be classified into two types.  One type is intended to examine prospective associations between predictors of later gambling behaviour.  The other involves repeated assessments of gambling behaviour focused on examining the stability or otherwise of gambling behaviour over time.  These types overlap to some extent.  For example the </w:t>
      </w:r>
      <w:r w:rsidR="00BD6B84">
        <w:rPr>
          <w:szCs w:val="22"/>
        </w:rPr>
        <w:t>Abbott et al.</w:t>
      </w:r>
      <w:r w:rsidRPr="00AF7A06">
        <w:rPr>
          <w:szCs w:val="22"/>
        </w:rPr>
        <w:t xml:space="preserve"> (1999; 2004) study assessed participant changes in gambling and problem gambling over time</w:t>
      </w:r>
      <w:r w:rsidR="00D72F38">
        <w:rPr>
          <w:szCs w:val="22"/>
        </w:rPr>
        <w:t>,</w:t>
      </w:r>
      <w:r w:rsidRPr="00AF7A06">
        <w:rPr>
          <w:szCs w:val="22"/>
        </w:rPr>
        <w:t xml:space="preserve"> as well as predictors of some of these changes.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LaPlante</w:t>
      </w:r>
      <w:r w:rsidR="00934094">
        <w:rPr>
          <w:szCs w:val="22"/>
        </w:rPr>
        <w:t>,</w:t>
      </w:r>
      <w:r w:rsidRPr="00AF7A06">
        <w:rPr>
          <w:szCs w:val="22"/>
        </w:rPr>
        <w:t xml:space="preserve"> </w:t>
      </w:r>
      <w:r w:rsidR="00934094" w:rsidRPr="002A439A">
        <w:t>Nelson, LaBrie</w:t>
      </w:r>
      <w:r w:rsidR="00934094">
        <w:t xml:space="preserve"> and</w:t>
      </w:r>
      <w:r w:rsidR="00934094" w:rsidRPr="002A439A">
        <w:t xml:space="preserve"> Shaffer</w:t>
      </w:r>
      <w:r w:rsidR="00934094">
        <w:t xml:space="preserve"> </w:t>
      </w:r>
      <w:r w:rsidRPr="00AF7A06">
        <w:rPr>
          <w:szCs w:val="22"/>
        </w:rPr>
        <w:t>(2008) also reviewed prospective studies.  This review had tighter inclusion criteria than the earlier reviews, requiring studie</w:t>
      </w:r>
      <w:r w:rsidR="00D72F38">
        <w:rPr>
          <w:szCs w:val="22"/>
        </w:rPr>
        <w:t>s to have been reported in peer-</w:t>
      </w:r>
      <w:r w:rsidRPr="00AF7A06">
        <w:rPr>
          <w:szCs w:val="22"/>
        </w:rPr>
        <w:t xml:space="preserve">reviewed journals and to include measures of problem gambling that were repeated on one or more occasions.  This study included four of the five studies identified in the 2007 reviews, namely Abbott, Williams and Volberg </w:t>
      </w:r>
      <w:r w:rsidR="00934094">
        <w:rPr>
          <w:szCs w:val="22"/>
        </w:rPr>
        <w:t>(2004);</w:t>
      </w:r>
      <w:r w:rsidRPr="00AF7A06">
        <w:rPr>
          <w:szCs w:val="22"/>
        </w:rPr>
        <w:t xml:space="preserve"> Shaffer and Hall (2002)</w:t>
      </w:r>
      <w:r w:rsidR="00934094">
        <w:rPr>
          <w:szCs w:val="22"/>
        </w:rPr>
        <w:t>;</w:t>
      </w:r>
      <w:r w:rsidRPr="00AF7A06">
        <w:rPr>
          <w:szCs w:val="22"/>
        </w:rPr>
        <w:t xml:space="preserve"> Slutske</w:t>
      </w:r>
      <w:r w:rsidR="00934094">
        <w:rPr>
          <w:szCs w:val="22"/>
        </w:rPr>
        <w:t>,</w:t>
      </w:r>
      <w:r w:rsidRPr="00AF7A06">
        <w:rPr>
          <w:szCs w:val="22"/>
        </w:rPr>
        <w:t xml:space="preserve"> </w:t>
      </w:r>
      <w:r w:rsidR="00934094" w:rsidRPr="002A439A">
        <w:t>Jackson</w:t>
      </w:r>
      <w:r w:rsidR="00934094">
        <w:t xml:space="preserve"> and </w:t>
      </w:r>
      <w:r w:rsidR="00934094" w:rsidRPr="002A439A">
        <w:t>Sher</w:t>
      </w:r>
      <w:r w:rsidRPr="00AF7A06">
        <w:rPr>
          <w:szCs w:val="22"/>
        </w:rPr>
        <w:t xml:space="preserve"> (2003)</w:t>
      </w:r>
      <w:r w:rsidR="00934094">
        <w:rPr>
          <w:szCs w:val="22"/>
        </w:rPr>
        <w:t>;</w:t>
      </w:r>
      <w:r w:rsidRPr="00AF7A06">
        <w:rPr>
          <w:szCs w:val="22"/>
        </w:rPr>
        <w:t xml:space="preserve"> and Winters </w:t>
      </w:r>
      <w:r w:rsidR="00934094">
        <w:rPr>
          <w:szCs w:val="22"/>
        </w:rPr>
        <w:t>et al.</w:t>
      </w:r>
      <w:r w:rsidRPr="00AF7A06">
        <w:rPr>
          <w:szCs w:val="22"/>
        </w:rPr>
        <w:t xml:space="preserve"> (2002).  Additionally</w:t>
      </w:r>
      <w:r w:rsidR="00D72F38">
        <w:rPr>
          <w:szCs w:val="22"/>
        </w:rPr>
        <w:t>,</w:t>
      </w:r>
      <w:r w:rsidRPr="00AF7A06">
        <w:rPr>
          <w:szCs w:val="22"/>
        </w:rPr>
        <w:t xml:space="preserve"> it included a fifth study of Dutch adult scratch-card participants who were experiencing gambling problems (De-Fuentes-Merillas</w:t>
      </w:r>
      <w:r w:rsidR="00934094">
        <w:rPr>
          <w:szCs w:val="22"/>
        </w:rPr>
        <w:t>,</w:t>
      </w:r>
      <w:r w:rsidRPr="00AF7A06">
        <w:rPr>
          <w:szCs w:val="22"/>
        </w:rPr>
        <w:t xml:space="preserve"> </w:t>
      </w:r>
      <w:r w:rsidR="00934094">
        <w:lastRenderedPageBreak/>
        <w:t xml:space="preserve">Koeter, Schippers, </w:t>
      </w:r>
      <w:r w:rsidR="00934094" w:rsidRPr="002A439A">
        <w:t>&amp; van den Brink</w:t>
      </w:r>
      <w:r w:rsidRPr="00AF7A06">
        <w:rPr>
          <w:szCs w:val="22"/>
        </w:rPr>
        <w:t xml:space="preserve">, 2004).  All five studies involved adults with sample sizes ranging from 134 to 639.  Many of the studies identified in the previous reviews are confined to adolescents and young adults.  While they are of interest, given the focus of the NGS on adults, consideration hereon rests more heavily on studies involving participants </w:t>
      </w:r>
      <w:r w:rsidR="00D72F38">
        <w:rPr>
          <w:szCs w:val="22"/>
        </w:rPr>
        <w:t xml:space="preserve">aged </w:t>
      </w:r>
      <w:r w:rsidRPr="00AF7A06">
        <w:rPr>
          <w:szCs w:val="22"/>
        </w:rPr>
        <w:t>18 years and older.  el-Guebaly et al</w:t>
      </w:r>
      <w:r w:rsidR="00D72F38">
        <w:rPr>
          <w:szCs w:val="22"/>
        </w:rPr>
        <w:t>.</w:t>
      </w:r>
      <w:r w:rsidRPr="00AF7A06">
        <w:rPr>
          <w:szCs w:val="22"/>
        </w:rPr>
        <w:t xml:space="preserve"> (2008), in an article on their longitudinal study, also reviewed the relevant literature.  They used much looser selection criteria and identified 17 studies.  Those not included in previous reviews included Jacques</w:t>
      </w:r>
      <w:r w:rsidR="00934094">
        <w:rPr>
          <w:szCs w:val="22"/>
        </w:rPr>
        <w:t>,</w:t>
      </w:r>
      <w:r w:rsidRPr="00AF7A06">
        <w:rPr>
          <w:szCs w:val="22"/>
        </w:rPr>
        <w:t xml:space="preserve"> </w:t>
      </w:r>
      <w:r w:rsidR="00934094">
        <w:t>Ladouceur and</w:t>
      </w:r>
      <w:r w:rsidR="00934094" w:rsidRPr="002D74DF">
        <w:t xml:space="preserve"> Ferland</w:t>
      </w:r>
      <w:r w:rsidR="00934094">
        <w:rPr>
          <w:szCs w:val="22"/>
        </w:rPr>
        <w:t xml:space="preserve"> (2000);</w:t>
      </w:r>
      <w:r w:rsidRPr="00AF7A06">
        <w:rPr>
          <w:szCs w:val="22"/>
        </w:rPr>
        <w:t xml:space="preserve"> Jacques and Ladouceur (2006)</w:t>
      </w:r>
      <w:r w:rsidR="00934094">
        <w:rPr>
          <w:szCs w:val="22"/>
        </w:rPr>
        <w:t>;</w:t>
      </w:r>
      <w:r w:rsidRPr="00AF7A06">
        <w:rPr>
          <w:szCs w:val="22"/>
        </w:rPr>
        <w:t xml:space="preserve"> Hodgins and el-Guebaly (2004)</w:t>
      </w:r>
      <w:r w:rsidR="00934094">
        <w:rPr>
          <w:szCs w:val="22"/>
        </w:rPr>
        <w:t>;</w:t>
      </w:r>
      <w:r w:rsidRPr="00AF7A06">
        <w:rPr>
          <w:szCs w:val="22"/>
        </w:rPr>
        <w:t xml:space="preserve"> Hodgins</w:t>
      </w:r>
      <w:r w:rsidR="00934094">
        <w:rPr>
          <w:szCs w:val="22"/>
        </w:rPr>
        <w:t>,</w:t>
      </w:r>
      <w:r w:rsidRPr="00AF7A06">
        <w:rPr>
          <w:szCs w:val="22"/>
        </w:rPr>
        <w:t xml:space="preserve"> </w:t>
      </w:r>
      <w:r w:rsidR="00934094" w:rsidRPr="002D74DF">
        <w:t>Peden</w:t>
      </w:r>
      <w:r w:rsidR="00934094">
        <w:t xml:space="preserve"> and </w:t>
      </w:r>
      <w:r w:rsidR="00934094" w:rsidRPr="002D74DF">
        <w:t>Cassidy</w:t>
      </w:r>
      <w:r w:rsidR="00934094" w:rsidRPr="00AF7A06">
        <w:rPr>
          <w:szCs w:val="22"/>
        </w:rPr>
        <w:t xml:space="preserve"> </w:t>
      </w:r>
      <w:r w:rsidR="00934094">
        <w:rPr>
          <w:szCs w:val="22"/>
        </w:rPr>
        <w:t>(2005);</w:t>
      </w:r>
      <w:r w:rsidRPr="00AF7A06">
        <w:rPr>
          <w:szCs w:val="22"/>
        </w:rPr>
        <w:t xml:space="preserve"> </w:t>
      </w:r>
      <w:r w:rsidR="00934094">
        <w:t xml:space="preserve">Vander Bilt, </w:t>
      </w:r>
      <w:r w:rsidR="00934094" w:rsidRPr="002D74DF">
        <w:t>Dodge, Pandav, Shaffer</w:t>
      </w:r>
      <w:r w:rsidR="00934094">
        <w:t xml:space="preserve"> and </w:t>
      </w:r>
      <w:r w:rsidR="00934094" w:rsidRPr="002D74DF">
        <w:t>Ganguli</w:t>
      </w:r>
      <w:r w:rsidR="00934094">
        <w:t xml:space="preserve"> </w:t>
      </w:r>
      <w:r w:rsidRPr="00AF7A06">
        <w:rPr>
          <w:szCs w:val="22"/>
        </w:rPr>
        <w:t>(2004)</w:t>
      </w:r>
      <w:r w:rsidR="00934094">
        <w:rPr>
          <w:szCs w:val="22"/>
        </w:rPr>
        <w:t>;</w:t>
      </w:r>
      <w:r w:rsidRPr="00AF7A06">
        <w:rPr>
          <w:szCs w:val="22"/>
        </w:rPr>
        <w:t xml:space="preserve"> Xian et al</w:t>
      </w:r>
      <w:r w:rsidR="00D72F38">
        <w:rPr>
          <w:szCs w:val="22"/>
        </w:rPr>
        <w:t>.</w:t>
      </w:r>
      <w:r w:rsidR="00934094">
        <w:rPr>
          <w:szCs w:val="22"/>
        </w:rPr>
        <w:t xml:space="preserve"> (2007);</w:t>
      </w:r>
      <w:r w:rsidRPr="00AF7A06">
        <w:rPr>
          <w:szCs w:val="22"/>
        </w:rPr>
        <w:t xml:space="preserve"> </w:t>
      </w:r>
      <w:r w:rsidR="00934094">
        <w:t xml:space="preserve">Ladouceur, </w:t>
      </w:r>
      <w:r w:rsidR="00934094" w:rsidRPr="002D74DF">
        <w:t>Sylvain</w:t>
      </w:r>
      <w:r w:rsidR="00934094">
        <w:t xml:space="preserve"> and </w:t>
      </w:r>
      <w:r w:rsidR="00934094" w:rsidRPr="002D74DF">
        <w:t>Gosselin</w:t>
      </w:r>
      <w:r w:rsidR="00934094">
        <w:t xml:space="preserve"> </w:t>
      </w:r>
      <w:r w:rsidRPr="00AF7A06">
        <w:rPr>
          <w:szCs w:val="22"/>
        </w:rPr>
        <w:t>(2007)</w:t>
      </w:r>
      <w:r w:rsidR="00934094">
        <w:rPr>
          <w:szCs w:val="22"/>
        </w:rPr>
        <w:t>;</w:t>
      </w:r>
      <w:r w:rsidRPr="00AF7A06">
        <w:rPr>
          <w:szCs w:val="22"/>
        </w:rPr>
        <w:t xml:space="preserve"> and LaBrie et al</w:t>
      </w:r>
      <w:r w:rsidR="00D72F38">
        <w:rPr>
          <w:szCs w:val="22"/>
        </w:rPr>
        <w:t>.</w:t>
      </w:r>
      <w:r w:rsidRPr="00AF7A06">
        <w:rPr>
          <w:szCs w:val="22"/>
        </w:rPr>
        <w:t xml:space="preserve"> (2007).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Abbott and Clarke (2007) noted that prospective research can be differentiated on the basis of whether the focus is on proximal or distal factors.  Proximal factors are present shortly before</w:t>
      </w:r>
      <w:r w:rsidR="00D72F38">
        <w:rPr>
          <w:szCs w:val="22"/>
        </w:rPr>
        <w:t>,</w:t>
      </w:r>
      <w:r w:rsidRPr="00AF7A06">
        <w:rPr>
          <w:szCs w:val="22"/>
        </w:rPr>
        <w:t xml:space="preserve"> and influence behaviour currently.  They include internal physiological, cognitive and emotional factors as well as external factors, </w:t>
      </w:r>
      <w:r w:rsidR="00D72F38">
        <w:rPr>
          <w:szCs w:val="22"/>
        </w:rPr>
        <w:t>for example</w:t>
      </w:r>
      <w:r w:rsidRPr="00AF7A06">
        <w:rPr>
          <w:szCs w:val="22"/>
        </w:rPr>
        <w:t xml:space="preserve"> a particular gambling setting.  Distal factors are distant in time, </w:t>
      </w:r>
      <w:r w:rsidR="00D72F38">
        <w:rPr>
          <w:szCs w:val="22"/>
        </w:rPr>
        <w:t>for example</w:t>
      </w:r>
      <w:r w:rsidRPr="00AF7A06">
        <w:rPr>
          <w:szCs w:val="22"/>
        </w:rPr>
        <w:t xml:space="preserve"> childhood experiences, past gambling history, or occur in other non-gambling settings.  Distal factors are usually more difficult to measure and their influence on current behaviour is mediated by complex intervening processes.</w:t>
      </w:r>
      <w:r w:rsidR="00D72F38">
        <w:rPr>
          <w:szCs w:val="22"/>
        </w:rPr>
        <w:t xml:space="preserve"> </w:t>
      </w:r>
      <w:r w:rsidRPr="00AF7A06">
        <w:rPr>
          <w:szCs w:val="22"/>
        </w:rPr>
        <w:t xml:space="preserve"> A comprehensive understanding of behaviour and behaviour change involves identification of factors that have occurred at different times in the past, occur in different contexts and are present recently or currently.  It also involves understanding interactions between these factors.  While many forms of investigation contribute, prospective and, where possible</w:t>
      </w:r>
      <w:r w:rsidR="00D72F38">
        <w:rPr>
          <w:szCs w:val="22"/>
        </w:rPr>
        <w:t>,</w:t>
      </w:r>
      <w:r w:rsidRPr="00AF7A06">
        <w:rPr>
          <w:szCs w:val="22"/>
        </w:rPr>
        <w:t xml:space="preserve"> experimental studies play a particularly important role in advancing understanding of the determinants of gambling and disordered gambling.</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The large majority of longitudinal studies have investigated gambling and/or problem gambling over longer time periods, typically a year to a number of years.  </w:t>
      </w:r>
      <w:r w:rsidR="00133474">
        <w:t xml:space="preserve">Dickerson, Haw and Sheppard </w:t>
      </w:r>
      <w:r w:rsidRPr="00AF7A06">
        <w:rPr>
          <w:szCs w:val="22"/>
        </w:rPr>
        <w:t>(2003) provide one of the few exceptions that included examinati</w:t>
      </w:r>
      <w:r w:rsidR="00D72F38">
        <w:rPr>
          <w:szCs w:val="22"/>
        </w:rPr>
        <w:t xml:space="preserve">on of more proximal factors.  </w:t>
      </w:r>
      <w:r w:rsidRPr="00AF7A06">
        <w:rPr>
          <w:szCs w:val="22"/>
        </w:rPr>
        <w:t xml:space="preserve">This study included six repeat assessments over a 25 week period. </w:t>
      </w:r>
      <w:r w:rsidR="00D72F38">
        <w:rPr>
          <w:szCs w:val="22"/>
        </w:rPr>
        <w:t xml:space="preserve"> There were 360 </w:t>
      </w:r>
      <w:r w:rsidRPr="00AF7A06">
        <w:rPr>
          <w:szCs w:val="22"/>
        </w:rPr>
        <w:t xml:space="preserve">participants at the start of the study but only 53% completed all assessments.  This study of regular EGM participants found that most lost control (feelings of loss of control, inability to limit expenditure and chasing losses) at least some of the time during gambling sessions and that depression measured at the start of the study </w:t>
      </w:r>
      <w:r w:rsidR="00D72F38" w:rsidRPr="00AF7A06">
        <w:rPr>
          <w:szCs w:val="22"/>
        </w:rPr>
        <w:t xml:space="preserve">subsequently </w:t>
      </w:r>
      <w:r w:rsidRPr="00AF7A06">
        <w:rPr>
          <w:szCs w:val="22"/>
        </w:rPr>
        <w:t xml:space="preserve">predicted impaired control.  Problem avoidance, self-blame and other non-productive coping methods also predicted subsequent loss of control.  </w:t>
      </w:r>
      <w:r w:rsidR="00D72F38">
        <w:rPr>
          <w:szCs w:val="22"/>
        </w:rPr>
        <w:t>However,</w:t>
      </w:r>
      <w:r w:rsidRPr="00AF7A06">
        <w:rPr>
          <w:szCs w:val="22"/>
        </w:rPr>
        <w:t xml:space="preserve"> methods including facing up to problems and devising and initiating ways to deal with them, such as setting strict time or expenditure limits or avoiding gambling venues, was associated with increased future control over gambling.  Ot</w:t>
      </w:r>
      <w:r w:rsidR="00D72F38">
        <w:rPr>
          <w:szCs w:val="22"/>
        </w:rPr>
        <w:t>her factors identified in cross-</w:t>
      </w:r>
      <w:r w:rsidRPr="00AF7A06">
        <w:rPr>
          <w:szCs w:val="22"/>
        </w:rPr>
        <w:t>sectional studies as significant predictors of gambling problems including alcohol misuse, excitement seeking and impulsivity were also considered.  When examined together in multivariate analyses with depression, non-productive coping and social support, only depression, non-productive coping and impulsivity contributed significantly to the prediction of impaired control.</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 strength of Dickerson et al</w:t>
      </w:r>
      <w:r w:rsidR="00D72F38">
        <w:rPr>
          <w:szCs w:val="22"/>
        </w:rPr>
        <w:t>.’s</w:t>
      </w:r>
      <w:r w:rsidRPr="00AF7A06">
        <w:rPr>
          <w:szCs w:val="22"/>
        </w:rPr>
        <w:t xml:space="preserve"> study is that it was theory driven, designed to assess a model that predicted transition from regular non-problem gambling to problem gambling (Dickerson &amp; Baron, 2000).  However, while these three factors had moderately strong links to impaired control, most of the outcome variance was unexplained.  While other factors, both distal and proximal, that were not included in the study may have accounted for much of this unexplained variance, the study authors concluded that impaired control and subsequent problem gambling development is a natural outcome of regular, high intensity EGM involvement rather than </w:t>
      </w:r>
      <w:r w:rsidRPr="00AF7A06">
        <w:rPr>
          <w:szCs w:val="22"/>
        </w:rPr>
        <w:lastRenderedPageBreak/>
        <w:t xml:space="preserve">something confined to a small number of constitutionally or mentally predisposed pathological gamblers.  The study also found that even when participants </w:t>
      </w:r>
      <w:r w:rsidR="00111C86">
        <w:rPr>
          <w:szCs w:val="22"/>
        </w:rPr>
        <w:t xml:space="preserve">used </w:t>
      </w:r>
      <w:r w:rsidRPr="00AF7A06">
        <w:rPr>
          <w:szCs w:val="22"/>
        </w:rPr>
        <w:t>positive coping strategies to stay with within intended time and expenditure limits, around a half still lost control at least some of the time.  Although Abbott and Clarke (2007) considered this to be</w:t>
      </w:r>
      <w:r w:rsidR="00111C86">
        <w:rPr>
          <w:szCs w:val="22"/>
        </w:rPr>
        <w:t xml:space="preserve"> a</w:t>
      </w:r>
      <w:r w:rsidRPr="00AF7A06">
        <w:rPr>
          <w:szCs w:val="22"/>
        </w:rPr>
        <w:t xml:space="preserve"> “landmark study”</w:t>
      </w:r>
      <w:r w:rsidR="00111C86">
        <w:rPr>
          <w:szCs w:val="22"/>
        </w:rPr>
        <w:t>,</w:t>
      </w:r>
      <w:r w:rsidRPr="00AF7A06">
        <w:rPr>
          <w:szCs w:val="22"/>
        </w:rPr>
        <w:t xml:space="preserve"> they noted a number of methodological shortcomings including high attrition and failure to specify whether the sample included problem gamblers at the outset of the study. </w:t>
      </w:r>
    </w:p>
    <w:p w:rsidR="00AF7A06" w:rsidRPr="00AF7A06" w:rsidRDefault="00AF7A06" w:rsidP="00AF7A06">
      <w:pPr>
        <w:jc w:val="both"/>
        <w:rPr>
          <w:szCs w:val="22"/>
        </w:rPr>
      </w:pPr>
    </w:p>
    <w:p w:rsidR="00AF7A06" w:rsidRPr="00AF7A06" w:rsidRDefault="00133474" w:rsidP="00AF7A06">
      <w:pPr>
        <w:jc w:val="both"/>
        <w:rPr>
          <w:szCs w:val="22"/>
        </w:rPr>
      </w:pPr>
      <w:r>
        <w:rPr>
          <w:szCs w:val="22"/>
        </w:rPr>
        <w:t>Abbott et al.</w:t>
      </w:r>
      <w:r w:rsidR="00AF7A06" w:rsidRPr="00AF7A06">
        <w:rPr>
          <w:szCs w:val="22"/>
        </w:rPr>
        <w:t xml:space="preserve"> (1999; 2004), in addition to assessing transitions over time, examined distal factors assessed at baseline in relation to aspects of gambling behaviour seven years later.  Two-thirds of the initial sample was retained in the study. </w:t>
      </w:r>
      <w:r w:rsidR="009E3A0B">
        <w:rPr>
          <w:szCs w:val="22"/>
        </w:rPr>
        <w:t xml:space="preserve"> </w:t>
      </w:r>
      <w:r w:rsidR="00AF7A06" w:rsidRPr="00AF7A06">
        <w:rPr>
          <w:szCs w:val="22"/>
        </w:rPr>
        <w:t xml:space="preserve">Incidence rates or predictors of problem onset could not be determined because very few non-problem gamblers developed any degree of problem gambling.  A few problem gamblers did, however, progress to more serious probable pathological gambling.  These low proportions were expected given the small sample size of 143.  The sample comprised probable pathological gamblers, problem gamblers and regular non-problem gamblers.  The majority of probable pathological and problem gamblers </w:t>
      </w:r>
      <w:r w:rsidR="009E3A0B" w:rsidRPr="00AF7A06">
        <w:rPr>
          <w:szCs w:val="22"/>
        </w:rPr>
        <w:t xml:space="preserve">either </w:t>
      </w:r>
      <w:r w:rsidR="00AF7A06" w:rsidRPr="00AF7A06">
        <w:rPr>
          <w:szCs w:val="22"/>
        </w:rPr>
        <w:t xml:space="preserve">had less severe or no gambling problems when they were re-assessed. </w:t>
      </w:r>
      <w:r w:rsidR="009E3A0B">
        <w:rPr>
          <w:szCs w:val="22"/>
        </w:rPr>
        <w:t xml:space="preserve"> </w:t>
      </w:r>
      <w:r w:rsidR="00AF7A06" w:rsidRPr="00AF7A06">
        <w:rPr>
          <w:szCs w:val="22"/>
        </w:rPr>
        <w:t xml:space="preserve">This meant that it was possible to examine predictors of problem reduction, cessation and chronicity.  </w:t>
      </w:r>
      <w:r w:rsidR="009E3A0B">
        <w:rPr>
          <w:szCs w:val="22"/>
        </w:rPr>
        <w:t>As</w:t>
      </w:r>
      <w:r w:rsidR="00AF7A06" w:rsidRPr="00AF7A06">
        <w:rPr>
          <w:szCs w:val="22"/>
        </w:rPr>
        <w:t xml:space="preserve"> performance on a number of the measures at baseline was interrelated, multivariate analyses were conducted.  Preference for gambling activities other than </w:t>
      </w:r>
      <w:r w:rsidR="009E3A0B">
        <w:rPr>
          <w:szCs w:val="22"/>
        </w:rPr>
        <w:t>track</w:t>
      </w:r>
      <w:r w:rsidR="00AF7A06" w:rsidRPr="00AF7A06">
        <w:rPr>
          <w:szCs w:val="22"/>
        </w:rPr>
        <w:t xml:space="preserve"> betting, lower problem severity and absence of hazardous alcohol use all predicted better problem gambling outcomes seven years later.  Although female gender and European ethnicity also predicted better outcomes in some analyses, this was not the case when they were included in the multivariate analyses.  With regard to gambling participation among probable pathological gamblers identified at baseline</w:t>
      </w:r>
      <w:r w:rsidR="009E3A0B">
        <w:rPr>
          <w:szCs w:val="22"/>
        </w:rPr>
        <w:t>,</w:t>
      </w:r>
      <w:r w:rsidR="00AF7A06" w:rsidRPr="00AF7A06">
        <w:rPr>
          <w:szCs w:val="22"/>
        </w:rPr>
        <w:t xml:space="preserve"> there was no significant reduction in regular track betting over time.  In marked contrast</w:t>
      </w:r>
      <w:r w:rsidR="009E3A0B">
        <w:rPr>
          <w:szCs w:val="22"/>
        </w:rPr>
        <w:t>,</w:t>
      </w:r>
      <w:r w:rsidR="00AF7A06" w:rsidRPr="00AF7A06">
        <w:rPr>
          <w:szCs w:val="22"/>
        </w:rPr>
        <w:t xml:space="preserve"> there was a substantial reduction in regular EGM</w:t>
      </w:r>
      <w:r w:rsidR="009E3A0B">
        <w:rPr>
          <w:szCs w:val="22"/>
        </w:rPr>
        <w:t xml:space="preserve"> participation.  Previous cross-</w:t>
      </w:r>
      <w:r w:rsidR="00AF7A06" w:rsidRPr="00AF7A06">
        <w:rPr>
          <w:szCs w:val="22"/>
        </w:rPr>
        <w:t>sectional studies, as well as the prospective Dickerson et al</w:t>
      </w:r>
      <w:r w:rsidR="009E3A0B">
        <w:rPr>
          <w:szCs w:val="22"/>
        </w:rPr>
        <w:t>.</w:t>
      </w:r>
      <w:r w:rsidR="00AF7A06" w:rsidRPr="00AF7A06">
        <w:rPr>
          <w:szCs w:val="22"/>
        </w:rPr>
        <w:t xml:space="preserve"> (2003) research, suggested that EGM-related problems may often have a quite rapid onset.  Abbott and colleagues concluded that while regular  EGM involvement is a high risk activity that appears to lead to rapid problem development, these problems may often be less persistent than problems associated with track betting and perhaps some other continuous forms of gambling.  They noted that this required independent replication and that further prospective research was required to assess whether such differences are consequences of engaging in particular gambling activities rather than characteristics of individuals who prefer different forms.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Wiebe et al</w:t>
      </w:r>
      <w:r w:rsidR="009E3A0B">
        <w:rPr>
          <w:szCs w:val="22"/>
        </w:rPr>
        <w:t>.</w:t>
      </w:r>
      <w:r w:rsidRPr="00AF7A06">
        <w:rPr>
          <w:szCs w:val="22"/>
        </w:rPr>
        <w:t xml:space="preserve"> (2003a, b) used a similar design to </w:t>
      </w:r>
      <w:r w:rsidR="00133474">
        <w:rPr>
          <w:szCs w:val="22"/>
        </w:rPr>
        <w:t>Abbott et al.</w:t>
      </w:r>
      <w:r w:rsidRPr="00AF7A06">
        <w:rPr>
          <w:szCs w:val="22"/>
        </w:rPr>
        <w:t xml:space="preserve"> (1991; 2004).  A somewhat larger adult sample (448) was recruited from a general population prevalence study and re-assessed 12 months later.  While the gap between assessments was much shorter in this study, again most people who had problems no longer had them or had less serious problems.  However, in contrast to the New Zealand study, while a substantial minority of people with the most se</w:t>
      </w:r>
      <w:r w:rsidR="009E3A0B">
        <w:rPr>
          <w:szCs w:val="22"/>
        </w:rPr>
        <w:t>vere problems moved into non- or</w:t>
      </w:r>
      <w:r w:rsidRPr="00AF7A06">
        <w:rPr>
          <w:szCs w:val="22"/>
        </w:rPr>
        <w:t xml:space="preserve"> lower-problem groups, more continued to experience problems 12 months later.  Given the larger sample it was possible to estimate incidence and the proportions of people moving between the different PGSI categories.  Unfortunately, although stress, loneliness and social support were found to be associated with problem gambling at the 12 month follow-up, they were only assessed at the follow-up and not at baseline.  In this respect</w:t>
      </w:r>
      <w:r w:rsidR="009E3A0B">
        <w:rPr>
          <w:szCs w:val="22"/>
        </w:rPr>
        <w:t>,</w:t>
      </w:r>
      <w:r w:rsidRPr="00AF7A06">
        <w:rPr>
          <w:szCs w:val="22"/>
        </w:rPr>
        <w:t xml:space="preserve"> the study was cross-sectional rather than prospective.  The authors noted a number of methodological shortcomings and recommended replication using fully prospective designs, larger samples and mul</w:t>
      </w:r>
      <w:r w:rsidR="009E3A0B">
        <w:rPr>
          <w:szCs w:val="22"/>
        </w:rPr>
        <w:t>tiple assessment points.  Schran</w:t>
      </w:r>
      <w:r w:rsidRPr="00AF7A06">
        <w:rPr>
          <w:szCs w:val="22"/>
        </w:rPr>
        <w:t>s</w:t>
      </w:r>
      <w:r w:rsidR="00133474">
        <w:rPr>
          <w:szCs w:val="22"/>
        </w:rPr>
        <w:t>,</w:t>
      </w:r>
      <w:r w:rsidRPr="00AF7A06">
        <w:rPr>
          <w:szCs w:val="22"/>
        </w:rPr>
        <w:t xml:space="preserve"> </w:t>
      </w:r>
      <w:r w:rsidR="00133474" w:rsidRPr="00D56028">
        <w:t>Schellinck</w:t>
      </w:r>
      <w:r w:rsidR="00133474">
        <w:t xml:space="preserve"> and </w:t>
      </w:r>
      <w:r w:rsidR="00133474" w:rsidRPr="00D56028">
        <w:t>Walsh</w:t>
      </w:r>
      <w:r w:rsidR="00133474">
        <w:t xml:space="preserve"> </w:t>
      </w:r>
      <w:r w:rsidRPr="00AF7A06">
        <w:rPr>
          <w:szCs w:val="22"/>
        </w:rPr>
        <w:t>(2000) also followed up adults recruited from a general population survey, in this case regular VLT participants with and without problems at baseline.  Between the baseline and 24 month follow-</w:t>
      </w:r>
      <w:r w:rsidRPr="00AF7A06">
        <w:rPr>
          <w:szCs w:val="22"/>
        </w:rPr>
        <w:lastRenderedPageBreak/>
        <w:t>up</w:t>
      </w:r>
      <w:r w:rsidR="009E3A0B">
        <w:rPr>
          <w:szCs w:val="22"/>
        </w:rPr>
        <w:t>,</w:t>
      </w:r>
      <w:r w:rsidRPr="00AF7A06">
        <w:rPr>
          <w:szCs w:val="22"/>
        </w:rPr>
        <w:t xml:space="preserve"> high rates of transition were again evident.  Like the previous Canadian study, correlate measures were not assessed prospectively.</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The two other adult studies identified in the Abbott and Clarke (2007) review involved specialised populations which preclude generalisation of their findings to the wider adult population.  The first (Cunningham-Williams et al</w:t>
      </w:r>
      <w:r w:rsidR="00E86763">
        <w:rPr>
          <w:szCs w:val="22"/>
        </w:rPr>
        <w:t>.</w:t>
      </w:r>
      <w:r w:rsidRPr="00AF7A06">
        <w:rPr>
          <w:szCs w:val="22"/>
        </w:rPr>
        <w:t>, 1998) involved illicit drug users drawn from a general adult population psychiatric prevalence survey.  As in the previous studies</w:t>
      </w:r>
      <w:r w:rsidR="00E86763">
        <w:rPr>
          <w:szCs w:val="22"/>
        </w:rPr>
        <w:t>,</w:t>
      </w:r>
      <w:r w:rsidRPr="00AF7A06">
        <w:rPr>
          <w:szCs w:val="22"/>
        </w:rPr>
        <w:t xml:space="preserve"> transition was evident.  However, modest sample size precluded identification of antecedent predictors.  The second study (Shaffer &amp; Hall, 2002) involved 1,176 casino employees.  </w:t>
      </w:r>
      <w:r w:rsidR="00E86763">
        <w:rPr>
          <w:szCs w:val="22"/>
        </w:rPr>
        <w:t>A</w:t>
      </w:r>
      <w:r w:rsidRPr="00AF7A06">
        <w:rPr>
          <w:szCs w:val="22"/>
        </w:rPr>
        <w:t>ddition</w:t>
      </w:r>
      <w:r w:rsidR="00E86763">
        <w:rPr>
          <w:szCs w:val="22"/>
        </w:rPr>
        <w:t>al</w:t>
      </w:r>
      <w:r w:rsidRPr="00AF7A06">
        <w:rPr>
          <w:szCs w:val="22"/>
        </w:rPr>
        <w:t xml:space="preserve"> to having a larger sample</w:t>
      </w:r>
      <w:r w:rsidR="00E86763">
        <w:rPr>
          <w:szCs w:val="22"/>
        </w:rPr>
        <w:t>,</w:t>
      </w:r>
      <w:r w:rsidRPr="00AF7A06">
        <w:rPr>
          <w:szCs w:val="22"/>
        </w:rPr>
        <w:t xml:space="preserve"> this study differed from previous studies in that it had three assessment points (baseline, 12 and 24 months) and, in contrast to the two Canadian surveys, measured a number of relevant factors at baseline.  During the course of the study</w:t>
      </w:r>
      <w:r w:rsidR="00E86763">
        <w:rPr>
          <w:szCs w:val="22"/>
        </w:rPr>
        <w:t>,</w:t>
      </w:r>
      <w:r w:rsidRPr="00AF7A06">
        <w:rPr>
          <w:szCs w:val="22"/>
        </w:rPr>
        <w:t xml:space="preserve"> around 23% of participants experienced positive changes (less </w:t>
      </w:r>
      <w:r w:rsidR="00E86763" w:rsidRPr="00AF7A06">
        <w:rPr>
          <w:szCs w:val="22"/>
        </w:rPr>
        <w:t xml:space="preserve">disordered </w:t>
      </w:r>
      <w:r w:rsidRPr="00AF7A06">
        <w:rPr>
          <w:szCs w:val="22"/>
        </w:rPr>
        <w:t>gambling</w:t>
      </w:r>
      <w:r w:rsidR="00E86763">
        <w:rPr>
          <w:szCs w:val="22"/>
        </w:rPr>
        <w:t xml:space="preserve">) and 12% experienced </w:t>
      </w:r>
      <w:r w:rsidRPr="00AF7A06">
        <w:rPr>
          <w:szCs w:val="22"/>
        </w:rPr>
        <w:t xml:space="preserve">negative changes (more </w:t>
      </w:r>
      <w:r w:rsidR="00E86763" w:rsidRPr="00AF7A06">
        <w:rPr>
          <w:szCs w:val="22"/>
        </w:rPr>
        <w:t xml:space="preserve">disordered </w:t>
      </w:r>
      <w:r w:rsidRPr="00AF7A06">
        <w:rPr>
          <w:szCs w:val="22"/>
        </w:rPr>
        <w:t>gambling).  Additionally, it was found that many more people who moved to a more positive state maintained it at follow-up than was found for those who moved to a more negative state.  Similar results were found for alcohol.  Alcohol and gambling problems tended to change together over time, suggesting that they might share some common underlying determinants.  Given the larger sample size</w:t>
      </w:r>
      <w:r w:rsidR="00E86763">
        <w:rPr>
          <w:szCs w:val="22"/>
        </w:rPr>
        <w:t>,</w:t>
      </w:r>
      <w:r w:rsidRPr="00AF7A06">
        <w:rPr>
          <w:szCs w:val="22"/>
        </w:rPr>
        <w:t xml:space="preserve"> this study was able to assess incidence and factors that predicted problem development.  Although a wide range of factors was considered, none differentiated people who developed problems from those who did</w:t>
      </w:r>
      <w:r w:rsidR="00E86763">
        <w:rPr>
          <w:szCs w:val="22"/>
        </w:rPr>
        <w:t xml:space="preserve"> </w:t>
      </w:r>
      <w:r w:rsidRPr="00AF7A06">
        <w:rPr>
          <w:szCs w:val="22"/>
        </w:rPr>
        <w:t>n</w:t>
      </w:r>
      <w:r w:rsidR="00E86763">
        <w:rPr>
          <w:szCs w:val="22"/>
        </w:rPr>
        <w:t>o</w:t>
      </w:r>
      <w:r w:rsidRPr="00AF7A06">
        <w:rPr>
          <w:szCs w:val="22"/>
        </w:rPr>
        <w:t>t.  Interestingly, while depression and dissatisfaction with personal life did not predict problem development, they did predict both gambling and alcohol reductions in subsequent waves.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Abbott and Clarke (2007) commented that the finding that many factors found to be correlates of</w:t>
      </w:r>
      <w:r w:rsidR="001D5B60">
        <w:rPr>
          <w:szCs w:val="22"/>
        </w:rPr>
        <w:t xml:space="preserve"> problem gambling in cross-</w:t>
      </w:r>
      <w:r w:rsidRPr="00AF7A06">
        <w:rPr>
          <w:szCs w:val="22"/>
        </w:rPr>
        <w:t>sectional studies did not predict future problem onset raises the possibility that some or most of them may be consequences of</w:t>
      </w:r>
      <w:r w:rsidR="001D5B60">
        <w:rPr>
          <w:szCs w:val="22"/>
        </w:rPr>
        <w:t>,</w:t>
      </w:r>
      <w:r w:rsidRPr="00AF7A06">
        <w:rPr>
          <w:szCs w:val="22"/>
        </w:rPr>
        <w:t xml:space="preserve"> rather than contributors to</w:t>
      </w:r>
      <w:r w:rsidR="001D5B60">
        <w:rPr>
          <w:szCs w:val="22"/>
        </w:rPr>
        <w:t>,</w:t>
      </w:r>
      <w:r w:rsidRPr="00AF7A06">
        <w:rPr>
          <w:szCs w:val="22"/>
        </w:rPr>
        <w:t xml:space="preserve"> problem gambling.  Others may develop concurrently, in association with the genesis of problem gambling.  While the Sha</w:t>
      </w:r>
      <w:r w:rsidR="00133474">
        <w:rPr>
          <w:szCs w:val="22"/>
        </w:rPr>
        <w:t>f</w:t>
      </w:r>
      <w:r w:rsidRPr="00AF7A06">
        <w:rPr>
          <w:szCs w:val="22"/>
        </w:rPr>
        <w:t xml:space="preserve">fer and Hall (2002) findings are of considerable interest, caution is required in their interpretation and generalisation.  Attrition was very high and selective.  Only 12% of eligible participants and 19% of actual participants completed assessments at baseline, 12 months and 24 months.  The follow-up and non-follow-up groups appear to have differed on measures known to be linked to problem gambling.  These two issues, high and non-random attrition, are common and are major threats to the integrity of prospective research.  It appears that the study also used the lifetime version of the SOGS.  Interestingly the ‘lifetime’ reductions found over two years are similar to those found by </w:t>
      </w:r>
      <w:r w:rsidR="00133474">
        <w:rPr>
          <w:szCs w:val="22"/>
        </w:rPr>
        <w:t>Abbott et al.</w:t>
      </w:r>
      <w:r w:rsidRPr="00AF7A06">
        <w:rPr>
          <w:szCs w:val="22"/>
        </w:rPr>
        <w:t xml:space="preserve"> (1999; 2004) over seven</w:t>
      </w:r>
      <w:r w:rsidR="001D5B60">
        <w:rPr>
          <w:szCs w:val="22"/>
        </w:rPr>
        <w:t xml:space="preserve"> years</w:t>
      </w:r>
      <w:r w:rsidRPr="00AF7A06">
        <w:rPr>
          <w:szCs w:val="22"/>
        </w:rPr>
        <w:t>.  If the current frame of the SOGS-R had been used</w:t>
      </w:r>
      <w:r w:rsidR="001D5B60">
        <w:rPr>
          <w:szCs w:val="22"/>
        </w:rPr>
        <w:t>,</w:t>
      </w:r>
      <w:r w:rsidRPr="00AF7A06">
        <w:rPr>
          <w:szCs w:val="22"/>
        </w:rPr>
        <w:t xml:space="preserve"> it is likely that even higher degrees of transition between gambling states would have been found.</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LaPlante et al</w:t>
      </w:r>
      <w:r w:rsidR="001D5B60">
        <w:rPr>
          <w:szCs w:val="22"/>
        </w:rPr>
        <w:t>.</w:t>
      </w:r>
      <w:r w:rsidRPr="00AF7A06">
        <w:rPr>
          <w:szCs w:val="22"/>
        </w:rPr>
        <w:t xml:space="preserve"> (2008) identified an additional adult study.  This Dutch study (DeFuentes-Merillas et al</w:t>
      </w:r>
      <w:r w:rsidR="001D5B60">
        <w:rPr>
          <w:szCs w:val="22"/>
        </w:rPr>
        <w:t>.</w:t>
      </w:r>
      <w:r w:rsidRPr="00AF7A06">
        <w:rPr>
          <w:szCs w:val="22"/>
        </w:rPr>
        <w:t>, 2004) involve</w:t>
      </w:r>
      <w:r w:rsidR="001D5B60">
        <w:rPr>
          <w:szCs w:val="22"/>
        </w:rPr>
        <w:t>d a small sample of 134 scratch</w:t>
      </w:r>
      <w:r w:rsidRPr="00AF7A06">
        <w:rPr>
          <w:szCs w:val="22"/>
        </w:rPr>
        <w:t>card participants who were already experiencing some degree of problem gambling at baseline.  They were re-assessed once, at 24 months.  As with the previous studies</w:t>
      </w:r>
      <w:r w:rsidR="00966804">
        <w:rPr>
          <w:szCs w:val="22"/>
        </w:rPr>
        <w:t>,</w:t>
      </w:r>
      <w:r w:rsidRPr="00AF7A06">
        <w:rPr>
          <w:szCs w:val="22"/>
        </w:rPr>
        <w:t xml:space="preserve"> there were substantial reductions in problem gambling over time.  Sample size precluded meaningful examination of predictors of problem reduction and remission</w:t>
      </w:r>
      <w:r w:rsidR="001D5B60">
        <w:rPr>
          <w:szCs w:val="22"/>
        </w:rPr>
        <w:t>,</w:t>
      </w:r>
      <w:r w:rsidRPr="00AF7A06">
        <w:rPr>
          <w:szCs w:val="22"/>
        </w:rPr>
        <w:t xml:space="preserve"> and as non-problem gamblers were not included at the time of recruitment incidence could not be assessed.</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As mentioned, all three of the preceding reviews referred to studies by Slutske et al</w:t>
      </w:r>
      <w:r w:rsidR="00B55228">
        <w:rPr>
          <w:szCs w:val="22"/>
        </w:rPr>
        <w:t>.</w:t>
      </w:r>
      <w:r w:rsidRPr="00AF7A06">
        <w:rPr>
          <w:szCs w:val="22"/>
        </w:rPr>
        <w:t xml:space="preserve"> (2003) and Winters et al</w:t>
      </w:r>
      <w:r w:rsidR="00B55228">
        <w:rPr>
          <w:szCs w:val="22"/>
        </w:rPr>
        <w:t>. (2002;</w:t>
      </w:r>
      <w:r w:rsidRPr="00AF7A06">
        <w:rPr>
          <w:szCs w:val="22"/>
        </w:rPr>
        <w:t xml:space="preserve"> 2005).  These studies commenced when participants were adolescents and terminated during early adulthood.  As with the previous studies</w:t>
      </w:r>
      <w:r w:rsidR="00B55228">
        <w:rPr>
          <w:szCs w:val="22"/>
        </w:rPr>
        <w:t>,</w:t>
      </w:r>
      <w:r w:rsidRPr="00AF7A06">
        <w:rPr>
          <w:szCs w:val="22"/>
        </w:rPr>
        <w:t xml:space="preserve"> they involved fairly small </w:t>
      </w:r>
      <w:r w:rsidRPr="00AF7A06">
        <w:rPr>
          <w:szCs w:val="22"/>
        </w:rPr>
        <w:lastRenderedPageBreak/>
        <w:t>samples (468 and 702 respectively).  In both cases</w:t>
      </w:r>
      <w:r w:rsidR="00B55228">
        <w:rPr>
          <w:szCs w:val="22"/>
        </w:rPr>
        <w:t>,</w:t>
      </w:r>
      <w:r w:rsidRPr="00AF7A06">
        <w:rPr>
          <w:szCs w:val="22"/>
        </w:rPr>
        <w:t xml:space="preserve"> attrition was moderate to high (final wave samples of 388 and 305 respectively).  The former study involved university students selected on the basis of having relatives with alcohol problems.  They were assessed on five occasions over 11 years (only four times regarding gambling).  The latter involved adolescents recruited from the general population.  They were interviewed on three occasions over eight years.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The Slutske et al</w:t>
      </w:r>
      <w:r w:rsidR="00956A18">
        <w:rPr>
          <w:szCs w:val="22"/>
        </w:rPr>
        <w:t>.</w:t>
      </w:r>
      <w:r w:rsidRPr="00AF7A06">
        <w:rPr>
          <w:szCs w:val="22"/>
        </w:rPr>
        <w:t xml:space="preserve"> (2003) study assessed the incidence of ‘problem’ gambling during early adulthood and assessed changes in gambling behaviour during adolescence.  Only one or two symptoms, a very low threshold, were required for classification as a problem gambler and, during the course of the entire study, only four people met the criteria for serious problem or pathological gambling.  It was found that past 12 month prevalence stayed the same throughout the study (from 2% to 3%) but that they were generally different people at each assessment.  In other words</w:t>
      </w:r>
      <w:r w:rsidR="00956A18">
        <w:rPr>
          <w:szCs w:val="22"/>
        </w:rPr>
        <w:t>,</w:t>
      </w:r>
      <w:r w:rsidRPr="00AF7A06">
        <w:rPr>
          <w:szCs w:val="22"/>
        </w:rPr>
        <w:t xml:space="preserve"> low level problems were highly transient.  Prevalence stayed much the same because new cases (inflow) matched remission (outflow).  Similar results were obtained irrespective of whether the criterion was one or two symptoms.  It was concluded that gambling problems within this range are transitory and episodic</w:t>
      </w:r>
      <w:r w:rsidR="00956A18">
        <w:rPr>
          <w:szCs w:val="22"/>
        </w:rPr>
        <w:t>,</w:t>
      </w:r>
      <w:r w:rsidRPr="00AF7A06">
        <w:rPr>
          <w:szCs w:val="22"/>
        </w:rPr>
        <w:t xml:space="preserve"> and that adolescents and young adults typically ‘mature out’ of their problems.  Only males had problems during the early years of the study, reflecting their higher degree of involvement in unregulated gambling activities.  Gender differences reduced somewhat as males and females became more involved in legal activities.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The Slutske et al</w:t>
      </w:r>
      <w:r w:rsidR="00956A18">
        <w:rPr>
          <w:szCs w:val="22"/>
        </w:rPr>
        <w:t>.</w:t>
      </w:r>
      <w:r w:rsidRPr="00AF7A06">
        <w:rPr>
          <w:szCs w:val="22"/>
        </w:rPr>
        <w:t xml:space="preserve"> (2003) study included lifetime as well as current assessment frames for problem gambling.  </w:t>
      </w:r>
      <w:r w:rsidR="00956A18">
        <w:rPr>
          <w:szCs w:val="22"/>
        </w:rPr>
        <w:t>As</w:t>
      </w:r>
      <w:r w:rsidRPr="00AF7A06">
        <w:rPr>
          <w:szCs w:val="22"/>
        </w:rPr>
        <w:t xml:space="preserve"> participants were assessed a number of times</w:t>
      </w:r>
      <w:r w:rsidR="00956A18">
        <w:rPr>
          <w:szCs w:val="22"/>
        </w:rPr>
        <w:t>,</w:t>
      </w:r>
      <w:r w:rsidRPr="00AF7A06">
        <w:rPr>
          <w:szCs w:val="22"/>
        </w:rPr>
        <w:t xml:space="preserve"> it was possible to get an indication of how reliable ‘lifetime’ assessments are.  The findings replicated those of </w:t>
      </w:r>
      <w:r w:rsidR="00133474">
        <w:rPr>
          <w:szCs w:val="22"/>
        </w:rPr>
        <w:t>Abbott et al.</w:t>
      </w:r>
      <w:r w:rsidRPr="00AF7A06">
        <w:rPr>
          <w:szCs w:val="22"/>
        </w:rPr>
        <w:t xml:space="preserve"> (1999; 2004), indicating that lifetime measures are highly conservative among adolescents and young adults as well </w:t>
      </w:r>
      <w:r w:rsidR="00956A18">
        <w:rPr>
          <w:szCs w:val="22"/>
        </w:rPr>
        <w:t xml:space="preserve">as </w:t>
      </w:r>
      <w:r w:rsidRPr="00AF7A06">
        <w:rPr>
          <w:szCs w:val="22"/>
        </w:rPr>
        <w:t>in a general adult population.  Although this study has a number of strengths including long follow-up, multiple assessments and modest attrition, Abbott and Clarke (2007) outlined some shortcomings.  They included a highly selected sample, non-random attrition, changes to assessment criteria and increased reliance on telephone rather than face-to-face interviews over time.  These features call for some caution in interpreting the findings, including generalisation to young people.</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In contrast to the Slutske et al</w:t>
      </w:r>
      <w:r w:rsidR="00956A18">
        <w:rPr>
          <w:szCs w:val="22"/>
        </w:rPr>
        <w:t>.</w:t>
      </w:r>
      <w:r w:rsidRPr="00AF7A06">
        <w:rPr>
          <w:szCs w:val="22"/>
        </w:rPr>
        <w:t xml:space="preserve"> (2003) study that involved university students, Winters et al</w:t>
      </w:r>
      <w:r w:rsidR="00956A18">
        <w:rPr>
          <w:szCs w:val="22"/>
        </w:rPr>
        <w:t>.</w:t>
      </w:r>
      <w:r w:rsidRPr="00AF7A06">
        <w:rPr>
          <w:szCs w:val="22"/>
        </w:rPr>
        <w:t xml:space="preserve"> (1995</w:t>
      </w:r>
      <w:r w:rsidR="00956A18">
        <w:rPr>
          <w:szCs w:val="22"/>
        </w:rPr>
        <w:t>;</w:t>
      </w:r>
      <w:r w:rsidRPr="00AF7A06">
        <w:rPr>
          <w:szCs w:val="22"/>
        </w:rPr>
        <w:t xml:space="preserve"> 2002</w:t>
      </w:r>
      <w:r w:rsidR="00956A18">
        <w:rPr>
          <w:szCs w:val="22"/>
        </w:rPr>
        <w:t>;</w:t>
      </w:r>
      <w:r w:rsidRPr="00AF7A06">
        <w:rPr>
          <w:szCs w:val="22"/>
        </w:rPr>
        <w:t xml:space="preserve"> 2005) recruited a more representative state-wide sample of mid-adolescents.  For the sample as a whole they found that infrequent, regular and problem gambling rates did not change across the three data points but that at-risk rates increased significantly from the second to third assessment.  While overall participation rates did not change, over time legal forms of gambling increasingly replaced non-regulated, informal gambling.  During the study period</w:t>
      </w:r>
      <w:r w:rsidR="00956A18">
        <w:rPr>
          <w:szCs w:val="22"/>
        </w:rPr>
        <w:t>,</w:t>
      </w:r>
      <w:r w:rsidRPr="00AF7A06">
        <w:rPr>
          <w:szCs w:val="22"/>
        </w:rPr>
        <w:t xml:space="preserve"> gambling availability increased substantially and it was expected that participation would increase. </w:t>
      </w:r>
      <w:r w:rsidR="00956A18">
        <w:rPr>
          <w:szCs w:val="22"/>
        </w:rPr>
        <w:t xml:space="preserve"> </w:t>
      </w:r>
      <w:r w:rsidRPr="00AF7A06">
        <w:rPr>
          <w:szCs w:val="22"/>
        </w:rPr>
        <w:t>The finding that participation did not increase was inconsistent with this expectation.  Although a large amount of information was gathered about gambling participation and problem gambling</w:t>
      </w:r>
      <w:r w:rsidR="00956A18">
        <w:rPr>
          <w:szCs w:val="22"/>
        </w:rPr>
        <w:t>,</w:t>
      </w:r>
      <w:r w:rsidRPr="00AF7A06">
        <w:rPr>
          <w:szCs w:val="22"/>
        </w:rPr>
        <w:t xml:space="preserve"> this study did not assess individual trajectories including the extent to which participants changed gambling and problem gambling status throughout the course of the study.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Although they did</w:t>
      </w:r>
      <w:r w:rsidR="00912E3F">
        <w:rPr>
          <w:szCs w:val="22"/>
        </w:rPr>
        <w:t xml:space="preserve"> </w:t>
      </w:r>
      <w:r w:rsidRPr="00AF7A06">
        <w:rPr>
          <w:szCs w:val="22"/>
        </w:rPr>
        <w:t>n</w:t>
      </w:r>
      <w:r w:rsidR="00912E3F">
        <w:rPr>
          <w:szCs w:val="22"/>
        </w:rPr>
        <w:t>o</w:t>
      </w:r>
      <w:r w:rsidRPr="00AF7A06">
        <w:rPr>
          <w:szCs w:val="22"/>
        </w:rPr>
        <w:t>t consider individual transitions, Winters et al</w:t>
      </w:r>
      <w:r w:rsidR="00912E3F">
        <w:rPr>
          <w:szCs w:val="22"/>
        </w:rPr>
        <w:t>. (1995; 2002;</w:t>
      </w:r>
      <w:r w:rsidRPr="00AF7A06">
        <w:rPr>
          <w:szCs w:val="22"/>
        </w:rPr>
        <w:t xml:space="preserve"> 2005) examine</w:t>
      </w:r>
      <w:r w:rsidR="00912E3F">
        <w:rPr>
          <w:szCs w:val="22"/>
        </w:rPr>
        <w:t>d</w:t>
      </w:r>
      <w:r w:rsidRPr="00AF7A06">
        <w:rPr>
          <w:szCs w:val="22"/>
        </w:rPr>
        <w:t xml:space="preserve"> prospective predictors of problem gambling outcome.  They included a variety of potential predictors that had been shown to be associated with problem gambling in previous cross-sectional studies.  Predictors included male gender, early onset of gambling, previous gambling problems, parental gambling history, delinquency, poor school performance and regular substance use.  Psychological distress was not associated with future problems.  </w:t>
      </w:r>
      <w:r w:rsidR="00912E3F">
        <w:rPr>
          <w:szCs w:val="22"/>
        </w:rPr>
        <w:t>As</w:t>
      </w:r>
      <w:r w:rsidRPr="00AF7A06">
        <w:rPr>
          <w:szCs w:val="22"/>
        </w:rPr>
        <w:t xml:space="preserve"> a </w:t>
      </w:r>
      <w:r w:rsidRPr="00AF7A06">
        <w:rPr>
          <w:szCs w:val="22"/>
        </w:rPr>
        <w:lastRenderedPageBreak/>
        <w:t>number of the predictors were inter-related</w:t>
      </w:r>
      <w:r w:rsidR="00912E3F">
        <w:rPr>
          <w:szCs w:val="22"/>
        </w:rPr>
        <w:t>,</w:t>
      </w:r>
      <w:r w:rsidRPr="00AF7A06">
        <w:rPr>
          <w:szCs w:val="22"/>
        </w:rPr>
        <w:t xml:space="preserve"> multivariate analyses were conducted.  Only two factors emerged as significant predictors of problem gambling</w:t>
      </w:r>
      <w:r w:rsidR="00912E3F">
        <w:rPr>
          <w:szCs w:val="22"/>
        </w:rPr>
        <w:t>;</w:t>
      </w:r>
      <w:r w:rsidRPr="00AF7A06">
        <w:rPr>
          <w:szCs w:val="22"/>
        </w:rPr>
        <w:t xml:space="preserve"> reported parental problem gambling and male gender.  Two factors, namely male gender and prior at-risk gambling, also predicted at-risk gambling.  These findings contrast with those of Shaffer and Hall that failed to find prospective predictors of gambling problems.  They are consistent with previous findings from cross-sectional and retrospective studies (Abbott et al</w:t>
      </w:r>
      <w:r w:rsidR="00912E3F">
        <w:rPr>
          <w:szCs w:val="22"/>
        </w:rPr>
        <w:t>.</w:t>
      </w:r>
      <w:r w:rsidRPr="00AF7A06">
        <w:rPr>
          <w:szCs w:val="22"/>
        </w:rPr>
        <w:t xml:space="preserve">, 2014b) suggesting that familial factors and early gambling involvement contribute to the development of at-risk and problem gambling.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Some of the Winters et al</w:t>
      </w:r>
      <w:r w:rsidR="00912E3F">
        <w:rPr>
          <w:szCs w:val="22"/>
        </w:rPr>
        <w:t>.</w:t>
      </w:r>
      <w:r w:rsidRPr="00AF7A06">
        <w:rPr>
          <w:szCs w:val="22"/>
        </w:rPr>
        <w:t xml:space="preserve"> findings are also consistent with previous studies</w:t>
      </w:r>
      <w:r w:rsidR="00912E3F">
        <w:rPr>
          <w:szCs w:val="22"/>
        </w:rPr>
        <w:t>,</w:t>
      </w:r>
      <w:r w:rsidRPr="00AF7A06">
        <w:rPr>
          <w:szCs w:val="22"/>
        </w:rPr>
        <w:t xml:space="preserve"> suggesting that some risk factors for youth and early adult problem gambling, ‘externalising’ disorders and substance use/misuse are shared.  The study authors were of the view that there may be two developmental pathways with somewhat different </w:t>
      </w:r>
      <w:r w:rsidR="00912E3F" w:rsidRPr="00AF7A06">
        <w:rPr>
          <w:szCs w:val="22"/>
        </w:rPr>
        <w:t xml:space="preserve">contributing </w:t>
      </w:r>
      <w:r w:rsidRPr="00AF7A06">
        <w:rPr>
          <w:szCs w:val="22"/>
        </w:rPr>
        <w:t>factors.  One they believed is associated with early gambling onset and delinquency, with gambling difficulties being secondary to an underlying pathway towards more general antisocial behaviour.  The other, thought to be primary and leading more directly to problem gambling, was associated with parental problem gambli</w:t>
      </w:r>
      <w:r w:rsidR="00912E3F">
        <w:rPr>
          <w:szCs w:val="22"/>
        </w:rPr>
        <w:t>ng and poor school performance.</w:t>
      </w:r>
      <w:r w:rsidRPr="00AF7A06">
        <w:rPr>
          <w:szCs w:val="22"/>
        </w:rPr>
        <w:t xml:space="preserve">  These are interesting hypotheses that are consistent with the view of Bla</w:t>
      </w:r>
      <w:r w:rsidR="00912E3F">
        <w:rPr>
          <w:szCs w:val="22"/>
        </w:rPr>
        <w:t>s</w:t>
      </w:r>
      <w:r w:rsidRPr="00AF7A06">
        <w:rPr>
          <w:szCs w:val="22"/>
        </w:rPr>
        <w:t>zczynski and Nower (2002), among others, that there are a number of different, albeit somewhat overlapping, pathways into problem gambling.</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Sven</w:t>
      </w:r>
      <w:r w:rsidR="00133474">
        <w:rPr>
          <w:szCs w:val="22"/>
        </w:rPr>
        <w:t>s</w:t>
      </w:r>
      <w:r w:rsidRPr="00AF7A06">
        <w:rPr>
          <w:szCs w:val="22"/>
        </w:rPr>
        <w:t>son (2005) re-assessed 96 adolescents who had been assessed two years previously as part of a Swedish general adult population prevalence study (</w:t>
      </w:r>
      <w:r w:rsidR="00133474">
        <w:t xml:space="preserve">Volberg, </w:t>
      </w:r>
      <w:r w:rsidR="00133474" w:rsidRPr="00A15CCB">
        <w:t>Abbott, Rönnberg</w:t>
      </w:r>
      <w:r w:rsidR="00133474">
        <w:t xml:space="preserve">, </w:t>
      </w:r>
      <w:r w:rsidR="00133474" w:rsidRPr="00A15CCB">
        <w:t>&amp; Munck</w:t>
      </w:r>
      <w:r w:rsidR="00133474">
        <w:t>,</w:t>
      </w:r>
      <w:r w:rsidR="00133474" w:rsidRPr="00AF7A06">
        <w:rPr>
          <w:szCs w:val="22"/>
        </w:rPr>
        <w:t xml:space="preserve"> </w:t>
      </w:r>
      <w:r w:rsidRPr="00AF7A06">
        <w:rPr>
          <w:szCs w:val="22"/>
        </w:rPr>
        <w:t>2001).  The sub-sample included problem and probable pathological gamblers and ‘controls’ who did not have problems and were matched on some demographic variables.  Two-thirds of the 32 problem gamblers at baseline did not have problems two years later.  Four developed more serious problems (probable pathological gamblers).  Of the nine probable pathological gamblers at baseline</w:t>
      </w:r>
      <w:r w:rsidR="00912E3F">
        <w:rPr>
          <w:szCs w:val="22"/>
        </w:rPr>
        <w:t>,</w:t>
      </w:r>
      <w:r w:rsidRPr="00AF7A06">
        <w:rPr>
          <w:szCs w:val="22"/>
        </w:rPr>
        <w:t xml:space="preserve"> five remained in this category and four moved into the problem gambling group.  While the total number of probable pathological gamblers stayed the same at the two assessment points, just under half were different people.  This finding again </w:t>
      </w:r>
      <w:r w:rsidR="00912E3F">
        <w:rPr>
          <w:szCs w:val="22"/>
        </w:rPr>
        <w:t>shows</w:t>
      </w:r>
      <w:r w:rsidRPr="00AF7A06">
        <w:rPr>
          <w:szCs w:val="22"/>
        </w:rPr>
        <w:t xml:space="preserve"> the importance of considering both aggregate prevalence data as well as individual trajectories.  The study did not quantitatively examine predictors of problem onset or cessation.  Instead it included in-depth interviews and qualitative analysis to generate hypotheses about these transitions that could be assessed in future prospective studies.  Such studies are now in progress in Sweden (Romild, Volberg &amp; Abbott, 2014).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Vitaro et al</w:t>
      </w:r>
      <w:r w:rsidR="00912E3F">
        <w:rPr>
          <w:szCs w:val="22"/>
        </w:rPr>
        <w:t>.</w:t>
      </w:r>
      <w:r w:rsidRPr="00AF7A06">
        <w:rPr>
          <w:szCs w:val="22"/>
        </w:rPr>
        <w:t xml:space="preserve"> (2004) also assessed adolescents, in this instance 903 French-speaking Canadian boys between the ages of 11 to 17 years.  Recruitment was from a more general longitudinal study that commenced during early childhood.  Gambling measures were repeated on a number of occasions, and attrition was low and random.  Both self and teacher assessments were used.  Three distinct trajectories of gambling development were identified, each with somewhat different predictors.  One group, the majority, had minimal gambling participation throughout the course of the study.  A second group was gambling at age 11 and maintained or increased their participation over time.  A third group did not begin gambling until age 13 but rapidly increased their involvement over time to match the second group at age 17.  At that time</w:t>
      </w:r>
      <w:r w:rsidR="00912E3F">
        <w:rPr>
          <w:szCs w:val="22"/>
        </w:rPr>
        <w:t>,</w:t>
      </w:r>
      <w:r w:rsidRPr="00AF7A06">
        <w:rPr>
          <w:szCs w:val="22"/>
        </w:rPr>
        <w:t xml:space="preserve"> only four percent of teenagers in the first groups were identified as problem gamblers, compared to 20% and 15% respectively in the second and third groups.  Vitaro et al</w:t>
      </w:r>
      <w:r w:rsidR="00912E3F">
        <w:rPr>
          <w:szCs w:val="22"/>
        </w:rPr>
        <w:t>.</w:t>
      </w:r>
      <w:r w:rsidRPr="00AF7A06">
        <w:rPr>
          <w:szCs w:val="22"/>
        </w:rPr>
        <w:t xml:space="preserve"> (2004) concluded that different theoretical models are required to account for these different trajectories, a conclusion consistent with the </w:t>
      </w:r>
      <w:r w:rsidR="00133474">
        <w:t xml:space="preserve">Blaszczynski, </w:t>
      </w:r>
      <w:r w:rsidR="00133474" w:rsidRPr="00B77003">
        <w:t>Steel</w:t>
      </w:r>
      <w:r w:rsidR="00133474">
        <w:t xml:space="preserve"> and </w:t>
      </w:r>
      <w:r w:rsidR="00133474" w:rsidRPr="00B77003">
        <w:t>McConaghy</w:t>
      </w:r>
      <w:r w:rsidR="00133474">
        <w:t xml:space="preserve"> </w:t>
      </w:r>
      <w:r w:rsidRPr="00AF7A06">
        <w:rPr>
          <w:szCs w:val="22"/>
        </w:rPr>
        <w:t xml:space="preserve">(1997) pathways model.  The second group was characterised by impulse control deficits, low inhibition and risk taking.  It was considered likely that these dispositions drove participants towards risky gambling and </w:t>
      </w:r>
      <w:r w:rsidRPr="00AF7A06">
        <w:rPr>
          <w:szCs w:val="22"/>
        </w:rPr>
        <w:lastRenderedPageBreak/>
        <w:t xml:space="preserve">probably other risk taking and delinquent behaviours.  Participants in the third group scored between the other two groups on measures of impulse control, inhibition and risk taking.  While these factors may play some role in the development of problem gambling in this group it was considered likely that family and/or peer-related factors are more important.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Vitaro and colleagues (Vitaro, Ladouceur &amp; Bujold, 1996), as in the previous study, added gambling measures to an ongoing longitudinal survey of boys.  Participants were recruited from schools throughout Quebec</w:t>
      </w:r>
      <w:r w:rsidR="00912E3F">
        <w:rPr>
          <w:szCs w:val="22"/>
        </w:rPr>
        <w:t>, Canada</w:t>
      </w:r>
      <w:r w:rsidRPr="00AF7A06">
        <w:rPr>
          <w:szCs w:val="22"/>
        </w:rPr>
        <w:t>.  At age 13, 631 boys provided self-report accounts of past year gambling behaviour.  Problem gambling was not assessed.  For 441 of these participants</w:t>
      </w:r>
      <w:r w:rsidR="00912E3F">
        <w:rPr>
          <w:szCs w:val="22"/>
        </w:rPr>
        <w:t>,</w:t>
      </w:r>
      <w:r w:rsidRPr="00AF7A06">
        <w:rPr>
          <w:szCs w:val="22"/>
        </w:rPr>
        <w:t xml:space="preserve"> information was available from age 10 and 11 on hyperactivity, impulsivity, aggression and anxiety/withdrawal.  Gambling measures were not repeated so gambling trajectories could not be examined.  Some of the attributes assessed at ages 10 and 11 predicted future gambling.  Boys who gambled more frequently also more often reported substance use and delinquent behaviours.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Barnes el al</w:t>
      </w:r>
      <w:r w:rsidR="00912E3F">
        <w:rPr>
          <w:szCs w:val="22"/>
        </w:rPr>
        <w:t>. (1999;</w:t>
      </w:r>
      <w:r w:rsidRPr="00AF7A06">
        <w:rPr>
          <w:szCs w:val="22"/>
        </w:rPr>
        <w:t xml:space="preserve"> 2002</w:t>
      </w:r>
      <w:r w:rsidR="00912E3F">
        <w:rPr>
          <w:szCs w:val="22"/>
        </w:rPr>
        <w:t>;</w:t>
      </w:r>
      <w:r w:rsidRPr="00AF7A06">
        <w:rPr>
          <w:szCs w:val="22"/>
        </w:rPr>
        <w:t xml:space="preserve"> 2005) also added gambling measure</w:t>
      </w:r>
      <w:r w:rsidR="002E17A9">
        <w:rPr>
          <w:szCs w:val="22"/>
        </w:rPr>
        <w:t>s into later waves (waves 5 and </w:t>
      </w:r>
      <w:r w:rsidRPr="00AF7A06">
        <w:rPr>
          <w:szCs w:val="22"/>
        </w:rPr>
        <w:t xml:space="preserve">6) of an existing longitudinal study, in this case a study of the development of alcohol misuse.  The study, conducted in Buffalo, New York, </w:t>
      </w:r>
      <w:r w:rsidR="00912E3F">
        <w:rPr>
          <w:szCs w:val="22"/>
        </w:rPr>
        <w:t xml:space="preserve">USA </w:t>
      </w:r>
      <w:r w:rsidRPr="00AF7A06">
        <w:rPr>
          <w:szCs w:val="22"/>
        </w:rPr>
        <w:t>commenced when participants were aged 13</w:t>
      </w:r>
      <w:r w:rsidR="00912E3F">
        <w:rPr>
          <w:szCs w:val="22"/>
        </w:rPr>
        <w:t xml:space="preserve"> to </w:t>
      </w:r>
      <w:r w:rsidRPr="00AF7A06">
        <w:rPr>
          <w:szCs w:val="22"/>
        </w:rPr>
        <w:t>16</w:t>
      </w:r>
      <w:r w:rsidR="00912E3F">
        <w:rPr>
          <w:szCs w:val="22"/>
        </w:rPr>
        <w:t xml:space="preserve"> years</w:t>
      </w:r>
      <w:r w:rsidRPr="00AF7A06">
        <w:rPr>
          <w:szCs w:val="22"/>
        </w:rPr>
        <w:t>.  Gambling was assessed at ages 17</w:t>
      </w:r>
      <w:r w:rsidR="00912E3F">
        <w:rPr>
          <w:szCs w:val="22"/>
        </w:rPr>
        <w:t xml:space="preserve"> to </w:t>
      </w:r>
      <w:r w:rsidRPr="00AF7A06">
        <w:rPr>
          <w:szCs w:val="22"/>
        </w:rPr>
        <w:t xml:space="preserve">21 </w:t>
      </w:r>
      <w:r w:rsidR="00912E3F">
        <w:rPr>
          <w:szCs w:val="22"/>
        </w:rPr>
        <w:t xml:space="preserve">years </w:t>
      </w:r>
      <w:r w:rsidRPr="00AF7A06">
        <w:rPr>
          <w:szCs w:val="22"/>
        </w:rPr>
        <w:t>(n = 699) and 18</w:t>
      </w:r>
      <w:r w:rsidR="00912E3F">
        <w:rPr>
          <w:szCs w:val="22"/>
        </w:rPr>
        <w:t xml:space="preserve"> to </w:t>
      </w:r>
      <w:r w:rsidRPr="00AF7A06">
        <w:rPr>
          <w:szCs w:val="22"/>
        </w:rPr>
        <w:t xml:space="preserve">22 </w:t>
      </w:r>
      <w:r w:rsidR="00912E3F">
        <w:rPr>
          <w:szCs w:val="22"/>
        </w:rPr>
        <w:t>years (n </w:t>
      </w:r>
      <w:r w:rsidRPr="00AF7A06">
        <w:rPr>
          <w:szCs w:val="22"/>
        </w:rPr>
        <w:t>=</w:t>
      </w:r>
      <w:r w:rsidR="002E17A9">
        <w:rPr>
          <w:szCs w:val="22"/>
        </w:rPr>
        <w:t> </w:t>
      </w:r>
      <w:r w:rsidRPr="00AF7A06">
        <w:rPr>
          <w:szCs w:val="22"/>
        </w:rPr>
        <w:t>522).  A second study (Barnes et al</w:t>
      </w:r>
      <w:r w:rsidR="00912E3F">
        <w:rPr>
          <w:szCs w:val="22"/>
        </w:rPr>
        <w:t>.</w:t>
      </w:r>
      <w:r w:rsidRPr="00AF7A06">
        <w:rPr>
          <w:szCs w:val="22"/>
        </w:rPr>
        <w:t>, 2005) involved 625 young men aged 16</w:t>
      </w:r>
      <w:r w:rsidR="007649F5">
        <w:rPr>
          <w:szCs w:val="22"/>
        </w:rPr>
        <w:t xml:space="preserve"> to </w:t>
      </w:r>
      <w:r w:rsidRPr="00AF7A06">
        <w:rPr>
          <w:szCs w:val="22"/>
        </w:rPr>
        <w:t xml:space="preserve">19 </w:t>
      </w:r>
      <w:r w:rsidR="007649F5">
        <w:rPr>
          <w:szCs w:val="22"/>
        </w:rPr>
        <w:t xml:space="preserve">years </w:t>
      </w:r>
      <w:r w:rsidRPr="00AF7A06">
        <w:rPr>
          <w:szCs w:val="22"/>
        </w:rPr>
        <w:t>when they were first assessed.</w:t>
      </w:r>
      <w:r w:rsidR="007649F5">
        <w:rPr>
          <w:szCs w:val="22"/>
        </w:rPr>
        <w:t xml:space="preserve"> </w:t>
      </w:r>
      <w:r w:rsidRPr="00AF7A06">
        <w:rPr>
          <w:szCs w:val="22"/>
        </w:rPr>
        <w:t xml:space="preserve"> Two further waves of assessment took place approximately</w:t>
      </w:r>
      <w:r w:rsidR="007649F5">
        <w:rPr>
          <w:szCs w:val="22"/>
        </w:rPr>
        <w:t xml:space="preserve"> 18 </w:t>
      </w:r>
      <w:r w:rsidRPr="00AF7A06">
        <w:rPr>
          <w:szCs w:val="22"/>
        </w:rPr>
        <w:t>months apart.  The major focus of this study was on relationships between substance abuse and criminal offending.  In the first study, for young women, lower maternal education and peer delinquency predicted subsequent gambling behaviour.  No significant predictors were identified for young men.  In the second study</w:t>
      </w:r>
      <w:r w:rsidR="007649F5">
        <w:rPr>
          <w:szCs w:val="22"/>
        </w:rPr>
        <w:t>,</w:t>
      </w:r>
      <w:r w:rsidRPr="00AF7A06">
        <w:rPr>
          <w:szCs w:val="22"/>
        </w:rPr>
        <w:t xml:space="preserve"> moral disengagement was a prospective predictor of gambling participation.  As in the previous study</w:t>
      </w:r>
      <w:r w:rsidR="007649F5">
        <w:rPr>
          <w:szCs w:val="22"/>
        </w:rPr>
        <w:t>,</w:t>
      </w:r>
      <w:r w:rsidRPr="00AF7A06">
        <w:rPr>
          <w:szCs w:val="22"/>
        </w:rPr>
        <w:t xml:space="preserve"> impulsivity was not a significant predictor.  Neither was moral disengagement, replicating the finding for males in the previous study.  In these studies gambling, at the final assessment point, was not as strongly linked to alcohol misuse and drug use as the latter were to each other.  These studies, like a number of the prospective youth studies, did not include measures of problem gambling.  </w:t>
      </w:r>
    </w:p>
    <w:p w:rsidR="00AF7A06" w:rsidRPr="00AF7A06" w:rsidRDefault="00AF7A06" w:rsidP="00AF7A06">
      <w:pPr>
        <w:jc w:val="both"/>
        <w:rPr>
          <w:szCs w:val="22"/>
        </w:rPr>
      </w:pPr>
      <w:r w:rsidRPr="00AF7A06">
        <w:rPr>
          <w:szCs w:val="22"/>
        </w:rPr>
        <w:t xml:space="preserve"> </w:t>
      </w:r>
    </w:p>
    <w:p w:rsidR="00AF7A06" w:rsidRPr="00AF7A06" w:rsidRDefault="00AF7A06" w:rsidP="00AF7A06">
      <w:pPr>
        <w:jc w:val="both"/>
        <w:rPr>
          <w:szCs w:val="22"/>
        </w:rPr>
      </w:pPr>
      <w:r w:rsidRPr="00AF7A06">
        <w:rPr>
          <w:szCs w:val="22"/>
        </w:rPr>
        <w:t>As mentioned previously, Slutske et al</w:t>
      </w:r>
      <w:r w:rsidR="007649F5">
        <w:rPr>
          <w:szCs w:val="22"/>
        </w:rPr>
        <w:t>.</w:t>
      </w:r>
      <w:r w:rsidRPr="00AF7A06">
        <w:rPr>
          <w:szCs w:val="22"/>
        </w:rPr>
        <w:t xml:space="preserve"> (2005) added gambling questions to the ongoing Dunedin Multidisciplinary Health and Development Study.  This study involves a birth cohort established when the children we</w:t>
      </w:r>
      <w:r w:rsidR="007649F5">
        <w:rPr>
          <w:szCs w:val="22"/>
        </w:rPr>
        <w:t>re three years old (n = 1,037).</w:t>
      </w:r>
      <w:r w:rsidRPr="00AF7A06">
        <w:rPr>
          <w:szCs w:val="22"/>
        </w:rPr>
        <w:t xml:space="preserve">  Gambling partici</w:t>
      </w:r>
      <w:r w:rsidR="007649F5">
        <w:rPr>
          <w:szCs w:val="22"/>
        </w:rPr>
        <w:t>pation and problem measures were</w:t>
      </w:r>
      <w:r w:rsidRPr="00AF7A06">
        <w:rPr>
          <w:szCs w:val="22"/>
        </w:rPr>
        <w:t xml:space="preserve"> administered when participants were </w:t>
      </w:r>
      <w:r w:rsidR="007649F5">
        <w:rPr>
          <w:szCs w:val="22"/>
        </w:rPr>
        <w:t xml:space="preserve">aged </w:t>
      </w:r>
      <w:r w:rsidRPr="00AF7A06">
        <w:rPr>
          <w:szCs w:val="22"/>
        </w:rPr>
        <w:t>21</w:t>
      </w:r>
      <w:r w:rsidR="007649F5">
        <w:rPr>
          <w:szCs w:val="22"/>
        </w:rPr>
        <w:t xml:space="preserve"> years</w:t>
      </w:r>
      <w:r w:rsidRPr="00AF7A06">
        <w:rPr>
          <w:szCs w:val="22"/>
        </w:rPr>
        <w:t xml:space="preserve"> (n = 939).  Personality traits assessed at age 18 were used to predict gambling and problem gambling three years later.  Predictors included negative emotionality (e.g. nervousness or worry, anger, feeling mistreated and victimised) and low behavioural constraint (e.g. risk-taking, impulsivity and rebelliousness).  These characteristics were also associated with cannabis, alcohol and tobacco dependence</w:t>
      </w:r>
      <w:r w:rsidR="007649F5">
        <w:rPr>
          <w:szCs w:val="22"/>
        </w:rPr>
        <w:t>,</w:t>
      </w:r>
      <w:r w:rsidRPr="00AF7A06">
        <w:rPr>
          <w:szCs w:val="22"/>
        </w:rPr>
        <w:t xml:space="preserve"> and nearly two-thirds of problem gamblers had another addictive disorder at age 21.  Gambling measures were not repeated.  In addition to not being able to examine changes in gambling and problem gambling over time, it also meant that problem gambling might have occurred at earlier ages and influenced some personality measurements.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Jacques et al</w:t>
      </w:r>
      <w:r w:rsidR="00553371">
        <w:rPr>
          <w:szCs w:val="22"/>
        </w:rPr>
        <w:t>.</w:t>
      </w:r>
      <w:r w:rsidRPr="00AF7A06">
        <w:rPr>
          <w:szCs w:val="22"/>
        </w:rPr>
        <w:t xml:space="preserve"> (2000) conducted a cross</w:t>
      </w:r>
      <w:r w:rsidR="00553371">
        <w:rPr>
          <w:szCs w:val="22"/>
        </w:rPr>
        <w:t>-</w:t>
      </w:r>
      <w:r w:rsidRPr="00AF7A06">
        <w:rPr>
          <w:szCs w:val="22"/>
        </w:rPr>
        <w:t xml:space="preserve">sectional community telephone survey of adult French speaking Canadians before the introduction of a new casino and re-assessed participants on three subsequent occasions (Jacques &amp; Ladouceur, 2006).  This study had an experimental design as some participants lived near the casino (n = 475) and others (n = 423) did not.  Initially, 12 months after the casino opened, experimental group participants gambled more </w:t>
      </w:r>
      <w:r w:rsidRPr="00AF7A06">
        <w:rPr>
          <w:szCs w:val="22"/>
        </w:rPr>
        <w:lastRenderedPageBreak/>
        <w:t>frequently and lost more money.  However, these differences were not sustained in subsequent assessment waves two and four years after the opening</w:t>
      </w:r>
      <w:r w:rsidR="00553371">
        <w:rPr>
          <w:szCs w:val="22"/>
        </w:rPr>
        <w:t xml:space="preserve"> of the casino</w:t>
      </w:r>
      <w:r w:rsidRPr="00AF7A06">
        <w:rPr>
          <w:szCs w:val="22"/>
        </w:rPr>
        <w:t xml:space="preserve">.  </w:t>
      </w:r>
    </w:p>
    <w:p w:rsidR="00AF7A06" w:rsidRPr="00AF7A06" w:rsidRDefault="00AF7A06" w:rsidP="00AF7A06">
      <w:pPr>
        <w:jc w:val="both"/>
        <w:rPr>
          <w:szCs w:val="22"/>
        </w:rPr>
      </w:pPr>
      <w:r w:rsidRPr="00AF7A06">
        <w:rPr>
          <w:szCs w:val="22"/>
        </w:rPr>
        <w:t xml:space="preserve"> </w:t>
      </w:r>
    </w:p>
    <w:p w:rsidR="00AF7A06" w:rsidRPr="00AF7A06" w:rsidRDefault="00AF7A06" w:rsidP="00AF7A06">
      <w:pPr>
        <w:jc w:val="both"/>
        <w:rPr>
          <w:szCs w:val="22"/>
        </w:rPr>
      </w:pPr>
      <w:r w:rsidRPr="00AF7A06">
        <w:rPr>
          <w:szCs w:val="22"/>
        </w:rPr>
        <w:t>Hodgins and el-Guebaly (2004) followed up a small sample</w:t>
      </w:r>
      <w:r w:rsidR="00553371">
        <w:rPr>
          <w:szCs w:val="22"/>
        </w:rPr>
        <w:t xml:space="preserve"> (n = 101 at baseline; 80 at 12 </w:t>
      </w:r>
      <w:r w:rsidRPr="00AF7A06">
        <w:rPr>
          <w:szCs w:val="22"/>
        </w:rPr>
        <w:t>months) of adults who had gambling problems and had recently stopped gambling.  The study is included in this review as participants were recruited from the general population via the mass media rather than from a clinical setting or trial.  It was found that relapses most often occurred in the evening when people were thinking about their finances.  Thoughts about winning and the need to make money were mentioned most often as the main reason for relapse.  Unstructured time or boredom, giving into urges, habit or opportunity and dealing with negative situations or emotions were mentioned somewhat less often.  Males more often mentioned a need to make money and boredom; women to dealing with negative situations and emotions and giving in to urges, habit or opportunity.  Hodgins et al</w:t>
      </w:r>
      <w:r w:rsidR="00553371">
        <w:rPr>
          <w:szCs w:val="22"/>
        </w:rPr>
        <w:t>.</w:t>
      </w:r>
      <w:r w:rsidRPr="00AF7A06">
        <w:rPr>
          <w:szCs w:val="22"/>
        </w:rPr>
        <w:t xml:space="preserve"> (2005) also examined, using the same sample, relationships between mood and alcohol and other drug disorders and gambling relapse.  Only reports of having a lifetime mood disorder were significantly associated with outcome, increasing the time to achieve stable abstinence.  Lifetime gambling severity, past alcohol and other drug disorders and past treatment involvement did not predict outcome.</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Ladouceur et al</w:t>
      </w:r>
      <w:r w:rsidR="00553371">
        <w:rPr>
          <w:szCs w:val="22"/>
        </w:rPr>
        <w:t>.</w:t>
      </w:r>
      <w:r w:rsidRPr="00AF7A06">
        <w:rPr>
          <w:szCs w:val="22"/>
        </w:rPr>
        <w:t xml:space="preserve"> (2007) conducted an evaluation of outcomes for people who had self-excluded themselves from casinos.  Participants were assessed on a number of occasions over two years.  This study did not examine individual trajectories or predictors of transitions or outcomes.  Outcome studies of this type, while prospective, and having some relevance, are not reviewed in this report.  They have been reviewed recently in Abbott et al</w:t>
      </w:r>
      <w:r w:rsidR="00553371">
        <w:rPr>
          <w:szCs w:val="22"/>
        </w:rPr>
        <w:t>.</w:t>
      </w:r>
      <w:r w:rsidRPr="00AF7A06">
        <w:rPr>
          <w:szCs w:val="22"/>
        </w:rPr>
        <w:t xml:space="preserve"> (2013).</w:t>
      </w:r>
      <w:r w:rsidR="00553371">
        <w:rPr>
          <w:szCs w:val="22"/>
        </w:rPr>
        <w:t xml:space="preserve"> </w:t>
      </w:r>
      <w:r w:rsidRPr="00AF7A06">
        <w:rPr>
          <w:szCs w:val="22"/>
        </w:rPr>
        <w:t xml:space="preserve"> Clinical trials, which are also prospective, are reviewed in Abbott et al</w:t>
      </w:r>
      <w:r w:rsidR="00553371">
        <w:rPr>
          <w:szCs w:val="22"/>
        </w:rPr>
        <w:t>.</w:t>
      </w:r>
      <w:r w:rsidRPr="00AF7A06">
        <w:rPr>
          <w:szCs w:val="22"/>
        </w:rPr>
        <w:t xml:space="preserve"> (201</w:t>
      </w:r>
      <w:r w:rsidR="00553371">
        <w:rPr>
          <w:szCs w:val="22"/>
        </w:rPr>
        <w:t>2</w:t>
      </w:r>
      <w:r w:rsidRPr="00AF7A06">
        <w:rPr>
          <w:szCs w:val="22"/>
        </w:rPr>
        <w:t>).  Like most other outcome studies or clinical trials</w:t>
      </w:r>
      <w:r w:rsidR="00553371">
        <w:rPr>
          <w:szCs w:val="22"/>
        </w:rPr>
        <w:t>,</w:t>
      </w:r>
      <w:r w:rsidRPr="00AF7A06">
        <w:rPr>
          <w:szCs w:val="22"/>
        </w:rPr>
        <w:t xml:space="preserve"> Ladouceur et al</w:t>
      </w:r>
      <w:r w:rsidR="00553371">
        <w:rPr>
          <w:szCs w:val="22"/>
        </w:rPr>
        <w:t>.</w:t>
      </w:r>
      <w:r w:rsidRPr="00AF7A06">
        <w:rPr>
          <w:szCs w:val="22"/>
        </w:rPr>
        <w:t xml:space="preserve"> (2007) found that substantial numbers of participants stopped or reduced their gambling over time and that, for many, these changes were sustained.  Also like many studies of this type</w:t>
      </w:r>
      <w:r w:rsidR="00553371">
        <w:rPr>
          <w:szCs w:val="22"/>
        </w:rPr>
        <w:t>,</w:t>
      </w:r>
      <w:r w:rsidRPr="00AF7A06">
        <w:rPr>
          <w:szCs w:val="22"/>
        </w:rPr>
        <w:t xml:space="preserve"> high attrition (n = 161 at baseline; n = 53 at 24 months) necessitates caution in interpretation of the findings.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LaBrie et al</w:t>
      </w:r>
      <w:r w:rsidR="00553371">
        <w:rPr>
          <w:szCs w:val="22"/>
        </w:rPr>
        <w:t>.</w:t>
      </w:r>
      <w:r w:rsidRPr="00AF7A06">
        <w:rPr>
          <w:szCs w:val="22"/>
        </w:rPr>
        <w:t xml:space="preserve"> (2007) tracked aspects of the online gambling behaviour of 40,499 internet sports gambling service subscribers.  Daily total bets made, money bet and money won were assessed over an eight month period.  It was found that subscribers generally moderated their level of gambling involvement in response to their wins and losses.  More specifically, winning encouraged continuing participation and losing discouraged it.</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Vander Bilt et al</w:t>
      </w:r>
      <w:r w:rsidR="00553371">
        <w:rPr>
          <w:szCs w:val="22"/>
        </w:rPr>
        <w:t>.</w:t>
      </w:r>
      <w:r w:rsidRPr="00AF7A06">
        <w:rPr>
          <w:szCs w:val="22"/>
        </w:rPr>
        <w:t xml:space="preserve"> (2004) added a single gambling question (whether they left their home to gamble or play bingo) to an existing prospective community study of dementia in older people.  The study commenced with 1,681 participants.  Follow-up assessments were conducted approximately </w:t>
      </w:r>
      <w:r w:rsidR="00553371">
        <w:rPr>
          <w:szCs w:val="22"/>
        </w:rPr>
        <w:t>biennially</w:t>
      </w:r>
      <w:r w:rsidRPr="00AF7A06">
        <w:rPr>
          <w:szCs w:val="22"/>
        </w:rPr>
        <w:t xml:space="preserve">.  The gambling question </w:t>
      </w:r>
      <w:r w:rsidR="00553371">
        <w:rPr>
          <w:szCs w:val="22"/>
        </w:rPr>
        <w:t>was included in waves four (n = </w:t>
      </w:r>
      <w:r w:rsidRPr="00AF7A06">
        <w:rPr>
          <w:szCs w:val="22"/>
        </w:rPr>
        <w:t>970) and six (n = 618).  At wave four the mean age was 79 years.  At the time of the study</w:t>
      </w:r>
      <w:r w:rsidR="00553371">
        <w:rPr>
          <w:szCs w:val="22"/>
        </w:rPr>
        <w:t>,</w:t>
      </w:r>
      <w:r w:rsidRPr="00AF7A06">
        <w:rPr>
          <w:szCs w:val="22"/>
        </w:rPr>
        <w:t xml:space="preserve"> available gambling activities included the state lottery, betting at race tracks and charitable bingo. </w:t>
      </w:r>
      <w:r w:rsidR="00553371">
        <w:rPr>
          <w:szCs w:val="22"/>
        </w:rPr>
        <w:t xml:space="preserve"> </w:t>
      </w:r>
      <w:r w:rsidRPr="00AF7A06">
        <w:rPr>
          <w:szCs w:val="22"/>
        </w:rPr>
        <w:t xml:space="preserve">Casino gambling and EGMs were not available. </w:t>
      </w:r>
      <w:r w:rsidR="00553371">
        <w:rPr>
          <w:szCs w:val="22"/>
        </w:rPr>
        <w:t xml:space="preserve"> </w:t>
      </w:r>
      <w:r w:rsidRPr="00AF7A06">
        <w:rPr>
          <w:szCs w:val="22"/>
        </w:rPr>
        <w:t>Prospective predictors of gambling participation four years later included male gender, younger age (70-79</w:t>
      </w:r>
      <w:r w:rsidR="00553371">
        <w:rPr>
          <w:szCs w:val="22"/>
        </w:rPr>
        <w:t xml:space="preserve"> years</w:t>
      </w:r>
      <w:r w:rsidRPr="00AF7A06">
        <w:rPr>
          <w:szCs w:val="22"/>
        </w:rPr>
        <w:t>), more social support, alcohol use and previous gambling activity.  While there was high attrition</w:t>
      </w:r>
      <w:r w:rsidR="00553371">
        <w:rPr>
          <w:szCs w:val="22"/>
        </w:rPr>
        <w:t>,</w:t>
      </w:r>
      <w:r w:rsidRPr="00AF7A06">
        <w:rPr>
          <w:szCs w:val="22"/>
        </w:rPr>
        <w:t xml:space="preserve"> this was largely due to death and serious illness and was not associated with gambling.  Given that gambling was linked with both current and future social support</w:t>
      </w:r>
      <w:r w:rsidR="00553371">
        <w:rPr>
          <w:szCs w:val="22"/>
        </w:rPr>
        <w:t>,</w:t>
      </w:r>
      <w:r w:rsidRPr="00AF7A06">
        <w:rPr>
          <w:szCs w:val="22"/>
        </w:rPr>
        <w:t xml:space="preserve"> the study authors concluded that in some forms and contexts</w:t>
      </w:r>
      <w:r w:rsidR="00553371">
        <w:rPr>
          <w:szCs w:val="22"/>
        </w:rPr>
        <w:t>,</w:t>
      </w:r>
      <w:r w:rsidRPr="00AF7A06">
        <w:rPr>
          <w:szCs w:val="22"/>
        </w:rPr>
        <w:t xml:space="preserve"> gambling can have benefits.  While there was no association with measures of depression or other measures of health or wellbeing</w:t>
      </w:r>
      <w:r w:rsidR="00553371">
        <w:rPr>
          <w:szCs w:val="22"/>
        </w:rPr>
        <w:t>,</w:t>
      </w:r>
      <w:r w:rsidRPr="00AF7A06">
        <w:rPr>
          <w:szCs w:val="22"/>
        </w:rPr>
        <w:t xml:space="preserve"> this study </w:t>
      </w:r>
      <w:r w:rsidR="00553371">
        <w:rPr>
          <w:szCs w:val="22"/>
        </w:rPr>
        <w:t>shows</w:t>
      </w:r>
      <w:r w:rsidRPr="00AF7A06">
        <w:rPr>
          <w:szCs w:val="22"/>
        </w:rPr>
        <w:t xml:space="preserve"> the importance of examining both potential benefits and harm in relation to patterns of gambling participation in </w:t>
      </w:r>
      <w:r w:rsidRPr="00AF7A06">
        <w:rPr>
          <w:szCs w:val="22"/>
        </w:rPr>
        <w:lastRenderedPageBreak/>
        <w:t>different population sectors.  Reliance on just one gambling question at two time points is a weakness of this study.</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Xian et al</w:t>
      </w:r>
      <w:r w:rsidR="000A2605">
        <w:rPr>
          <w:szCs w:val="22"/>
        </w:rPr>
        <w:t>.</w:t>
      </w:r>
      <w:r w:rsidRPr="00AF7A06">
        <w:rPr>
          <w:szCs w:val="22"/>
        </w:rPr>
        <w:t xml:space="preserve"> (2007) reassessed pathological gambling symptoms in 1,675 individual twin males ten years following the</w:t>
      </w:r>
      <w:r w:rsidR="000A2605">
        <w:rPr>
          <w:szCs w:val="22"/>
        </w:rPr>
        <w:t>ir baseline assessment.</w:t>
      </w:r>
      <w:r w:rsidRPr="00AF7A06">
        <w:rPr>
          <w:szCs w:val="22"/>
        </w:rPr>
        <w:t xml:space="preserve">  Just over half of those who met the criteria for one or more DSM pathological gambling symptoms in the past year at follow-up also met the criteria for one or more lifetime DSM symptoms at baseline.  The use of different timeframes precluded examination of transitions.  The main purpose of this study was to assess the genetic and environmental contributions to pathological gambling symptoms at two time periods.  At baseline</w:t>
      </w:r>
      <w:r w:rsidR="000A2605">
        <w:rPr>
          <w:szCs w:val="22"/>
        </w:rPr>
        <w:t>,</w:t>
      </w:r>
      <w:r w:rsidRPr="00AF7A06">
        <w:rPr>
          <w:szCs w:val="22"/>
        </w:rPr>
        <w:t xml:space="preserve"> approximately half of the total variance in lifetime symptoms was due to genetic factors and half to environmental factors.  At follow-up, somewhat more of the variance in past year symptoms was due to genetic factors.  It was concluded that the genetic contribution to pathological gambling symptoms may be fairly stable throughout adulthood.  </w:t>
      </w:r>
      <w:r w:rsidR="000A2605">
        <w:rPr>
          <w:szCs w:val="22"/>
        </w:rPr>
        <w:t>For</w:t>
      </w:r>
      <w:r w:rsidRPr="00AF7A06">
        <w:rPr>
          <w:szCs w:val="22"/>
        </w:rPr>
        <w:t xml:space="preserve"> the remaining variance in past year symptoms, 30% was attributable to unique environmental influences and 13% to unique environmental factors that were common with baseline symptoms.  The study authors concluded that around a quarter to a third of variance in current problem gambling may be attributable to environmental changes including the increased gambling availability during the ten years of the study.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Subsequent to the four 2007 to 2008 literature reviews</w:t>
      </w:r>
      <w:r w:rsidR="000A2605">
        <w:rPr>
          <w:szCs w:val="22"/>
        </w:rPr>
        <w:t>,</w:t>
      </w:r>
      <w:r w:rsidRPr="00AF7A06">
        <w:rPr>
          <w:szCs w:val="22"/>
        </w:rPr>
        <w:t xml:space="preserve"> there has been a substantial increase in the number of publications reporting on prospective gambling studies.  Some have provided results from further phases of earlier studies.  Some of these more recent studies are mentioned below.  The final National Gambling Study report, that will include results from all study waves, will also include a systematic review of all relevant research published from 2009 onwards.  By that time</w:t>
      </w:r>
      <w:r w:rsidR="000A2605">
        <w:rPr>
          <w:szCs w:val="22"/>
        </w:rPr>
        <w:t>,</w:t>
      </w:r>
      <w:r w:rsidRPr="00AF7A06">
        <w:rPr>
          <w:szCs w:val="22"/>
        </w:rPr>
        <w:t xml:space="preserve"> the results of some large-scale, jurisdiction-wide studies will</w:t>
      </w:r>
      <w:r w:rsidR="000A2605">
        <w:rPr>
          <w:szCs w:val="22"/>
        </w:rPr>
        <w:t xml:space="preserve"> have been published in peer-</w:t>
      </w:r>
      <w:r w:rsidRPr="00AF7A06">
        <w:rPr>
          <w:szCs w:val="22"/>
        </w:rPr>
        <w:t>reviewed reports and journals.  The latter studies, particularly the Swedish (</w:t>
      </w:r>
      <w:r w:rsidR="000366E0">
        <w:rPr>
          <w:szCs w:val="22"/>
        </w:rPr>
        <w:t>Abbott et al.</w:t>
      </w:r>
      <w:r w:rsidRPr="00AF7A06">
        <w:rPr>
          <w:szCs w:val="22"/>
        </w:rPr>
        <w:t>, 2014; Romild</w:t>
      </w:r>
      <w:r w:rsidR="000366E0">
        <w:rPr>
          <w:szCs w:val="22"/>
        </w:rPr>
        <w:t xml:space="preserve"> et al.</w:t>
      </w:r>
      <w:r w:rsidRPr="00AF7A06">
        <w:rPr>
          <w:szCs w:val="22"/>
        </w:rPr>
        <w:t>, 2014) and Victorian studies (Billi et al</w:t>
      </w:r>
      <w:r w:rsidR="000A2605">
        <w:rPr>
          <w:szCs w:val="22"/>
        </w:rPr>
        <w:t>., 2014a;</w:t>
      </w:r>
      <w:r w:rsidRPr="00AF7A06">
        <w:rPr>
          <w:szCs w:val="22"/>
        </w:rPr>
        <w:t xml:space="preserve"> 2014b), are of particular relevance </w:t>
      </w:r>
      <w:r w:rsidR="000A2605">
        <w:rPr>
          <w:szCs w:val="22"/>
        </w:rPr>
        <w:t>as similar to</w:t>
      </w:r>
      <w:r w:rsidRPr="00AF7A06">
        <w:rPr>
          <w:szCs w:val="22"/>
        </w:rPr>
        <w:t xml:space="preserve"> the NGS they involve large, jurisdiction-wide samples and were part</w:t>
      </w:r>
      <w:r w:rsidR="00BE4960">
        <w:rPr>
          <w:szCs w:val="22"/>
        </w:rPr>
        <w:t>ly</w:t>
      </w:r>
      <w:r w:rsidRPr="00AF7A06">
        <w:rPr>
          <w:szCs w:val="22"/>
        </w:rPr>
        <w:t xml:space="preserve"> designed to facilitate comparison of their findings with the NGS.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Hodgins and el-Guebaly (2009) followed up just over half of the participants in their 2004 study five years after their initial assessments.  As in the earlier study, lifetime history of mood disorder predicted a longer time to reach a period of stable abstinence.  In contrast to the 12 month findings, when considered over the longer follow-up period, it was found that participants with a lifetime drug disorder were less likely to experience a minimum three months period of abstinence.  Additionally, those with more serious gambling problems and those who received gambling treatment attained periods of abstinence earlier than their counterparts who had less serious problems and did not receive treatment.  However, while treatment was associated with achieving abstinence more quickly, people who received treatment were more likely than others to experience a period of relapse.  Having an alcohol misuse diagnosis during the course of the study also predicted relapse.  Overall</w:t>
      </w:r>
      <w:r w:rsidR="00BE4960">
        <w:rPr>
          <w:szCs w:val="22"/>
        </w:rPr>
        <w:t>,</w:t>
      </w:r>
      <w:r w:rsidRPr="00AF7A06">
        <w:rPr>
          <w:szCs w:val="22"/>
        </w:rPr>
        <w:t xml:space="preserve"> it was found that although comorbid mental health disorders had some impact on shorter term gambling outcomes, they did not predict longer term</w:t>
      </w:r>
      <w:r w:rsidR="00BE4960" w:rsidRPr="00BE4960">
        <w:rPr>
          <w:szCs w:val="22"/>
        </w:rPr>
        <w:t xml:space="preserve"> </w:t>
      </w:r>
      <w:r w:rsidR="00BE4960" w:rsidRPr="00AF7A06">
        <w:rPr>
          <w:szCs w:val="22"/>
        </w:rPr>
        <w:t>outcomes</w:t>
      </w:r>
      <w:r w:rsidRPr="00AF7A06">
        <w:rPr>
          <w:szCs w:val="22"/>
        </w:rPr>
        <w:t>.  These findings are interesting and generally consistent wi</w:t>
      </w:r>
      <w:r w:rsidR="00BE4960">
        <w:rPr>
          <w:szCs w:val="22"/>
        </w:rPr>
        <w:t>th those from other studies which</w:t>
      </w:r>
      <w:r w:rsidRPr="00AF7A06">
        <w:rPr>
          <w:szCs w:val="22"/>
        </w:rPr>
        <w:t xml:space="preserve"> indicate that gambling participation and problems fluctuate over time.  However, while average problem gambling scores reduced considerably during the course of the study, very few participants reported not gambling at all, even during the first 12 month follow-up period.  Given that all participants had expressed a desire to stop gambling at the outset of the study, and had abstained from gambling for two weeks or more prior to be</w:t>
      </w:r>
      <w:r w:rsidR="00BE4960">
        <w:rPr>
          <w:szCs w:val="22"/>
        </w:rPr>
        <w:t>ing</w:t>
      </w:r>
      <w:r w:rsidRPr="00AF7A06">
        <w:rPr>
          <w:szCs w:val="22"/>
        </w:rPr>
        <w:t xml:space="preserve"> admitted into the study, these findings further suggest that it is very difficult for problem gamblers to stop gambling totally.  The study authors cautioned that </w:t>
      </w:r>
      <w:r w:rsidRPr="00AF7A06">
        <w:rPr>
          <w:szCs w:val="22"/>
        </w:rPr>
        <w:lastRenderedPageBreak/>
        <w:t>their study had high and non-random attrition and that this could have affected the results.  Some of the data were also collected retrospectively, albeit that the use of time-line follow-back interviewing may have increased its reliability.</w:t>
      </w:r>
    </w:p>
    <w:p w:rsidR="00AF7A06" w:rsidRPr="00AF7A06" w:rsidRDefault="00AF7A06" w:rsidP="00AF7A06">
      <w:pPr>
        <w:jc w:val="both"/>
        <w:rPr>
          <w:szCs w:val="22"/>
        </w:rPr>
      </w:pPr>
    </w:p>
    <w:p w:rsidR="00AF7A06" w:rsidRPr="00AF7A06" w:rsidRDefault="000366E0" w:rsidP="00AF7A06">
      <w:pPr>
        <w:jc w:val="both"/>
        <w:rPr>
          <w:szCs w:val="22"/>
        </w:rPr>
      </w:pPr>
      <w:r>
        <w:t>Wa</w:t>
      </w:r>
      <w:r w:rsidRPr="00DA62AD">
        <w:t>n</w:t>
      </w:r>
      <w:r>
        <w:t xml:space="preserve">ner, Vitaro, Carbonneau and Tremblay </w:t>
      </w:r>
      <w:r w:rsidR="00AF7A06" w:rsidRPr="009F000F">
        <w:rPr>
          <w:szCs w:val="22"/>
        </w:rPr>
        <w:t>(2009) examined linkages between gambling, gambling problems, substance use,</w:t>
      </w:r>
      <w:r w:rsidR="00AF7A06" w:rsidRPr="00AF7A06">
        <w:rPr>
          <w:szCs w:val="22"/>
        </w:rPr>
        <w:t xml:space="preserve"> theft and violence from the mid-teens to young adulthood</w:t>
      </w:r>
      <w:r w:rsidR="009F000F">
        <w:rPr>
          <w:szCs w:val="22"/>
        </w:rPr>
        <w:t>,</w:t>
      </w:r>
      <w:r w:rsidR="00AF7A06" w:rsidRPr="00AF7A06">
        <w:rPr>
          <w:szCs w:val="22"/>
        </w:rPr>
        <w:t xml:space="preserve"> and whether behavioural disinhibition, deviant peers and parental supervision explain or moderate these links.  Data were drawn from two Canadian longitudinal studies with male samples of 502 and 663.  They were pre-existing prospective studies that had recruited participants when they were pre-schoolers.  At commencement</w:t>
      </w:r>
      <w:r w:rsidR="009F000F">
        <w:rPr>
          <w:szCs w:val="22"/>
        </w:rPr>
        <w:t>,</w:t>
      </w:r>
      <w:r w:rsidR="00AF7A06" w:rsidRPr="00AF7A06">
        <w:rPr>
          <w:szCs w:val="22"/>
        </w:rPr>
        <w:t xml:space="preserve"> the sample sizes were 1,037 and 1,001 respectively.  In this study</w:t>
      </w:r>
      <w:r w:rsidR="009F000F">
        <w:rPr>
          <w:szCs w:val="22"/>
        </w:rPr>
        <w:t>,</w:t>
      </w:r>
      <w:r w:rsidR="00AF7A06" w:rsidRPr="00AF7A06">
        <w:rPr>
          <w:szCs w:val="22"/>
        </w:rPr>
        <w:t xml:space="preserve"> questions covering gambling and the other areas of interest were included in two assessment waves of the ongoing studies.  In both cases these waves were seven years apart.</w:t>
      </w:r>
    </w:p>
    <w:p w:rsidR="00AF7A06" w:rsidRPr="00AF7A06" w:rsidRDefault="00AF7A06" w:rsidP="00AF7A06">
      <w:pPr>
        <w:jc w:val="both"/>
        <w:rPr>
          <w:szCs w:val="22"/>
        </w:rPr>
      </w:pPr>
    </w:p>
    <w:p w:rsidR="00AF7A06" w:rsidRPr="00AF7A06" w:rsidRDefault="000366E0" w:rsidP="00AF7A06">
      <w:pPr>
        <w:jc w:val="both"/>
        <w:rPr>
          <w:szCs w:val="22"/>
        </w:rPr>
      </w:pPr>
      <w:r>
        <w:rPr>
          <w:szCs w:val="22"/>
        </w:rPr>
        <w:t>Wan</w:t>
      </w:r>
      <w:r w:rsidR="00AF7A06" w:rsidRPr="00AF7A06">
        <w:rPr>
          <w:szCs w:val="22"/>
        </w:rPr>
        <w:t>ner et al</w:t>
      </w:r>
      <w:r w:rsidR="001D7D79">
        <w:rPr>
          <w:szCs w:val="22"/>
        </w:rPr>
        <w:t>.</w:t>
      </w:r>
      <w:r w:rsidR="00AF7A06" w:rsidRPr="00AF7A06">
        <w:rPr>
          <w:szCs w:val="22"/>
        </w:rPr>
        <w:t xml:space="preserve"> (2009) found a degree of stability in both gambling participation and problem gambling from the mid-teens to young adulthood.  However, while gambling problems during the mid-teens predicted gambling behaviour seven years later, mid-teens’ gambling behaviour did not predict subsequent problem gambling.  Disinhibition was found to moderate the stability of gambling problems.  For participants who were high on disinhibition, gambling p</w:t>
      </w:r>
      <w:r w:rsidR="001D7D79">
        <w:rPr>
          <w:szCs w:val="22"/>
        </w:rPr>
        <w:t>roblems were moderately stable.</w:t>
      </w:r>
      <w:r w:rsidR="00AF7A06" w:rsidRPr="00AF7A06">
        <w:rPr>
          <w:szCs w:val="22"/>
        </w:rPr>
        <w:t xml:space="preserve"> </w:t>
      </w:r>
      <w:r w:rsidR="00966804">
        <w:rPr>
          <w:szCs w:val="22"/>
        </w:rPr>
        <w:t xml:space="preserve"> </w:t>
      </w:r>
      <w:r w:rsidR="00AF7A06" w:rsidRPr="00AF7A06">
        <w:rPr>
          <w:szCs w:val="22"/>
        </w:rPr>
        <w:t>Conversely, for participants who were low on disinhibition, gambling problems were unstable.  Only for the group high on disinhibition did the stability of gambling problems resemble the moderate stabilities found for substance use, theft and violence.  Adolescent substance use and antisocial behaviours did not predict subsequent gambling participation or problems</w:t>
      </w:r>
      <w:r w:rsidR="001D7D79">
        <w:rPr>
          <w:szCs w:val="22"/>
        </w:rPr>
        <w:t>,</w:t>
      </w:r>
      <w:r w:rsidR="00AF7A06" w:rsidRPr="00AF7A06">
        <w:rPr>
          <w:szCs w:val="22"/>
        </w:rPr>
        <w:t xml:space="preserve"> and adolescent gambling and problem gambling did not predict future substance use or antisocial behaviours.  While adolescent problem gambling was not linked to subsequent antisocial behaviour, problem gamblers who had deviant peers were significantly more likely to engage in theft during early adulthood.  This was not the case for problem gamblers without deviant peers or non-problem gamblers.  In contrast to gambling, substance use predicted future theft and violence as well as continued substance use.  Although parental supervision moderated current teenage substance use and antisocial behaviour this was not found for current gambling.  Parental supervision during the mid-teens was not associated with any of the adult outcome measures including gambling and problem gambling.</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Delfabbro, Winefield and Anderson (2009) assesse</w:t>
      </w:r>
      <w:r w:rsidR="001D7D79">
        <w:rPr>
          <w:szCs w:val="22"/>
        </w:rPr>
        <w:t>d the gambling behaviour of 578 </w:t>
      </w:r>
      <w:r w:rsidRPr="00AF7A06">
        <w:rPr>
          <w:szCs w:val="22"/>
        </w:rPr>
        <w:t>Australian mid to late adolescents.  Participants were selected from a larger study sample and assessed on four occasions between the ages of 15 and 18</w:t>
      </w:r>
      <w:r w:rsidR="001D7D79">
        <w:rPr>
          <w:szCs w:val="22"/>
        </w:rPr>
        <w:t xml:space="preserve"> years</w:t>
      </w:r>
      <w:r w:rsidRPr="00AF7A06">
        <w:rPr>
          <w:szCs w:val="22"/>
        </w:rPr>
        <w:t>.  It was found that gambling participation, for the sample as a whole, was very stable from age 15 to 16</w:t>
      </w:r>
      <w:r w:rsidR="001D7D79">
        <w:rPr>
          <w:szCs w:val="22"/>
        </w:rPr>
        <w:t xml:space="preserve"> years</w:t>
      </w:r>
      <w:r w:rsidRPr="00AF7A06">
        <w:rPr>
          <w:szCs w:val="22"/>
        </w:rPr>
        <w:t>.  Participation rates subsequently increased at age 17 and 18</w:t>
      </w:r>
      <w:r w:rsidR="001D7D79">
        <w:rPr>
          <w:szCs w:val="22"/>
        </w:rPr>
        <w:t xml:space="preserve"> years</w:t>
      </w:r>
      <w:r w:rsidRPr="00AF7A06">
        <w:rPr>
          <w:szCs w:val="22"/>
        </w:rPr>
        <w:t xml:space="preserve">.  No gender differences were found in overall participation rates or preferences at </w:t>
      </w:r>
      <w:r w:rsidR="001D7D79">
        <w:rPr>
          <w:szCs w:val="22"/>
        </w:rPr>
        <w:t xml:space="preserve">age </w:t>
      </w:r>
      <w:r w:rsidRPr="00AF7A06">
        <w:rPr>
          <w:szCs w:val="22"/>
        </w:rPr>
        <w:t>15</w:t>
      </w:r>
      <w:r w:rsidR="001D7D79">
        <w:rPr>
          <w:szCs w:val="22"/>
        </w:rPr>
        <w:t xml:space="preserve"> years</w:t>
      </w:r>
      <w:r w:rsidRPr="00AF7A06">
        <w:rPr>
          <w:szCs w:val="22"/>
        </w:rPr>
        <w:t xml:space="preserve">.  However, over time males increasingly favoured sports betting and card games </w:t>
      </w:r>
      <w:r w:rsidR="001D7D79">
        <w:rPr>
          <w:szCs w:val="22"/>
        </w:rPr>
        <w:t>whilst</w:t>
      </w:r>
      <w:r w:rsidRPr="00AF7A06">
        <w:rPr>
          <w:szCs w:val="22"/>
        </w:rPr>
        <w:t xml:space="preserve"> females increasingly favoured scratch tickets.  In contrast to Winters et al</w:t>
      </w:r>
      <w:r w:rsidR="001D7D79">
        <w:rPr>
          <w:szCs w:val="22"/>
        </w:rPr>
        <w:t>.</w:t>
      </w:r>
      <w:r w:rsidRPr="00AF7A06">
        <w:rPr>
          <w:szCs w:val="22"/>
        </w:rPr>
        <w:t xml:space="preserve"> (2005)</w:t>
      </w:r>
      <w:r w:rsidR="001D7D79">
        <w:rPr>
          <w:szCs w:val="22"/>
        </w:rPr>
        <w:t>,</w:t>
      </w:r>
      <w:r w:rsidRPr="00AF7A06">
        <w:rPr>
          <w:szCs w:val="22"/>
        </w:rPr>
        <w:t xml:space="preserve"> this study also examined individual trajectories.  It found that only around a quarter reported having gambled in all four years, 13% never gambled at all, 18% gambled in one year only and 24% did so in three</w:t>
      </w:r>
      <w:r w:rsidR="001D7D79">
        <w:rPr>
          <w:szCs w:val="22"/>
        </w:rPr>
        <w:t xml:space="preserve"> years</w:t>
      </w:r>
      <w:r w:rsidRPr="00AF7A06">
        <w:rPr>
          <w:szCs w:val="22"/>
        </w:rPr>
        <w:t xml:space="preserve">.  It also found that relatively few people who reported gambling on a particular activity continued to do so in future years.  However, gambling patterns at age 16 and 17 </w:t>
      </w:r>
      <w:r w:rsidR="001D7D79">
        <w:rPr>
          <w:szCs w:val="22"/>
        </w:rPr>
        <w:t xml:space="preserve">years </w:t>
      </w:r>
      <w:r w:rsidRPr="00AF7A06">
        <w:rPr>
          <w:szCs w:val="22"/>
        </w:rPr>
        <w:t xml:space="preserve">were a better predictor of participation at age 18 </w:t>
      </w:r>
      <w:r w:rsidR="001D7D79">
        <w:rPr>
          <w:szCs w:val="22"/>
        </w:rPr>
        <w:t xml:space="preserve">years </w:t>
      </w:r>
      <w:r w:rsidRPr="00AF7A06">
        <w:rPr>
          <w:szCs w:val="22"/>
        </w:rPr>
        <w:t>than patterns at age 15</w:t>
      </w:r>
      <w:r w:rsidR="001D7D79">
        <w:rPr>
          <w:szCs w:val="22"/>
        </w:rPr>
        <w:t xml:space="preserve"> years</w:t>
      </w:r>
      <w:r w:rsidRPr="00AF7A06">
        <w:rPr>
          <w:szCs w:val="22"/>
        </w:rPr>
        <w:t>.  These findings illustrate the importance of prospective research and the examination of individual</w:t>
      </w:r>
      <w:r w:rsidR="001D7D79">
        <w:rPr>
          <w:szCs w:val="22"/>
        </w:rPr>
        <w:t xml:space="preserve"> level changes.  Previous cross-</w:t>
      </w:r>
      <w:r w:rsidRPr="00AF7A06">
        <w:rPr>
          <w:szCs w:val="22"/>
        </w:rPr>
        <w:t xml:space="preserve">sectional studies, and longitudinal studies that did not examine individual trajectories, found high stability in participation rates over time.  These findings are somewhat misleading.  While providing </w:t>
      </w:r>
      <w:r w:rsidRPr="00AF7A06">
        <w:rPr>
          <w:szCs w:val="22"/>
        </w:rPr>
        <w:lastRenderedPageBreak/>
        <w:t xml:space="preserve">adequate information about prevalence in the wider population, they mask the considerable variability in individual participation over time.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The foregoing study suggests that gambling participation during adolescence, especially early adolescence, has little relationship to gambling in later adolescence.  However a subgroup continue</w:t>
      </w:r>
      <w:r w:rsidR="001D7D79">
        <w:rPr>
          <w:szCs w:val="22"/>
        </w:rPr>
        <w:t>d</w:t>
      </w:r>
      <w:r w:rsidRPr="00AF7A06">
        <w:rPr>
          <w:szCs w:val="22"/>
        </w:rPr>
        <w:t xml:space="preserve"> to gamble throughout the four years of the study.  A problem gambling measure was</w:t>
      </w:r>
      <w:r w:rsidR="001D7D79">
        <w:rPr>
          <w:szCs w:val="22"/>
        </w:rPr>
        <w:t xml:space="preserve"> </w:t>
      </w:r>
      <w:r w:rsidRPr="00AF7A06">
        <w:rPr>
          <w:szCs w:val="22"/>
        </w:rPr>
        <w:t>n</w:t>
      </w:r>
      <w:r w:rsidR="001D7D79">
        <w:rPr>
          <w:szCs w:val="22"/>
        </w:rPr>
        <w:t>o</w:t>
      </w:r>
      <w:r w:rsidRPr="00AF7A06">
        <w:rPr>
          <w:szCs w:val="22"/>
        </w:rPr>
        <w:t xml:space="preserve">t included so it is not known to what extent the different patterns of gambling related to problem gambling or how stable problem gambling was in this adolescent sample.  The study stopped at age 18 </w:t>
      </w:r>
      <w:r w:rsidR="001D7D79">
        <w:rPr>
          <w:szCs w:val="22"/>
        </w:rPr>
        <w:t xml:space="preserve">years </w:t>
      </w:r>
      <w:r w:rsidRPr="00AF7A06">
        <w:rPr>
          <w:szCs w:val="22"/>
        </w:rPr>
        <w:t xml:space="preserve">so it not known what implications adolescent participation </w:t>
      </w:r>
      <w:r w:rsidR="001D7D79">
        <w:rPr>
          <w:szCs w:val="22"/>
        </w:rPr>
        <w:t>has</w:t>
      </w:r>
      <w:r w:rsidRPr="00AF7A06">
        <w:rPr>
          <w:szCs w:val="22"/>
        </w:rPr>
        <w:t xml:space="preserve"> for adult gambling and problem gambling.  As with many of the previous studies</w:t>
      </w:r>
      <w:r w:rsidR="001D7D79">
        <w:rPr>
          <w:szCs w:val="22"/>
        </w:rPr>
        <w:t>,</w:t>
      </w:r>
      <w:r w:rsidRPr="00AF7A06">
        <w:rPr>
          <w:szCs w:val="22"/>
        </w:rPr>
        <w:t xml:space="preserve"> attrition was high (52%) and may have been selective.  This could have influenced the findings.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Delfabbro, King and Griffiths (2013) conducted a similar study to that published in 2009</w:t>
      </w:r>
      <w:r w:rsidR="00C33039">
        <w:rPr>
          <w:szCs w:val="22"/>
        </w:rPr>
        <w:t>,</w:t>
      </w:r>
      <w:r w:rsidRPr="00AF7A06">
        <w:rPr>
          <w:szCs w:val="22"/>
        </w:rPr>
        <w:t xml:space="preserve"> to assess the validity of the initial findings.  Both of these studies were conducted in Australia.  In contrast to the initial school-based sample, this study recruited from residential addresses.  As in the earlier study</w:t>
      </w:r>
      <w:r w:rsidR="00C33039">
        <w:rPr>
          <w:szCs w:val="22"/>
        </w:rPr>
        <w:t>,</w:t>
      </w:r>
      <w:r w:rsidRPr="00AF7A06">
        <w:rPr>
          <w:szCs w:val="22"/>
        </w:rPr>
        <w:t xml:space="preserve"> participants were assessed on four occasions, in this case at </w:t>
      </w:r>
      <w:r w:rsidR="00C33039">
        <w:rPr>
          <w:szCs w:val="22"/>
        </w:rPr>
        <w:t>two</w:t>
      </w:r>
      <w:r w:rsidRPr="00AF7A06">
        <w:rPr>
          <w:szCs w:val="22"/>
        </w:rPr>
        <w:t xml:space="preserve">, </w:t>
      </w:r>
      <w:r w:rsidR="00C33039">
        <w:rPr>
          <w:szCs w:val="22"/>
        </w:rPr>
        <w:t>three</w:t>
      </w:r>
      <w:r w:rsidRPr="00AF7A06">
        <w:rPr>
          <w:szCs w:val="22"/>
        </w:rPr>
        <w:t xml:space="preserve"> and </w:t>
      </w:r>
      <w:r w:rsidR="00C33039">
        <w:rPr>
          <w:szCs w:val="22"/>
        </w:rPr>
        <w:t>four</w:t>
      </w:r>
      <w:r w:rsidRPr="00AF7A06">
        <w:rPr>
          <w:szCs w:val="22"/>
        </w:rPr>
        <w:t xml:space="preserve"> years after the baseline assessments.  The sample was selected to enable the transition from adolescence to adulthood to be examined.  At baseline</w:t>
      </w:r>
      <w:r w:rsidR="00C33039">
        <w:rPr>
          <w:szCs w:val="22"/>
        </w:rPr>
        <w:t>,</w:t>
      </w:r>
      <w:r w:rsidRPr="00AF7A06">
        <w:rPr>
          <w:szCs w:val="22"/>
        </w:rPr>
        <w:t xml:space="preserve"> participants were aged 16</w:t>
      </w:r>
      <w:r w:rsidR="00C33039">
        <w:rPr>
          <w:szCs w:val="22"/>
        </w:rPr>
        <w:t xml:space="preserve"> to </w:t>
      </w:r>
      <w:r w:rsidRPr="00AF7A06">
        <w:rPr>
          <w:szCs w:val="22"/>
        </w:rPr>
        <w:t xml:space="preserve">19 years and at the completion of the study were </w:t>
      </w:r>
      <w:r w:rsidR="00C33039">
        <w:rPr>
          <w:szCs w:val="22"/>
        </w:rPr>
        <w:t xml:space="preserve">aged </w:t>
      </w:r>
      <w:r w:rsidRPr="00AF7A06">
        <w:rPr>
          <w:szCs w:val="22"/>
        </w:rPr>
        <w:t>20</w:t>
      </w:r>
      <w:r w:rsidR="00C33039">
        <w:rPr>
          <w:szCs w:val="22"/>
        </w:rPr>
        <w:t xml:space="preserve"> to </w:t>
      </w:r>
      <w:r w:rsidRPr="00AF7A06">
        <w:rPr>
          <w:szCs w:val="22"/>
        </w:rPr>
        <w:t xml:space="preserve">23 years.  Both gambling participation and problem gambling were assessed in this study.  Participation increased markedly between the baseline to </w:t>
      </w:r>
      <w:r w:rsidR="00C33039">
        <w:rPr>
          <w:szCs w:val="22"/>
        </w:rPr>
        <w:t>two</w:t>
      </w:r>
      <w:r w:rsidRPr="00AF7A06">
        <w:rPr>
          <w:szCs w:val="22"/>
        </w:rPr>
        <w:t xml:space="preserve"> year assessment (when participants </w:t>
      </w:r>
      <w:r w:rsidR="00C33039">
        <w:rPr>
          <w:szCs w:val="22"/>
        </w:rPr>
        <w:t xml:space="preserve">were </w:t>
      </w:r>
      <w:r w:rsidRPr="00AF7A06">
        <w:rPr>
          <w:szCs w:val="22"/>
        </w:rPr>
        <w:t>aged from 16</w:t>
      </w:r>
      <w:r w:rsidR="00C33039">
        <w:rPr>
          <w:szCs w:val="22"/>
        </w:rPr>
        <w:t xml:space="preserve"> to </w:t>
      </w:r>
      <w:r w:rsidRPr="00AF7A06">
        <w:rPr>
          <w:szCs w:val="22"/>
        </w:rPr>
        <w:t>19</w:t>
      </w:r>
      <w:r w:rsidR="00C33039">
        <w:rPr>
          <w:szCs w:val="22"/>
        </w:rPr>
        <w:t xml:space="preserve"> years to 18 to </w:t>
      </w:r>
      <w:r w:rsidRPr="00AF7A06">
        <w:rPr>
          <w:szCs w:val="22"/>
        </w:rPr>
        <w:t>21</w:t>
      </w:r>
      <w:r w:rsidR="00966804">
        <w:rPr>
          <w:szCs w:val="22"/>
        </w:rPr>
        <w:t> </w:t>
      </w:r>
      <w:r w:rsidR="00C33039">
        <w:rPr>
          <w:szCs w:val="22"/>
        </w:rPr>
        <w:t>years</w:t>
      </w:r>
      <w:r w:rsidRPr="00AF7A06">
        <w:rPr>
          <w:szCs w:val="22"/>
        </w:rPr>
        <w:t>) and was fairly stable subsequently.  As in the previous study</w:t>
      </w:r>
      <w:r w:rsidR="00C33039">
        <w:rPr>
          <w:szCs w:val="22"/>
        </w:rPr>
        <w:t>,</w:t>
      </w:r>
      <w:r w:rsidRPr="00AF7A06">
        <w:rPr>
          <w:szCs w:val="22"/>
        </w:rPr>
        <w:t xml:space="preserve"> there were some gender differences in preferred a</w:t>
      </w:r>
      <w:r w:rsidR="00C33039">
        <w:rPr>
          <w:szCs w:val="22"/>
        </w:rPr>
        <w:t>ctivities.</w:t>
      </w:r>
      <w:r w:rsidRPr="00AF7A06">
        <w:rPr>
          <w:szCs w:val="22"/>
        </w:rPr>
        <w:t xml:space="preserve">  Again as in the previous study, at the individual rather than aggregate group level, there was little stability over time.  Few people indicated taking part in the same gambling activities across all four assessments and gambling during the mid-teens was generally not associated with gambling during early adulthood.  The authors concluded that while there was an association between early gambling involvement and subsequent gambling problems, there was little support for the view that gambling during mid-adolescence is a risk factor for subsequent problems.  However, there were very small numbers of people who met the criteria for problem or at-risk </w:t>
      </w:r>
      <w:r w:rsidR="001F10AF">
        <w:rPr>
          <w:szCs w:val="22"/>
        </w:rPr>
        <w:t>gambling</w:t>
      </w:r>
      <w:r w:rsidRPr="00AF7A06">
        <w:rPr>
          <w:szCs w:val="22"/>
        </w:rPr>
        <w:t xml:space="preserve"> and the initial sample of 684 had reduced to 256 at the final assessment.  It was not possible to provide a reliable indication of changes over time in problem and at-risk gambling.</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Another recent Australian study (</w:t>
      </w:r>
      <w:r w:rsidR="000366E0">
        <w:t xml:space="preserve">Scholes-Balog, </w:t>
      </w:r>
      <w:r w:rsidR="000366E0" w:rsidRPr="00DA62AD">
        <w:t>Hemphill, Dowling</w:t>
      </w:r>
      <w:r w:rsidR="000366E0">
        <w:t xml:space="preserve">, </w:t>
      </w:r>
      <w:r w:rsidR="000366E0" w:rsidRPr="00DA62AD">
        <w:t>&amp; Toumbourou</w:t>
      </w:r>
      <w:r w:rsidR="000366E0">
        <w:rPr>
          <w:szCs w:val="22"/>
        </w:rPr>
        <w:t xml:space="preserve">, </w:t>
      </w:r>
      <w:r w:rsidRPr="00AF7A06">
        <w:rPr>
          <w:szCs w:val="22"/>
        </w:rPr>
        <w:t>2014) used an existing longitudinal data set to identity adolescent risk and protective factors for gambling problems during young adulthood.  Compared to most previous studies of this type</w:t>
      </w:r>
      <w:r w:rsidR="001F10AF">
        <w:rPr>
          <w:szCs w:val="22"/>
        </w:rPr>
        <w:t>,</w:t>
      </w:r>
      <w:r w:rsidRPr="00AF7A06">
        <w:rPr>
          <w:szCs w:val="22"/>
        </w:rPr>
        <w:t xml:space="preserve"> a wide range of factors was included from community, family, school, peer group and indiv</w:t>
      </w:r>
      <w:r w:rsidR="001F10AF">
        <w:rPr>
          <w:szCs w:val="22"/>
        </w:rPr>
        <w:t>idual domains.  Participants (n </w:t>
      </w:r>
      <w:r w:rsidRPr="00AF7A06">
        <w:rPr>
          <w:szCs w:val="22"/>
        </w:rPr>
        <w:t xml:space="preserve">= 2,884) were originally recruited in three cohorts (students from grades 5, 7 and 9) and re-assessed on a </w:t>
      </w:r>
      <w:r w:rsidR="001F10AF">
        <w:rPr>
          <w:szCs w:val="22"/>
        </w:rPr>
        <w:t>number of subsequent occasions.</w:t>
      </w:r>
      <w:r w:rsidRPr="00AF7A06">
        <w:rPr>
          <w:szCs w:val="22"/>
        </w:rPr>
        <w:t xml:space="preserve">  The current study used data from these cohorts when participants were in grade nine (aged 14 to 16 years).  Thirty-one factors were assessed at this time.  Problem gambling was measured when participants (2,328 reta</w:t>
      </w:r>
      <w:r w:rsidR="001F10AF">
        <w:rPr>
          <w:szCs w:val="22"/>
        </w:rPr>
        <w:t>ined) were aged 18 to 25 years.</w:t>
      </w:r>
      <w:r w:rsidRPr="00AF7A06">
        <w:rPr>
          <w:szCs w:val="22"/>
        </w:rPr>
        <w:t xml:space="preserve">  A number of risk and protective factors were identified including gender, family conflict, family history of antisocial behaviour, family rewards for prosocial involvement, academic failure, low school commitment, rebelliousness, interaction with antisocial peers, friends, drug use, antisocial behaviour, peers’ rewards for antisocial behaviour, belief in the moral order, current tobacco use and current alcohol use.  However, when considered together in multivariate analyses, only three of these factors remained significant, namely female gender and family rewards for prosocial involvement (both protective factors) and adolescent alcohol use (a risk factor).  </w:t>
      </w:r>
      <w:r w:rsidR="001F10AF">
        <w:rPr>
          <w:szCs w:val="22"/>
        </w:rPr>
        <w:t>A</w:t>
      </w:r>
      <w:r w:rsidRPr="00AF7A06">
        <w:rPr>
          <w:szCs w:val="22"/>
        </w:rPr>
        <w:t>ddition</w:t>
      </w:r>
      <w:r w:rsidR="001F10AF">
        <w:rPr>
          <w:szCs w:val="22"/>
        </w:rPr>
        <w:t>ally,</w:t>
      </w:r>
      <w:r w:rsidRPr="00AF7A06">
        <w:rPr>
          <w:szCs w:val="22"/>
        </w:rPr>
        <w:t xml:space="preserve"> an interaction term between the two latter factors was also significant.  </w:t>
      </w:r>
    </w:p>
    <w:p w:rsidR="00AF7A06" w:rsidRPr="00AF7A06" w:rsidRDefault="00AF7A06" w:rsidP="00AF7A06">
      <w:pPr>
        <w:jc w:val="both"/>
        <w:rPr>
          <w:szCs w:val="22"/>
        </w:rPr>
      </w:pPr>
      <w:r w:rsidRPr="00AF7A06">
        <w:rPr>
          <w:szCs w:val="22"/>
        </w:rPr>
        <w:lastRenderedPageBreak/>
        <w:t xml:space="preserve">The interaction between adolescent alcohol use and family rewards for prosocial involvement is of interest.  While adolescent alcohol use remains a risk factor in the multivariate model, the presence of this interaction indicates that family rewards for prosocial involvement is protective in that it moderates the impact of adolescent drinking on adult problem gambling.  When these rewards were low, alcohol drinkers were much more likely than non-drinkers to subsequently develop gambling problems.  However, when they were high, alcohol drinkers were no more likely than non-drinkers to develop gambling problems.  </w:t>
      </w:r>
      <w:r w:rsidR="00EB2213">
        <w:rPr>
          <w:szCs w:val="22"/>
        </w:rPr>
        <w:t>A</w:t>
      </w:r>
      <w:r w:rsidRPr="00AF7A06">
        <w:rPr>
          <w:szCs w:val="22"/>
        </w:rPr>
        <w:t>ddition</w:t>
      </w:r>
      <w:r w:rsidR="00EB2213">
        <w:rPr>
          <w:szCs w:val="22"/>
        </w:rPr>
        <w:t>ally</w:t>
      </w:r>
      <w:r w:rsidRPr="00AF7A06">
        <w:rPr>
          <w:szCs w:val="22"/>
        </w:rPr>
        <w:t xml:space="preserve">, family rewards for prosocial involvement remained a predictor of problem gambling in its own right, additional to its effect by moderating the influence of adolescent gambling.  These findings are potentially important as they point to modifiable risk and protective factors that could be addressed in health promotion and prevention programmes.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A number of other studies have also found a marked reduction in the number of independent predictors of gambling problems when they are considered together in multivariate analyses.  Many of the independent predictors in the Scholes-Balog et al</w:t>
      </w:r>
      <w:r w:rsidR="00EB2213">
        <w:rPr>
          <w:szCs w:val="22"/>
        </w:rPr>
        <w:t>.</w:t>
      </w:r>
      <w:r w:rsidRPr="00AF7A06">
        <w:rPr>
          <w:szCs w:val="22"/>
        </w:rPr>
        <w:t xml:space="preserve"> study have also been shown to be predictors of other problem behaviours including drug, alcohol and tobacco use.  The study authors concluded that their association with gambling problems in the present study was a reflection of their more proximal relationship to alcohol use rather than gambling problems.  Clearly relationships between these and other problem behaviours are complex and they probably share a number of common risk and protective factors.</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 xml:space="preserve">While having some notable strengths </w:t>
      </w:r>
      <w:r w:rsidR="00EB2213">
        <w:rPr>
          <w:szCs w:val="22"/>
        </w:rPr>
        <w:t>such as</w:t>
      </w:r>
      <w:r w:rsidRPr="00AF7A06">
        <w:rPr>
          <w:szCs w:val="22"/>
        </w:rPr>
        <w:t xml:space="preserve"> a large sample, good retention and inclusion of a wide range of factors including some not previously included in gambling studies, this study also had shortcomings.  As is often the case with ‘add-on’ studies, where gambling questions are included in an existing study that was not set up to examine gambling, gambling measures are often not included in earlier assessment waves and it is often possible to add only a few gambling questions.  In the present study</w:t>
      </w:r>
      <w:r w:rsidR="00EB2213">
        <w:rPr>
          <w:szCs w:val="22"/>
        </w:rPr>
        <w:t>,</w:t>
      </w:r>
      <w:r w:rsidRPr="00AF7A06">
        <w:rPr>
          <w:szCs w:val="22"/>
        </w:rPr>
        <w:t xml:space="preserve"> gambling questions were confined to the second assessment wave.  This means that adolescent gambling could not be considered in relation to early adult gambling problems and analyses could not control for those participants who already had problems in adolescence.  Additionally</w:t>
      </w:r>
      <w:r w:rsidR="00EB2213">
        <w:rPr>
          <w:szCs w:val="22"/>
        </w:rPr>
        <w:t>,</w:t>
      </w:r>
      <w:r w:rsidRPr="00AF7A06">
        <w:rPr>
          <w:szCs w:val="22"/>
        </w:rPr>
        <w:t xml:space="preserve"> ‘problem gambling’ was assessed by two questions of uncertain validity.   </w:t>
      </w:r>
    </w:p>
    <w:p w:rsidR="00AF7A06" w:rsidRPr="00AF7A06" w:rsidRDefault="00AF7A06" w:rsidP="00AF7A06">
      <w:pPr>
        <w:jc w:val="both"/>
        <w:rPr>
          <w:szCs w:val="22"/>
        </w:rPr>
      </w:pPr>
    </w:p>
    <w:p w:rsidR="00AF7A06" w:rsidRPr="00AF7A06" w:rsidRDefault="00AF7A06" w:rsidP="00AF7A06">
      <w:pPr>
        <w:jc w:val="both"/>
        <w:rPr>
          <w:szCs w:val="22"/>
        </w:rPr>
      </w:pPr>
      <w:r w:rsidRPr="00AF7A06">
        <w:rPr>
          <w:szCs w:val="22"/>
        </w:rPr>
        <w:t>Goudriaan et al</w:t>
      </w:r>
      <w:r w:rsidR="00EB2213">
        <w:rPr>
          <w:szCs w:val="22"/>
        </w:rPr>
        <w:t>.</w:t>
      </w:r>
      <w:r w:rsidRPr="00AF7A06">
        <w:rPr>
          <w:szCs w:val="22"/>
        </w:rPr>
        <w:t xml:space="preserve"> (2009) examined patterns of gambling participation in a university sample over a four year period.  Gambling questions were included in the second, third, fourth and fifth waves of a longitudinal health study.  Average age at</w:t>
      </w:r>
      <w:r w:rsidR="00EB2213">
        <w:rPr>
          <w:szCs w:val="22"/>
        </w:rPr>
        <w:t xml:space="preserve"> the time of recruitment was 18 </w:t>
      </w:r>
      <w:r w:rsidRPr="00AF7A06">
        <w:rPr>
          <w:szCs w:val="22"/>
        </w:rPr>
        <w:t>years.  Of the 3,720 participants 2,250 (60.5%) were retained in the final assessment.  Latent class analysis identified four distinct gambling patterns.  Most were people who did not gamble or gambled infrequently.  The next largest group took part predominantly in card games, sports betting, games of skill and lotteries.  A small proportion of people took part mainly in slot machine and casino gambling at the outset of the study.  This group increased in size in the final two years of the study.  Students in the smallest group (ranged from 1.4% to 5.0% of participants throughout the study) took part in all or most gambling activities.  Stability over the four years of the study was very high for the group that did not gamble or gambled infrequently as well as for the group that took part in many activities.  The group that took part predominantly in card games and a few other activities (extensive gambling group) was moderately stable during the first two years but less so later when substantial numbers moved into the slot/casino gambling group.  This uptake of participation in slot</w:t>
      </w:r>
      <w:r w:rsidR="00EB2213">
        <w:rPr>
          <w:szCs w:val="22"/>
        </w:rPr>
        <w:t xml:space="preserve"> machine</w:t>
      </w:r>
      <w:r w:rsidRPr="00AF7A06">
        <w:rPr>
          <w:szCs w:val="22"/>
        </w:rPr>
        <w:t xml:space="preserve">s and casino gambling corresponded with participants reaching the legal age to take part.  The slot/casino group was the least stable of the four from the initial to final assessments.  This is largely due to very low stability from </w:t>
      </w:r>
      <w:r w:rsidRPr="00AF7A06">
        <w:rPr>
          <w:szCs w:val="22"/>
        </w:rPr>
        <w:lastRenderedPageBreak/>
        <w:t>years one to two.  In subsequent years</w:t>
      </w:r>
      <w:r w:rsidR="00EB2213">
        <w:rPr>
          <w:szCs w:val="22"/>
        </w:rPr>
        <w:t>,</w:t>
      </w:r>
      <w:r w:rsidRPr="00AF7A06">
        <w:rPr>
          <w:szCs w:val="22"/>
        </w:rPr>
        <w:t xml:space="preserve"> this group became almost as stable as the group that took part in most or all activities.  </w:t>
      </w:r>
    </w:p>
    <w:p w:rsidR="00AF7A06" w:rsidRPr="00AF7A06" w:rsidRDefault="00AF7A06" w:rsidP="00AF7A06">
      <w:pPr>
        <w:jc w:val="both"/>
        <w:rPr>
          <w:szCs w:val="22"/>
        </w:rPr>
      </w:pPr>
    </w:p>
    <w:p w:rsidR="00AF7A06" w:rsidRDefault="00AF7A06" w:rsidP="00AF7A06">
      <w:pPr>
        <w:jc w:val="both"/>
        <w:rPr>
          <w:szCs w:val="22"/>
        </w:rPr>
      </w:pPr>
      <w:r w:rsidRPr="00AF7A06">
        <w:rPr>
          <w:szCs w:val="22"/>
        </w:rPr>
        <w:t>Goudriaan et al</w:t>
      </w:r>
      <w:r w:rsidR="00EB2213">
        <w:rPr>
          <w:szCs w:val="22"/>
        </w:rPr>
        <w:t>.</w:t>
      </w:r>
      <w:r w:rsidRPr="00AF7A06">
        <w:rPr>
          <w:szCs w:val="22"/>
        </w:rPr>
        <w:t xml:space="preserve"> found that membership in both the slots/casino and extensive gambling groups was strongly associated with higher scores on alcohol/drug use, novelty seeking and self-identified gambling problems.  The extensive group, relative to the others, had higher levels of self-identified problem gambling, psychological distress, heavy alcohol use, heavy drug use, conduct disorder and novelty seeking.  This study also found that female students increased their gambling frequency less over time than was the case for </w:t>
      </w:r>
      <w:r w:rsidR="00EB2213">
        <w:rPr>
          <w:szCs w:val="22"/>
        </w:rPr>
        <w:t>males</w:t>
      </w:r>
      <w:r w:rsidRPr="00AF7A06">
        <w:rPr>
          <w:szCs w:val="22"/>
        </w:rPr>
        <w:t>.  As in the previously mentioned study</w:t>
      </w:r>
      <w:r w:rsidR="00EB2213">
        <w:rPr>
          <w:szCs w:val="22"/>
        </w:rPr>
        <w:t>,</w:t>
      </w:r>
      <w:r w:rsidRPr="00AF7A06">
        <w:rPr>
          <w:szCs w:val="22"/>
        </w:rPr>
        <w:t xml:space="preserve"> a validated measure of problem gambling was not included.  While included at all assessment points, in the present study gambling problems were assessed by a single item phrased in a lifetime rather than past year format.  This means that it is not possible to reach conclusions about the onset or course of problem gambling, or risk and protective factors.  Nevertheless it is likely that the extensive gambling group included a moderate to high proportion of people who either had at the outset or developed problems during the course of the study.  The authors suggest that regular participation in many different gambling activities may be a better indicator of stable patter</w:t>
      </w:r>
      <w:r w:rsidR="00EB2213">
        <w:rPr>
          <w:szCs w:val="22"/>
        </w:rPr>
        <w:t>n</w:t>
      </w:r>
      <w:r w:rsidRPr="00AF7A06">
        <w:rPr>
          <w:szCs w:val="22"/>
        </w:rPr>
        <w:t>s of problem gambling than standard symptom scales.  This is an interesting possibility.  In the NGS</w:t>
      </w:r>
      <w:r w:rsidR="00EB2213">
        <w:rPr>
          <w:szCs w:val="22"/>
        </w:rPr>
        <w:t>,</w:t>
      </w:r>
      <w:r w:rsidRPr="00AF7A06">
        <w:rPr>
          <w:szCs w:val="22"/>
        </w:rPr>
        <w:t xml:space="preserve"> participation in multiple activities was a strong risk factor for problem gambling, even when included in multivariate analyses alongside measures of participation and preferences for separate gambling activities.  Prospective examination of relationships between these and other</w:t>
      </w:r>
      <w:r w:rsidR="00EB2213">
        <w:rPr>
          <w:szCs w:val="22"/>
        </w:rPr>
        <w:t>s</w:t>
      </w:r>
      <w:r w:rsidRPr="00AF7A06">
        <w:rPr>
          <w:szCs w:val="22"/>
        </w:rPr>
        <w:t xml:space="preserve"> as aspects of gambling participation in relation to gambling-related harm will enable this suggestion to be assessed.</w:t>
      </w:r>
    </w:p>
    <w:p w:rsidR="009255DA" w:rsidRDefault="009255DA" w:rsidP="00AF7A06">
      <w:pPr>
        <w:jc w:val="both"/>
        <w:rPr>
          <w:szCs w:val="22"/>
        </w:rPr>
      </w:pPr>
    </w:p>
    <w:p w:rsidR="009255DA" w:rsidRDefault="009255DA" w:rsidP="00AF7A06">
      <w:pPr>
        <w:jc w:val="both"/>
        <w:rPr>
          <w:szCs w:val="22"/>
        </w:rPr>
      </w:pPr>
    </w:p>
    <w:p w:rsidR="009255DA" w:rsidRPr="009255DA" w:rsidRDefault="009255DA" w:rsidP="009255DA">
      <w:pPr>
        <w:jc w:val="both"/>
        <w:rPr>
          <w:b/>
          <w:szCs w:val="22"/>
        </w:rPr>
      </w:pPr>
      <w:r w:rsidRPr="009255DA">
        <w:rPr>
          <w:b/>
          <w:szCs w:val="22"/>
        </w:rPr>
        <w:t xml:space="preserve">Methodological considerations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From the articles reviewed it is apparent that longitudinal research has significantly advanced understanding, particularly with regard to the stability of gambling and problem gambling</w:t>
      </w:r>
      <w:r>
        <w:rPr>
          <w:szCs w:val="22"/>
        </w:rPr>
        <w:t>,</w:t>
      </w:r>
      <w:r w:rsidRPr="009255DA">
        <w:rPr>
          <w:szCs w:val="22"/>
        </w:rPr>
        <w:t xml:space="preserve"> and the identification of factors that predict future changes in participation and problems.  It is also evident that most</w:t>
      </w:r>
      <w:r>
        <w:rPr>
          <w:szCs w:val="22"/>
        </w:rPr>
        <w:t>,</w:t>
      </w:r>
      <w:r w:rsidRPr="009255DA">
        <w:rPr>
          <w:szCs w:val="22"/>
        </w:rPr>
        <w:t xml:space="preserve"> if not all studies</w:t>
      </w:r>
      <w:r>
        <w:rPr>
          <w:szCs w:val="22"/>
        </w:rPr>
        <w:t>,</w:t>
      </w:r>
      <w:r w:rsidRPr="009255DA">
        <w:rPr>
          <w:szCs w:val="22"/>
        </w:rPr>
        <w:t xml:space="preserve"> have methodological deficiencies, often serious, that reduce their value, and that the full potential of prospective designs has only been partially realised.  </w:t>
      </w:r>
    </w:p>
    <w:p w:rsidR="009255DA" w:rsidRPr="009255DA" w:rsidRDefault="009255DA" w:rsidP="009255DA">
      <w:pPr>
        <w:jc w:val="both"/>
        <w:rPr>
          <w:szCs w:val="22"/>
        </w:rPr>
      </w:pPr>
      <w:r w:rsidRPr="009255DA">
        <w:rPr>
          <w:szCs w:val="22"/>
        </w:rPr>
        <w:t xml:space="preserve">Few studies have been theoretically driven, testing hypotheses derived from developmental and other relevant theoretical frameworks.  Many </w:t>
      </w:r>
      <w:r>
        <w:rPr>
          <w:szCs w:val="22"/>
        </w:rPr>
        <w:t xml:space="preserve">studies </w:t>
      </w:r>
      <w:r w:rsidRPr="009255DA">
        <w:rPr>
          <w:szCs w:val="22"/>
        </w:rPr>
        <w:t>have been opportunistic, using atypical samples of convenience or adding a few gambling questions to an ongoing study on another topic.  ‘Add-on’ studies have rarely enabled individual gambling trajectories to be assessed over time and provide limited gambling information.  Most studies have used small samples with very small numbers of problem gamblers.  As a consequence</w:t>
      </w:r>
      <w:r>
        <w:rPr>
          <w:szCs w:val="22"/>
        </w:rPr>
        <w:t>,</w:t>
      </w:r>
      <w:r w:rsidRPr="009255DA">
        <w:rPr>
          <w:szCs w:val="22"/>
        </w:rPr>
        <w:t xml:space="preserve"> investigators have often used very low thresholds to boost the number of ‘problem’ gamblers.  This is not unreasonable in that people with subclinical gambling problems are of interest in their own right and their combination with people with more serious problems increases statistical power.  However, it cannot be assumed that similar findings would be obtained with more serious problem gamblers.  The majority of studies also had moderat</w:t>
      </w:r>
      <w:r>
        <w:rPr>
          <w:szCs w:val="22"/>
        </w:rPr>
        <w:t>e to high non-random attrition.</w:t>
      </w:r>
      <w:r w:rsidRPr="009255DA">
        <w:rPr>
          <w:szCs w:val="22"/>
        </w:rPr>
        <w:t xml:space="preserve">  Among other things these deficiencies reduce the confidence that can be placed in study findings.  They also substantially limit the generalisation of findings to wider populations.</w:t>
      </w:r>
    </w:p>
    <w:p w:rsidR="009255DA" w:rsidRPr="009255DA" w:rsidRDefault="009255DA" w:rsidP="009255DA">
      <w:pPr>
        <w:jc w:val="both"/>
        <w:rPr>
          <w:szCs w:val="22"/>
        </w:rPr>
      </w:pPr>
    </w:p>
    <w:p w:rsidR="009255DA" w:rsidRPr="009255DA" w:rsidRDefault="009255DA" w:rsidP="009255DA">
      <w:pPr>
        <w:jc w:val="both"/>
        <w:rPr>
          <w:szCs w:val="22"/>
        </w:rPr>
      </w:pPr>
      <w:r>
        <w:rPr>
          <w:szCs w:val="22"/>
        </w:rPr>
        <w:t>A</w:t>
      </w:r>
      <w:r w:rsidRPr="009255DA">
        <w:rPr>
          <w:szCs w:val="22"/>
        </w:rPr>
        <w:t>ddition</w:t>
      </w:r>
      <w:r>
        <w:rPr>
          <w:szCs w:val="22"/>
        </w:rPr>
        <w:t>al</w:t>
      </w:r>
      <w:r w:rsidRPr="009255DA">
        <w:rPr>
          <w:szCs w:val="22"/>
        </w:rPr>
        <w:t xml:space="preserve"> to the foregoing, it is evident that most studies have relatively short follow-up periods and only two</w:t>
      </w:r>
      <w:r>
        <w:rPr>
          <w:szCs w:val="22"/>
        </w:rPr>
        <w:t>,</w:t>
      </w:r>
      <w:r w:rsidRPr="009255DA">
        <w:rPr>
          <w:szCs w:val="22"/>
        </w:rPr>
        <w:t xml:space="preserve"> or a few</w:t>
      </w:r>
      <w:r>
        <w:rPr>
          <w:szCs w:val="22"/>
        </w:rPr>
        <w:t>,</w:t>
      </w:r>
      <w:r w:rsidRPr="009255DA">
        <w:rPr>
          <w:szCs w:val="22"/>
        </w:rPr>
        <w:t xml:space="preserve"> assessment points.  They also often do not take full advantage of their prospective designs.  Typically</w:t>
      </w:r>
      <w:r>
        <w:rPr>
          <w:szCs w:val="22"/>
        </w:rPr>
        <w:t>,</w:t>
      </w:r>
      <w:r w:rsidRPr="009255DA">
        <w:rPr>
          <w:szCs w:val="22"/>
        </w:rPr>
        <w:t xml:space="preserve"> only a relatively small number of potential risk or protective factors were included and in some instances factors were not assessed prospectively.  In other cases</w:t>
      </w:r>
      <w:r>
        <w:rPr>
          <w:szCs w:val="22"/>
        </w:rPr>
        <w:t>,</w:t>
      </w:r>
      <w:r w:rsidRPr="009255DA">
        <w:rPr>
          <w:szCs w:val="22"/>
        </w:rPr>
        <w:t xml:space="preserve"> </w:t>
      </w:r>
      <w:r>
        <w:rPr>
          <w:szCs w:val="22"/>
        </w:rPr>
        <w:t>researchers</w:t>
      </w:r>
      <w:r w:rsidRPr="009255DA">
        <w:rPr>
          <w:szCs w:val="22"/>
        </w:rPr>
        <w:t xml:space="preserve"> considered aggregate changes over time and omitted to examine </w:t>
      </w:r>
      <w:r w:rsidRPr="009255DA">
        <w:rPr>
          <w:szCs w:val="22"/>
        </w:rPr>
        <w:lastRenderedPageBreak/>
        <w:t>individual changes and tr</w:t>
      </w:r>
      <w:r>
        <w:rPr>
          <w:szCs w:val="22"/>
        </w:rPr>
        <w:t>ajectories.  Many studies focus</w:t>
      </w:r>
      <w:r w:rsidRPr="009255DA">
        <w:rPr>
          <w:szCs w:val="22"/>
        </w:rPr>
        <w:t>ed on either problem gambling or gambling, not both.  This meant that relationships between gambling participation and problem gambling could not be assessed.  Abbott and Clarke (2007) also noted variation across studies in the adequacy of measurements used and the cut scores to define problem gambling.  Additionally</w:t>
      </w:r>
      <w:r>
        <w:rPr>
          <w:szCs w:val="22"/>
        </w:rPr>
        <w:t>,</w:t>
      </w:r>
      <w:r w:rsidRPr="009255DA">
        <w:rPr>
          <w:szCs w:val="22"/>
        </w:rPr>
        <w:t xml:space="preserve"> they noted a general failure to make use of sophisticated software that has been developed specifically for longitudinal research.  These, along with other shortcomings, make it more difficult to make meaningful comparisons of findings across studies.  Slutske (2007), in her review, also referred to this issue, in particular the need to use more advanced statistical techniques such as growth modelling that enable change over time at group and individual levels be assessed simultaneously.  She also called for more sophisticated methods to deal with missing data including multiple imputation and full information maximum likelihood estimation.</w:t>
      </w:r>
    </w:p>
    <w:p w:rsidR="009255DA" w:rsidRDefault="009255DA" w:rsidP="009255DA">
      <w:pPr>
        <w:jc w:val="both"/>
        <w:rPr>
          <w:szCs w:val="22"/>
        </w:rPr>
      </w:pPr>
    </w:p>
    <w:p w:rsidR="009255DA" w:rsidRPr="009255DA" w:rsidRDefault="009255DA" w:rsidP="009255DA">
      <w:pPr>
        <w:jc w:val="both"/>
        <w:rPr>
          <w:szCs w:val="22"/>
        </w:rPr>
      </w:pPr>
    </w:p>
    <w:p w:rsidR="009255DA" w:rsidRPr="009255DA" w:rsidRDefault="009255DA" w:rsidP="009255DA">
      <w:pPr>
        <w:jc w:val="both"/>
        <w:rPr>
          <w:b/>
          <w:szCs w:val="22"/>
        </w:rPr>
      </w:pPr>
      <w:r w:rsidRPr="009255DA">
        <w:rPr>
          <w:b/>
          <w:szCs w:val="22"/>
        </w:rPr>
        <w:t>Major findings and conclusions</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Studies that examined individual level change over time generally found fluidity in gambling patterns, both short and long-term.  Fluidity varied across different gambling groups.  It was relatively more stable for non-problem gamblers and unstable for people with at-risk or low problem levels.  Problem gamblers generally were found to be intermediate between these groups.  While a proportion of problem gamblers relapse, many do not return to problem levels during follow-up</w:t>
      </w:r>
      <w:r>
        <w:rPr>
          <w:szCs w:val="22"/>
        </w:rPr>
        <w:t xml:space="preserve"> assessments</w:t>
      </w:r>
      <w:r w:rsidRPr="009255DA">
        <w:rPr>
          <w:szCs w:val="22"/>
        </w:rPr>
        <w:t xml:space="preserve">.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A number of factors have been identified that are predictive of future gambling patterns, including problem gambling.  More studies have examined factors that predict or co-vary with p</w:t>
      </w:r>
      <w:r>
        <w:rPr>
          <w:szCs w:val="22"/>
        </w:rPr>
        <w:t>roblem gambling than have focus</w:t>
      </w:r>
      <w:r w:rsidRPr="009255DA">
        <w:rPr>
          <w:szCs w:val="22"/>
        </w:rPr>
        <w:t>ed on predicting non-problem gambling</w:t>
      </w:r>
      <w:r>
        <w:rPr>
          <w:szCs w:val="22"/>
        </w:rPr>
        <w:t xml:space="preserve"> patterns.  From these studies i</w:t>
      </w:r>
      <w:r w:rsidRPr="009255DA">
        <w:rPr>
          <w:szCs w:val="22"/>
        </w:rPr>
        <w:t>t appears that some factors</w:t>
      </w:r>
      <w:r>
        <w:rPr>
          <w:szCs w:val="22"/>
        </w:rPr>
        <w:t xml:space="preserve"> (e.g. </w:t>
      </w:r>
      <w:r w:rsidRPr="009255DA">
        <w:rPr>
          <w:szCs w:val="22"/>
        </w:rPr>
        <w:t>male gender, impulsivity and alcohol use</w:t>
      </w:r>
      <w:r>
        <w:rPr>
          <w:szCs w:val="22"/>
        </w:rPr>
        <w:t>)</w:t>
      </w:r>
      <w:r w:rsidRPr="009255DA">
        <w:rPr>
          <w:szCs w:val="22"/>
        </w:rPr>
        <w:t xml:space="preserve"> predict both non-problem gambling involvement and problem gambling development.  A number of studies found the following to be predictors of problem gambling: alcohol problems, depression, tobacco use, lower education, antisocial behaviour, prior level of gambling engagement and prior problem gambling.  However, some studies obtained contrary results.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While a number of studies have provided an indication of incidence (the proportion of people who develop a problem during the past 12 months), the selective or non-representative nature of the study samples mean that it is not possible to estimate incidence rates for general populations and population sectors.  Small sample size and low numbers of people developing problems, particularly serious problems, during the course of these studies also reduces confidence in their findings.  Similar limitations often apply to the examination of other transitions.  Studies using large, representative samples are required to produce reliable jurisdiction-wide estimates of incidence, relapse and other transitions of interest.  Studies of this type are also required to more adequately identify and examine risk and protective factors for problem gambling onset as well as other transitions</w:t>
      </w:r>
      <w:r>
        <w:rPr>
          <w:szCs w:val="22"/>
        </w:rPr>
        <w:t>,</w:t>
      </w:r>
      <w:r w:rsidRPr="009255DA">
        <w:rPr>
          <w:szCs w:val="22"/>
        </w:rPr>
        <w:t xml:space="preserve"> and build explanatory models that can give greater direction to future research and better inform policy and practice.</w:t>
      </w:r>
    </w:p>
    <w:p w:rsidR="009255DA" w:rsidRDefault="009255DA" w:rsidP="009255DA">
      <w:pPr>
        <w:jc w:val="both"/>
        <w:rPr>
          <w:szCs w:val="22"/>
        </w:rPr>
      </w:pPr>
    </w:p>
    <w:p w:rsidR="009255DA" w:rsidRPr="009255DA" w:rsidRDefault="009255DA" w:rsidP="009255DA">
      <w:pPr>
        <w:jc w:val="both"/>
        <w:rPr>
          <w:szCs w:val="22"/>
        </w:rPr>
      </w:pPr>
    </w:p>
    <w:p w:rsidR="009255DA" w:rsidRPr="009255DA" w:rsidRDefault="009255DA" w:rsidP="009255DA">
      <w:pPr>
        <w:jc w:val="both"/>
        <w:rPr>
          <w:b/>
          <w:szCs w:val="22"/>
        </w:rPr>
      </w:pPr>
      <w:r w:rsidRPr="009255DA">
        <w:rPr>
          <w:b/>
          <w:szCs w:val="22"/>
        </w:rPr>
        <w:t>The next generation of gambling population research</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There are four large general population prospective gambling research studies, additional to the NGS, that have either been completed (The Leisure Lifestyle Lifecycle Project (LLLP); Quinte Longitudinal Study (QLS); Victorian Gambling Study (VGS)) or almost completed (The </w:t>
      </w:r>
      <w:r w:rsidRPr="009255DA">
        <w:rPr>
          <w:szCs w:val="22"/>
        </w:rPr>
        <w:lastRenderedPageBreak/>
        <w:t>Swedish Longitudinal Study (SWELOGS)).  In significant part they were designed to address shortcomings identified in previous studies.  The LLLP and QLS are Canadian studies.  Overview reports have recently been published (el-Guebaly et al</w:t>
      </w:r>
      <w:r>
        <w:rPr>
          <w:szCs w:val="22"/>
        </w:rPr>
        <w:t>.</w:t>
      </w:r>
      <w:r w:rsidRPr="009255DA">
        <w:rPr>
          <w:szCs w:val="22"/>
        </w:rPr>
        <w:t>, 2015; Williams et al</w:t>
      </w:r>
      <w:r>
        <w:rPr>
          <w:szCs w:val="22"/>
        </w:rPr>
        <w:t>.</w:t>
      </w:r>
      <w:r w:rsidRPr="009255DA">
        <w:rPr>
          <w:szCs w:val="22"/>
        </w:rPr>
        <w:t>, 2015).  The VGS overview report was published last year (Billi et al</w:t>
      </w:r>
      <w:r>
        <w:rPr>
          <w:szCs w:val="22"/>
        </w:rPr>
        <w:t>.</w:t>
      </w:r>
      <w:r w:rsidRPr="009255DA">
        <w:rPr>
          <w:szCs w:val="22"/>
        </w:rPr>
        <w:t>, 2014</w:t>
      </w:r>
      <w:r w:rsidR="00786DBF">
        <w:rPr>
          <w:szCs w:val="22"/>
        </w:rPr>
        <w:t>a</w:t>
      </w:r>
      <w:r w:rsidRPr="009255DA">
        <w:rPr>
          <w:szCs w:val="22"/>
        </w:rPr>
        <w:t>).  Although the SWELOGS is still in progress, reports have been published on the baseline survey and the first and second follow-up waves.  These reports are in Swedish.  Journal articles based on the VGS and SWELOGS have also been recently published.</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The two Canadian studies </w:t>
      </w:r>
      <w:r>
        <w:rPr>
          <w:szCs w:val="22"/>
        </w:rPr>
        <w:t xml:space="preserve">(LLLP and QLS) </w:t>
      </w:r>
      <w:r w:rsidRPr="009255DA">
        <w:rPr>
          <w:szCs w:val="22"/>
        </w:rPr>
        <w:t>were designed as longitudinal cohort studies to investigate change over time in gambling and problem gambling and factors predictive of this change.  They included a wide variety of potential biopsychosocial predictors and had the object</w:t>
      </w:r>
      <w:r w:rsidR="00D75DB8">
        <w:rPr>
          <w:szCs w:val="22"/>
        </w:rPr>
        <w:t>ive</w:t>
      </w:r>
      <w:r w:rsidRPr="009255DA">
        <w:rPr>
          <w:szCs w:val="22"/>
        </w:rPr>
        <w:t xml:space="preserve"> of developing etiological models of problem gambling.  The Victorian and Swedish studies, like the NGS, were designed as jurisdiction-wide prevalence and incidence studies.  In the SWELOGS and NGS, weights were applied to allow generalisation of the study findings, respectively, to the Swedish and New Zealand adult populations.  This was also the case for the baseline prevalence phase of the VGS.  Incidence data were also weighted to facilitate generalisation to the total adult population of the state of Victoria</w:t>
      </w:r>
      <w:r w:rsidR="00D75DB8">
        <w:rPr>
          <w:szCs w:val="22"/>
        </w:rPr>
        <w:t>, Australia</w:t>
      </w:r>
      <w:r w:rsidRPr="009255DA">
        <w:rPr>
          <w:szCs w:val="22"/>
        </w:rPr>
        <w:t>.  However, weights were not applied to other data from the second and subsequent study waves.  The Swedish, Victorian and New Zealand studies were also designed to examine transitions additional to problem onset as well as factors that predict transitions.  They did not, however, include as many potential predictors as the Canadian studies.  In large part</w:t>
      </w:r>
      <w:r w:rsidR="00D75DB8">
        <w:rPr>
          <w:szCs w:val="22"/>
        </w:rPr>
        <w:t>,</w:t>
      </w:r>
      <w:r w:rsidRPr="009255DA">
        <w:rPr>
          <w:szCs w:val="22"/>
        </w:rPr>
        <w:t xml:space="preserve"> this was because it was expected that study recruitment would be severely compromised if potential participants were presented at the outset with a lengthy questionnaire.  It was also considered that this would compromise retention in subsequent phases.</w:t>
      </w:r>
    </w:p>
    <w:p w:rsidR="009255DA" w:rsidRDefault="009255DA" w:rsidP="009255DA">
      <w:pPr>
        <w:jc w:val="both"/>
        <w:rPr>
          <w:szCs w:val="22"/>
        </w:rPr>
      </w:pPr>
    </w:p>
    <w:p w:rsidR="00D75DB8" w:rsidRPr="009255DA" w:rsidRDefault="00D75DB8" w:rsidP="009255DA">
      <w:pPr>
        <w:jc w:val="both"/>
        <w:rPr>
          <w:szCs w:val="22"/>
        </w:rPr>
      </w:pPr>
    </w:p>
    <w:p w:rsidR="009255DA" w:rsidRPr="00EB6CB0" w:rsidRDefault="009255DA" w:rsidP="00D75DB8">
      <w:pPr>
        <w:keepNext/>
        <w:jc w:val="both"/>
        <w:rPr>
          <w:b/>
          <w:i/>
          <w:szCs w:val="22"/>
        </w:rPr>
      </w:pPr>
      <w:r w:rsidRPr="00EB6CB0">
        <w:rPr>
          <w:b/>
          <w:i/>
          <w:szCs w:val="22"/>
        </w:rPr>
        <w:t>The Swedish Longitudinal Gambling Study (SWELOGS)</w:t>
      </w:r>
    </w:p>
    <w:p w:rsidR="009255DA" w:rsidRPr="009255DA" w:rsidRDefault="009255DA" w:rsidP="00D75DB8">
      <w:pPr>
        <w:keepNext/>
        <w:jc w:val="both"/>
        <w:rPr>
          <w:szCs w:val="22"/>
        </w:rPr>
      </w:pPr>
    </w:p>
    <w:p w:rsidR="009255DA" w:rsidRPr="009255DA" w:rsidRDefault="009255DA" w:rsidP="00D75DB8">
      <w:pPr>
        <w:keepNext/>
        <w:jc w:val="both"/>
        <w:rPr>
          <w:szCs w:val="22"/>
        </w:rPr>
      </w:pPr>
      <w:r w:rsidRPr="009255DA">
        <w:rPr>
          <w:szCs w:val="22"/>
        </w:rPr>
        <w:t>The</w:t>
      </w:r>
      <w:r w:rsidR="00D75DB8">
        <w:rPr>
          <w:szCs w:val="22"/>
        </w:rPr>
        <w:t xml:space="preserve"> SWELOGS commenced in 2008/2009</w:t>
      </w:r>
      <w:r w:rsidRPr="009255DA">
        <w:rPr>
          <w:szCs w:val="22"/>
        </w:rPr>
        <w:t xml:space="preserve">.  A random stratified sample of 8,165 adults from the Swedish population register was assessed, predominantly by telephone.  A smaller number </w:t>
      </w:r>
      <w:r w:rsidR="00D75DB8">
        <w:rPr>
          <w:szCs w:val="22"/>
        </w:rPr>
        <w:t>who</w:t>
      </w:r>
      <w:r w:rsidRPr="009255DA">
        <w:rPr>
          <w:szCs w:val="22"/>
        </w:rPr>
        <w:t xml:space="preserve"> could not be reached by telephone completed postal questionnaires.  The response rate was 54</w:t>
      </w:r>
      <w:r w:rsidR="00D75DB8">
        <w:rPr>
          <w:szCs w:val="22"/>
        </w:rPr>
        <w:t>%</w:t>
      </w:r>
      <w:r w:rsidRPr="009255DA">
        <w:rPr>
          <w:szCs w:val="22"/>
        </w:rPr>
        <w:t>.  The major findings from this first phase of the study are summarised and discussed in Abbott, Romild and Volb</w:t>
      </w:r>
      <w:r w:rsidR="001D0AE2">
        <w:rPr>
          <w:szCs w:val="22"/>
        </w:rPr>
        <w:t>erg (2014</w:t>
      </w:r>
      <w:r w:rsidRPr="009255DA">
        <w:rPr>
          <w:szCs w:val="22"/>
        </w:rPr>
        <w:t>).  Participants were re-assessed in 2009/</w:t>
      </w:r>
      <w:r w:rsidR="00D75DB8">
        <w:rPr>
          <w:szCs w:val="22"/>
        </w:rPr>
        <w:t xml:space="preserve"> </w:t>
      </w:r>
      <w:r w:rsidRPr="009255DA">
        <w:rPr>
          <w:szCs w:val="22"/>
        </w:rPr>
        <w:t xml:space="preserve">2010 (n = 6,021) and 2012 (n = 4,188), </w:t>
      </w:r>
      <w:r w:rsidR="00D75DB8">
        <w:rPr>
          <w:szCs w:val="22"/>
        </w:rPr>
        <w:t xml:space="preserve">with </w:t>
      </w:r>
      <w:r w:rsidRPr="009255DA">
        <w:rPr>
          <w:szCs w:val="22"/>
        </w:rPr>
        <w:t>a retention rate of 74</w:t>
      </w:r>
      <w:r w:rsidR="00D75DB8">
        <w:rPr>
          <w:szCs w:val="22"/>
        </w:rPr>
        <w:t>%</w:t>
      </w:r>
      <w:r w:rsidRPr="009255DA">
        <w:rPr>
          <w:szCs w:val="22"/>
        </w:rPr>
        <w:t xml:space="preserve"> at 12 months and 51</w:t>
      </w:r>
      <w:r w:rsidR="00D75DB8">
        <w:rPr>
          <w:szCs w:val="22"/>
        </w:rPr>
        <w:t>% at 36 </w:t>
      </w:r>
      <w:r w:rsidRPr="009255DA">
        <w:rPr>
          <w:szCs w:val="22"/>
        </w:rPr>
        <w:t xml:space="preserve">months.  The overall study design for this part of SWELOGS, the epidemiological track, is outlined in Romild, Volberg and Abbott (2014).  Although the questionnaire was relatively brief, additional register information was </w:t>
      </w:r>
      <w:r w:rsidR="00D75DB8" w:rsidRPr="009255DA">
        <w:rPr>
          <w:szCs w:val="22"/>
        </w:rPr>
        <w:t xml:space="preserve">subsequently </w:t>
      </w:r>
      <w:r w:rsidRPr="009255DA">
        <w:rPr>
          <w:szCs w:val="22"/>
        </w:rPr>
        <w:t>added.  A further and final wave of interviewing is currently underway.  In addition 1,700 participants were interviewed in much greater detail in 2011 and 2013.  This in-depth part of the SWELOGS is a case control study whereby each PGSI problem and moderate risk gambler is matched demographically with three other participants.  Additionally, 578 participants in an earlier 1997/1998 Swedish national gambling study (Abbott, Volberg &amp; Ronnberg, 2004; Ronnberg et al</w:t>
      </w:r>
      <w:r w:rsidR="00D75DB8">
        <w:rPr>
          <w:szCs w:val="22"/>
        </w:rPr>
        <w:t>.</w:t>
      </w:r>
      <w:r w:rsidRPr="009255DA">
        <w:rPr>
          <w:szCs w:val="22"/>
        </w:rPr>
        <w:t>, 1999; Volberg et al</w:t>
      </w:r>
      <w:r w:rsidR="00D75DB8">
        <w:rPr>
          <w:szCs w:val="22"/>
        </w:rPr>
        <w:t>.</w:t>
      </w:r>
      <w:r w:rsidRPr="009255DA">
        <w:rPr>
          <w:szCs w:val="22"/>
        </w:rPr>
        <w:t>, 2001) have been followed up.  Thi</w:t>
      </w:r>
      <w:r w:rsidR="00D75DB8">
        <w:rPr>
          <w:szCs w:val="22"/>
        </w:rPr>
        <w:t>s is also a case control study.</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SWELOGS findings will be presented in more detail in the final NGS report, by which time it is expected that the various components of this study will have been completed, some study reports will have been translated into English and a substantial number of related journal articles will have been published.  Given their relevance to the present NGS report</w:t>
      </w:r>
      <w:r w:rsidR="00D75DB8">
        <w:rPr>
          <w:szCs w:val="22"/>
        </w:rPr>
        <w:t>,</w:t>
      </w:r>
      <w:r w:rsidRPr="009255DA">
        <w:rPr>
          <w:szCs w:val="22"/>
        </w:rPr>
        <w:t xml:space="preserve"> consideration here is largely confined to the epidemiological track 12 month f</w:t>
      </w:r>
      <w:r w:rsidR="00914368">
        <w:rPr>
          <w:szCs w:val="22"/>
        </w:rPr>
        <w:t>ollow-up results (Statens Folkhäl</w:t>
      </w:r>
      <w:r w:rsidRPr="009255DA">
        <w:rPr>
          <w:szCs w:val="22"/>
        </w:rPr>
        <w:t xml:space="preserve">soinstitut, 2012).  </w:t>
      </w:r>
    </w:p>
    <w:p w:rsidR="009255DA" w:rsidRPr="009255DA" w:rsidRDefault="009255DA" w:rsidP="009255DA">
      <w:pPr>
        <w:jc w:val="both"/>
        <w:rPr>
          <w:szCs w:val="22"/>
        </w:rPr>
      </w:pPr>
      <w:r w:rsidRPr="009255DA">
        <w:rPr>
          <w:szCs w:val="22"/>
        </w:rPr>
        <w:lastRenderedPageBreak/>
        <w:t xml:space="preserve">Although retention (74%) at 12 months compared favourably with that of most previous studies, attrition was differential, with the following categories under-represented at follow-up: </w:t>
      </w:r>
      <w:r w:rsidR="00D75DB8">
        <w:rPr>
          <w:szCs w:val="22"/>
        </w:rPr>
        <w:t>females</w:t>
      </w:r>
      <w:r w:rsidRPr="009255DA">
        <w:rPr>
          <w:szCs w:val="22"/>
        </w:rPr>
        <w:t>, single, born outside Sweden, living in major cities, lower education, low socioeconomic status, financial problems, poor mental health, daily smokers, risk</w:t>
      </w:r>
      <w:r w:rsidR="00D75DB8">
        <w:rPr>
          <w:szCs w:val="22"/>
        </w:rPr>
        <w:t>y</w:t>
      </w:r>
      <w:r w:rsidRPr="009255DA">
        <w:rPr>
          <w:szCs w:val="22"/>
        </w:rPr>
        <w:t xml:space="preserve"> alcohol use and problem gamblers.  The data were weighted to adjust for attrition and enable the study findings to be generalised to the total adult population.</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At the aggregate level</w:t>
      </w:r>
      <w:r w:rsidR="00D75DB8">
        <w:rPr>
          <w:szCs w:val="22"/>
        </w:rPr>
        <w:t>,</w:t>
      </w:r>
      <w:r w:rsidRPr="009255DA">
        <w:rPr>
          <w:szCs w:val="22"/>
        </w:rPr>
        <w:t xml:space="preserve"> past year gambling participation increased slightly, from 70</w:t>
      </w:r>
      <w:r w:rsidR="00D75DB8">
        <w:rPr>
          <w:szCs w:val="22"/>
        </w:rPr>
        <w:t>%</w:t>
      </w:r>
      <w:r w:rsidRPr="009255DA">
        <w:rPr>
          <w:szCs w:val="22"/>
        </w:rPr>
        <w:t xml:space="preserve"> to 73</w:t>
      </w:r>
      <w:r w:rsidR="00D75DB8">
        <w:rPr>
          <w:szCs w:val="22"/>
        </w:rPr>
        <w:t>%</w:t>
      </w:r>
      <w:r w:rsidRPr="009255DA">
        <w:rPr>
          <w:szCs w:val="22"/>
        </w:rPr>
        <w:t>.  This was found in most demographic groups other than in migrants from outside Europe.  The PGSI problem gambling</w:t>
      </w:r>
      <w:r w:rsidR="00D75DB8">
        <w:rPr>
          <w:rStyle w:val="FootnoteReference"/>
          <w:szCs w:val="22"/>
        </w:rPr>
        <w:footnoteReference w:id="1"/>
      </w:r>
      <w:r w:rsidRPr="009255DA">
        <w:rPr>
          <w:szCs w:val="22"/>
        </w:rPr>
        <w:t xml:space="preserve"> prevalence rate rema</w:t>
      </w:r>
      <w:r w:rsidR="00D75DB8">
        <w:rPr>
          <w:szCs w:val="22"/>
        </w:rPr>
        <w:t>ined unchanged (2%) and the low-</w:t>
      </w:r>
      <w:r w:rsidRPr="009255DA">
        <w:rPr>
          <w:szCs w:val="22"/>
        </w:rPr>
        <w:t>risk rate decreased slightly (from 5% to 4%).  Sixty percent of participants gambled at both baseline and the 12 month follow-up.  Although the proportion of problem gamblers was unchanged, three-quarters of the previous problem gamblers were replaced by new problem gamblers.  ‘New’ problem gamblers were defined as problem and</w:t>
      </w:r>
      <w:r w:rsidR="00D75DB8">
        <w:rPr>
          <w:szCs w:val="22"/>
        </w:rPr>
        <w:t xml:space="preserve"> moderate-</w:t>
      </w:r>
      <w:r w:rsidRPr="009255DA">
        <w:rPr>
          <w:szCs w:val="22"/>
        </w:rPr>
        <w:t xml:space="preserve">risk gamblers at 12 months who were not in these categories at baseline.  While most of these new problem gamblers did not report having had a gambling problem in the past (prior to the 12 month period preceding their baseline interview), a fifth had experienced gambling problems earlier in their lives.  In other words they were relapsing.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The problem gambling incidence rate (combined problem and moderate-risk categories) was 1.4</w:t>
      </w:r>
      <w:r w:rsidR="00D75DB8">
        <w:rPr>
          <w:szCs w:val="22"/>
        </w:rPr>
        <w:t>%</w:t>
      </w:r>
      <w:r w:rsidRPr="009255DA">
        <w:rPr>
          <w:szCs w:val="22"/>
        </w:rPr>
        <w:t>.  Male and female proportions of new problem gamblers (as defined above) were similar.  Younger adults (</w:t>
      </w:r>
      <w:r w:rsidR="00D75DB8">
        <w:rPr>
          <w:szCs w:val="22"/>
        </w:rPr>
        <w:t>less than</w:t>
      </w:r>
      <w:r w:rsidRPr="009255DA">
        <w:rPr>
          <w:szCs w:val="22"/>
        </w:rPr>
        <w:t xml:space="preserve"> 25 years), older adults (45-64 years</w:t>
      </w:r>
      <w:r w:rsidR="00D75DB8">
        <w:rPr>
          <w:szCs w:val="22"/>
        </w:rPr>
        <w:t>;</w:t>
      </w:r>
      <w:r w:rsidRPr="009255DA">
        <w:rPr>
          <w:szCs w:val="22"/>
        </w:rPr>
        <w:t xml:space="preserve"> predominantly </w:t>
      </w:r>
      <w:r w:rsidR="00D75DB8">
        <w:rPr>
          <w:szCs w:val="22"/>
        </w:rPr>
        <w:t>females)</w:t>
      </w:r>
      <w:r w:rsidRPr="009255DA">
        <w:rPr>
          <w:szCs w:val="22"/>
        </w:rPr>
        <w:t xml:space="preserve">, and people born outside Sweden were also over-represented.  </w:t>
      </w:r>
      <w:r w:rsidR="00D75DB8">
        <w:rPr>
          <w:szCs w:val="22"/>
        </w:rPr>
        <w:t>For</w:t>
      </w:r>
      <w:r w:rsidRPr="009255DA">
        <w:rPr>
          <w:szCs w:val="22"/>
        </w:rPr>
        <w:t xml:space="preserve"> males, problem gambling incidence was similar across educational groups whereas for females, it was highest for those with low levels of education</w:t>
      </w:r>
      <w:r w:rsidR="00D75DB8">
        <w:rPr>
          <w:szCs w:val="22"/>
        </w:rPr>
        <w:t xml:space="preserve"> and lowest for those with high-school education.</w:t>
      </w:r>
      <w:r w:rsidRPr="009255DA">
        <w:rPr>
          <w:szCs w:val="22"/>
        </w:rPr>
        <w:t xml:space="preserve">  The great majority of the 20</w:t>
      </w:r>
      <w:r w:rsidR="00D75DB8">
        <w:rPr>
          <w:szCs w:val="22"/>
        </w:rPr>
        <w:t>%</w:t>
      </w:r>
      <w:r w:rsidRPr="009255DA">
        <w:rPr>
          <w:szCs w:val="22"/>
        </w:rPr>
        <w:t xml:space="preserve"> of new problem gamblers who had gambling problems in the more distant past were male.  In comparison to new problem gamblers who had not had prior problems, very few had a university education and they more often gambled on horse races, slot machines, poker and casino games.  </w:t>
      </w:r>
    </w:p>
    <w:p w:rsidR="009255DA" w:rsidRPr="009255DA" w:rsidRDefault="009255DA" w:rsidP="009255DA">
      <w:pPr>
        <w:jc w:val="both"/>
        <w:rPr>
          <w:szCs w:val="22"/>
        </w:rPr>
      </w:pPr>
    </w:p>
    <w:p w:rsidR="009255DA" w:rsidRPr="009255DA" w:rsidRDefault="009255DA" w:rsidP="009255DA">
      <w:pPr>
        <w:jc w:val="both"/>
        <w:rPr>
          <w:szCs w:val="22"/>
        </w:rPr>
      </w:pPr>
      <w:r w:rsidRPr="00515E9E">
        <w:rPr>
          <w:szCs w:val="22"/>
        </w:rPr>
        <w:t>In addition to age and immigrant status, especially from other parts of Europe, the following</w:t>
      </w:r>
      <w:r w:rsidRPr="009255DA">
        <w:rPr>
          <w:szCs w:val="22"/>
        </w:rPr>
        <w:t xml:space="preserve"> factors, assessed at baseline, predicted the onset of problem gambling: starting to gamble at work or school, playing video or computer games, regular participation in high risk gambling activities, risky drinking and impaired mental health (both especially </w:t>
      </w:r>
      <w:r w:rsidR="00515E9E">
        <w:rPr>
          <w:szCs w:val="22"/>
        </w:rPr>
        <w:t>for</w:t>
      </w:r>
      <w:r w:rsidRPr="009255DA">
        <w:rPr>
          <w:szCs w:val="22"/>
        </w:rPr>
        <w:t xml:space="preserve"> males)</w:t>
      </w:r>
      <w:r w:rsidR="00515E9E">
        <w:rPr>
          <w:szCs w:val="22"/>
        </w:rPr>
        <w:t>,</w:t>
      </w:r>
      <w:r w:rsidRPr="009255DA">
        <w:rPr>
          <w:szCs w:val="22"/>
        </w:rPr>
        <w:t xml:space="preserve"> and good general health (only </w:t>
      </w:r>
      <w:r w:rsidR="00515E9E">
        <w:rPr>
          <w:szCs w:val="22"/>
        </w:rPr>
        <w:t>for</w:t>
      </w:r>
      <w:r w:rsidRPr="009255DA">
        <w:rPr>
          <w:szCs w:val="22"/>
        </w:rPr>
        <w:t xml:space="preserve"> </w:t>
      </w:r>
      <w:r w:rsidR="00515E9E">
        <w:rPr>
          <w:szCs w:val="22"/>
        </w:rPr>
        <w:t xml:space="preserve">females).  </w:t>
      </w:r>
      <w:r w:rsidRPr="009255DA">
        <w:rPr>
          <w:szCs w:val="22"/>
        </w:rPr>
        <w:t xml:space="preserve">Developing risky drinking habits during the year prior to the 12 month follow-up assessment was also associated with problem gambling onset.  Experiencing the death of a close relative, increased arguments with a partner/close relatives, worsening finances, major changes in work conditions, and deteriorating mental health or general </w:t>
      </w:r>
      <w:r w:rsidR="00515E9E" w:rsidRPr="009255DA">
        <w:rPr>
          <w:szCs w:val="22"/>
        </w:rPr>
        <w:t xml:space="preserve">mental </w:t>
      </w:r>
      <w:r w:rsidRPr="009255DA">
        <w:rPr>
          <w:szCs w:val="22"/>
        </w:rPr>
        <w:t xml:space="preserve">health during this period also predicted problem gambling onset.  </w:t>
      </w:r>
      <w:r w:rsidR="00515E9E">
        <w:rPr>
          <w:szCs w:val="22"/>
        </w:rPr>
        <w:t>As</w:t>
      </w:r>
      <w:r w:rsidRPr="009255DA">
        <w:rPr>
          <w:szCs w:val="22"/>
        </w:rPr>
        <w:t xml:space="preserve"> these variables and problem gambling were assessed during the same timeframe, not prospectively, with the likely exception of the death of a close relative, it is not known whether these changes contributed to the development of problem gambling or arose from it, or both.  Interestingly, substantial improvements in financial situation were also linked to problem development, as were marked positive changes in work conditions.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As mentioned, around a quarter of problem gamblers at the 12 month follow-up were als</w:t>
      </w:r>
      <w:r w:rsidR="00515E9E">
        <w:rPr>
          <w:szCs w:val="22"/>
        </w:rPr>
        <w:t>o problem gamblers at baseline.</w:t>
      </w:r>
      <w:r w:rsidRPr="009255DA">
        <w:rPr>
          <w:szCs w:val="22"/>
        </w:rPr>
        <w:t xml:space="preserve">  Relative to females, proportionately more males had persisting </w:t>
      </w:r>
      <w:r w:rsidRPr="009255DA">
        <w:rPr>
          <w:szCs w:val="22"/>
        </w:rPr>
        <w:lastRenderedPageBreak/>
        <w:t xml:space="preserve">gambling problems.  </w:t>
      </w:r>
      <w:r w:rsidR="00515E9E">
        <w:rPr>
          <w:szCs w:val="22"/>
        </w:rPr>
        <w:t>Additional</w:t>
      </w:r>
      <w:r w:rsidRPr="009255DA">
        <w:rPr>
          <w:szCs w:val="22"/>
        </w:rPr>
        <w:t xml:space="preserve"> to male gender, higher problem gambling severity and risky alcohol consumption at baseline also predicted persisting problems.  The following factors, assessed at the 12 month follow-up, were also associated with problem chronicity: deteriorating general health, divorce or separation and increased arguments with a close relative.</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Problem gamblers (PGSI problem and moderate-risk) and low-risk gamblers both had high rates of instability with 25</w:t>
      </w:r>
      <w:r w:rsidR="00515E9E">
        <w:rPr>
          <w:szCs w:val="22"/>
        </w:rPr>
        <w:t>%</w:t>
      </w:r>
      <w:r w:rsidRPr="009255DA">
        <w:rPr>
          <w:szCs w:val="22"/>
        </w:rPr>
        <w:t xml:space="preserve"> each remaining in their baseline-assessed category when re-assessed 12 months later.  </w:t>
      </w:r>
      <w:r w:rsidR="00515E9E">
        <w:rPr>
          <w:szCs w:val="22"/>
        </w:rPr>
        <w:t>For</w:t>
      </w:r>
      <w:r w:rsidRPr="009255DA">
        <w:rPr>
          <w:szCs w:val="22"/>
        </w:rPr>
        <w:t xml:space="preserve"> problem gamblers</w:t>
      </w:r>
      <w:r w:rsidR="00515E9E">
        <w:rPr>
          <w:szCs w:val="22"/>
        </w:rPr>
        <w:t>,</w:t>
      </w:r>
      <w:r w:rsidRPr="009255DA">
        <w:rPr>
          <w:szCs w:val="22"/>
        </w:rPr>
        <w:t xml:space="preserve"> just </w:t>
      </w:r>
      <w:r w:rsidR="00515E9E">
        <w:rPr>
          <w:szCs w:val="22"/>
        </w:rPr>
        <w:t>less than</w:t>
      </w:r>
      <w:r w:rsidRPr="009255DA">
        <w:rPr>
          <w:szCs w:val="22"/>
        </w:rPr>
        <w:t xml:space="preserve"> a quarter moved into the low-risk category, somewhat less than a half moved into the gambling without problems category and the remainder became non-gamblers.  Eight percent of low-risk gamblers became problem gamblers.  Approximately 60</w:t>
      </w:r>
      <w:r w:rsidR="00145060">
        <w:rPr>
          <w:szCs w:val="22"/>
        </w:rPr>
        <w:t>%</w:t>
      </w:r>
      <w:r w:rsidRPr="009255DA">
        <w:rPr>
          <w:szCs w:val="22"/>
        </w:rPr>
        <w:t xml:space="preserve"> became gamblers without problems and a small number became non-gamblers.  People who gambled without any degree of risk or problems were most stable, with 83</w:t>
      </w:r>
      <w:r w:rsidR="00145060">
        <w:rPr>
          <w:szCs w:val="22"/>
        </w:rPr>
        <w:t>%</w:t>
      </w:r>
      <w:r w:rsidRPr="009255DA">
        <w:rPr>
          <w:szCs w:val="22"/>
        </w:rPr>
        <w:t xml:space="preserve"> remaining in that category at 12 months.  Nearly 13</w:t>
      </w:r>
      <w:r w:rsidR="00145060">
        <w:rPr>
          <w:szCs w:val="22"/>
        </w:rPr>
        <w:t>%</w:t>
      </w:r>
      <w:r w:rsidRPr="009255DA">
        <w:rPr>
          <w:szCs w:val="22"/>
        </w:rPr>
        <w:t xml:space="preserve"> stopped gambling, three percent became low-risk gamblers and one percent </w:t>
      </w:r>
      <w:r w:rsidR="00145060">
        <w:rPr>
          <w:szCs w:val="22"/>
        </w:rPr>
        <w:t xml:space="preserve">became </w:t>
      </w:r>
      <w:r w:rsidRPr="009255DA">
        <w:rPr>
          <w:szCs w:val="22"/>
        </w:rPr>
        <w:t xml:space="preserve">problem gamblers.  Non-gamblers at baseline were the second most stable </w:t>
      </w:r>
      <w:r w:rsidR="00145060">
        <w:rPr>
          <w:szCs w:val="22"/>
        </w:rPr>
        <w:t xml:space="preserve">group </w:t>
      </w:r>
      <w:r w:rsidRPr="009255DA">
        <w:rPr>
          <w:szCs w:val="22"/>
        </w:rPr>
        <w:t>with approximately 60</w:t>
      </w:r>
      <w:r w:rsidR="00145060">
        <w:rPr>
          <w:szCs w:val="22"/>
        </w:rPr>
        <w:t>%</w:t>
      </w:r>
      <w:r w:rsidRPr="009255DA">
        <w:rPr>
          <w:szCs w:val="22"/>
        </w:rPr>
        <w:t xml:space="preserve"> remaining non-gamblers and 40</w:t>
      </w:r>
      <w:r w:rsidR="00145060">
        <w:rPr>
          <w:szCs w:val="22"/>
        </w:rPr>
        <w:t>%</w:t>
      </w:r>
      <w:r w:rsidRPr="009255DA">
        <w:rPr>
          <w:szCs w:val="22"/>
        </w:rPr>
        <w:t xml:space="preserve"> becoming gamblers.  Slightly more than one percent became gamblers with low risk and less than one percent </w:t>
      </w:r>
      <w:r w:rsidR="00145060">
        <w:rPr>
          <w:szCs w:val="22"/>
        </w:rPr>
        <w:t xml:space="preserve">became </w:t>
      </w:r>
      <w:r w:rsidRPr="009255DA">
        <w:rPr>
          <w:szCs w:val="22"/>
        </w:rPr>
        <w:t>problem gamblers.</w:t>
      </w:r>
    </w:p>
    <w:p w:rsidR="009255DA" w:rsidRPr="009255DA" w:rsidRDefault="009255DA" w:rsidP="009255DA">
      <w:pPr>
        <w:jc w:val="both"/>
        <w:rPr>
          <w:szCs w:val="22"/>
        </w:rPr>
      </w:pPr>
    </w:p>
    <w:p w:rsidR="00145060" w:rsidRDefault="00145060" w:rsidP="009255DA">
      <w:pPr>
        <w:jc w:val="both"/>
        <w:rPr>
          <w:szCs w:val="22"/>
        </w:rPr>
      </w:pPr>
    </w:p>
    <w:p w:rsidR="009255DA" w:rsidRPr="00EB6CB0" w:rsidRDefault="009255DA" w:rsidP="009255DA">
      <w:pPr>
        <w:jc w:val="both"/>
        <w:rPr>
          <w:b/>
          <w:i/>
          <w:szCs w:val="22"/>
        </w:rPr>
      </w:pPr>
      <w:r w:rsidRPr="00EB6CB0">
        <w:rPr>
          <w:b/>
          <w:i/>
          <w:szCs w:val="22"/>
        </w:rPr>
        <w:t xml:space="preserve">The Victorian Gambling Study (VGS)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The VGS commenced in 2008 with an initial sample of 15,000 Victorian adults.  The first phase was a prevalence study.  Areas with high EGM expenditure were oversampled.  Recruitment and interviewing were conducted via land-line telephone.  The initial response rate was 43.5</w:t>
      </w:r>
      <w:r w:rsidR="00145060">
        <w:rPr>
          <w:szCs w:val="22"/>
        </w:rPr>
        <w:t>%</w:t>
      </w:r>
      <w:r w:rsidRPr="009255DA">
        <w:rPr>
          <w:szCs w:val="22"/>
        </w:rPr>
        <w:t xml:space="preserve">.  The second phase was a prospective cohort study of </w:t>
      </w:r>
      <w:r w:rsidR="00145060">
        <w:rPr>
          <w:szCs w:val="22"/>
        </w:rPr>
        <w:t>Wave 1</w:t>
      </w:r>
      <w:r w:rsidR="00145060" w:rsidRPr="009255DA">
        <w:rPr>
          <w:szCs w:val="22"/>
        </w:rPr>
        <w:t xml:space="preserve"> </w:t>
      </w:r>
      <w:r w:rsidRPr="009255DA">
        <w:rPr>
          <w:szCs w:val="22"/>
        </w:rPr>
        <w:t xml:space="preserve">participants who agreed </w:t>
      </w:r>
      <w:r w:rsidR="00145060">
        <w:rPr>
          <w:szCs w:val="22"/>
        </w:rPr>
        <w:t xml:space="preserve">to </w:t>
      </w:r>
      <w:r w:rsidRPr="009255DA">
        <w:rPr>
          <w:szCs w:val="22"/>
        </w:rPr>
        <w:t>take part in further research.  Three subsequent waves of interviews were completed, approximately a year apart, in 2009</w:t>
      </w:r>
      <w:r w:rsidR="00145060">
        <w:rPr>
          <w:szCs w:val="22"/>
        </w:rPr>
        <w:t>/1</w:t>
      </w:r>
      <w:r w:rsidRPr="009255DA">
        <w:rPr>
          <w:szCs w:val="22"/>
        </w:rPr>
        <w:t>0, 2010</w:t>
      </w:r>
      <w:r w:rsidR="00145060">
        <w:rPr>
          <w:szCs w:val="22"/>
        </w:rPr>
        <w:t>/</w:t>
      </w:r>
      <w:r w:rsidRPr="009255DA">
        <w:rPr>
          <w:szCs w:val="22"/>
        </w:rPr>
        <w:t>11 and 2011</w:t>
      </w:r>
      <w:r w:rsidR="00145060">
        <w:rPr>
          <w:szCs w:val="22"/>
        </w:rPr>
        <w:t>/</w:t>
      </w:r>
      <w:r w:rsidRPr="009255DA">
        <w:rPr>
          <w:szCs w:val="22"/>
        </w:rPr>
        <w:t>12.  In the first follow-up wave 5,003 participated.  Participation in the second and third waves was respectively 5,620 and 3,701.  The final wave retention from the baseline survey was 25</w:t>
      </w:r>
      <w:r w:rsidR="00145060">
        <w:rPr>
          <w:szCs w:val="22"/>
        </w:rPr>
        <w:t>%</w:t>
      </w:r>
      <w:r w:rsidRPr="009255DA">
        <w:rPr>
          <w:szCs w:val="22"/>
        </w:rPr>
        <w:t>.  Of the 3,701 final wave participants, the great majority (3,686) completed all four waves.  A qualitative study involving 44 participants was also conducted in 2011</w:t>
      </w:r>
      <w:r w:rsidR="00145060" w:rsidRPr="00145060">
        <w:rPr>
          <w:b/>
          <w:szCs w:val="22"/>
        </w:rPr>
        <w:t xml:space="preserve"> </w:t>
      </w:r>
      <w:r w:rsidR="00145060" w:rsidRPr="00145060">
        <w:rPr>
          <w:szCs w:val="22"/>
        </w:rPr>
        <w:t>(Billi et al</w:t>
      </w:r>
      <w:r w:rsidR="00145060">
        <w:rPr>
          <w:szCs w:val="22"/>
        </w:rPr>
        <w:t>.</w:t>
      </w:r>
      <w:r w:rsidR="00145060" w:rsidRPr="00145060">
        <w:rPr>
          <w:szCs w:val="22"/>
        </w:rPr>
        <w:t>, 2014a; 2014b)</w:t>
      </w:r>
      <w:r w:rsidR="00145060">
        <w:rPr>
          <w:szCs w:val="22"/>
        </w:rPr>
        <w:t>.</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Some population groups were under-represented in the baseline survey, including males and young adults.  The baseline sample was adjusted to take account of under-representation and some other aspects of the study design</w:t>
      </w:r>
      <w:r w:rsidR="00145060">
        <w:rPr>
          <w:szCs w:val="22"/>
        </w:rPr>
        <w:t>,</w:t>
      </w:r>
      <w:r w:rsidRPr="009255DA">
        <w:rPr>
          <w:szCs w:val="22"/>
        </w:rPr>
        <w:t xml:space="preserve"> to be representative of the Victorian adult population.  There was some differential attrition during subsequent assessment waves.  Over time attrition was higher for younger adults, recent migrants, people who spoke a language other than English at home, people living in households with low income, people not in the workforce and non-gamblers.  Apart from the calculation of 12 month incidence from the first follow-up wave, other data from this and subsequent waves of the cohort study were not weighted to take account of non-representativeness or differential attrition.</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The PGSI problem gambling incidence rate was 0.36% (95% CI 0.21-0.57).  This estimate contrasts with the SWELOGS estimate which is for the combined problem and moderate risk categories.  Approximately two-thirds (0.24%) were people who had a previous history of problem or probable pathological gambling as measured by the NODS Clip2 at baseline.  ‘Zero risk gamblers’ (combined PGSI non-gamblers and non-problem gamblers) were the most stable group throughout the study with 93</w:t>
      </w:r>
      <w:r w:rsidR="00145060">
        <w:rPr>
          <w:szCs w:val="22"/>
        </w:rPr>
        <w:t>%</w:t>
      </w:r>
      <w:r w:rsidRPr="009255DA">
        <w:rPr>
          <w:szCs w:val="22"/>
        </w:rPr>
        <w:t xml:space="preserve"> of baseline zero risk gamblers remaining in this category at the final assessment.  Problem gamblers were the next most stable with 55% remaining in this category after four years.  Low-risk and moderate-risk risk gamblers were less stable (27% </w:t>
      </w:r>
      <w:r w:rsidRPr="009255DA">
        <w:rPr>
          <w:szCs w:val="22"/>
        </w:rPr>
        <w:lastRenderedPageBreak/>
        <w:t>and 35% respectively).  Across the four years of the study</w:t>
      </w:r>
      <w:r w:rsidR="00145060">
        <w:rPr>
          <w:szCs w:val="22"/>
        </w:rPr>
        <w:t>,</w:t>
      </w:r>
      <w:r w:rsidRPr="009255DA">
        <w:rPr>
          <w:szCs w:val="22"/>
        </w:rPr>
        <w:t xml:space="preserve"> people who met the criteria for problem gambling at any assessment point spent, on average, 59</w:t>
      </w:r>
      <w:r w:rsidR="00145060">
        <w:rPr>
          <w:szCs w:val="22"/>
        </w:rPr>
        <w:t>%</w:t>
      </w:r>
      <w:r w:rsidRPr="009255DA">
        <w:rPr>
          <w:szCs w:val="22"/>
        </w:rPr>
        <w:t xml:space="preserve"> of their time in the study as problem gamblers.  Markov transition probabilities confirmed this relatively high level of stability with most problem gamblers (71%) likely to remain problem gamblers.  There was no gender difference in this regard.  Approximately 22</w:t>
      </w:r>
      <w:r w:rsidR="00145060">
        <w:rPr>
          <w:szCs w:val="22"/>
        </w:rPr>
        <w:t>%</w:t>
      </w:r>
      <w:r w:rsidRPr="009255DA">
        <w:rPr>
          <w:szCs w:val="22"/>
        </w:rPr>
        <w:t xml:space="preserve"> decreased to moderate-risk state. </w:t>
      </w:r>
    </w:p>
    <w:p w:rsidR="009255DA" w:rsidRPr="009255DA" w:rsidRDefault="009255DA" w:rsidP="009255DA">
      <w:pPr>
        <w:jc w:val="both"/>
        <w:rPr>
          <w:szCs w:val="22"/>
        </w:rPr>
      </w:pPr>
    </w:p>
    <w:p w:rsidR="009255DA" w:rsidRPr="009255DA" w:rsidRDefault="009255DA" w:rsidP="009255DA">
      <w:pPr>
        <w:jc w:val="both"/>
        <w:rPr>
          <w:szCs w:val="22"/>
        </w:rPr>
      </w:pPr>
      <w:r w:rsidRPr="004015D1">
        <w:rPr>
          <w:szCs w:val="22"/>
        </w:rPr>
        <w:t>As gambling risk increased, so too did the likelihood of becoming a problem gambler.  By the</w:t>
      </w:r>
      <w:r w:rsidRPr="009255DA">
        <w:rPr>
          <w:szCs w:val="22"/>
        </w:rPr>
        <w:t xml:space="preserve"> final wave</w:t>
      </w:r>
      <w:r w:rsidR="004015D1">
        <w:rPr>
          <w:szCs w:val="22"/>
        </w:rPr>
        <w:t>,</w:t>
      </w:r>
      <w:r w:rsidRPr="009255DA">
        <w:rPr>
          <w:szCs w:val="22"/>
        </w:rPr>
        <w:t xml:space="preserve"> three percent of low-risk gamblers and 14</w:t>
      </w:r>
      <w:r w:rsidR="004015D1">
        <w:rPr>
          <w:szCs w:val="22"/>
        </w:rPr>
        <w:t>%</w:t>
      </w:r>
      <w:r w:rsidRPr="009255DA">
        <w:rPr>
          <w:szCs w:val="22"/>
        </w:rPr>
        <w:t xml:space="preserve"> of moderate-risk gamblers became problem gamblers.  Lifetime gambling risk (measured by the NODS Clip2 at baseline) was the strongest predictor of the onset of problem, ‘high-risk’ (PGSI problem and moderate-risk categories combined) and ‘at-risk’ (combined</w:t>
      </w:r>
      <w:r w:rsidR="00E75FDB">
        <w:rPr>
          <w:szCs w:val="22"/>
        </w:rPr>
        <w:t xml:space="preserve"> problem, moderate-risk and low-</w:t>
      </w:r>
      <w:r w:rsidRPr="009255DA">
        <w:rPr>
          <w:szCs w:val="22"/>
        </w:rPr>
        <w:t xml:space="preserve">risk combined) gambling.  It was also the strongest predictor of persistent high-risk gambling across the assessment waves.  Other predictors of high-risk gambling (referred to as ‘problem gambling’ in SWELOGS) included low-risk and moderate-risk gambling, anxiety, growing up in a one-parent family, the presence of any health condition and smoking.  Progression from non-problem gambling to ‘at-risk gambling’ was predicted by speaking a language other than English at home, lower education, alcohol problems, anxiety and obesity.  Female gender was protective in that </w:t>
      </w:r>
      <w:r w:rsidR="00E75FDB">
        <w:rPr>
          <w:szCs w:val="22"/>
        </w:rPr>
        <w:t>females</w:t>
      </w:r>
      <w:r w:rsidRPr="009255DA">
        <w:rPr>
          <w:szCs w:val="22"/>
        </w:rPr>
        <w:t xml:space="preserve"> were less likely than </w:t>
      </w:r>
      <w:r w:rsidR="00E75FDB">
        <w:rPr>
          <w:szCs w:val="22"/>
        </w:rPr>
        <w:t>males</w:t>
      </w:r>
      <w:r w:rsidRPr="009255DA">
        <w:rPr>
          <w:szCs w:val="22"/>
        </w:rPr>
        <w:t xml:space="preserve"> to progress during the study from non-problem gambling to one of the risk or problem gambling categories.</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Gambling participation was also examined in relation </w:t>
      </w:r>
      <w:r w:rsidR="00E75FDB">
        <w:rPr>
          <w:szCs w:val="22"/>
        </w:rPr>
        <w:t xml:space="preserve">to </w:t>
      </w:r>
      <w:r w:rsidRPr="009255DA">
        <w:rPr>
          <w:szCs w:val="22"/>
        </w:rPr>
        <w:t>increased gambling risk and problem gambling.  High-risk gamblers engaged significantly more often in all forms of gambling other than lotteries and sweeps</w:t>
      </w:r>
      <w:r w:rsidR="00E75FDB">
        <w:rPr>
          <w:szCs w:val="22"/>
        </w:rPr>
        <w:t>takes</w:t>
      </w:r>
      <w:r w:rsidRPr="009255DA">
        <w:rPr>
          <w:szCs w:val="22"/>
        </w:rPr>
        <w:t xml:space="preserve"> than was the case for people in other PGSI categories.  When adjustments were made for other predictors of high-risk gambling including lifetime NODS Clip2 score and psychological distress, high-risk gambling was predicted by participation in four activities</w:t>
      </w:r>
      <w:r w:rsidR="00E75FDB">
        <w:rPr>
          <w:szCs w:val="22"/>
        </w:rPr>
        <w:t>:</w:t>
      </w:r>
      <w:r w:rsidRPr="009255DA">
        <w:rPr>
          <w:szCs w:val="22"/>
        </w:rPr>
        <w:t xml:space="preserve"> EGMs, table games, informal betting and race betting.  Further analyses found that the more frequently EGMs were used, the higher the PGSI score over time.  While this applied both to people with previous lifetime problem or pathological gambling and to people without previous problems, the association was markedly strong for the former group.  Frequency of track betting was also associated with higher PGSI scores over time, again especially for people with previous gambling problems.  In contrast to EGM participation, rather than a monotonic progression, there appeared to be a threshold pattern.  Lower levels of participation did not lead to higher PGSI scores and beyond a particular participation level (monthly) further increases did not lead to higher PGSI scores.</w:t>
      </w:r>
    </w:p>
    <w:p w:rsidR="009255DA" w:rsidRDefault="009255DA" w:rsidP="009255DA">
      <w:pPr>
        <w:jc w:val="both"/>
        <w:rPr>
          <w:szCs w:val="22"/>
        </w:rPr>
      </w:pPr>
    </w:p>
    <w:p w:rsidR="00E75FDB" w:rsidRPr="009255DA" w:rsidRDefault="00E75FDB" w:rsidP="009255DA">
      <w:pPr>
        <w:jc w:val="both"/>
        <w:rPr>
          <w:szCs w:val="22"/>
        </w:rPr>
      </w:pPr>
    </w:p>
    <w:p w:rsidR="009255DA" w:rsidRPr="00EB6CB0" w:rsidRDefault="009255DA" w:rsidP="009255DA">
      <w:pPr>
        <w:jc w:val="both"/>
        <w:rPr>
          <w:b/>
          <w:i/>
          <w:szCs w:val="22"/>
        </w:rPr>
      </w:pPr>
      <w:r w:rsidRPr="00EB6CB0">
        <w:rPr>
          <w:b/>
          <w:i/>
          <w:szCs w:val="22"/>
        </w:rPr>
        <w:t xml:space="preserve">The Leisure, Lifestyle and Lifecycle Project (LLLP) </w:t>
      </w:r>
    </w:p>
    <w:p w:rsidR="009255DA" w:rsidRPr="009255DA" w:rsidRDefault="009255DA" w:rsidP="009255DA">
      <w:pPr>
        <w:jc w:val="both"/>
        <w:rPr>
          <w:szCs w:val="22"/>
        </w:rPr>
      </w:pPr>
    </w:p>
    <w:p w:rsidR="009255DA" w:rsidRPr="002608E7" w:rsidRDefault="002608E7" w:rsidP="009255DA">
      <w:pPr>
        <w:jc w:val="both"/>
        <w:rPr>
          <w:szCs w:val="22"/>
        </w:rPr>
      </w:pPr>
      <w:r>
        <w:rPr>
          <w:szCs w:val="22"/>
        </w:rPr>
        <w:t>The LLLP</w:t>
      </w:r>
      <w:r w:rsidR="009255DA" w:rsidRPr="009255DA">
        <w:rPr>
          <w:szCs w:val="22"/>
        </w:rPr>
        <w:t xml:space="preserve"> study began in 2006 when 1,808 Albertians were recruited by random digit landline calling.  Initial baseline assessments were conducted by telephone, face-to-face and on-line.  On average these </w:t>
      </w:r>
      <w:r w:rsidRPr="009255DA">
        <w:rPr>
          <w:szCs w:val="22"/>
        </w:rPr>
        <w:t xml:space="preserve">combined </w:t>
      </w:r>
      <w:r w:rsidR="009255DA" w:rsidRPr="009255DA">
        <w:rPr>
          <w:szCs w:val="22"/>
        </w:rPr>
        <w:t xml:space="preserve">interviews took around three hours.  The response rate was five percent.  People with high gambling frequencies and expenditure were over-sampled.  A multiple cohort design was used with approximately equal numbers of </w:t>
      </w:r>
      <w:r>
        <w:rPr>
          <w:szCs w:val="22"/>
        </w:rPr>
        <w:t>participants in five age groups</w:t>
      </w:r>
      <w:r w:rsidR="009255DA" w:rsidRPr="009255DA">
        <w:rPr>
          <w:szCs w:val="22"/>
        </w:rPr>
        <w:t xml:space="preserve"> including two adolescent groups (13-15</w:t>
      </w:r>
      <w:r>
        <w:rPr>
          <w:szCs w:val="22"/>
        </w:rPr>
        <w:t xml:space="preserve"> years</w:t>
      </w:r>
      <w:r w:rsidR="009255DA" w:rsidRPr="009255DA">
        <w:rPr>
          <w:szCs w:val="22"/>
        </w:rPr>
        <w:t>; 18-20</w:t>
      </w:r>
      <w:r>
        <w:rPr>
          <w:szCs w:val="22"/>
        </w:rPr>
        <w:t xml:space="preserve"> years</w:t>
      </w:r>
      <w:r w:rsidR="009255DA" w:rsidRPr="009255DA">
        <w:rPr>
          <w:szCs w:val="22"/>
        </w:rPr>
        <w:t>).  Three subsequent assessment waves occurred with intervals of 17 to 22 months.  These assessments were conducted online or by paper questionnaires.  The final assessments took place in 2011.  At that time 1,030 adults (76% retention of</w:t>
      </w:r>
      <w:r>
        <w:rPr>
          <w:szCs w:val="22"/>
        </w:rPr>
        <w:t xml:space="preserve"> baseline participants) and 313 </w:t>
      </w:r>
      <w:r w:rsidR="009255DA" w:rsidRPr="009255DA">
        <w:rPr>
          <w:szCs w:val="22"/>
        </w:rPr>
        <w:t xml:space="preserve">adolescents (72%) remained in the study.  Around two-thirds (68%) of adults and somewhat fewer (60%) adolescents completed all four assessments.  A substantial number of participants (970) were subsequently </w:t>
      </w:r>
      <w:r w:rsidR="009255DA" w:rsidRPr="009255DA">
        <w:rPr>
          <w:szCs w:val="22"/>
        </w:rPr>
        <w:lastRenderedPageBreak/>
        <w:t>re-recruited for a fifth assessment that was competed in 2014 (54% retention from baseline).  Genetic material was c</w:t>
      </w:r>
      <w:r>
        <w:rPr>
          <w:szCs w:val="22"/>
        </w:rPr>
        <w:t>ollected from 670 participants</w:t>
      </w:r>
      <w:r w:rsidRPr="002608E7">
        <w:rPr>
          <w:b/>
          <w:szCs w:val="22"/>
        </w:rPr>
        <w:t xml:space="preserve"> </w:t>
      </w:r>
      <w:r w:rsidRPr="002608E7">
        <w:rPr>
          <w:szCs w:val="22"/>
        </w:rPr>
        <w:t>(el-Guebaly et al</w:t>
      </w:r>
      <w:r>
        <w:rPr>
          <w:szCs w:val="22"/>
        </w:rPr>
        <w:t>.</w:t>
      </w:r>
      <w:r w:rsidRPr="002608E7">
        <w:rPr>
          <w:szCs w:val="22"/>
        </w:rPr>
        <w:t>, 2008; 2015)</w:t>
      </w:r>
    </w:p>
    <w:p w:rsidR="009255DA" w:rsidRPr="009255DA" w:rsidRDefault="009255DA" w:rsidP="009255DA">
      <w:pPr>
        <w:jc w:val="both"/>
        <w:rPr>
          <w:szCs w:val="22"/>
        </w:rPr>
      </w:pPr>
    </w:p>
    <w:p w:rsidR="009255DA" w:rsidRDefault="009255DA" w:rsidP="009255DA">
      <w:pPr>
        <w:jc w:val="both"/>
        <w:rPr>
          <w:szCs w:val="22"/>
        </w:rPr>
      </w:pPr>
      <w:r w:rsidRPr="009255DA">
        <w:rPr>
          <w:szCs w:val="22"/>
        </w:rPr>
        <w:t xml:space="preserve">It is unclear to what extent the initial baseline sample resembled the population from which it was drawn.  Subsequently there was some differential attrition.  Adults who dropped out or had sporadic completion rates were more likely to be males, non-Caucasian, young, single, have less education, engage in more types of gambling and spend more time gambling, have a higher PGSI score and live in areas other than Calgary and Edmonton.  However, while statistically significant, collectively these relationships explained only a modest amount of total variance.   </w:t>
      </w:r>
    </w:p>
    <w:p w:rsidR="002608E7" w:rsidRPr="009255DA" w:rsidRDefault="002608E7" w:rsidP="009255DA">
      <w:pPr>
        <w:jc w:val="both"/>
        <w:rPr>
          <w:szCs w:val="22"/>
        </w:rPr>
      </w:pPr>
    </w:p>
    <w:p w:rsidR="009255DA" w:rsidRPr="009255DA" w:rsidRDefault="009255DA" w:rsidP="009255DA">
      <w:pPr>
        <w:jc w:val="both"/>
        <w:rPr>
          <w:szCs w:val="22"/>
        </w:rPr>
      </w:pPr>
    </w:p>
    <w:p w:rsidR="009255DA" w:rsidRPr="00EB6CB0" w:rsidRDefault="009255DA" w:rsidP="009255DA">
      <w:pPr>
        <w:jc w:val="both"/>
        <w:rPr>
          <w:b/>
          <w:i/>
          <w:szCs w:val="22"/>
        </w:rPr>
      </w:pPr>
      <w:r w:rsidRPr="00EB6CB0">
        <w:rPr>
          <w:b/>
          <w:i/>
          <w:szCs w:val="22"/>
        </w:rPr>
        <w:t xml:space="preserve">The Quinte Longitudinal Study (QLS) </w:t>
      </w:r>
    </w:p>
    <w:p w:rsidR="009255DA" w:rsidRPr="009255DA" w:rsidRDefault="009255DA" w:rsidP="009255DA">
      <w:pPr>
        <w:jc w:val="both"/>
        <w:rPr>
          <w:szCs w:val="22"/>
        </w:rPr>
      </w:pPr>
    </w:p>
    <w:p w:rsidR="009255DA" w:rsidRPr="00A92605" w:rsidRDefault="009255DA" w:rsidP="009255DA">
      <w:pPr>
        <w:jc w:val="both"/>
        <w:rPr>
          <w:szCs w:val="22"/>
        </w:rPr>
      </w:pPr>
      <w:r w:rsidRPr="009255DA">
        <w:rPr>
          <w:szCs w:val="22"/>
        </w:rPr>
        <w:t>Like the LLLP th</w:t>
      </w:r>
      <w:r w:rsidR="002608E7">
        <w:rPr>
          <w:szCs w:val="22"/>
        </w:rPr>
        <w:t>e QLS</w:t>
      </w:r>
      <w:r w:rsidRPr="009255DA">
        <w:rPr>
          <w:szCs w:val="22"/>
        </w:rPr>
        <w:t xml:space="preserve"> study also commenced in 2006.  Participants were recruited via random digit dialling of landline numbers with telephone </w:t>
      </w:r>
      <w:r w:rsidR="002608E7">
        <w:rPr>
          <w:szCs w:val="22"/>
        </w:rPr>
        <w:t>codes estimated to be within 70 </w:t>
      </w:r>
      <w:r w:rsidRPr="009255DA">
        <w:rPr>
          <w:szCs w:val="22"/>
        </w:rPr>
        <w:t xml:space="preserve">kilometres of the Ontario city of Belleville.  A very large number of eligible numbers (115,331) was phoned.  Contact was made with 87,976 people who were asked to take part in a four minute telephone survey.  Over a third (34,453) agreed and 19,333 of these people, aged 18 years and older, were subsequently asked to take part in </w:t>
      </w:r>
      <w:r w:rsidR="00A92605">
        <w:rPr>
          <w:szCs w:val="22"/>
        </w:rPr>
        <w:t>the QLS cohort.</w:t>
      </w:r>
      <w:r w:rsidRPr="009255DA">
        <w:rPr>
          <w:szCs w:val="22"/>
        </w:rPr>
        <w:t xml:space="preserve">  There was also oversampling of people whose gambling or gambling intentions were deemed to have a higher risk of developing gambling problems in future.  Twenty-one percent (4,121) of those who were asked to participate subsequently agreed and completed the baseline assessment.  These and subsequent follow-up assessments (four, 12 months </w:t>
      </w:r>
      <w:r w:rsidR="00A92605">
        <w:rPr>
          <w:szCs w:val="22"/>
        </w:rPr>
        <w:t>apart) were either conducted on</w:t>
      </w:r>
      <w:r w:rsidRPr="009255DA">
        <w:rPr>
          <w:szCs w:val="22"/>
        </w:rPr>
        <w:t>line or in the Belleville QLS office wh</w:t>
      </w:r>
      <w:r w:rsidR="00A92605">
        <w:rPr>
          <w:szCs w:val="22"/>
        </w:rPr>
        <w:t>ere they were also completed on</w:t>
      </w:r>
      <w:r w:rsidRPr="009255DA">
        <w:rPr>
          <w:szCs w:val="22"/>
        </w:rPr>
        <w:t>line</w:t>
      </w:r>
      <w:r w:rsidR="00A92605">
        <w:rPr>
          <w:szCs w:val="22"/>
        </w:rPr>
        <w:t xml:space="preserve"> </w:t>
      </w:r>
      <w:r w:rsidR="00A92605" w:rsidRPr="00A92605">
        <w:rPr>
          <w:szCs w:val="22"/>
        </w:rPr>
        <w:t>(Williams et al</w:t>
      </w:r>
      <w:r w:rsidR="00A92605">
        <w:rPr>
          <w:szCs w:val="22"/>
        </w:rPr>
        <w:t>.</w:t>
      </w:r>
      <w:r w:rsidR="00A92605" w:rsidRPr="00A92605">
        <w:rPr>
          <w:szCs w:val="22"/>
        </w:rPr>
        <w:t>, 2015)</w:t>
      </w:r>
      <w:r w:rsidRPr="00A92605">
        <w:rPr>
          <w:szCs w:val="22"/>
        </w:rPr>
        <w:t>.</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The study was originally designed, in significant part, to assess the socioeconomic impacts of the establishment of a new gambling venue.  At that time having a representative sample was important.  When the venue was not built</w:t>
      </w:r>
      <w:r w:rsidR="00321DF3">
        <w:rPr>
          <w:szCs w:val="22"/>
        </w:rPr>
        <w:t>,</w:t>
      </w:r>
      <w:r w:rsidRPr="009255DA">
        <w:rPr>
          <w:szCs w:val="22"/>
        </w:rPr>
        <w:t xml:space="preserve"> the exclusive purpose of the study was </w:t>
      </w:r>
      <w:r w:rsidR="00321DF3">
        <w:rPr>
          <w:szCs w:val="22"/>
        </w:rPr>
        <w:t xml:space="preserve">to </w:t>
      </w:r>
      <w:r w:rsidRPr="009255DA">
        <w:rPr>
          <w:szCs w:val="22"/>
        </w:rPr>
        <w:t>assess the natural stability of gambling and problem gambling over</w:t>
      </w:r>
      <w:r w:rsidR="00321DF3">
        <w:rPr>
          <w:szCs w:val="22"/>
        </w:rPr>
        <w:t xml:space="preserve"> time and to develop a generalis</w:t>
      </w:r>
      <w:r w:rsidRPr="009255DA">
        <w:rPr>
          <w:szCs w:val="22"/>
        </w:rPr>
        <w:t>able etiological model of problem gambling.  While still desirable to resemble the population from which it is drawn</w:t>
      </w:r>
      <w:r w:rsidR="00321DF3">
        <w:rPr>
          <w:szCs w:val="22"/>
        </w:rPr>
        <w:t>,</w:t>
      </w:r>
      <w:r w:rsidRPr="009255DA">
        <w:rPr>
          <w:szCs w:val="22"/>
        </w:rPr>
        <w:t xml:space="preserve"> this is less of an issue than would have been the case if this had part</w:t>
      </w:r>
      <w:r w:rsidR="00321DF3">
        <w:rPr>
          <w:szCs w:val="22"/>
        </w:rPr>
        <w:t>ly</w:t>
      </w:r>
      <w:r w:rsidRPr="009255DA">
        <w:rPr>
          <w:szCs w:val="22"/>
        </w:rPr>
        <w:t xml:space="preserve"> remained an impact study, or if it had intended to provide general population estimates of problem gambling incidence and other transitions of interest.  The QLS sample is somewhat similar to that of Canadian adults generally, albeit with under-representation of younger and older adults, single people, immigrants, visible ethnic minorities and people lacking post-secondary </w:t>
      </w:r>
      <w:r w:rsidR="00321DF3">
        <w:rPr>
          <w:szCs w:val="22"/>
        </w:rPr>
        <w:t xml:space="preserve">school </w:t>
      </w:r>
      <w:r w:rsidRPr="009255DA">
        <w:rPr>
          <w:szCs w:val="22"/>
        </w:rPr>
        <w:t xml:space="preserve">education.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The great majority (94%) of participants who completed the baseline assessment remained in the study and completed the final assessment five years later.  A substantial majority (89%) completed all five assessments.  Given this very high level of retention, non-random attrition was unlikely.  Although it was found that three variables significantly predicted study non-completion, namely single status, poorer physical health rating and male gender, the variance accounted for was minor.  </w:t>
      </w:r>
    </w:p>
    <w:p w:rsidR="009255DA" w:rsidRDefault="009255DA" w:rsidP="009255DA">
      <w:pPr>
        <w:jc w:val="both"/>
        <w:rPr>
          <w:szCs w:val="22"/>
        </w:rPr>
      </w:pPr>
    </w:p>
    <w:p w:rsidR="00321DF3" w:rsidRPr="009255DA" w:rsidRDefault="00321DF3" w:rsidP="009255DA">
      <w:pPr>
        <w:jc w:val="both"/>
        <w:rPr>
          <w:szCs w:val="22"/>
        </w:rPr>
      </w:pPr>
    </w:p>
    <w:p w:rsidR="009255DA" w:rsidRPr="00321DF3" w:rsidRDefault="009255DA" w:rsidP="009255DA">
      <w:pPr>
        <w:jc w:val="both"/>
        <w:rPr>
          <w:b/>
          <w:i/>
          <w:szCs w:val="22"/>
        </w:rPr>
      </w:pPr>
      <w:r w:rsidRPr="00321DF3">
        <w:rPr>
          <w:b/>
          <w:i/>
          <w:szCs w:val="22"/>
        </w:rPr>
        <w:t>Major LLLP and QLS findings</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The published report on the adult LLLP sample also provides and compares results from the QLS study.  </w:t>
      </w:r>
      <w:r w:rsidR="00321DF3">
        <w:rPr>
          <w:szCs w:val="22"/>
        </w:rPr>
        <w:t>T</w:t>
      </w:r>
      <w:r w:rsidRPr="009255DA">
        <w:rPr>
          <w:szCs w:val="22"/>
        </w:rPr>
        <w:t xml:space="preserve">he QLS report does likewise with respect to the LLLP.  Parallel analyses were </w:t>
      </w:r>
      <w:r w:rsidRPr="009255DA">
        <w:rPr>
          <w:szCs w:val="22"/>
        </w:rPr>
        <w:lastRenderedPageBreak/>
        <w:t>conducted on both data sets to identify findings that were robustly supported in both studies.  Some of the major findings from these studies are presented here.</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As with the Victorian and Swedish studies, among others reviewed previously, considerable stability in people’s gambling and problem gambling was found for the sample as a whole.  However, at </w:t>
      </w:r>
      <w:r w:rsidR="00321DF3">
        <w:rPr>
          <w:szCs w:val="22"/>
        </w:rPr>
        <w:t>an</w:t>
      </w:r>
      <w:r w:rsidRPr="009255DA">
        <w:rPr>
          <w:szCs w:val="22"/>
        </w:rPr>
        <w:t xml:space="preserve"> individual level, there was a large amount of change.  Again, as in a number of earlier studies the non-problem and, to a somewhat lesser extent, non-gambler groups were the most stable over time.  Only a very small percentage of non-gamblers or non-problem gamblers </w:t>
      </w:r>
      <w:r w:rsidR="00321DF3" w:rsidRPr="009255DA">
        <w:rPr>
          <w:szCs w:val="22"/>
        </w:rPr>
        <w:t xml:space="preserve">subsequently </w:t>
      </w:r>
      <w:r w:rsidRPr="009255DA">
        <w:rPr>
          <w:szCs w:val="22"/>
        </w:rPr>
        <w:t>became problem gamblers</w:t>
      </w:r>
      <w:r w:rsidR="00321DF3">
        <w:rPr>
          <w:szCs w:val="22"/>
        </w:rPr>
        <w:t>.  At-</w:t>
      </w:r>
      <w:r w:rsidRPr="009255DA">
        <w:rPr>
          <w:szCs w:val="22"/>
        </w:rPr>
        <w:t xml:space="preserve">risk gamblers were highly unstable with only </w:t>
      </w:r>
      <w:r w:rsidR="00321DF3">
        <w:rPr>
          <w:szCs w:val="22"/>
        </w:rPr>
        <w:t>a minority remaining in</w:t>
      </w:r>
      <w:r w:rsidRPr="009255DA">
        <w:rPr>
          <w:szCs w:val="22"/>
        </w:rPr>
        <w:t xml:space="preserve"> this category from one assessment to the next.  The great majority transitioned back into non-problem gambling.  However, a significant minority became problem gamblers</w:t>
      </w:r>
      <w:r w:rsidR="00321DF3">
        <w:rPr>
          <w:szCs w:val="22"/>
        </w:rPr>
        <w:t xml:space="preserve"> at some time during the study.</w:t>
      </w:r>
      <w:r w:rsidRPr="009255DA">
        <w:rPr>
          <w:szCs w:val="22"/>
        </w:rPr>
        <w:t xml:space="preserve">  Problem gamblers, while more stable than at-risk gamblers, also evidenced relatively high instability.  In both studies</w:t>
      </w:r>
      <w:r w:rsidR="00321DF3">
        <w:rPr>
          <w:szCs w:val="22"/>
        </w:rPr>
        <w:t>,</w:t>
      </w:r>
      <w:r w:rsidRPr="009255DA">
        <w:rPr>
          <w:szCs w:val="22"/>
        </w:rPr>
        <w:t xml:space="preserve"> about a half of people who met the criteria for problem gambling at some time during the study were problem gamblers in only a single year.  Two years was the second most common duration.  Around 80 percent of problem gamblers had at least one year of remission.  Of those who recover</w:t>
      </w:r>
      <w:r w:rsidR="00321DF3">
        <w:rPr>
          <w:szCs w:val="22"/>
        </w:rPr>
        <w:t>ed</w:t>
      </w:r>
      <w:r w:rsidRPr="009255DA">
        <w:rPr>
          <w:szCs w:val="22"/>
        </w:rPr>
        <w:t>, around a third relapsed in the remaining study time period.  Probability of relapse increased with longer prior duration of problems and with increased time.</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It was found that more and less severe forms of problem gambling had similar patterns of duration, chronicity, recovery and relapse when stable was defined as people remaining in the most severe category.  However, when recovery was defined as not having either problem gambling or severe problem gambling, people with more severe problems evidenced more stability and chronicity.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 xml:space="preserve">Being an at-risk or problem gambler was the strongest predictor of being a problem gambler at a subsequent assessment. </w:t>
      </w:r>
      <w:r w:rsidR="008B4947">
        <w:rPr>
          <w:szCs w:val="22"/>
        </w:rPr>
        <w:t xml:space="preserve"> </w:t>
      </w:r>
      <w:r w:rsidRPr="009255DA">
        <w:rPr>
          <w:szCs w:val="22"/>
        </w:rPr>
        <w:t xml:space="preserve">Overall gambling intensity was the next strongest predictor, as measured by frequency, time spent gambling, expenditure and total number of activities engaged in.  High frequency of involvement in continuous gambling activities, particularly EGMs and casino table games, was the third strongest predictor.  A number of other gambling-related predictors were also significant including experiencing a big win in the past year, gambling being a top leisure activity, having family members and/or friends who are regular gamblers, gambling to win money or escape, dissociating while gambling and having more gambling fallacies.  </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A large number of other factors also pr</w:t>
      </w:r>
      <w:r w:rsidR="008B4947">
        <w:rPr>
          <w:szCs w:val="22"/>
        </w:rPr>
        <w:t>edicted future problem gambling</w:t>
      </w:r>
      <w:r w:rsidRPr="009255DA">
        <w:rPr>
          <w:szCs w:val="22"/>
        </w:rPr>
        <w:t xml:space="preserve"> including the following personality factors: impulsivity, vulnerability to stress, lower agreeableness and lower conscientiousness.  Mental  health predictors were also identified, the strongest being depression, followed by anxiety-related disorders, substance abuse, having a behavioural addiction  and having a lifetime addiction to alcohol or drugs or mental health problems.  Some other variables were also implicated but had a weaker relationship.  These variables included a greater number of stressful events in the past year, lower intelligence, lower educational attainment, lower happiness, higher stress, a history of child abuse, antisocial traits, having a physical disability and/or lower general health rating.</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Multivariate analyses accounted for the majority of variance at each assessment period, indicating that the results provide a fairly comprehensive account of factors contributing to the future onset of problem gambling.  A number of the univariate predictors were no longer significant in the multivariate models owing to overlapping predictive power.  As in the univariate analyses</w:t>
      </w:r>
      <w:r w:rsidR="008B4947">
        <w:rPr>
          <w:szCs w:val="22"/>
        </w:rPr>
        <w:t>,</w:t>
      </w:r>
      <w:r w:rsidRPr="009255DA">
        <w:rPr>
          <w:szCs w:val="22"/>
        </w:rPr>
        <w:t xml:space="preserve"> being an at-risk or problem gamb</w:t>
      </w:r>
      <w:r w:rsidR="008B4947">
        <w:rPr>
          <w:szCs w:val="22"/>
        </w:rPr>
        <w:t>ler was the strongest predictor</w:t>
      </w:r>
      <w:r w:rsidRPr="009255DA">
        <w:rPr>
          <w:szCs w:val="22"/>
        </w:rPr>
        <w:t xml:space="preserve"> followed </w:t>
      </w:r>
      <w:r w:rsidRPr="009255DA">
        <w:rPr>
          <w:szCs w:val="22"/>
        </w:rPr>
        <w:lastRenderedPageBreak/>
        <w:t xml:space="preserve">by a number of the other gambling related variables including increased frequency of EGM and/or casino table game participation.  The only other variables adding significantly to multivariate prediction were impulsivity, having a behavioural addiction, lifetime history of addiction to alcohol or drugs and a family history of mental health problems.        </w:t>
      </w:r>
    </w:p>
    <w:p w:rsidR="009255DA" w:rsidRPr="009255DA" w:rsidRDefault="009255DA" w:rsidP="009255DA">
      <w:pPr>
        <w:jc w:val="both"/>
        <w:rPr>
          <w:szCs w:val="22"/>
        </w:rPr>
      </w:pPr>
      <w:r w:rsidRPr="009255DA">
        <w:rPr>
          <w:szCs w:val="22"/>
        </w:rPr>
        <w:t xml:space="preserve">           </w:t>
      </w:r>
    </w:p>
    <w:p w:rsidR="009255DA" w:rsidRPr="009255DA" w:rsidRDefault="009255DA" w:rsidP="009255DA">
      <w:pPr>
        <w:jc w:val="both"/>
        <w:rPr>
          <w:szCs w:val="22"/>
        </w:rPr>
      </w:pPr>
      <w:r w:rsidRPr="009255DA">
        <w:rPr>
          <w:szCs w:val="22"/>
        </w:rPr>
        <w:t>The analyses summarised to this point do not differentiate between factors that predict the first onset of problem gambling rather than relapse following recovery or continued problem gambling from a previous assessment.  Further analyses were conducted to see if there are differences.  Almost all of the gambling-related predictors were found to predict first onset of gambling</w:t>
      </w:r>
      <w:r w:rsidR="008B4947">
        <w:rPr>
          <w:szCs w:val="22"/>
        </w:rPr>
        <w:t>.  There were a few exceptions.</w:t>
      </w:r>
      <w:r w:rsidRPr="009255DA">
        <w:rPr>
          <w:szCs w:val="22"/>
        </w:rPr>
        <w:t xml:space="preserve">  Being in the problem gambling or at-risk category and proximity to EGM venues were more strongly predictive of relapse and problem continuation than </w:t>
      </w:r>
      <w:r w:rsidR="008B4947">
        <w:rPr>
          <w:szCs w:val="22"/>
        </w:rPr>
        <w:t>they were of</w:t>
      </w:r>
      <w:r w:rsidRPr="009255DA">
        <w:rPr>
          <w:szCs w:val="22"/>
        </w:rPr>
        <w:t xml:space="preserve"> first onset of problem gambling.  While also predictive of problem continuity and relapse, some factors were significantly stronger predictors of first problem gambling onset than other factors.  Intensive gambling involvement was the strongest predictor, followed by having a big win in the past year and gambling being a favourite leisure activity.  Impulsivity and major depressive disorder were also strong predictors.  A number of other fac</w:t>
      </w:r>
      <w:r w:rsidR="008B4947">
        <w:rPr>
          <w:szCs w:val="22"/>
        </w:rPr>
        <w:t>tors also predicted first onset;</w:t>
      </w:r>
      <w:r w:rsidRPr="009255DA">
        <w:rPr>
          <w:szCs w:val="22"/>
        </w:rPr>
        <w:t xml:space="preserve"> however, most were even stronger predictors of continuity and relapse.  Williams et al</w:t>
      </w:r>
      <w:r w:rsidR="008B4947">
        <w:rPr>
          <w:szCs w:val="22"/>
        </w:rPr>
        <w:t>.</w:t>
      </w:r>
      <w:r w:rsidRPr="009255DA">
        <w:rPr>
          <w:szCs w:val="22"/>
        </w:rPr>
        <w:t xml:space="preserve"> (2015) concluded “most predictors appear to create enduring risk for problem gambling at all future time periods, rather than some creating imminent risk and others creating risk that takes years to manifest itself” (p.8). </w:t>
      </w:r>
    </w:p>
    <w:p w:rsidR="00791CC8" w:rsidRDefault="00791CC8" w:rsidP="009255DA">
      <w:pPr>
        <w:jc w:val="both"/>
        <w:rPr>
          <w:szCs w:val="22"/>
        </w:rPr>
      </w:pPr>
    </w:p>
    <w:p w:rsidR="009255DA" w:rsidRPr="009255DA" w:rsidRDefault="009255DA" w:rsidP="009255DA">
      <w:pPr>
        <w:jc w:val="both"/>
        <w:rPr>
          <w:szCs w:val="22"/>
        </w:rPr>
      </w:pPr>
      <w:r w:rsidRPr="009255DA">
        <w:rPr>
          <w:szCs w:val="22"/>
        </w:rPr>
        <w:t>While there is overlap, some differences were found between factors that predicted higher involvement in gambling and those t</w:t>
      </w:r>
      <w:r w:rsidR="008B4947">
        <w:rPr>
          <w:szCs w:val="22"/>
        </w:rPr>
        <w:t>hat predicted problem gambling.</w:t>
      </w:r>
      <w:r w:rsidRPr="009255DA">
        <w:rPr>
          <w:szCs w:val="22"/>
        </w:rPr>
        <w:t xml:space="preserve">  For example, being less intelligent and less religious, having greater excitement seeking and having grown up with parents and friends who gamble predicted greater gambling involvement but were not directly related to higher levels of problem gambling.  Male gender also predicted higher gambling involvement in both studies.  It also predicted gambling problems in the LL</w:t>
      </w:r>
      <w:r w:rsidR="008B4947">
        <w:rPr>
          <w:szCs w:val="22"/>
        </w:rPr>
        <w:t>L</w:t>
      </w:r>
      <w:r w:rsidRPr="009255DA">
        <w:rPr>
          <w:szCs w:val="22"/>
        </w:rPr>
        <w:t>P but not in the QLS.  Antisocial personality disorder was another factor that was associated with greater involvement in both studies and that also predicted problem gambling in o</w:t>
      </w:r>
      <w:r w:rsidR="008B4947">
        <w:rPr>
          <w:szCs w:val="22"/>
        </w:rPr>
        <w:t>ne (LLLP).</w:t>
      </w:r>
      <w:r w:rsidRPr="009255DA">
        <w:rPr>
          <w:szCs w:val="22"/>
        </w:rPr>
        <w:t xml:space="preserve">  Other factors</w:t>
      </w:r>
      <w:r w:rsidR="008B4947">
        <w:rPr>
          <w:szCs w:val="22"/>
        </w:rPr>
        <w:t xml:space="preserve"> such as</w:t>
      </w:r>
      <w:r w:rsidRPr="009255DA">
        <w:rPr>
          <w:szCs w:val="22"/>
        </w:rPr>
        <w:t xml:space="preserve"> experiencing an early big win or loss and gambling to escape were directly associated with</w:t>
      </w:r>
      <w:r w:rsidR="008B4947">
        <w:rPr>
          <w:szCs w:val="22"/>
        </w:rPr>
        <w:t>,</w:t>
      </w:r>
      <w:r w:rsidRPr="009255DA">
        <w:rPr>
          <w:szCs w:val="22"/>
        </w:rPr>
        <w:t xml:space="preserve"> and predictive of</w:t>
      </w:r>
      <w:r w:rsidR="008B4947">
        <w:rPr>
          <w:szCs w:val="22"/>
        </w:rPr>
        <w:t>,</w:t>
      </w:r>
      <w:r w:rsidRPr="009255DA">
        <w:rPr>
          <w:szCs w:val="22"/>
        </w:rPr>
        <w:t xml:space="preserve"> both increased gambling and problem gambling.  Some factors, notably internalising mental disorders including depression, anxiety and obsessive compulsive traits, were not predictive of increased gambling but did predict the development of problem gambling.  This was also the case for drug abuse.  There was inconsistency between the studies with respect to alcohol use disorder and tobacco smoking.  The former was unrelated to gambling involvement in both studies and unrelated to problem gambling in the LLLP.  However, in the QLS, alcohol use disorder predicted a reduced likelihood of developing a gambling problem.</w:t>
      </w:r>
      <w:r w:rsidR="008B4947">
        <w:rPr>
          <w:szCs w:val="22"/>
        </w:rPr>
        <w:t xml:space="preserve"> </w:t>
      </w:r>
      <w:r w:rsidRPr="009255DA">
        <w:rPr>
          <w:szCs w:val="22"/>
        </w:rPr>
        <w:t xml:space="preserve"> In this study, people with this disorder were no more likely to gamble in future.  They were, however, more likely to develop a gambling disorder.  In the case of tobacco use, the QLS found a relationship </w:t>
      </w:r>
      <w:r w:rsidR="008B4947">
        <w:rPr>
          <w:szCs w:val="22"/>
        </w:rPr>
        <w:t xml:space="preserve">with </w:t>
      </w:r>
      <w:r w:rsidRPr="009255DA">
        <w:rPr>
          <w:szCs w:val="22"/>
        </w:rPr>
        <w:t>gambling participation but no relationship with gambling problems.  In contrast, in the LLLP, the situation was reversed.  Tobacco use did not predict increased gambling but predict</w:t>
      </w:r>
      <w:r w:rsidR="008B4947">
        <w:rPr>
          <w:szCs w:val="22"/>
        </w:rPr>
        <w:t>ed</w:t>
      </w:r>
      <w:r w:rsidRPr="009255DA">
        <w:rPr>
          <w:szCs w:val="22"/>
        </w:rPr>
        <w:t xml:space="preserve"> increased problem gambling. </w:t>
      </w:r>
    </w:p>
    <w:p w:rsidR="008B4947" w:rsidRDefault="009255DA" w:rsidP="009255DA">
      <w:pPr>
        <w:jc w:val="both"/>
        <w:rPr>
          <w:szCs w:val="22"/>
        </w:rPr>
      </w:pPr>
      <w:r w:rsidRPr="009255DA">
        <w:rPr>
          <w:szCs w:val="22"/>
        </w:rPr>
        <w:t xml:space="preserve"> </w:t>
      </w:r>
    </w:p>
    <w:p w:rsidR="009255DA" w:rsidRPr="009255DA" w:rsidRDefault="009255DA" w:rsidP="009255DA">
      <w:pPr>
        <w:jc w:val="both"/>
        <w:rPr>
          <w:szCs w:val="22"/>
        </w:rPr>
      </w:pPr>
      <w:r w:rsidRPr="009255DA">
        <w:rPr>
          <w:szCs w:val="22"/>
        </w:rPr>
        <w:t xml:space="preserve">     </w:t>
      </w:r>
    </w:p>
    <w:p w:rsidR="009255DA" w:rsidRPr="008B4947" w:rsidRDefault="009255DA" w:rsidP="009255DA">
      <w:pPr>
        <w:jc w:val="both"/>
        <w:rPr>
          <w:b/>
          <w:i/>
          <w:szCs w:val="22"/>
        </w:rPr>
      </w:pPr>
      <w:r w:rsidRPr="008B4947">
        <w:rPr>
          <w:b/>
          <w:i/>
          <w:szCs w:val="22"/>
        </w:rPr>
        <w:t>Conclusion</w:t>
      </w:r>
    </w:p>
    <w:p w:rsidR="009255DA" w:rsidRPr="009255DA" w:rsidRDefault="009255DA" w:rsidP="009255DA">
      <w:pPr>
        <w:jc w:val="both"/>
        <w:rPr>
          <w:szCs w:val="22"/>
        </w:rPr>
      </w:pPr>
    </w:p>
    <w:p w:rsidR="009255DA" w:rsidRPr="009255DA" w:rsidRDefault="009255DA" w:rsidP="009255DA">
      <w:pPr>
        <w:jc w:val="both"/>
        <w:rPr>
          <w:szCs w:val="22"/>
        </w:rPr>
      </w:pPr>
      <w:r w:rsidRPr="009255DA">
        <w:rPr>
          <w:szCs w:val="22"/>
        </w:rPr>
        <w:t>It is apparent that the four large prospective studies that have recently been completed or are still in progress have part</w:t>
      </w:r>
      <w:r w:rsidR="008B4947">
        <w:rPr>
          <w:szCs w:val="22"/>
        </w:rPr>
        <w:t>ly</w:t>
      </w:r>
      <w:r w:rsidRPr="009255DA">
        <w:rPr>
          <w:szCs w:val="22"/>
        </w:rPr>
        <w:t xml:space="preserve"> replicated previous findings from much smaller, less representative and often methodologically compromised studies.  They have substantially increased our knowledge about</w:t>
      </w:r>
      <w:r w:rsidR="008B4947">
        <w:rPr>
          <w:szCs w:val="22"/>
        </w:rPr>
        <w:t>,</w:t>
      </w:r>
      <w:r w:rsidRPr="009255DA">
        <w:rPr>
          <w:szCs w:val="22"/>
        </w:rPr>
        <w:t xml:space="preserve"> and understanding of</w:t>
      </w:r>
      <w:r w:rsidR="008B4947">
        <w:rPr>
          <w:szCs w:val="22"/>
        </w:rPr>
        <w:t>,</w:t>
      </w:r>
      <w:r w:rsidRPr="009255DA">
        <w:rPr>
          <w:szCs w:val="22"/>
        </w:rPr>
        <w:t xml:space="preserve"> problem gambling incidence, other gambling </w:t>
      </w:r>
      <w:r w:rsidRPr="009255DA">
        <w:rPr>
          <w:szCs w:val="22"/>
        </w:rPr>
        <w:lastRenderedPageBreak/>
        <w:t xml:space="preserve">transitions and factors that predict these transitions.  Over the next few years it is anticipated that much more information will be available from these studies as additional analyses are conducted, Swedish reports are translated into English and papers based on the studies are published in peer reviewed journals.  These findings will be considered further in relation to the discussion section of this report and in future NGS reports.            </w:t>
      </w:r>
    </w:p>
    <w:p w:rsidR="00AF7A06" w:rsidRPr="00AF7A06" w:rsidRDefault="00AF7A06" w:rsidP="00AF7A06">
      <w:pPr>
        <w:jc w:val="both"/>
        <w:rPr>
          <w:szCs w:val="22"/>
        </w:rPr>
      </w:pPr>
      <w:r w:rsidRPr="00AF7A06">
        <w:rPr>
          <w:szCs w:val="22"/>
        </w:rPr>
        <w:t xml:space="preserve">                 </w:t>
      </w:r>
    </w:p>
    <w:p w:rsidR="004E1A2E" w:rsidRPr="00D13ADD" w:rsidRDefault="004E1A2E" w:rsidP="00676DA0">
      <w:pPr>
        <w:jc w:val="both"/>
        <w:rPr>
          <w:szCs w:val="22"/>
        </w:rPr>
      </w:pPr>
    </w:p>
    <w:p w:rsidR="009A2FE2" w:rsidRPr="00D76758" w:rsidRDefault="008D0F3C" w:rsidP="00D50754">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r w:rsidRPr="00D13ADD">
        <w:rPr>
          <w:rFonts w:cs="Times New Roman"/>
          <w:sz w:val="22"/>
          <w:szCs w:val="22"/>
        </w:rPr>
        <w:br w:type="page"/>
      </w:r>
      <w:bookmarkStart w:id="24" w:name="_Toc371414857"/>
      <w:bookmarkStart w:id="25" w:name="_Toc399511063"/>
      <w:bookmarkStart w:id="26" w:name="_Toc399511208"/>
      <w:bookmarkStart w:id="27" w:name="_Toc403052515"/>
      <w:bookmarkStart w:id="28" w:name="_Toc403052850"/>
      <w:bookmarkStart w:id="29" w:name="_Toc420392584"/>
      <w:bookmarkEnd w:id="23"/>
      <w:r w:rsidR="00DF7095">
        <w:rPr>
          <w:rFonts w:cs="Times New Roman"/>
          <w:sz w:val="22"/>
          <w:szCs w:val="22"/>
        </w:rPr>
        <w:lastRenderedPageBreak/>
        <w:t>PROJECT PROCESSES</w:t>
      </w:r>
      <w:bookmarkEnd w:id="24"/>
      <w:bookmarkEnd w:id="25"/>
      <w:bookmarkEnd w:id="26"/>
      <w:bookmarkEnd w:id="27"/>
      <w:bookmarkEnd w:id="28"/>
      <w:bookmarkEnd w:id="29"/>
    </w:p>
    <w:p w:rsidR="00D50754" w:rsidRPr="00D13ADD" w:rsidRDefault="00D50754" w:rsidP="00D50754">
      <w:pPr>
        <w:rPr>
          <w:szCs w:val="22"/>
        </w:rPr>
      </w:pPr>
      <w:bookmarkStart w:id="30" w:name="_Toc109453383"/>
    </w:p>
    <w:p w:rsidR="00E211A2" w:rsidRPr="00D13ADD" w:rsidRDefault="009A2FE2" w:rsidP="00D80B84">
      <w:pPr>
        <w:pStyle w:val="heading2a"/>
        <w:pBdr>
          <w:top w:val="single" w:sz="4" w:space="1" w:color="auto"/>
          <w:left w:val="single" w:sz="4" w:space="4" w:color="auto"/>
          <w:bottom w:val="single" w:sz="4" w:space="1" w:color="auto"/>
          <w:right w:val="single" w:sz="4" w:space="4" w:color="auto"/>
        </w:pBdr>
        <w:tabs>
          <w:tab w:val="clear" w:pos="1800"/>
        </w:tabs>
        <w:ind w:left="709"/>
      </w:pPr>
      <w:bookmarkStart w:id="31" w:name="_Toc371414858"/>
      <w:bookmarkStart w:id="32" w:name="_Toc399511064"/>
      <w:bookmarkStart w:id="33" w:name="_Toc399511209"/>
      <w:bookmarkStart w:id="34" w:name="_Toc403052516"/>
      <w:bookmarkStart w:id="35" w:name="_Toc403052851"/>
      <w:bookmarkStart w:id="36" w:name="_Toc420392585"/>
      <w:r w:rsidRPr="00D13ADD">
        <w:t>Ethics approval</w:t>
      </w:r>
      <w:bookmarkEnd w:id="30"/>
      <w:bookmarkEnd w:id="31"/>
      <w:bookmarkEnd w:id="32"/>
      <w:bookmarkEnd w:id="33"/>
      <w:bookmarkEnd w:id="34"/>
      <w:bookmarkEnd w:id="35"/>
      <w:bookmarkEnd w:id="36"/>
    </w:p>
    <w:p w:rsidR="00864149" w:rsidRDefault="00864149" w:rsidP="00BE6FF5">
      <w:pPr>
        <w:pStyle w:val="StyleNormalWeb11ptJustifiedBeforeAutoAfterAuto"/>
      </w:pPr>
    </w:p>
    <w:p w:rsidR="00D76758" w:rsidRPr="00D13ADD" w:rsidRDefault="00D76758" w:rsidP="00BE6FF5">
      <w:pPr>
        <w:pStyle w:val="StyleNormalWeb11ptJustifiedBeforeAutoAfterAuto"/>
      </w:pPr>
      <w:r>
        <w:t xml:space="preserve">Ethical approval for the conduct of the project </w:t>
      </w:r>
      <w:r w:rsidR="00484E38">
        <w:t>(</w:t>
      </w:r>
      <w:r w:rsidR="00173EB8">
        <w:t>Wave 1 and Wave 2</w:t>
      </w:r>
      <w:r w:rsidR="00484E38">
        <w:t xml:space="preserve">) </w:t>
      </w:r>
      <w:r>
        <w:t>was granted by the Northern Y Regional Ethics Committee of the Health and Disability Ethics Committees on</w:t>
      </w:r>
      <w:r w:rsidR="00173EB8">
        <w:t xml:space="preserve"> 26 </w:t>
      </w:r>
      <w:r>
        <w:t>May 2011 (Reference: NTY/11/04/040).</w:t>
      </w:r>
      <w:r w:rsidR="00665BB8">
        <w:t xml:space="preserve">  An amendment to the process which pertained to the </w:t>
      </w:r>
      <w:r w:rsidR="00173EB8">
        <w:t xml:space="preserve">Wave 2 </w:t>
      </w:r>
      <w:r w:rsidR="00665BB8">
        <w:t xml:space="preserve">participants receiving a $20 koha </w:t>
      </w:r>
      <w:r w:rsidR="00CC0ADF">
        <w:t xml:space="preserve">(gift for recognition of time given to the survey) </w:t>
      </w:r>
      <w:r w:rsidR="00665BB8">
        <w:t xml:space="preserve">and information about the </w:t>
      </w:r>
      <w:r w:rsidR="00484E38">
        <w:t xml:space="preserve">baseline </w:t>
      </w:r>
      <w:r w:rsidR="00665BB8">
        <w:t>prevalence phase of the study was granted by the Health and Disability Ethics Committees on 9 July 2013 (Reference: NTY/11/04/040/AM02).</w:t>
      </w:r>
    </w:p>
    <w:p w:rsidR="00864149" w:rsidRDefault="00864149" w:rsidP="00BE6FF5">
      <w:pPr>
        <w:pStyle w:val="StyleNormalWeb11ptJustifiedBeforeAutoAfterAuto"/>
      </w:pPr>
    </w:p>
    <w:p w:rsidR="00665BB8" w:rsidRPr="00D13ADD" w:rsidRDefault="00665BB8" w:rsidP="00BE6FF5">
      <w:pPr>
        <w:pStyle w:val="StyleNormalWeb11ptJustifiedBeforeAutoAfterAuto"/>
      </w:pPr>
      <w:r w:rsidRPr="00D13ADD">
        <w:t>During the research the following measures were taken to protect the identity of the participants:</w:t>
      </w:r>
    </w:p>
    <w:p w:rsidR="00665BB8" w:rsidRPr="00D13ADD" w:rsidRDefault="00665BB8" w:rsidP="005636CC">
      <w:pPr>
        <w:pStyle w:val="StyleNormalWeb11ptJustifiedBeforeAutoAfterAuto"/>
        <w:numPr>
          <w:ilvl w:val="0"/>
          <w:numId w:val="37"/>
        </w:numPr>
      </w:pPr>
      <w:r w:rsidRPr="00D13ADD">
        <w:t>All participants were allocated a code by the research team to protect their identities</w:t>
      </w:r>
    </w:p>
    <w:p w:rsidR="00665BB8" w:rsidRPr="00D13ADD" w:rsidRDefault="00665BB8" w:rsidP="005636CC">
      <w:pPr>
        <w:pStyle w:val="StyleNormalWeb11ptJustified"/>
        <w:numPr>
          <w:ilvl w:val="0"/>
          <w:numId w:val="37"/>
        </w:numPr>
      </w:pPr>
      <w:r w:rsidRPr="00D13ADD">
        <w:t>No personal identifying information has been reported</w:t>
      </w:r>
      <w:r>
        <w:t>.</w:t>
      </w:r>
      <w:r w:rsidRPr="00D13ADD">
        <w:t xml:space="preserve">  </w:t>
      </w:r>
    </w:p>
    <w:p w:rsidR="00173EB8" w:rsidRDefault="00173EB8" w:rsidP="00BE6FF5">
      <w:pPr>
        <w:pStyle w:val="StyleNormalWeb11ptJustifiedBeforeAutoAfterAuto"/>
      </w:pPr>
    </w:p>
    <w:p w:rsidR="00665BB8" w:rsidRPr="00D13ADD" w:rsidRDefault="009E6A29" w:rsidP="00BE6FF5">
      <w:pPr>
        <w:pStyle w:val="StyleNormalWeb11ptJustifiedBeforeAutoAfterAuto"/>
      </w:pPr>
      <w:r>
        <w:t>A</w:t>
      </w:r>
      <w:r w:rsidR="00665BB8" w:rsidRPr="00D13ADD">
        <w:t>ddition</w:t>
      </w:r>
      <w:r>
        <w:t>ally</w:t>
      </w:r>
      <w:r w:rsidR="00665BB8">
        <w:t>, p</w:t>
      </w:r>
      <w:r w:rsidR="00665BB8" w:rsidRPr="00D13ADD">
        <w:t>articipants were informed that participation in the research was voluntary and that they could withdraw at any time, prior to data reporting</w:t>
      </w:r>
      <w:r w:rsidR="00665BB8">
        <w:t>.</w:t>
      </w:r>
    </w:p>
    <w:p w:rsidR="00665BB8" w:rsidRPr="00D13ADD" w:rsidRDefault="00665BB8" w:rsidP="00BE6FF5">
      <w:pPr>
        <w:pStyle w:val="StyleNormalWeb11ptJustifiedBeforeAutoAfterAuto"/>
      </w:pPr>
    </w:p>
    <w:p w:rsidR="00D80B84" w:rsidRPr="00D13ADD" w:rsidRDefault="00D80B84" w:rsidP="00D80B84">
      <w:pPr>
        <w:pStyle w:val="heading2a"/>
        <w:keepNext w:val="0"/>
        <w:pBdr>
          <w:top w:val="single" w:sz="4" w:space="1" w:color="auto"/>
          <w:left w:val="single" w:sz="4" w:space="4" w:color="auto"/>
          <w:bottom w:val="single" w:sz="4" w:space="1" w:color="auto"/>
          <w:right w:val="single" w:sz="4" w:space="4" w:color="auto"/>
        </w:pBdr>
        <w:tabs>
          <w:tab w:val="clear" w:pos="1800"/>
          <w:tab w:val="left" w:pos="567"/>
        </w:tabs>
        <w:ind w:left="709"/>
        <w:rPr>
          <w:sz w:val="22"/>
          <w:szCs w:val="22"/>
        </w:rPr>
      </w:pPr>
      <w:bookmarkStart w:id="37" w:name="_Toc371414859"/>
      <w:bookmarkStart w:id="38" w:name="_Toc399511065"/>
      <w:bookmarkStart w:id="39" w:name="_Toc399511210"/>
      <w:bookmarkStart w:id="40" w:name="_Toc403052517"/>
      <w:bookmarkStart w:id="41" w:name="_Toc403052852"/>
      <w:bookmarkStart w:id="42" w:name="_Toc420392586"/>
      <w:r>
        <w:rPr>
          <w:sz w:val="22"/>
          <w:szCs w:val="22"/>
        </w:rPr>
        <w:t xml:space="preserve">Reference </w:t>
      </w:r>
      <w:r w:rsidR="001D6975">
        <w:rPr>
          <w:sz w:val="22"/>
          <w:szCs w:val="22"/>
        </w:rPr>
        <w:t>Group</w:t>
      </w:r>
      <w:bookmarkEnd w:id="37"/>
      <w:bookmarkEnd w:id="38"/>
      <w:bookmarkEnd w:id="39"/>
      <w:bookmarkEnd w:id="40"/>
      <w:bookmarkEnd w:id="41"/>
      <w:bookmarkEnd w:id="42"/>
    </w:p>
    <w:p w:rsidR="00E211A2" w:rsidRPr="00D13ADD" w:rsidRDefault="00E211A2" w:rsidP="0010148F">
      <w:pPr>
        <w:jc w:val="both"/>
        <w:rPr>
          <w:szCs w:val="22"/>
        </w:rPr>
      </w:pPr>
    </w:p>
    <w:p w:rsidR="00A63362" w:rsidRPr="00D13ADD" w:rsidRDefault="00171F43" w:rsidP="004F7D06">
      <w:pPr>
        <w:jc w:val="both"/>
        <w:rPr>
          <w:szCs w:val="22"/>
        </w:rPr>
      </w:pPr>
      <w:r>
        <w:rPr>
          <w:szCs w:val="22"/>
        </w:rPr>
        <w:t>A Reference Group was established specifically for this project to provide advice and recommendations throughout the project</w:t>
      </w:r>
      <w:r w:rsidR="00754365">
        <w:rPr>
          <w:szCs w:val="22"/>
        </w:rPr>
        <w:t xml:space="preserve">.  Reference group members comprised academics </w:t>
      </w:r>
      <w:r w:rsidR="00CF4C73">
        <w:rPr>
          <w:szCs w:val="22"/>
        </w:rPr>
        <w:t xml:space="preserve">and others </w:t>
      </w:r>
      <w:r w:rsidR="00754365">
        <w:rPr>
          <w:szCs w:val="22"/>
        </w:rPr>
        <w:t xml:space="preserve">knowledgeable in </w:t>
      </w:r>
      <w:r w:rsidR="00CF4C73">
        <w:rPr>
          <w:szCs w:val="22"/>
        </w:rPr>
        <w:t xml:space="preserve">the conduct and interpretation of </w:t>
      </w:r>
      <w:r w:rsidR="00754365">
        <w:rPr>
          <w:szCs w:val="22"/>
        </w:rPr>
        <w:t xml:space="preserve">large-scale national studies, statisticians, problem gambling clinicians, </w:t>
      </w:r>
      <w:r w:rsidR="00592A21">
        <w:rPr>
          <w:szCs w:val="22"/>
        </w:rPr>
        <w:t xml:space="preserve">Government representatives (Department of Internal Affairs and Ministry of Health), gambling industry representatives, and </w:t>
      </w:r>
      <w:r w:rsidR="00CF1597">
        <w:rPr>
          <w:szCs w:val="22"/>
        </w:rPr>
        <w:t>Māori</w:t>
      </w:r>
      <w:r w:rsidR="00592A21">
        <w:rPr>
          <w:szCs w:val="22"/>
        </w:rPr>
        <w:t>, Pacific and Asian problem gambling treatment sector representatives.</w:t>
      </w:r>
    </w:p>
    <w:p w:rsidR="00087858" w:rsidRDefault="00087858" w:rsidP="00087858">
      <w:pPr>
        <w:jc w:val="both"/>
        <w:rPr>
          <w:szCs w:val="22"/>
        </w:rPr>
      </w:pPr>
    </w:p>
    <w:p w:rsidR="00E54026" w:rsidRDefault="00E54026" w:rsidP="00087858">
      <w:pPr>
        <w:jc w:val="both"/>
        <w:rPr>
          <w:szCs w:val="22"/>
        </w:rPr>
      </w:pPr>
    </w:p>
    <w:p w:rsidR="00E54026" w:rsidRDefault="00E54026" w:rsidP="00D878A4">
      <w:pPr>
        <w:shd w:val="clear" w:color="auto" w:fill="D9D9D9" w:themeFill="background1" w:themeFillShade="D9"/>
        <w:rPr>
          <w:b/>
          <w:bCs/>
          <w:kern w:val="32"/>
          <w:szCs w:val="22"/>
        </w:rPr>
      </w:pPr>
      <w:r w:rsidRPr="00D878A4">
        <w:rPr>
          <w:b/>
          <w:bCs/>
          <w:kern w:val="32"/>
          <w:szCs w:val="22"/>
        </w:rPr>
        <w:br w:type="page"/>
      </w:r>
    </w:p>
    <w:p w:rsidR="00E54026" w:rsidRPr="00D76758" w:rsidRDefault="00E54026" w:rsidP="00E54026">
      <w:pPr>
        <w:pStyle w:val="Heading1"/>
        <w:pBdr>
          <w:top w:val="single" w:sz="4" w:space="1" w:color="auto"/>
          <w:left w:val="single" w:sz="4" w:space="4" w:color="auto"/>
          <w:bottom w:val="single" w:sz="4" w:space="1" w:color="auto"/>
          <w:right w:val="single" w:sz="4" w:space="4" w:color="auto"/>
        </w:pBdr>
        <w:shd w:val="clear" w:color="auto" w:fill="E0E0E0"/>
        <w:tabs>
          <w:tab w:val="num" w:pos="360"/>
        </w:tabs>
        <w:ind w:left="360"/>
        <w:rPr>
          <w:rFonts w:cs="Times New Roman"/>
          <w:sz w:val="22"/>
          <w:szCs w:val="22"/>
        </w:rPr>
      </w:pPr>
      <w:bookmarkStart w:id="43" w:name="_Toc371414861"/>
      <w:bookmarkStart w:id="44" w:name="_Toc399511066"/>
      <w:bookmarkStart w:id="45" w:name="_Toc399511211"/>
      <w:bookmarkStart w:id="46" w:name="_Toc403052518"/>
      <w:bookmarkStart w:id="47" w:name="_Toc403052853"/>
      <w:bookmarkStart w:id="48" w:name="_Toc420392587"/>
      <w:r w:rsidRPr="00D76758">
        <w:rPr>
          <w:rFonts w:cs="Times New Roman"/>
          <w:sz w:val="22"/>
          <w:szCs w:val="22"/>
        </w:rPr>
        <w:lastRenderedPageBreak/>
        <w:t>RESEARCH METHOD</w:t>
      </w:r>
      <w:r w:rsidR="00DF7095">
        <w:rPr>
          <w:rFonts w:cs="Times New Roman"/>
          <w:sz w:val="22"/>
          <w:szCs w:val="22"/>
        </w:rPr>
        <w:t>S</w:t>
      </w:r>
      <w:bookmarkEnd w:id="43"/>
      <w:bookmarkEnd w:id="44"/>
      <w:bookmarkEnd w:id="45"/>
      <w:bookmarkEnd w:id="46"/>
      <w:bookmarkEnd w:id="47"/>
      <w:bookmarkEnd w:id="48"/>
    </w:p>
    <w:p w:rsidR="00E54026" w:rsidRDefault="00E54026" w:rsidP="00087858">
      <w:pPr>
        <w:jc w:val="both"/>
        <w:rPr>
          <w:szCs w:val="22"/>
        </w:rPr>
      </w:pPr>
    </w:p>
    <w:p w:rsidR="005D3236" w:rsidRDefault="005D3236" w:rsidP="005D3236">
      <w:pPr>
        <w:jc w:val="both"/>
        <w:rPr>
          <w:bCs/>
          <w:kern w:val="32"/>
          <w:szCs w:val="22"/>
        </w:rPr>
      </w:pPr>
      <w:r w:rsidRPr="00871A3B">
        <w:rPr>
          <w:bCs/>
          <w:kern w:val="32"/>
          <w:szCs w:val="22"/>
        </w:rPr>
        <w:t>Research methods</w:t>
      </w:r>
      <w:r>
        <w:rPr>
          <w:bCs/>
          <w:kern w:val="32"/>
          <w:szCs w:val="22"/>
        </w:rPr>
        <w:t xml:space="preserve"> are fully described in Report Number 1 of the National Gambling Study (Abbott et al., 2014a).  A brief summary of the research methods is presented </w:t>
      </w:r>
      <w:r w:rsidR="00D646B2">
        <w:rPr>
          <w:bCs/>
          <w:kern w:val="32"/>
          <w:szCs w:val="22"/>
        </w:rPr>
        <w:t>in this chapter</w:t>
      </w:r>
      <w:r>
        <w:rPr>
          <w:bCs/>
          <w:kern w:val="32"/>
          <w:szCs w:val="22"/>
        </w:rPr>
        <w:t>.</w:t>
      </w:r>
    </w:p>
    <w:p w:rsidR="005D3236" w:rsidRDefault="005D3236" w:rsidP="00087858">
      <w:pPr>
        <w:jc w:val="both"/>
        <w:rPr>
          <w:szCs w:val="22"/>
        </w:rPr>
      </w:pPr>
    </w:p>
    <w:p w:rsidR="00133B42" w:rsidRPr="00E54026" w:rsidRDefault="00133B42" w:rsidP="00017B76">
      <w:pPr>
        <w:pStyle w:val="heading2a"/>
        <w:keepNext w:val="0"/>
        <w:numPr>
          <w:ilvl w:val="1"/>
          <w:numId w:val="26"/>
        </w:numPr>
        <w:pBdr>
          <w:top w:val="single" w:sz="4" w:space="1" w:color="auto"/>
          <w:left w:val="single" w:sz="4" w:space="4" w:color="auto"/>
          <w:bottom w:val="single" w:sz="4" w:space="1" w:color="auto"/>
          <w:right w:val="single" w:sz="4" w:space="4" w:color="auto"/>
        </w:pBdr>
        <w:ind w:left="426" w:hanging="426"/>
        <w:rPr>
          <w:sz w:val="22"/>
          <w:szCs w:val="22"/>
        </w:rPr>
      </w:pPr>
      <w:bookmarkStart w:id="49" w:name="_Toc371414862"/>
      <w:bookmarkStart w:id="50" w:name="_Toc399511067"/>
      <w:bookmarkStart w:id="51" w:name="_Toc399511212"/>
      <w:bookmarkStart w:id="52" w:name="_Toc403052519"/>
      <w:bookmarkStart w:id="53" w:name="_Toc403052854"/>
      <w:bookmarkStart w:id="54" w:name="_Toc420392588"/>
      <w:r>
        <w:rPr>
          <w:sz w:val="22"/>
          <w:szCs w:val="22"/>
        </w:rPr>
        <w:t>Survey instrument</w:t>
      </w:r>
      <w:bookmarkEnd w:id="49"/>
      <w:bookmarkEnd w:id="50"/>
      <w:bookmarkEnd w:id="51"/>
      <w:bookmarkEnd w:id="52"/>
      <w:bookmarkEnd w:id="53"/>
      <w:bookmarkEnd w:id="54"/>
    </w:p>
    <w:p w:rsidR="00133B42" w:rsidRDefault="00133B42" w:rsidP="00087858">
      <w:pPr>
        <w:jc w:val="both"/>
        <w:rPr>
          <w:szCs w:val="22"/>
        </w:rPr>
      </w:pPr>
    </w:p>
    <w:p w:rsidR="00DA16E1" w:rsidRDefault="003843A2" w:rsidP="00034E84">
      <w:pPr>
        <w:jc w:val="both"/>
        <w:rPr>
          <w:szCs w:val="22"/>
        </w:rPr>
      </w:pPr>
      <w:r>
        <w:rPr>
          <w:szCs w:val="22"/>
        </w:rPr>
        <w:t>The survey instrument</w:t>
      </w:r>
      <w:r w:rsidR="00C878F3">
        <w:rPr>
          <w:rStyle w:val="FootnoteReference"/>
          <w:szCs w:val="22"/>
        </w:rPr>
        <w:footnoteReference w:id="2"/>
      </w:r>
      <w:r>
        <w:rPr>
          <w:szCs w:val="22"/>
        </w:rPr>
        <w:t xml:space="preserve"> for the National Gambling </w:t>
      </w:r>
      <w:r w:rsidR="006D0C12">
        <w:rPr>
          <w:szCs w:val="22"/>
        </w:rPr>
        <w:t>Study</w:t>
      </w:r>
      <w:r>
        <w:rPr>
          <w:szCs w:val="22"/>
        </w:rPr>
        <w:t xml:space="preserve"> </w:t>
      </w:r>
      <w:r w:rsidR="00484E38">
        <w:rPr>
          <w:szCs w:val="22"/>
        </w:rPr>
        <w:t>12-month follow-up assessment (</w:t>
      </w:r>
      <w:r w:rsidR="00173EB8">
        <w:rPr>
          <w:szCs w:val="22"/>
        </w:rPr>
        <w:t>Wave 2</w:t>
      </w:r>
      <w:r w:rsidR="00484E38">
        <w:rPr>
          <w:szCs w:val="22"/>
        </w:rPr>
        <w:t xml:space="preserve">) </w:t>
      </w:r>
      <w:r>
        <w:rPr>
          <w:szCs w:val="22"/>
        </w:rPr>
        <w:t>was extensive and covered 11 key areas:</w:t>
      </w:r>
    </w:p>
    <w:p w:rsidR="00034E84" w:rsidRDefault="00034E84" w:rsidP="00034E84">
      <w:pPr>
        <w:jc w:val="both"/>
        <w:rPr>
          <w:szCs w:val="22"/>
        </w:rPr>
      </w:pPr>
    </w:p>
    <w:p w:rsidR="003843A2" w:rsidRDefault="003843A2" w:rsidP="005636CC">
      <w:pPr>
        <w:pStyle w:val="ListParagraph"/>
        <w:numPr>
          <w:ilvl w:val="0"/>
          <w:numId w:val="35"/>
        </w:numPr>
        <w:jc w:val="both"/>
        <w:rPr>
          <w:szCs w:val="22"/>
        </w:rPr>
      </w:pPr>
      <w:r>
        <w:rPr>
          <w:szCs w:val="22"/>
        </w:rPr>
        <w:t>Leisure activities and gambling participation</w:t>
      </w:r>
    </w:p>
    <w:p w:rsidR="00034E84" w:rsidRDefault="00034E84" w:rsidP="00034E84">
      <w:pPr>
        <w:pStyle w:val="ListParagraph"/>
        <w:jc w:val="both"/>
        <w:rPr>
          <w:szCs w:val="22"/>
        </w:rPr>
      </w:pPr>
    </w:p>
    <w:p w:rsidR="003843A2" w:rsidRDefault="003843A2" w:rsidP="005636CC">
      <w:pPr>
        <w:pStyle w:val="ListParagraph"/>
        <w:numPr>
          <w:ilvl w:val="0"/>
          <w:numId w:val="35"/>
        </w:numPr>
        <w:jc w:val="both"/>
        <w:rPr>
          <w:szCs w:val="22"/>
        </w:rPr>
      </w:pPr>
      <w:r>
        <w:rPr>
          <w:szCs w:val="22"/>
        </w:rPr>
        <w:t>Past gambling and recent gambling behaviour change</w:t>
      </w:r>
    </w:p>
    <w:p w:rsidR="00034E84" w:rsidRDefault="00034E84" w:rsidP="00034E84">
      <w:pPr>
        <w:pStyle w:val="ListParagraph"/>
        <w:jc w:val="both"/>
        <w:rPr>
          <w:szCs w:val="22"/>
        </w:rPr>
      </w:pPr>
    </w:p>
    <w:p w:rsidR="003843A2" w:rsidRDefault="003843A2" w:rsidP="005636CC">
      <w:pPr>
        <w:pStyle w:val="ListParagraph"/>
        <w:numPr>
          <w:ilvl w:val="0"/>
          <w:numId w:val="35"/>
        </w:numPr>
        <w:jc w:val="both"/>
        <w:rPr>
          <w:szCs w:val="22"/>
        </w:rPr>
      </w:pPr>
      <w:r>
        <w:rPr>
          <w:szCs w:val="22"/>
        </w:rPr>
        <w:t>Problem gambling</w:t>
      </w:r>
    </w:p>
    <w:p w:rsidR="003843A2" w:rsidRDefault="003843A2" w:rsidP="005636CC">
      <w:pPr>
        <w:pStyle w:val="ListParagraph"/>
        <w:numPr>
          <w:ilvl w:val="1"/>
          <w:numId w:val="35"/>
        </w:numPr>
        <w:jc w:val="both"/>
        <w:rPr>
          <w:szCs w:val="22"/>
        </w:rPr>
      </w:pPr>
      <w:r>
        <w:rPr>
          <w:szCs w:val="22"/>
        </w:rPr>
        <w:t>Problem Gambling Severity Index</w:t>
      </w:r>
    </w:p>
    <w:p w:rsidR="00034E84" w:rsidRDefault="00034E84" w:rsidP="00034E84">
      <w:pPr>
        <w:pStyle w:val="ListParagraph"/>
        <w:ind w:left="1440"/>
        <w:jc w:val="both"/>
        <w:rPr>
          <w:szCs w:val="22"/>
        </w:rPr>
      </w:pPr>
      <w:r w:rsidRPr="00034E84">
        <w:rPr>
          <w:bCs/>
          <w:iCs/>
          <w:szCs w:val="22"/>
        </w:rPr>
        <w:t>The nine-item Problem Gambling Severity Index (PGSI</w:t>
      </w:r>
      <w:r w:rsidR="006D0C12">
        <w:rPr>
          <w:bCs/>
          <w:iCs/>
          <w:szCs w:val="22"/>
        </w:rPr>
        <w:t>;</w:t>
      </w:r>
      <w:r w:rsidRPr="00034E84">
        <w:rPr>
          <w:bCs/>
          <w:iCs/>
          <w:szCs w:val="22"/>
        </w:rPr>
        <w:t xml:space="preserve"> Ferris &amp; Wynne, 2001) was used to measure severity of gambling problems in a past 12 month time frame.</w:t>
      </w:r>
    </w:p>
    <w:p w:rsidR="003843A2" w:rsidRDefault="003843A2" w:rsidP="005636CC">
      <w:pPr>
        <w:pStyle w:val="ListParagraph"/>
        <w:numPr>
          <w:ilvl w:val="1"/>
          <w:numId w:val="35"/>
        </w:numPr>
        <w:jc w:val="both"/>
        <w:rPr>
          <w:szCs w:val="22"/>
        </w:rPr>
      </w:pPr>
      <w:r>
        <w:rPr>
          <w:szCs w:val="22"/>
        </w:rPr>
        <w:t>Help-seeking</w:t>
      </w:r>
      <w:r w:rsidR="00D0035F">
        <w:rPr>
          <w:szCs w:val="22"/>
        </w:rPr>
        <w:t xml:space="preserve"> behaviours</w:t>
      </w:r>
      <w:r w:rsidR="009D18F1">
        <w:rPr>
          <w:szCs w:val="22"/>
        </w:rPr>
        <w:t xml:space="preserve"> </w:t>
      </w:r>
      <w:r w:rsidR="00FA7721" w:rsidRPr="009F5E09">
        <w:rPr>
          <w:szCs w:val="22"/>
        </w:rPr>
        <w:t xml:space="preserve">(from formal and informal sources) </w:t>
      </w:r>
      <w:r w:rsidR="009D18F1">
        <w:rPr>
          <w:szCs w:val="22"/>
        </w:rPr>
        <w:t>and gambling readiness to change</w:t>
      </w:r>
    </w:p>
    <w:p w:rsidR="00034E84" w:rsidRPr="00865452" w:rsidRDefault="00034E84" w:rsidP="00034E84">
      <w:pPr>
        <w:pStyle w:val="BodyText1"/>
        <w:ind w:left="1440"/>
        <w:jc w:val="both"/>
        <w:rPr>
          <w:bCs/>
          <w:iCs/>
          <w:szCs w:val="22"/>
          <w:lang w:val="en-NZ"/>
        </w:rPr>
      </w:pPr>
      <w:r>
        <w:rPr>
          <w:bCs/>
          <w:iCs/>
          <w:szCs w:val="22"/>
          <w:lang w:val="en-NZ"/>
        </w:rPr>
        <w:t>The Gambling Readiness to Change Scale was based on the Alcohol Readiness to Change questionnaire (Rollnick</w:t>
      </w:r>
      <w:r w:rsidR="00C16E6C">
        <w:rPr>
          <w:bCs/>
          <w:iCs/>
          <w:szCs w:val="22"/>
          <w:lang w:val="en-NZ"/>
        </w:rPr>
        <w:t>, Heather, Gold, &amp; Hall</w:t>
      </w:r>
      <w:r>
        <w:rPr>
          <w:bCs/>
          <w:iCs/>
          <w:szCs w:val="22"/>
          <w:lang w:val="en-NZ"/>
        </w:rPr>
        <w:t>, 1992) and is a nine-item scale with three items each measuring the three stages of pre-contemplation, contemplation and action from Prochaska and DiClemete’s (1986) stages of change model.</w:t>
      </w:r>
    </w:p>
    <w:p w:rsidR="003843A2" w:rsidRDefault="003843A2" w:rsidP="005636CC">
      <w:pPr>
        <w:pStyle w:val="ListParagraph"/>
        <w:numPr>
          <w:ilvl w:val="1"/>
          <w:numId w:val="35"/>
        </w:numPr>
        <w:jc w:val="both"/>
        <w:rPr>
          <w:szCs w:val="22"/>
        </w:rPr>
      </w:pPr>
      <w:r>
        <w:rPr>
          <w:szCs w:val="22"/>
        </w:rPr>
        <w:t>Gambling in households</w:t>
      </w:r>
    </w:p>
    <w:p w:rsidR="00034E84" w:rsidRDefault="00034E84" w:rsidP="00034E84">
      <w:pPr>
        <w:pStyle w:val="ListParagraph"/>
        <w:ind w:left="1440"/>
        <w:jc w:val="both"/>
        <w:rPr>
          <w:szCs w:val="22"/>
        </w:rPr>
      </w:pPr>
    </w:p>
    <w:p w:rsidR="003843A2" w:rsidRDefault="003843A2" w:rsidP="005636CC">
      <w:pPr>
        <w:pStyle w:val="ListParagraph"/>
        <w:numPr>
          <w:ilvl w:val="0"/>
          <w:numId w:val="35"/>
        </w:numPr>
        <w:jc w:val="both"/>
        <w:rPr>
          <w:szCs w:val="22"/>
        </w:rPr>
      </w:pPr>
      <w:r>
        <w:rPr>
          <w:szCs w:val="22"/>
        </w:rPr>
        <w:t>Life events and on-going hassles</w:t>
      </w:r>
    </w:p>
    <w:p w:rsidR="00034E84" w:rsidRDefault="00034E84" w:rsidP="00034E84">
      <w:pPr>
        <w:pStyle w:val="ListParagraph"/>
        <w:jc w:val="both"/>
        <w:rPr>
          <w:szCs w:val="22"/>
        </w:rPr>
      </w:pPr>
    </w:p>
    <w:p w:rsidR="003843A2" w:rsidRDefault="003843A2" w:rsidP="005636CC">
      <w:pPr>
        <w:pStyle w:val="ListParagraph"/>
        <w:numPr>
          <w:ilvl w:val="0"/>
          <w:numId w:val="35"/>
        </w:numPr>
        <w:jc w:val="both"/>
        <w:rPr>
          <w:szCs w:val="22"/>
        </w:rPr>
      </w:pPr>
      <w:r>
        <w:rPr>
          <w:szCs w:val="22"/>
        </w:rPr>
        <w:t>Mental health</w:t>
      </w:r>
    </w:p>
    <w:p w:rsidR="003843A2" w:rsidRDefault="00D80D8B" w:rsidP="005636CC">
      <w:pPr>
        <w:pStyle w:val="ListParagraph"/>
        <w:numPr>
          <w:ilvl w:val="1"/>
          <w:numId w:val="35"/>
        </w:numPr>
        <w:jc w:val="both"/>
        <w:rPr>
          <w:szCs w:val="22"/>
        </w:rPr>
      </w:pPr>
      <w:r>
        <w:rPr>
          <w:szCs w:val="22"/>
        </w:rPr>
        <w:t>General psychological distress</w:t>
      </w:r>
    </w:p>
    <w:p w:rsidR="00034E84" w:rsidRDefault="00034E84" w:rsidP="00034E84">
      <w:pPr>
        <w:pStyle w:val="BodyText1"/>
        <w:ind w:left="1440"/>
        <w:jc w:val="both"/>
        <w:rPr>
          <w:bCs/>
          <w:iCs/>
          <w:szCs w:val="22"/>
          <w:lang w:val="en-NZ"/>
        </w:rPr>
      </w:pPr>
      <w:r>
        <w:rPr>
          <w:bCs/>
          <w:iCs/>
          <w:szCs w:val="22"/>
          <w:lang w:val="en-NZ"/>
        </w:rPr>
        <w:t>The Kessler-</w:t>
      </w:r>
      <w:r w:rsidRPr="0036642C">
        <w:rPr>
          <w:bCs/>
          <w:iCs/>
          <w:szCs w:val="22"/>
          <w:lang w:val="en-NZ"/>
        </w:rPr>
        <w:t>10 (K</w:t>
      </w:r>
      <w:r>
        <w:rPr>
          <w:bCs/>
          <w:iCs/>
          <w:szCs w:val="22"/>
          <w:lang w:val="en-NZ"/>
        </w:rPr>
        <w:t>-</w:t>
      </w:r>
      <w:r w:rsidRPr="0036642C">
        <w:rPr>
          <w:bCs/>
          <w:iCs/>
          <w:szCs w:val="22"/>
          <w:lang w:val="en-NZ"/>
        </w:rPr>
        <w:t xml:space="preserve">10) questionnaire </w:t>
      </w:r>
      <w:r>
        <w:rPr>
          <w:bCs/>
          <w:iCs/>
          <w:szCs w:val="22"/>
          <w:lang w:val="en-NZ"/>
        </w:rPr>
        <w:t>was</w:t>
      </w:r>
      <w:r w:rsidRPr="0036642C">
        <w:rPr>
          <w:bCs/>
          <w:iCs/>
          <w:szCs w:val="22"/>
          <w:lang w:val="en-NZ"/>
        </w:rPr>
        <w:t xml:space="preserve"> included to provide a continuous measure of general psychological distress that is responsive to change over time.  The K</w:t>
      </w:r>
      <w:r>
        <w:rPr>
          <w:bCs/>
          <w:iCs/>
          <w:szCs w:val="22"/>
          <w:lang w:val="en-NZ"/>
        </w:rPr>
        <w:t>-</w:t>
      </w:r>
      <w:r w:rsidRPr="0036642C">
        <w:rPr>
          <w:bCs/>
          <w:iCs/>
          <w:szCs w:val="22"/>
          <w:lang w:val="en-NZ"/>
        </w:rPr>
        <w:t>10 has been well validated internationally.  Its brevity and simple response format are attractive features.  It also produces a summary measure indicating probability of currently experiencing an anxiety or depressive disorder (Kessler &amp; Mroczek, 1994).</w:t>
      </w:r>
    </w:p>
    <w:p w:rsidR="003843A2" w:rsidRDefault="00D80D8B" w:rsidP="005636CC">
      <w:pPr>
        <w:pStyle w:val="ListParagraph"/>
        <w:numPr>
          <w:ilvl w:val="1"/>
          <w:numId w:val="35"/>
        </w:numPr>
        <w:jc w:val="both"/>
        <w:rPr>
          <w:szCs w:val="22"/>
        </w:rPr>
      </w:pPr>
      <w:r>
        <w:rPr>
          <w:szCs w:val="22"/>
        </w:rPr>
        <w:t>Quality of life</w:t>
      </w:r>
    </w:p>
    <w:p w:rsidR="00034E84" w:rsidRDefault="00034E84" w:rsidP="00034E84">
      <w:pPr>
        <w:pStyle w:val="ListParagraph"/>
        <w:ind w:left="1440"/>
        <w:jc w:val="both"/>
        <w:rPr>
          <w:bCs/>
          <w:iCs/>
          <w:szCs w:val="22"/>
        </w:rPr>
      </w:pPr>
      <w:r w:rsidRPr="00034E84">
        <w:rPr>
          <w:bCs/>
          <w:iCs/>
          <w:szCs w:val="22"/>
        </w:rPr>
        <w:t xml:space="preserve">Quality of life was assessed by the WHOQoL-8, an eight item version of a widely used measure.  This short form has been used in a number of countries, is robust psychometrically, and overall performance is strongly correlated with </w:t>
      </w:r>
      <w:r w:rsidRPr="00034E84">
        <w:rPr>
          <w:bCs/>
          <w:iCs/>
          <w:szCs w:val="22"/>
        </w:rPr>
        <w:lastRenderedPageBreak/>
        <w:t>scores from the original WHOQoL instrument (Schmidt, Muhlan &amp; Power, 2005).</w:t>
      </w:r>
    </w:p>
    <w:p w:rsidR="00034E84" w:rsidRPr="00034E84" w:rsidRDefault="00034E84" w:rsidP="00034E84">
      <w:pPr>
        <w:pStyle w:val="ListParagraph"/>
        <w:ind w:left="1440"/>
        <w:jc w:val="both"/>
        <w:rPr>
          <w:sz w:val="20"/>
          <w:szCs w:val="22"/>
        </w:rPr>
      </w:pPr>
    </w:p>
    <w:p w:rsidR="003843A2" w:rsidRDefault="003843A2" w:rsidP="005636CC">
      <w:pPr>
        <w:pStyle w:val="ListParagraph"/>
        <w:keepNext/>
        <w:numPr>
          <w:ilvl w:val="0"/>
          <w:numId w:val="35"/>
        </w:numPr>
        <w:jc w:val="both"/>
        <w:rPr>
          <w:szCs w:val="22"/>
        </w:rPr>
      </w:pPr>
      <w:r>
        <w:rPr>
          <w:szCs w:val="22"/>
        </w:rPr>
        <w:t>Alcohol use/misuse</w:t>
      </w:r>
    </w:p>
    <w:p w:rsidR="00034E84" w:rsidRDefault="00034E84" w:rsidP="002E2A32">
      <w:pPr>
        <w:pStyle w:val="BodyText1"/>
        <w:keepNext/>
        <w:ind w:left="720"/>
        <w:jc w:val="both"/>
        <w:rPr>
          <w:bCs/>
          <w:iCs/>
          <w:szCs w:val="22"/>
          <w:lang w:val="en-NZ"/>
        </w:rPr>
      </w:pPr>
      <w:r>
        <w:rPr>
          <w:bCs/>
          <w:iCs/>
          <w:szCs w:val="22"/>
          <w:lang w:val="en-NZ"/>
        </w:rPr>
        <w:t>To identify hazardous alcohol consumption or active alcohol use disorders (including alcohol abuse or dependence) a brief version (AUDIT-C, three-item scale) of the Alcohol Use Disorders Identification Test (AUDIT) (Saunders et al., 1993) was administered.</w:t>
      </w:r>
    </w:p>
    <w:p w:rsidR="002E2A32" w:rsidRDefault="002E2A32" w:rsidP="002E2A32">
      <w:pPr>
        <w:pStyle w:val="BodyText1"/>
        <w:keepNext/>
        <w:ind w:left="720"/>
        <w:jc w:val="both"/>
        <w:rPr>
          <w:bCs/>
          <w:iCs/>
          <w:szCs w:val="22"/>
          <w:lang w:val="en-NZ"/>
        </w:rPr>
      </w:pPr>
    </w:p>
    <w:p w:rsidR="003843A2" w:rsidRDefault="003843A2" w:rsidP="005636CC">
      <w:pPr>
        <w:pStyle w:val="ListParagraph"/>
        <w:numPr>
          <w:ilvl w:val="0"/>
          <w:numId w:val="35"/>
        </w:numPr>
        <w:jc w:val="both"/>
        <w:rPr>
          <w:szCs w:val="22"/>
        </w:rPr>
      </w:pPr>
      <w:r>
        <w:rPr>
          <w:szCs w:val="22"/>
        </w:rPr>
        <w:t>Substance use/misuse</w:t>
      </w:r>
    </w:p>
    <w:p w:rsidR="003843A2" w:rsidRDefault="003843A2" w:rsidP="005636CC">
      <w:pPr>
        <w:pStyle w:val="ListParagraph"/>
        <w:numPr>
          <w:ilvl w:val="1"/>
          <w:numId w:val="35"/>
        </w:numPr>
        <w:jc w:val="both"/>
        <w:rPr>
          <w:szCs w:val="22"/>
        </w:rPr>
      </w:pPr>
      <w:r>
        <w:rPr>
          <w:szCs w:val="22"/>
        </w:rPr>
        <w:t>Tobacco</w:t>
      </w:r>
    </w:p>
    <w:p w:rsidR="003843A2" w:rsidRDefault="003843A2" w:rsidP="005636CC">
      <w:pPr>
        <w:pStyle w:val="ListParagraph"/>
        <w:numPr>
          <w:ilvl w:val="1"/>
          <w:numId w:val="35"/>
        </w:numPr>
        <w:jc w:val="both"/>
        <w:rPr>
          <w:szCs w:val="22"/>
        </w:rPr>
      </w:pPr>
      <w:r>
        <w:rPr>
          <w:szCs w:val="22"/>
        </w:rPr>
        <w:t>Other drugs</w:t>
      </w:r>
    </w:p>
    <w:p w:rsidR="00034E84" w:rsidRDefault="00034E84" w:rsidP="00034E84">
      <w:pPr>
        <w:pStyle w:val="ListParagraph"/>
        <w:ind w:left="1440"/>
        <w:jc w:val="both"/>
        <w:rPr>
          <w:szCs w:val="22"/>
        </w:rPr>
      </w:pPr>
    </w:p>
    <w:p w:rsidR="003843A2" w:rsidRDefault="003843A2" w:rsidP="005636CC">
      <w:pPr>
        <w:pStyle w:val="ListParagraph"/>
        <w:numPr>
          <w:ilvl w:val="0"/>
          <w:numId w:val="35"/>
        </w:numPr>
        <w:jc w:val="both"/>
        <w:rPr>
          <w:szCs w:val="22"/>
        </w:rPr>
      </w:pPr>
      <w:r>
        <w:rPr>
          <w:szCs w:val="22"/>
        </w:rPr>
        <w:t>Health conditions</w:t>
      </w:r>
    </w:p>
    <w:p w:rsidR="00034E84" w:rsidRDefault="00034E84" w:rsidP="00034E84">
      <w:pPr>
        <w:pStyle w:val="ListParagraph"/>
        <w:jc w:val="both"/>
        <w:rPr>
          <w:szCs w:val="22"/>
        </w:rPr>
      </w:pPr>
    </w:p>
    <w:p w:rsidR="007E4882" w:rsidRDefault="00525DDE" w:rsidP="005636CC">
      <w:pPr>
        <w:pStyle w:val="ListParagraph"/>
        <w:numPr>
          <w:ilvl w:val="0"/>
          <w:numId w:val="35"/>
        </w:numPr>
        <w:jc w:val="both"/>
        <w:rPr>
          <w:szCs w:val="22"/>
        </w:rPr>
      </w:pPr>
      <w:r>
        <w:rPr>
          <w:szCs w:val="22"/>
        </w:rPr>
        <w:t>Social c</w:t>
      </w:r>
      <w:r w:rsidR="003843A2">
        <w:rPr>
          <w:szCs w:val="22"/>
        </w:rPr>
        <w:t>onnectedness</w:t>
      </w:r>
    </w:p>
    <w:p w:rsidR="000654B2" w:rsidRPr="000654B2" w:rsidRDefault="000654B2" w:rsidP="000654B2">
      <w:pPr>
        <w:ind w:left="720"/>
        <w:jc w:val="both"/>
        <w:rPr>
          <w:szCs w:val="22"/>
        </w:rPr>
      </w:pPr>
      <w:r>
        <w:rPr>
          <w:szCs w:val="22"/>
        </w:rPr>
        <w:t>Questions around social connectedness were based on those used in the Victorian Gambling Study (Victorian Responsible Gambling Foundation, 2011</w:t>
      </w:r>
      <w:r w:rsidR="00C16E6C">
        <w:rPr>
          <w:szCs w:val="22"/>
        </w:rPr>
        <w:t>,</w:t>
      </w:r>
      <w:r>
        <w:rPr>
          <w:szCs w:val="22"/>
        </w:rPr>
        <w:t xml:space="preserve"> 2012).</w:t>
      </w:r>
    </w:p>
    <w:p w:rsidR="007E4882" w:rsidRPr="007E4882" w:rsidRDefault="007E4882" w:rsidP="007E4882">
      <w:pPr>
        <w:ind w:left="360"/>
        <w:jc w:val="both"/>
        <w:rPr>
          <w:szCs w:val="22"/>
        </w:rPr>
      </w:pPr>
    </w:p>
    <w:p w:rsidR="003843A2" w:rsidRDefault="00D878A4" w:rsidP="005636CC">
      <w:pPr>
        <w:pStyle w:val="ListParagraph"/>
        <w:numPr>
          <w:ilvl w:val="0"/>
          <w:numId w:val="35"/>
        </w:numPr>
        <w:jc w:val="both"/>
        <w:rPr>
          <w:szCs w:val="22"/>
        </w:rPr>
      </w:pPr>
      <w:r>
        <w:rPr>
          <w:szCs w:val="22"/>
        </w:rPr>
        <w:t xml:space="preserve">New Zealand </w:t>
      </w:r>
      <w:r w:rsidR="00B41039">
        <w:rPr>
          <w:szCs w:val="22"/>
        </w:rPr>
        <w:t xml:space="preserve">Individual </w:t>
      </w:r>
      <w:r>
        <w:rPr>
          <w:szCs w:val="22"/>
        </w:rPr>
        <w:t>Deprivation Index</w:t>
      </w:r>
      <w:r w:rsidR="0039794E">
        <w:rPr>
          <w:szCs w:val="22"/>
        </w:rPr>
        <w:t xml:space="preserve"> (NZiDep)</w:t>
      </w:r>
    </w:p>
    <w:p w:rsidR="00034E84" w:rsidRPr="00BB4EFE" w:rsidRDefault="00034E84" w:rsidP="00BB4EFE">
      <w:pPr>
        <w:ind w:left="720"/>
        <w:jc w:val="both"/>
        <w:rPr>
          <w:szCs w:val="22"/>
        </w:rPr>
      </w:pPr>
      <w:r w:rsidRPr="00BB4EFE">
        <w:rPr>
          <w:szCs w:val="22"/>
        </w:rPr>
        <w:t xml:space="preserve">The New Zealand </w:t>
      </w:r>
      <w:r w:rsidR="00B41039" w:rsidRPr="00BB4EFE">
        <w:rPr>
          <w:szCs w:val="22"/>
        </w:rPr>
        <w:t xml:space="preserve">Index </w:t>
      </w:r>
      <w:r w:rsidR="00B41039">
        <w:rPr>
          <w:szCs w:val="22"/>
        </w:rPr>
        <w:t>of socio-economic d</w:t>
      </w:r>
      <w:r w:rsidRPr="00BB4EFE">
        <w:rPr>
          <w:szCs w:val="22"/>
        </w:rPr>
        <w:t xml:space="preserve">eprivation </w:t>
      </w:r>
      <w:r w:rsidR="00B41039">
        <w:rPr>
          <w:szCs w:val="22"/>
        </w:rPr>
        <w:t>for individuals was used (eight item index)</w:t>
      </w:r>
      <w:r w:rsidRPr="00BB4EFE">
        <w:rPr>
          <w:szCs w:val="22"/>
        </w:rPr>
        <w:t xml:space="preserve">.  The index data </w:t>
      </w:r>
      <w:r w:rsidR="00B41039">
        <w:rPr>
          <w:szCs w:val="22"/>
        </w:rPr>
        <w:t>were created and validated from analysis of representative survey data including Māori, Pacific and non-Māori/non-Pacific adults</w:t>
      </w:r>
      <w:r w:rsidR="00B27F7D">
        <w:rPr>
          <w:szCs w:val="22"/>
        </w:rPr>
        <w:t xml:space="preserve"> (Salmond, Crampton, King, &amp; Waldegrave, 2006)</w:t>
      </w:r>
      <w:r w:rsidR="00B41039">
        <w:rPr>
          <w:szCs w:val="22"/>
        </w:rPr>
        <w:t>.</w:t>
      </w:r>
    </w:p>
    <w:p w:rsidR="00034E84" w:rsidRDefault="00034E84" w:rsidP="00034E84">
      <w:pPr>
        <w:pStyle w:val="ListParagraph"/>
        <w:jc w:val="both"/>
        <w:rPr>
          <w:szCs w:val="22"/>
        </w:rPr>
      </w:pPr>
    </w:p>
    <w:p w:rsidR="003843A2" w:rsidRDefault="003843A2" w:rsidP="005636CC">
      <w:pPr>
        <w:pStyle w:val="ListParagraph"/>
        <w:numPr>
          <w:ilvl w:val="0"/>
          <w:numId w:val="35"/>
        </w:numPr>
        <w:jc w:val="both"/>
        <w:rPr>
          <w:szCs w:val="22"/>
        </w:rPr>
      </w:pPr>
      <w:r>
        <w:rPr>
          <w:szCs w:val="22"/>
        </w:rPr>
        <w:t>Demographics</w:t>
      </w:r>
    </w:p>
    <w:p w:rsidR="003843A2" w:rsidRDefault="003843A2" w:rsidP="00034E84">
      <w:pPr>
        <w:jc w:val="both"/>
        <w:rPr>
          <w:szCs w:val="22"/>
        </w:rPr>
      </w:pPr>
    </w:p>
    <w:p w:rsidR="00D80B84" w:rsidRPr="00D80B84" w:rsidRDefault="00D80B84" w:rsidP="00017B76">
      <w:pPr>
        <w:pStyle w:val="heading2a"/>
        <w:keepNext w:val="0"/>
        <w:numPr>
          <w:ilvl w:val="1"/>
          <w:numId w:val="26"/>
        </w:numPr>
        <w:pBdr>
          <w:top w:val="single" w:sz="4" w:space="1" w:color="auto"/>
          <w:left w:val="single" w:sz="4" w:space="4" w:color="auto"/>
          <w:bottom w:val="single" w:sz="4" w:space="1" w:color="auto"/>
          <w:right w:val="single" w:sz="4" w:space="4" w:color="auto"/>
        </w:pBdr>
        <w:ind w:left="426" w:hanging="426"/>
        <w:rPr>
          <w:sz w:val="20"/>
          <w:szCs w:val="22"/>
        </w:rPr>
      </w:pPr>
      <w:bookmarkStart w:id="55" w:name="_Toc371414865"/>
      <w:bookmarkStart w:id="56" w:name="_Toc399511068"/>
      <w:bookmarkStart w:id="57" w:name="_Toc399511213"/>
      <w:bookmarkStart w:id="58" w:name="_Toc403052520"/>
      <w:bookmarkStart w:id="59" w:name="_Toc403052855"/>
      <w:bookmarkStart w:id="60" w:name="_Toc420392589"/>
      <w:r w:rsidRPr="00D80B84">
        <w:rPr>
          <w:sz w:val="22"/>
          <w:szCs w:val="22"/>
        </w:rPr>
        <w:t>Overview of the survey methodology</w:t>
      </w:r>
      <w:bookmarkEnd w:id="55"/>
      <w:bookmarkEnd w:id="56"/>
      <w:bookmarkEnd w:id="57"/>
      <w:bookmarkEnd w:id="58"/>
      <w:bookmarkEnd w:id="59"/>
      <w:bookmarkEnd w:id="60"/>
    </w:p>
    <w:p w:rsidR="005D3236" w:rsidRPr="00F67FCB" w:rsidRDefault="005D3236" w:rsidP="00017B76">
      <w:pPr>
        <w:pStyle w:val="Heading2b"/>
        <w:keepNext w:val="0"/>
        <w:numPr>
          <w:ilvl w:val="2"/>
          <w:numId w:val="26"/>
        </w:numPr>
        <w:ind w:left="709" w:hanging="709"/>
        <w:rPr>
          <w:i/>
          <w:sz w:val="22"/>
          <w:lang w:val="en-NZ"/>
        </w:rPr>
      </w:pPr>
      <w:bookmarkStart w:id="61" w:name="_Toc399511069"/>
      <w:bookmarkStart w:id="62" w:name="_Toc399511214"/>
      <w:bookmarkStart w:id="63" w:name="_Toc403052521"/>
      <w:bookmarkStart w:id="64" w:name="_Toc403052856"/>
      <w:bookmarkStart w:id="65" w:name="_Toc420392590"/>
      <w:r>
        <w:rPr>
          <w:i/>
          <w:sz w:val="22"/>
          <w:lang w:val="en-NZ"/>
        </w:rPr>
        <w:t xml:space="preserve">Baseline </w:t>
      </w:r>
      <w:r w:rsidR="00173EB8">
        <w:rPr>
          <w:i/>
          <w:sz w:val="22"/>
          <w:lang w:val="en-NZ"/>
        </w:rPr>
        <w:t xml:space="preserve">(Wave 1) </w:t>
      </w:r>
      <w:r w:rsidR="00252F2B">
        <w:rPr>
          <w:i/>
          <w:sz w:val="22"/>
          <w:lang w:val="en-NZ"/>
        </w:rPr>
        <w:t>assessment</w:t>
      </w:r>
      <w:bookmarkEnd w:id="61"/>
      <w:bookmarkEnd w:id="62"/>
      <w:bookmarkEnd w:id="63"/>
      <w:bookmarkEnd w:id="64"/>
      <w:bookmarkEnd w:id="65"/>
    </w:p>
    <w:p w:rsidR="005D3236" w:rsidRDefault="005D3236" w:rsidP="00AA4D4F">
      <w:pPr>
        <w:pStyle w:val="BodyText1"/>
        <w:ind w:left="0"/>
        <w:rPr>
          <w:szCs w:val="22"/>
          <w:lang w:val="en-NZ"/>
        </w:rPr>
      </w:pPr>
    </w:p>
    <w:p w:rsidR="005D3236" w:rsidRPr="00DA16E1" w:rsidRDefault="005D3236" w:rsidP="005D3236">
      <w:pPr>
        <w:pStyle w:val="BodyText1"/>
        <w:ind w:left="0"/>
        <w:jc w:val="both"/>
        <w:rPr>
          <w:szCs w:val="22"/>
          <w:lang w:val="en-NZ"/>
        </w:rPr>
      </w:pPr>
      <w:r w:rsidRPr="00DA16E1">
        <w:rPr>
          <w:szCs w:val="22"/>
          <w:lang w:val="en-NZ"/>
        </w:rPr>
        <w:t>Key aspects of the survey methodology were as follows</w:t>
      </w:r>
      <w:r>
        <w:rPr>
          <w:szCs w:val="22"/>
          <w:lang w:val="en-NZ"/>
        </w:rPr>
        <w:t>:</w:t>
      </w:r>
    </w:p>
    <w:p w:rsidR="005D3236" w:rsidRPr="00DA16E1" w:rsidRDefault="005D3236" w:rsidP="00017B76">
      <w:pPr>
        <w:pStyle w:val="BodyText1"/>
        <w:numPr>
          <w:ilvl w:val="0"/>
          <w:numId w:val="25"/>
        </w:numPr>
        <w:jc w:val="both"/>
        <w:rPr>
          <w:szCs w:val="22"/>
          <w:lang w:val="en-NZ"/>
        </w:rPr>
      </w:pPr>
      <w:r w:rsidRPr="00DA16E1">
        <w:rPr>
          <w:szCs w:val="22"/>
          <w:lang w:val="en-NZ"/>
        </w:rPr>
        <w:t xml:space="preserve">The survey sampling was at three levels: </w:t>
      </w:r>
      <w:r w:rsidR="009E6A29" w:rsidRPr="00DA16E1">
        <w:rPr>
          <w:szCs w:val="22"/>
          <w:lang w:val="en-NZ"/>
        </w:rPr>
        <w:t>First</w:t>
      </w:r>
      <w:r w:rsidR="009E6A29">
        <w:rPr>
          <w:szCs w:val="22"/>
          <w:lang w:val="en-NZ"/>
        </w:rPr>
        <w:t>,</w:t>
      </w:r>
      <w:r w:rsidR="009E6A29" w:rsidRPr="00DA16E1">
        <w:rPr>
          <w:szCs w:val="22"/>
          <w:lang w:val="en-NZ"/>
        </w:rPr>
        <w:t xml:space="preserve"> </w:t>
      </w:r>
      <w:r>
        <w:rPr>
          <w:szCs w:val="22"/>
          <w:lang w:val="en-NZ"/>
        </w:rPr>
        <w:t>meshblock</w:t>
      </w:r>
      <w:r w:rsidRPr="00DA16E1">
        <w:rPr>
          <w:szCs w:val="22"/>
          <w:lang w:val="en-NZ"/>
        </w:rPr>
        <w:t xml:space="preserve">s (small areas) were selected, then dwellings were selected within each </w:t>
      </w:r>
      <w:r>
        <w:rPr>
          <w:szCs w:val="22"/>
          <w:lang w:val="en-NZ"/>
        </w:rPr>
        <w:t>meshblock</w:t>
      </w:r>
      <w:r w:rsidRPr="00DA16E1">
        <w:rPr>
          <w:szCs w:val="22"/>
          <w:lang w:val="en-NZ"/>
        </w:rPr>
        <w:t xml:space="preserve"> and finally an eligible respondent was selected for an interview within each dwelling.</w:t>
      </w:r>
    </w:p>
    <w:p w:rsidR="005D3236" w:rsidRPr="00DA16E1" w:rsidRDefault="005D3236" w:rsidP="00017B76">
      <w:pPr>
        <w:pStyle w:val="BodyText1"/>
        <w:numPr>
          <w:ilvl w:val="0"/>
          <w:numId w:val="25"/>
        </w:numPr>
        <w:jc w:val="both"/>
        <w:rPr>
          <w:szCs w:val="22"/>
          <w:lang w:val="en-NZ"/>
        </w:rPr>
      </w:pPr>
      <w:r w:rsidRPr="00DA16E1">
        <w:rPr>
          <w:szCs w:val="22"/>
          <w:lang w:val="en-NZ"/>
        </w:rPr>
        <w:t xml:space="preserve">Random selection procedures were used at all three of these sampling levels in order to minimise sampling bias. </w:t>
      </w:r>
      <w:r>
        <w:rPr>
          <w:szCs w:val="22"/>
          <w:lang w:val="en-NZ"/>
        </w:rPr>
        <w:t xml:space="preserve"> </w:t>
      </w:r>
      <w:r w:rsidRPr="00DA16E1">
        <w:rPr>
          <w:szCs w:val="22"/>
          <w:lang w:val="en-NZ"/>
        </w:rPr>
        <w:t>These procedures were used to ensure known, non-zero probabilities of selection for all final respondents.</w:t>
      </w:r>
    </w:p>
    <w:p w:rsidR="005D3236" w:rsidRPr="00DA16E1" w:rsidRDefault="005D3236" w:rsidP="00017B76">
      <w:pPr>
        <w:pStyle w:val="BodyText1"/>
        <w:numPr>
          <w:ilvl w:val="0"/>
          <w:numId w:val="25"/>
        </w:numPr>
        <w:jc w:val="both"/>
        <w:rPr>
          <w:szCs w:val="22"/>
          <w:lang w:val="en-NZ"/>
        </w:rPr>
      </w:pPr>
      <w:r>
        <w:rPr>
          <w:szCs w:val="22"/>
          <w:lang w:val="en-NZ"/>
        </w:rPr>
        <w:t>I</w:t>
      </w:r>
      <w:r w:rsidRPr="00DA16E1">
        <w:rPr>
          <w:szCs w:val="22"/>
          <w:lang w:val="en-NZ"/>
        </w:rPr>
        <w:t>nterviews were conducted face</w:t>
      </w:r>
      <w:r>
        <w:rPr>
          <w:szCs w:val="22"/>
          <w:lang w:val="en-NZ"/>
        </w:rPr>
        <w:t>-</w:t>
      </w:r>
      <w:r w:rsidRPr="00DA16E1">
        <w:rPr>
          <w:szCs w:val="22"/>
          <w:lang w:val="en-NZ"/>
        </w:rPr>
        <w:t>to</w:t>
      </w:r>
      <w:r>
        <w:rPr>
          <w:szCs w:val="22"/>
          <w:lang w:val="en-NZ"/>
        </w:rPr>
        <w:t>-</w:t>
      </w:r>
      <w:r w:rsidRPr="00DA16E1">
        <w:rPr>
          <w:szCs w:val="22"/>
          <w:lang w:val="en-NZ"/>
        </w:rPr>
        <w:t>face with respondents in their homes (dwellings).</w:t>
      </w:r>
    </w:p>
    <w:p w:rsidR="005D3236" w:rsidRPr="00DA16E1" w:rsidRDefault="005D3236" w:rsidP="00017B76">
      <w:pPr>
        <w:pStyle w:val="BodyText1"/>
        <w:numPr>
          <w:ilvl w:val="0"/>
          <w:numId w:val="25"/>
        </w:numPr>
        <w:jc w:val="both"/>
        <w:rPr>
          <w:szCs w:val="22"/>
          <w:lang w:val="en-NZ"/>
        </w:rPr>
      </w:pPr>
      <w:r w:rsidRPr="00DA16E1">
        <w:rPr>
          <w:szCs w:val="22"/>
          <w:lang w:val="en-NZ"/>
        </w:rPr>
        <w:t>Interviews were conducted using Computer-Assisted Personal Interviewing (CAPI) software; that is, interviewers used laptop computers to administer the interview.</w:t>
      </w:r>
    </w:p>
    <w:p w:rsidR="005D3236" w:rsidRPr="00DA16E1" w:rsidRDefault="005D3236" w:rsidP="00017B76">
      <w:pPr>
        <w:pStyle w:val="BodyText1"/>
        <w:numPr>
          <w:ilvl w:val="0"/>
          <w:numId w:val="25"/>
        </w:numPr>
        <w:jc w:val="both"/>
        <w:rPr>
          <w:szCs w:val="22"/>
          <w:lang w:val="en-NZ"/>
        </w:rPr>
      </w:pPr>
      <w:r w:rsidRPr="00DA16E1">
        <w:rPr>
          <w:szCs w:val="22"/>
          <w:lang w:val="en-NZ"/>
        </w:rPr>
        <w:t>The survey had nationwide coverage.</w:t>
      </w:r>
    </w:p>
    <w:p w:rsidR="005D3236" w:rsidRPr="00DA16E1" w:rsidRDefault="005D3236" w:rsidP="00017B76">
      <w:pPr>
        <w:pStyle w:val="BodyText1"/>
        <w:numPr>
          <w:ilvl w:val="0"/>
          <w:numId w:val="25"/>
        </w:numPr>
        <w:jc w:val="both"/>
        <w:rPr>
          <w:szCs w:val="22"/>
          <w:lang w:val="en-NZ"/>
        </w:rPr>
      </w:pPr>
      <w:r w:rsidRPr="00DA16E1">
        <w:rPr>
          <w:szCs w:val="22"/>
          <w:lang w:val="en-NZ"/>
        </w:rPr>
        <w:t xml:space="preserve">All adults were eligible; that is, gamblers and non-gamblers. </w:t>
      </w:r>
      <w:r>
        <w:rPr>
          <w:szCs w:val="22"/>
          <w:lang w:val="en-NZ"/>
        </w:rPr>
        <w:t xml:space="preserve"> </w:t>
      </w:r>
      <w:r w:rsidRPr="00DA16E1">
        <w:rPr>
          <w:szCs w:val="22"/>
          <w:lang w:val="en-NZ"/>
        </w:rPr>
        <w:t>The survey was representative of the N</w:t>
      </w:r>
      <w:r>
        <w:rPr>
          <w:szCs w:val="22"/>
          <w:lang w:val="en-NZ"/>
        </w:rPr>
        <w:t xml:space="preserve">ew </w:t>
      </w:r>
      <w:r w:rsidRPr="00DA16E1">
        <w:rPr>
          <w:szCs w:val="22"/>
          <w:lang w:val="en-NZ"/>
        </w:rPr>
        <w:t>Z</w:t>
      </w:r>
      <w:r>
        <w:rPr>
          <w:szCs w:val="22"/>
          <w:lang w:val="en-NZ"/>
        </w:rPr>
        <w:t>ealand</w:t>
      </w:r>
      <w:r w:rsidRPr="00DA16E1">
        <w:rPr>
          <w:szCs w:val="22"/>
          <w:lang w:val="en-NZ"/>
        </w:rPr>
        <w:t xml:space="preserve"> adult population. </w:t>
      </w:r>
      <w:r>
        <w:rPr>
          <w:szCs w:val="22"/>
          <w:lang w:val="en-NZ"/>
        </w:rPr>
        <w:t xml:space="preserve"> </w:t>
      </w:r>
      <w:r w:rsidRPr="00DA16E1">
        <w:rPr>
          <w:szCs w:val="22"/>
          <w:lang w:val="en-NZ"/>
        </w:rPr>
        <w:t xml:space="preserve">'Adults' for the National Gambling </w:t>
      </w:r>
      <w:r w:rsidR="006D0C12">
        <w:rPr>
          <w:szCs w:val="22"/>
          <w:lang w:val="en-NZ"/>
        </w:rPr>
        <w:t>Study</w:t>
      </w:r>
      <w:r w:rsidRPr="00DA16E1">
        <w:rPr>
          <w:szCs w:val="22"/>
          <w:lang w:val="en-NZ"/>
        </w:rPr>
        <w:t xml:space="preserve"> </w:t>
      </w:r>
      <w:r w:rsidR="009E6A29">
        <w:rPr>
          <w:szCs w:val="22"/>
          <w:lang w:val="en-NZ"/>
        </w:rPr>
        <w:t>were</w:t>
      </w:r>
      <w:r w:rsidRPr="00DA16E1">
        <w:rPr>
          <w:szCs w:val="22"/>
          <w:lang w:val="en-NZ"/>
        </w:rPr>
        <w:t xml:space="preserve"> d</w:t>
      </w:r>
      <w:r>
        <w:rPr>
          <w:szCs w:val="22"/>
          <w:lang w:val="en-NZ"/>
        </w:rPr>
        <w:t>efined as people aged 18 years or older</w:t>
      </w:r>
      <w:r w:rsidRPr="00DA16E1">
        <w:rPr>
          <w:szCs w:val="22"/>
          <w:lang w:val="en-NZ"/>
        </w:rPr>
        <w:t>.</w:t>
      </w:r>
    </w:p>
    <w:p w:rsidR="005D3236" w:rsidRPr="00DA16E1" w:rsidRDefault="005D3236" w:rsidP="00017B76">
      <w:pPr>
        <w:pStyle w:val="BodyText1"/>
        <w:numPr>
          <w:ilvl w:val="0"/>
          <w:numId w:val="25"/>
        </w:numPr>
        <w:jc w:val="both"/>
        <w:rPr>
          <w:szCs w:val="22"/>
          <w:lang w:val="en-NZ"/>
        </w:rPr>
      </w:pPr>
      <w:r w:rsidRPr="00DA16E1">
        <w:rPr>
          <w:szCs w:val="22"/>
          <w:lang w:val="en-NZ"/>
        </w:rPr>
        <w:t>The interview length varied depending on the respondent's level of involvement with gambling activities.</w:t>
      </w:r>
    </w:p>
    <w:p w:rsidR="005D3236" w:rsidRPr="00DA16E1" w:rsidRDefault="005D3236" w:rsidP="00017B76">
      <w:pPr>
        <w:pStyle w:val="BodyText1"/>
        <w:numPr>
          <w:ilvl w:val="0"/>
          <w:numId w:val="25"/>
        </w:numPr>
        <w:jc w:val="both"/>
        <w:rPr>
          <w:szCs w:val="22"/>
          <w:lang w:val="en-NZ"/>
        </w:rPr>
      </w:pPr>
      <w:r w:rsidRPr="00DA16E1">
        <w:rPr>
          <w:szCs w:val="22"/>
          <w:lang w:val="en-NZ"/>
        </w:rPr>
        <w:lastRenderedPageBreak/>
        <w:t>The household call pattern, call</w:t>
      </w:r>
      <w:r>
        <w:rPr>
          <w:szCs w:val="22"/>
          <w:lang w:val="en-NZ"/>
        </w:rPr>
        <w:t xml:space="preserve"> </w:t>
      </w:r>
      <w:r w:rsidRPr="00DA16E1">
        <w:rPr>
          <w:szCs w:val="22"/>
          <w:lang w:val="en-NZ"/>
        </w:rPr>
        <w:t xml:space="preserve">backs to households, and the interviewers' approach was designed to achieve an expected response rate of 65%. </w:t>
      </w:r>
      <w:r>
        <w:rPr>
          <w:szCs w:val="22"/>
          <w:lang w:val="en-NZ"/>
        </w:rPr>
        <w:t xml:space="preserve"> </w:t>
      </w:r>
      <w:r w:rsidRPr="00DA16E1">
        <w:rPr>
          <w:szCs w:val="22"/>
          <w:lang w:val="en-NZ"/>
        </w:rPr>
        <w:t xml:space="preserve">Up to seven calls were made to a household to contact the eligible respondent. </w:t>
      </w:r>
      <w:r>
        <w:rPr>
          <w:szCs w:val="22"/>
          <w:lang w:val="en-NZ"/>
        </w:rPr>
        <w:t xml:space="preserve"> </w:t>
      </w:r>
      <w:r w:rsidRPr="00DA16E1">
        <w:rPr>
          <w:szCs w:val="22"/>
          <w:lang w:val="en-NZ"/>
        </w:rPr>
        <w:t>Household calls were made on different days (week days and weekend days) and at different times of the day, in order to maximise the chance of contacting people.</w:t>
      </w:r>
    </w:p>
    <w:p w:rsidR="005D3236" w:rsidRPr="00DA16E1" w:rsidRDefault="005D3236" w:rsidP="00017B76">
      <w:pPr>
        <w:pStyle w:val="BodyText1"/>
        <w:numPr>
          <w:ilvl w:val="0"/>
          <w:numId w:val="25"/>
        </w:numPr>
        <w:jc w:val="both"/>
        <w:rPr>
          <w:szCs w:val="22"/>
          <w:lang w:val="en-NZ"/>
        </w:rPr>
      </w:pPr>
      <w:r w:rsidRPr="00DA16E1">
        <w:rPr>
          <w:szCs w:val="22"/>
          <w:lang w:val="en-NZ"/>
        </w:rPr>
        <w:t xml:space="preserve">There was no inducement or coercion of respondents. </w:t>
      </w:r>
      <w:r>
        <w:rPr>
          <w:szCs w:val="22"/>
          <w:lang w:val="en-NZ"/>
        </w:rPr>
        <w:t xml:space="preserve"> </w:t>
      </w:r>
      <w:r w:rsidRPr="00DA16E1">
        <w:rPr>
          <w:szCs w:val="22"/>
          <w:lang w:val="en-NZ"/>
        </w:rPr>
        <w:t>To this end, a consent form was signed or approved by responde</w:t>
      </w:r>
      <w:r w:rsidR="00252F2B">
        <w:rPr>
          <w:szCs w:val="22"/>
          <w:lang w:val="en-NZ"/>
        </w:rPr>
        <w:t>nts before the interview began.</w:t>
      </w:r>
    </w:p>
    <w:p w:rsidR="005D3236" w:rsidRPr="00DA16E1" w:rsidRDefault="005D3236" w:rsidP="00017B76">
      <w:pPr>
        <w:pStyle w:val="BodyText1"/>
        <w:numPr>
          <w:ilvl w:val="0"/>
          <w:numId w:val="25"/>
        </w:numPr>
        <w:jc w:val="both"/>
        <w:rPr>
          <w:szCs w:val="22"/>
          <w:lang w:val="en-NZ"/>
        </w:rPr>
      </w:pPr>
      <w:r>
        <w:rPr>
          <w:szCs w:val="22"/>
          <w:lang w:val="en-NZ"/>
        </w:rPr>
        <w:t>T</w:t>
      </w:r>
      <w:r w:rsidRPr="00DA16E1">
        <w:rPr>
          <w:szCs w:val="22"/>
          <w:lang w:val="en-NZ"/>
        </w:rPr>
        <w:t xml:space="preserve">here were 'core' (non-screened) and 'screened' households within each </w:t>
      </w:r>
      <w:r>
        <w:rPr>
          <w:szCs w:val="22"/>
          <w:lang w:val="en-NZ"/>
        </w:rPr>
        <w:t>meshblock</w:t>
      </w:r>
      <w:r w:rsidRPr="00DA16E1">
        <w:rPr>
          <w:szCs w:val="22"/>
          <w:lang w:val="en-NZ"/>
        </w:rPr>
        <w:t xml:space="preserve">. </w:t>
      </w:r>
      <w:r>
        <w:rPr>
          <w:szCs w:val="22"/>
          <w:lang w:val="en-NZ"/>
        </w:rPr>
        <w:t xml:space="preserve"> </w:t>
      </w:r>
      <w:r w:rsidRPr="00DA16E1">
        <w:rPr>
          <w:szCs w:val="22"/>
          <w:lang w:val="en-NZ"/>
        </w:rPr>
        <w:t xml:space="preserve">Interviews conducted in screened households boosted the number of interviews conducted with </w:t>
      </w:r>
      <w:r>
        <w:rPr>
          <w:szCs w:val="22"/>
          <w:lang w:val="en-NZ"/>
        </w:rPr>
        <w:t>Māori</w:t>
      </w:r>
      <w:r w:rsidRPr="00DA16E1">
        <w:rPr>
          <w:szCs w:val="22"/>
          <w:lang w:val="en-NZ"/>
        </w:rPr>
        <w:t>, Asian and Pacific respondents.</w:t>
      </w:r>
    </w:p>
    <w:p w:rsidR="005D3236" w:rsidRDefault="005D3236" w:rsidP="00017B76">
      <w:pPr>
        <w:pStyle w:val="BodyText1"/>
        <w:numPr>
          <w:ilvl w:val="0"/>
          <w:numId w:val="25"/>
        </w:numPr>
        <w:jc w:val="both"/>
        <w:rPr>
          <w:szCs w:val="22"/>
          <w:lang w:val="en-NZ"/>
        </w:rPr>
      </w:pPr>
      <w:r w:rsidRPr="00DA16E1">
        <w:rPr>
          <w:szCs w:val="22"/>
          <w:lang w:val="en-NZ"/>
        </w:rPr>
        <w:t>Interviewers were trained on the specifics o</w:t>
      </w:r>
      <w:r>
        <w:rPr>
          <w:szCs w:val="22"/>
          <w:lang w:val="en-NZ"/>
        </w:rPr>
        <w:t xml:space="preserve">f the National Gambling </w:t>
      </w:r>
      <w:r w:rsidR="006D0C12">
        <w:rPr>
          <w:szCs w:val="22"/>
          <w:lang w:val="en-NZ"/>
        </w:rPr>
        <w:t>Study</w:t>
      </w:r>
      <w:r>
        <w:rPr>
          <w:szCs w:val="22"/>
          <w:lang w:val="en-NZ"/>
        </w:rPr>
        <w:t>.</w:t>
      </w:r>
    </w:p>
    <w:p w:rsidR="005D3236" w:rsidRDefault="005D3236" w:rsidP="005D3236">
      <w:pPr>
        <w:pStyle w:val="BodyText1"/>
        <w:jc w:val="both"/>
        <w:rPr>
          <w:szCs w:val="22"/>
          <w:lang w:val="en-NZ"/>
        </w:rPr>
      </w:pPr>
    </w:p>
    <w:p w:rsidR="005D3236" w:rsidRPr="00F67FCB" w:rsidRDefault="005D3236" w:rsidP="00017B76">
      <w:pPr>
        <w:pStyle w:val="Heading2b"/>
        <w:keepNext w:val="0"/>
        <w:numPr>
          <w:ilvl w:val="2"/>
          <w:numId w:val="26"/>
        </w:numPr>
        <w:ind w:left="709" w:hanging="709"/>
        <w:rPr>
          <w:i/>
          <w:sz w:val="22"/>
          <w:lang w:val="en-NZ"/>
        </w:rPr>
      </w:pPr>
      <w:bookmarkStart w:id="66" w:name="_Toc399511070"/>
      <w:bookmarkStart w:id="67" w:name="_Toc399511215"/>
      <w:bookmarkStart w:id="68" w:name="_Toc403052522"/>
      <w:bookmarkStart w:id="69" w:name="_Toc403052857"/>
      <w:bookmarkStart w:id="70" w:name="_Toc420392591"/>
      <w:r>
        <w:rPr>
          <w:i/>
          <w:sz w:val="22"/>
          <w:lang w:val="en-NZ"/>
        </w:rPr>
        <w:t xml:space="preserve">12-month </w:t>
      </w:r>
      <w:r w:rsidR="00173EB8">
        <w:rPr>
          <w:i/>
          <w:sz w:val="22"/>
          <w:lang w:val="en-NZ"/>
        </w:rPr>
        <w:t xml:space="preserve">(Wave 2) </w:t>
      </w:r>
      <w:r>
        <w:rPr>
          <w:i/>
          <w:sz w:val="22"/>
          <w:lang w:val="en-NZ"/>
        </w:rPr>
        <w:t xml:space="preserve">follow-up </w:t>
      </w:r>
      <w:r w:rsidR="00252F2B">
        <w:rPr>
          <w:i/>
          <w:sz w:val="22"/>
          <w:lang w:val="en-NZ"/>
        </w:rPr>
        <w:t>assessment</w:t>
      </w:r>
      <w:bookmarkEnd w:id="66"/>
      <w:bookmarkEnd w:id="67"/>
      <w:bookmarkEnd w:id="68"/>
      <w:bookmarkEnd w:id="69"/>
      <w:bookmarkEnd w:id="70"/>
    </w:p>
    <w:p w:rsidR="005D3236" w:rsidRDefault="005D3236" w:rsidP="005D3236">
      <w:pPr>
        <w:pStyle w:val="BodyText1"/>
        <w:ind w:left="0"/>
        <w:jc w:val="both"/>
        <w:rPr>
          <w:szCs w:val="22"/>
          <w:lang w:val="en-NZ"/>
        </w:rPr>
      </w:pPr>
    </w:p>
    <w:p w:rsidR="007C6817" w:rsidRDefault="00252F2B" w:rsidP="005D3236">
      <w:pPr>
        <w:pStyle w:val="BodyText1"/>
        <w:ind w:left="0"/>
        <w:jc w:val="both"/>
        <w:rPr>
          <w:szCs w:val="22"/>
          <w:lang w:val="en-NZ"/>
        </w:rPr>
      </w:pPr>
      <w:r>
        <w:rPr>
          <w:szCs w:val="22"/>
          <w:lang w:val="en-NZ"/>
        </w:rPr>
        <w:t xml:space="preserve">Interviews for the </w:t>
      </w:r>
      <w:r w:rsidR="00173EB8">
        <w:rPr>
          <w:szCs w:val="22"/>
          <w:lang w:val="en-NZ"/>
        </w:rPr>
        <w:t xml:space="preserve">Wave 2 </w:t>
      </w:r>
      <w:r>
        <w:rPr>
          <w:szCs w:val="22"/>
          <w:lang w:val="en-NZ"/>
        </w:rPr>
        <w:t xml:space="preserve">follow-up assessment were conducted </w:t>
      </w:r>
      <w:r w:rsidR="002E2A32" w:rsidRPr="002E2A32">
        <w:rPr>
          <w:szCs w:val="22"/>
          <w:lang w:val="en-NZ"/>
        </w:rPr>
        <w:t>12 months after the original interview date, or as near to this date as practically possible.</w:t>
      </w:r>
      <w:r w:rsidR="002E2A32">
        <w:rPr>
          <w:szCs w:val="22"/>
          <w:lang w:val="en-NZ"/>
        </w:rPr>
        <w:t xml:space="preserve">  Contacting and interviewing participants followed the process described for the </w:t>
      </w:r>
      <w:r w:rsidR="006D0C12">
        <w:rPr>
          <w:szCs w:val="22"/>
          <w:lang w:val="en-NZ"/>
        </w:rPr>
        <w:t>Wave 1</w:t>
      </w:r>
      <w:r w:rsidR="002E2A32">
        <w:rPr>
          <w:szCs w:val="22"/>
          <w:lang w:val="en-NZ"/>
        </w:rPr>
        <w:t xml:space="preserve"> assessment</w:t>
      </w:r>
      <w:r>
        <w:rPr>
          <w:szCs w:val="22"/>
          <w:lang w:val="en-NZ"/>
        </w:rPr>
        <w:t xml:space="preserve"> with the </w:t>
      </w:r>
      <w:r w:rsidR="007C6817">
        <w:rPr>
          <w:szCs w:val="22"/>
          <w:lang w:val="en-NZ"/>
        </w:rPr>
        <w:t>following differences:</w:t>
      </w:r>
    </w:p>
    <w:p w:rsidR="007C6817" w:rsidRPr="007C6817" w:rsidRDefault="007C6817" w:rsidP="005636CC">
      <w:pPr>
        <w:pStyle w:val="BodyText1"/>
        <w:numPr>
          <w:ilvl w:val="0"/>
          <w:numId w:val="36"/>
        </w:numPr>
        <w:jc w:val="both"/>
        <w:rPr>
          <w:szCs w:val="22"/>
          <w:lang w:val="en-NZ"/>
        </w:rPr>
      </w:pPr>
      <w:r w:rsidRPr="007C6817">
        <w:rPr>
          <w:szCs w:val="22"/>
          <w:lang w:val="en-NZ"/>
        </w:rPr>
        <w:t xml:space="preserve">Interviewers re-contacted participants face-to-face (i.e. door-to-door), at the residential address of the participant that was recorded at the </w:t>
      </w:r>
      <w:r w:rsidR="006D0C12">
        <w:rPr>
          <w:szCs w:val="22"/>
          <w:lang w:val="en-NZ"/>
        </w:rPr>
        <w:t>Wave 1</w:t>
      </w:r>
      <w:r w:rsidRPr="007C6817">
        <w:rPr>
          <w:szCs w:val="22"/>
          <w:lang w:val="en-NZ"/>
        </w:rPr>
        <w:t xml:space="preserve"> assessment.  The exception to this was for a small proportion of participants where significant travel was involved to the participant's address (u</w:t>
      </w:r>
      <w:r>
        <w:rPr>
          <w:szCs w:val="22"/>
          <w:lang w:val="en-NZ"/>
        </w:rPr>
        <w:t>sually a rural address).  In tho</w:t>
      </w:r>
      <w:r w:rsidRPr="007C6817">
        <w:rPr>
          <w:szCs w:val="22"/>
          <w:lang w:val="en-NZ"/>
        </w:rPr>
        <w:t xml:space="preserve">se cases, interviewers were permitted, at the discretion of their supervisor, to first </w:t>
      </w:r>
      <w:r>
        <w:rPr>
          <w:szCs w:val="22"/>
          <w:lang w:val="en-NZ"/>
        </w:rPr>
        <w:t>tele</w:t>
      </w:r>
      <w:r w:rsidRPr="007C6817">
        <w:rPr>
          <w:szCs w:val="22"/>
          <w:lang w:val="en-NZ"/>
        </w:rPr>
        <w:t xml:space="preserve">phone the participant to attempt to arrange an interview appointment. </w:t>
      </w:r>
    </w:p>
    <w:p w:rsidR="007C6817" w:rsidRPr="007C6817" w:rsidRDefault="007C6817" w:rsidP="005636CC">
      <w:pPr>
        <w:pStyle w:val="BodyText1"/>
        <w:numPr>
          <w:ilvl w:val="0"/>
          <w:numId w:val="36"/>
        </w:numPr>
        <w:jc w:val="both"/>
        <w:rPr>
          <w:szCs w:val="22"/>
          <w:lang w:val="en-NZ"/>
        </w:rPr>
      </w:pPr>
      <w:r>
        <w:rPr>
          <w:szCs w:val="22"/>
          <w:lang w:val="en-NZ"/>
        </w:rPr>
        <w:t>I</w:t>
      </w:r>
      <w:r w:rsidRPr="007C6817">
        <w:rPr>
          <w:szCs w:val="22"/>
          <w:lang w:val="en-NZ"/>
        </w:rPr>
        <w:t xml:space="preserve">nterviewers made up to </w:t>
      </w:r>
      <w:r>
        <w:rPr>
          <w:szCs w:val="22"/>
          <w:lang w:val="en-NZ"/>
        </w:rPr>
        <w:t>five</w:t>
      </w:r>
      <w:r w:rsidRPr="007C6817">
        <w:rPr>
          <w:szCs w:val="22"/>
          <w:lang w:val="en-NZ"/>
        </w:rPr>
        <w:t xml:space="preserve"> calls in total (i.e. four call-backs) door-to-door.  As </w:t>
      </w:r>
      <w:r>
        <w:rPr>
          <w:szCs w:val="22"/>
          <w:lang w:val="en-NZ"/>
        </w:rPr>
        <w:t xml:space="preserve">for the </w:t>
      </w:r>
      <w:r w:rsidR="006D0C12">
        <w:rPr>
          <w:szCs w:val="22"/>
          <w:lang w:val="en-NZ"/>
        </w:rPr>
        <w:t>Wave 1</w:t>
      </w:r>
      <w:r>
        <w:rPr>
          <w:szCs w:val="22"/>
          <w:lang w:val="en-NZ"/>
        </w:rPr>
        <w:t xml:space="preserve"> assessment</w:t>
      </w:r>
      <w:r w:rsidRPr="007C6817">
        <w:rPr>
          <w:szCs w:val="22"/>
          <w:lang w:val="en-NZ"/>
        </w:rPr>
        <w:t>,</w:t>
      </w:r>
      <w:r>
        <w:rPr>
          <w:szCs w:val="22"/>
          <w:lang w:val="en-NZ"/>
        </w:rPr>
        <w:t xml:space="preserve"> t</w:t>
      </w:r>
      <w:r w:rsidRPr="007C6817">
        <w:rPr>
          <w:szCs w:val="22"/>
          <w:lang w:val="en-NZ"/>
        </w:rPr>
        <w:t xml:space="preserve">hese call-backs were made on different days of the week, in particular by varying week days and weekend days, and at different times of the day, to maximise the chance of contacting the participant. </w:t>
      </w:r>
    </w:p>
    <w:p w:rsidR="007C6817" w:rsidRPr="007C6817" w:rsidRDefault="007C6817" w:rsidP="005636CC">
      <w:pPr>
        <w:pStyle w:val="BodyText1"/>
        <w:numPr>
          <w:ilvl w:val="0"/>
          <w:numId w:val="36"/>
        </w:numPr>
        <w:jc w:val="both"/>
        <w:rPr>
          <w:szCs w:val="22"/>
          <w:lang w:val="en-NZ"/>
        </w:rPr>
      </w:pPr>
      <w:r>
        <w:rPr>
          <w:szCs w:val="22"/>
          <w:lang w:val="en-NZ"/>
        </w:rPr>
        <w:t xml:space="preserve">A </w:t>
      </w:r>
      <w:r w:rsidR="002E2A32">
        <w:rPr>
          <w:szCs w:val="22"/>
          <w:lang w:val="en-NZ"/>
        </w:rPr>
        <w:t xml:space="preserve">$20 </w:t>
      </w:r>
      <w:r>
        <w:rPr>
          <w:szCs w:val="22"/>
          <w:lang w:val="en-NZ"/>
        </w:rPr>
        <w:t>k</w:t>
      </w:r>
      <w:r w:rsidRPr="00DA16E1">
        <w:rPr>
          <w:szCs w:val="22"/>
          <w:lang w:val="en-NZ"/>
        </w:rPr>
        <w:t xml:space="preserve">oha was </w:t>
      </w:r>
      <w:r>
        <w:rPr>
          <w:szCs w:val="22"/>
          <w:lang w:val="en-NZ"/>
        </w:rPr>
        <w:t>given to participants on completion of the follow-up assessment</w:t>
      </w:r>
      <w:r w:rsidRPr="00DA16E1">
        <w:rPr>
          <w:szCs w:val="22"/>
          <w:lang w:val="en-NZ"/>
        </w:rPr>
        <w:t>, as reciprocity in recognition for respondents’ time.</w:t>
      </w:r>
    </w:p>
    <w:p w:rsidR="007C6817" w:rsidRPr="007C6817" w:rsidRDefault="007C6817" w:rsidP="005636CC">
      <w:pPr>
        <w:pStyle w:val="BodyText1"/>
        <w:numPr>
          <w:ilvl w:val="0"/>
          <w:numId w:val="36"/>
        </w:numPr>
        <w:jc w:val="both"/>
        <w:rPr>
          <w:szCs w:val="22"/>
          <w:lang w:val="en-NZ"/>
        </w:rPr>
      </w:pPr>
      <w:r>
        <w:rPr>
          <w:szCs w:val="22"/>
          <w:lang w:val="en-NZ"/>
        </w:rPr>
        <w:t>For</w:t>
      </w:r>
      <w:r w:rsidRPr="007C6817">
        <w:rPr>
          <w:szCs w:val="22"/>
          <w:lang w:val="en-NZ"/>
        </w:rPr>
        <w:t xml:space="preserve"> participants who </w:t>
      </w:r>
      <w:r>
        <w:rPr>
          <w:szCs w:val="22"/>
          <w:lang w:val="en-NZ"/>
        </w:rPr>
        <w:t>had changed address</w:t>
      </w:r>
      <w:r w:rsidRPr="007C6817">
        <w:rPr>
          <w:szCs w:val="22"/>
          <w:lang w:val="en-NZ"/>
        </w:rPr>
        <w:t>, interviewers initially recorded that the participant had moved.  Where possible, interviewers established whether the responde</w:t>
      </w:r>
      <w:r>
        <w:rPr>
          <w:szCs w:val="22"/>
          <w:lang w:val="en-NZ"/>
        </w:rPr>
        <w:t>nt had moved within New Zealand</w:t>
      </w:r>
      <w:r w:rsidRPr="007C6817">
        <w:rPr>
          <w:szCs w:val="22"/>
          <w:lang w:val="en-NZ"/>
        </w:rPr>
        <w:t xml:space="preserve"> or had moved overseas, and their new address in New Zealand, if this was known.  </w:t>
      </w:r>
    </w:p>
    <w:p w:rsidR="00E85BCF" w:rsidRDefault="007C6817" w:rsidP="005636CC">
      <w:pPr>
        <w:pStyle w:val="BodyText1"/>
        <w:numPr>
          <w:ilvl w:val="0"/>
          <w:numId w:val="36"/>
        </w:numPr>
        <w:jc w:val="both"/>
        <w:rPr>
          <w:szCs w:val="22"/>
          <w:lang w:val="en-NZ"/>
        </w:rPr>
      </w:pPr>
      <w:r>
        <w:rPr>
          <w:szCs w:val="22"/>
          <w:lang w:val="en-NZ"/>
        </w:rPr>
        <w:t>A</w:t>
      </w:r>
      <w:r w:rsidRPr="007C6817">
        <w:rPr>
          <w:szCs w:val="22"/>
          <w:lang w:val="en-NZ"/>
        </w:rPr>
        <w:t>ddition</w:t>
      </w:r>
      <w:r>
        <w:rPr>
          <w:szCs w:val="22"/>
          <w:lang w:val="en-NZ"/>
        </w:rPr>
        <w:t>ally</w:t>
      </w:r>
      <w:r w:rsidRPr="007C6817">
        <w:rPr>
          <w:szCs w:val="22"/>
          <w:lang w:val="en-NZ"/>
        </w:rPr>
        <w:t>, whe</w:t>
      </w:r>
      <w:r>
        <w:rPr>
          <w:szCs w:val="22"/>
          <w:lang w:val="en-NZ"/>
        </w:rPr>
        <w:t>n</w:t>
      </w:r>
      <w:r w:rsidRPr="007C6817">
        <w:rPr>
          <w:szCs w:val="22"/>
          <w:lang w:val="en-NZ"/>
        </w:rPr>
        <w:t xml:space="preserve"> an interviewer was given a new address for a participant that was within their interviewing area (</w:t>
      </w:r>
      <w:r>
        <w:rPr>
          <w:szCs w:val="22"/>
          <w:lang w:val="en-NZ"/>
        </w:rPr>
        <w:t xml:space="preserve">i.e. </w:t>
      </w:r>
      <w:r w:rsidRPr="007C6817">
        <w:rPr>
          <w:szCs w:val="22"/>
          <w:lang w:val="en-NZ"/>
        </w:rPr>
        <w:t>typically this was whe</w:t>
      </w:r>
      <w:r>
        <w:rPr>
          <w:szCs w:val="22"/>
          <w:lang w:val="en-NZ"/>
        </w:rPr>
        <w:t>n</w:t>
      </w:r>
      <w:r w:rsidRPr="007C6817">
        <w:rPr>
          <w:szCs w:val="22"/>
          <w:lang w:val="en-NZ"/>
        </w:rPr>
        <w:t xml:space="preserve"> </w:t>
      </w:r>
      <w:r>
        <w:rPr>
          <w:szCs w:val="22"/>
          <w:lang w:val="en-NZ"/>
        </w:rPr>
        <w:t>a</w:t>
      </w:r>
      <w:r w:rsidRPr="007C6817">
        <w:rPr>
          <w:szCs w:val="22"/>
          <w:lang w:val="en-NZ"/>
        </w:rPr>
        <w:t xml:space="preserve"> participant had moved within a city or town), the interviewer then contacted the pa</w:t>
      </w:r>
      <w:r>
        <w:rPr>
          <w:szCs w:val="22"/>
          <w:lang w:val="en-NZ"/>
        </w:rPr>
        <w:t>rticipant at their new address.</w:t>
      </w:r>
    </w:p>
    <w:p w:rsidR="00252F2B" w:rsidRDefault="00252F2B" w:rsidP="005D3236">
      <w:pPr>
        <w:pStyle w:val="BodyText1"/>
        <w:ind w:left="0"/>
        <w:jc w:val="both"/>
        <w:rPr>
          <w:szCs w:val="22"/>
          <w:lang w:val="en-NZ"/>
        </w:rPr>
      </w:pPr>
    </w:p>
    <w:p w:rsidR="00E54026" w:rsidRPr="002E2A32" w:rsidRDefault="00D80B84" w:rsidP="00017B76">
      <w:pPr>
        <w:pStyle w:val="heading2a"/>
        <w:keepNext w:val="0"/>
        <w:numPr>
          <w:ilvl w:val="1"/>
          <w:numId w:val="26"/>
        </w:numPr>
        <w:pBdr>
          <w:top w:val="single" w:sz="4" w:space="1" w:color="auto"/>
          <w:left w:val="single" w:sz="4" w:space="4" w:color="auto"/>
          <w:bottom w:val="single" w:sz="4" w:space="1" w:color="auto"/>
          <w:right w:val="single" w:sz="4" w:space="4" w:color="auto"/>
        </w:pBdr>
        <w:ind w:left="426" w:hanging="426"/>
        <w:rPr>
          <w:sz w:val="22"/>
          <w:szCs w:val="22"/>
        </w:rPr>
      </w:pPr>
      <w:bookmarkStart w:id="71" w:name="_Ref369076704"/>
      <w:bookmarkStart w:id="72" w:name="_Toc371414867"/>
      <w:bookmarkStart w:id="73" w:name="_Toc399511071"/>
      <w:bookmarkStart w:id="74" w:name="_Toc399511216"/>
      <w:bookmarkStart w:id="75" w:name="_Toc403052523"/>
      <w:bookmarkStart w:id="76" w:name="_Toc403052858"/>
      <w:bookmarkStart w:id="77" w:name="_Toc420392592"/>
      <w:r w:rsidRPr="002E2A32">
        <w:rPr>
          <w:sz w:val="22"/>
          <w:szCs w:val="22"/>
        </w:rPr>
        <w:t>Survey population</w:t>
      </w:r>
      <w:bookmarkEnd w:id="71"/>
      <w:bookmarkEnd w:id="72"/>
      <w:bookmarkEnd w:id="73"/>
      <w:bookmarkEnd w:id="74"/>
      <w:bookmarkEnd w:id="75"/>
      <w:bookmarkEnd w:id="76"/>
      <w:bookmarkEnd w:id="77"/>
    </w:p>
    <w:p w:rsidR="004F74CD" w:rsidRPr="00F67FCB" w:rsidRDefault="004F74CD" w:rsidP="00017B76">
      <w:pPr>
        <w:pStyle w:val="Heading2b"/>
        <w:numPr>
          <w:ilvl w:val="2"/>
          <w:numId w:val="26"/>
        </w:numPr>
        <w:ind w:left="709" w:hanging="709"/>
        <w:rPr>
          <w:i/>
          <w:sz w:val="22"/>
          <w:lang w:val="en-NZ"/>
        </w:rPr>
      </w:pPr>
      <w:bookmarkStart w:id="78" w:name="_Toc371414874"/>
      <w:bookmarkStart w:id="79" w:name="_Toc399511072"/>
      <w:bookmarkStart w:id="80" w:name="_Toc399511217"/>
      <w:bookmarkStart w:id="81" w:name="_Toc403052524"/>
      <w:bookmarkStart w:id="82" w:name="_Toc403052859"/>
      <w:bookmarkStart w:id="83" w:name="_Toc420392593"/>
      <w:r>
        <w:rPr>
          <w:i/>
          <w:sz w:val="22"/>
          <w:lang w:val="en-NZ"/>
        </w:rPr>
        <w:t>Sample size</w:t>
      </w:r>
      <w:bookmarkEnd w:id="78"/>
      <w:bookmarkEnd w:id="79"/>
      <w:bookmarkEnd w:id="80"/>
      <w:bookmarkEnd w:id="81"/>
      <w:bookmarkEnd w:id="82"/>
      <w:bookmarkEnd w:id="83"/>
    </w:p>
    <w:p w:rsidR="00270170" w:rsidRDefault="00270170" w:rsidP="00F67FCB">
      <w:pPr>
        <w:jc w:val="both"/>
        <w:rPr>
          <w:szCs w:val="22"/>
        </w:rPr>
      </w:pPr>
    </w:p>
    <w:p w:rsidR="002E2A32" w:rsidRPr="006438AE" w:rsidRDefault="002E2A32" w:rsidP="006438AE">
      <w:pPr>
        <w:pStyle w:val="StyleNormalWeb11ptJustified"/>
      </w:pPr>
      <w:r w:rsidRPr="006438AE">
        <w:t>A randomly selected national sample of 6,251 people aged 18 years and older living in private households was interviewed face-to-face from March to October 2012</w:t>
      </w:r>
      <w:r w:rsidR="00173EB8">
        <w:t xml:space="preserve"> (Wave 1)</w:t>
      </w:r>
      <w:r w:rsidRPr="006438AE">
        <w:t xml:space="preserve">.  The response rate was 64% and the sample was weighted to enable generalisation of the survey findings to </w:t>
      </w:r>
      <w:r w:rsidRPr="006438AE">
        <w:lastRenderedPageBreak/>
        <w:t>the general adult population.  One year later from March to November 2013</w:t>
      </w:r>
      <w:r w:rsidR="00173EB8">
        <w:t xml:space="preserve"> (Wave 2)</w:t>
      </w:r>
      <w:r w:rsidRPr="006438AE">
        <w:t>, 3,745 participants were re-contacted and re-interviewed.  Due to budgetary constraints, attempts were only made to re-contact 5,266 of the original 6,251 participants</w:t>
      </w:r>
      <w:r w:rsidR="006438AE" w:rsidRPr="006438AE">
        <w:t xml:space="preserve"> (</w:t>
      </w:r>
      <w:r w:rsidR="009E6A29">
        <w:fldChar w:fldCharType="begin"/>
      </w:r>
      <w:r w:rsidR="009E6A29">
        <w:instrText xml:space="preserve"> REF _Ref408404141 \h </w:instrText>
      </w:r>
      <w:r w:rsidR="009E6A29">
        <w:fldChar w:fldCharType="separate"/>
      </w:r>
      <w:r w:rsidR="00B2175B">
        <w:t xml:space="preserve">Figure </w:t>
      </w:r>
      <w:r w:rsidR="00B2175B">
        <w:rPr>
          <w:noProof/>
        </w:rPr>
        <w:t>1</w:t>
      </w:r>
      <w:r w:rsidR="009E6A29">
        <w:fldChar w:fldCharType="end"/>
      </w:r>
      <w:r w:rsidR="006438AE" w:rsidRPr="006438AE">
        <w:t>)</w:t>
      </w:r>
      <w:r w:rsidRPr="006438AE">
        <w:t>.  Therefore, a 71% response rate was achieved in 2013 (60% of the total original sample).</w:t>
      </w:r>
    </w:p>
    <w:p w:rsidR="002E2A32" w:rsidRDefault="002E2A32" w:rsidP="002E2A32">
      <w:pPr>
        <w:jc w:val="both"/>
        <w:rPr>
          <w:szCs w:val="22"/>
        </w:rPr>
      </w:pPr>
    </w:p>
    <w:p w:rsidR="009E6A29" w:rsidRDefault="009E6A29" w:rsidP="009E6A29">
      <w:pPr>
        <w:pStyle w:val="Caption"/>
        <w:keepNext/>
      </w:pPr>
      <w:bookmarkStart w:id="84" w:name="_Ref408404141"/>
      <w:bookmarkStart w:id="85" w:name="_Toc408404208"/>
      <w:r>
        <w:t xml:space="preserve">Figure </w:t>
      </w:r>
      <w:fldSimple w:instr=" SEQ Figure \* ARABIC ">
        <w:r w:rsidR="00B2175B">
          <w:rPr>
            <w:noProof/>
          </w:rPr>
          <w:t>1</w:t>
        </w:r>
      </w:fldSimple>
      <w:bookmarkEnd w:id="84"/>
      <w:r>
        <w:t>: Number of participants interviewed in Wave 1 and Wave 2</w:t>
      </w:r>
      <w:bookmarkEnd w:id="85"/>
    </w:p>
    <w:p w:rsidR="002E2A32" w:rsidRDefault="002E2A32" w:rsidP="002E2A32">
      <w:pPr>
        <w:jc w:val="both"/>
        <w:rPr>
          <w:szCs w:val="22"/>
        </w:rPr>
      </w:pPr>
      <w:r>
        <w:rPr>
          <w:noProof/>
          <w:szCs w:val="22"/>
          <w:lang w:eastAsia="en-NZ"/>
        </w:rPr>
        <w:drawing>
          <wp:inline distT="0" distB="0" distL="0" distR="0" wp14:anchorId="6486758F" wp14:editId="1558EC4F">
            <wp:extent cx="5426710" cy="3165475"/>
            <wp:effectExtent l="0" t="0" r="21590" b="1587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szCs w:val="22"/>
        </w:rPr>
        <w:t xml:space="preserve"> </w:t>
      </w:r>
    </w:p>
    <w:p w:rsidR="002E2A32" w:rsidRDefault="002E2A32" w:rsidP="004F74CD">
      <w:pPr>
        <w:jc w:val="both"/>
        <w:rPr>
          <w:szCs w:val="22"/>
        </w:rPr>
      </w:pPr>
    </w:p>
    <w:p w:rsidR="004F74CD" w:rsidRPr="00F67FCB" w:rsidRDefault="004F74CD" w:rsidP="00017B76">
      <w:pPr>
        <w:pStyle w:val="Heading2b"/>
        <w:keepLines/>
        <w:numPr>
          <w:ilvl w:val="2"/>
          <w:numId w:val="26"/>
        </w:numPr>
        <w:ind w:left="709" w:hanging="709"/>
        <w:rPr>
          <w:i/>
          <w:sz w:val="22"/>
          <w:lang w:val="en-NZ"/>
        </w:rPr>
      </w:pPr>
      <w:bookmarkStart w:id="86" w:name="_Toc371414875"/>
      <w:bookmarkStart w:id="87" w:name="_Toc399511073"/>
      <w:bookmarkStart w:id="88" w:name="_Toc399511218"/>
      <w:bookmarkStart w:id="89" w:name="_Toc403052525"/>
      <w:bookmarkStart w:id="90" w:name="_Toc403052860"/>
      <w:bookmarkStart w:id="91" w:name="_Toc420392594"/>
      <w:r>
        <w:rPr>
          <w:i/>
          <w:sz w:val="22"/>
          <w:lang w:val="en-NZ"/>
        </w:rPr>
        <w:t xml:space="preserve">Composition of the </w:t>
      </w:r>
      <w:r w:rsidR="00173EB8">
        <w:rPr>
          <w:i/>
          <w:sz w:val="22"/>
          <w:lang w:val="en-NZ"/>
        </w:rPr>
        <w:t>Wave 2</w:t>
      </w:r>
      <w:r w:rsidR="006438AE">
        <w:rPr>
          <w:i/>
          <w:sz w:val="22"/>
          <w:lang w:val="en-NZ"/>
        </w:rPr>
        <w:t xml:space="preserve"> </w:t>
      </w:r>
      <w:r>
        <w:rPr>
          <w:i/>
          <w:sz w:val="22"/>
          <w:lang w:val="en-NZ"/>
        </w:rPr>
        <w:t>sample for gender and age groups</w:t>
      </w:r>
      <w:bookmarkEnd w:id="86"/>
      <w:bookmarkEnd w:id="87"/>
      <w:bookmarkEnd w:id="88"/>
      <w:bookmarkEnd w:id="89"/>
      <w:bookmarkEnd w:id="90"/>
      <w:bookmarkEnd w:id="91"/>
    </w:p>
    <w:p w:rsidR="00270170" w:rsidRDefault="00270170" w:rsidP="00BF3117">
      <w:pPr>
        <w:keepNext/>
        <w:keepLines/>
        <w:jc w:val="both"/>
        <w:rPr>
          <w:szCs w:val="22"/>
        </w:rPr>
      </w:pPr>
    </w:p>
    <w:p w:rsidR="00EB7841" w:rsidRDefault="00EB7841" w:rsidP="00BE6FF5">
      <w:pPr>
        <w:pStyle w:val="StyleNormalWeb11ptJustifiedBeforeAutoAfterAuto"/>
      </w:pPr>
      <w:r w:rsidRPr="00BE6FF5">
        <w:t xml:space="preserve">Just over half </w:t>
      </w:r>
      <w:r w:rsidR="006D0C12" w:rsidRPr="00BE6FF5">
        <w:t xml:space="preserve">(57%) </w:t>
      </w:r>
      <w:r w:rsidRPr="00BE6FF5">
        <w:t>of</w:t>
      </w:r>
      <w:r w:rsidR="00BE6FF5" w:rsidRPr="00BE6FF5">
        <w:t xml:space="preserve"> the participants assessed </w:t>
      </w:r>
      <w:r w:rsidR="00C61EC3">
        <w:t>in Wave 2</w:t>
      </w:r>
      <w:r w:rsidR="00BE6FF5" w:rsidRPr="00BE6FF5">
        <w:t xml:space="preserve"> were female and two-fifths (40%) were aged 40 to 59 years (</w:t>
      </w:r>
      <w:r w:rsidR="00C61EC3">
        <w:fldChar w:fldCharType="begin"/>
      </w:r>
      <w:r w:rsidR="00C61EC3">
        <w:instrText xml:space="preserve"> REF _Ref408404344 \h </w:instrText>
      </w:r>
      <w:r w:rsidR="00C61EC3">
        <w:fldChar w:fldCharType="separate"/>
      </w:r>
      <w:r w:rsidR="00B2175B">
        <w:t xml:space="preserve">Table </w:t>
      </w:r>
      <w:r w:rsidR="00B2175B">
        <w:rPr>
          <w:noProof/>
        </w:rPr>
        <w:t>1</w:t>
      </w:r>
      <w:r w:rsidR="00C61EC3">
        <w:fldChar w:fldCharType="end"/>
      </w:r>
      <w:r w:rsidR="00BE6FF5" w:rsidRPr="00BE6FF5">
        <w:t>).</w:t>
      </w:r>
    </w:p>
    <w:p w:rsidR="00BE6FF5" w:rsidRDefault="00BE6FF5" w:rsidP="00BE6FF5">
      <w:pPr>
        <w:pStyle w:val="StyleNormalWeb11ptJustifiedBeforeAutoAfterAuto"/>
      </w:pPr>
    </w:p>
    <w:p w:rsidR="00C61EC3" w:rsidRDefault="00C61EC3" w:rsidP="00C61EC3">
      <w:pPr>
        <w:pStyle w:val="Caption"/>
        <w:keepNext/>
      </w:pPr>
      <w:bookmarkStart w:id="92" w:name="_Ref408404344"/>
      <w:bookmarkStart w:id="93" w:name="_Toc420393789"/>
      <w:r>
        <w:t xml:space="preserve">Table </w:t>
      </w:r>
      <w:fldSimple w:instr=" SEQ Table \* ARABIC ">
        <w:r w:rsidR="00B2175B">
          <w:rPr>
            <w:noProof/>
          </w:rPr>
          <w:t>1</w:t>
        </w:r>
      </w:fldSimple>
      <w:bookmarkEnd w:id="92"/>
      <w:r>
        <w:t>: Gender and age of participants in Wave 2</w:t>
      </w:r>
      <w:bookmarkEnd w:id="93"/>
    </w:p>
    <w:tbl>
      <w:tblPr>
        <w:tblStyle w:val="TableGrid"/>
        <w:tblW w:w="8505" w:type="dxa"/>
        <w:tblInd w:w="108" w:type="dxa"/>
        <w:tblLook w:val="04A0" w:firstRow="1" w:lastRow="0" w:firstColumn="1" w:lastColumn="0" w:noHBand="0" w:noVBand="1"/>
      </w:tblPr>
      <w:tblGrid>
        <w:gridCol w:w="6379"/>
        <w:gridCol w:w="1134"/>
        <w:gridCol w:w="992"/>
      </w:tblGrid>
      <w:tr w:rsidR="006438AE" w:rsidRPr="00EB7841" w:rsidTr="00EB7841">
        <w:tc>
          <w:tcPr>
            <w:tcW w:w="6379" w:type="dxa"/>
            <w:tcBorders>
              <w:left w:val="nil"/>
              <w:bottom w:val="single" w:sz="4" w:space="0" w:color="auto"/>
              <w:right w:val="nil"/>
            </w:tcBorders>
            <w:vAlign w:val="bottom"/>
          </w:tcPr>
          <w:p w:rsidR="006438AE" w:rsidRPr="00EB7841" w:rsidRDefault="006438AE" w:rsidP="00952AEB">
            <w:pPr>
              <w:spacing w:before="20" w:after="20"/>
              <w:rPr>
                <w:b/>
                <w:sz w:val="20"/>
                <w:szCs w:val="18"/>
              </w:rPr>
            </w:pPr>
            <w:r w:rsidRPr="00EB7841">
              <w:rPr>
                <w:b/>
                <w:sz w:val="20"/>
                <w:szCs w:val="18"/>
              </w:rPr>
              <w:t>Sub-sample category</w:t>
            </w:r>
          </w:p>
        </w:tc>
        <w:tc>
          <w:tcPr>
            <w:tcW w:w="1134" w:type="dxa"/>
            <w:tcBorders>
              <w:left w:val="nil"/>
              <w:bottom w:val="single" w:sz="4" w:space="0" w:color="auto"/>
              <w:right w:val="nil"/>
            </w:tcBorders>
          </w:tcPr>
          <w:p w:rsidR="006438AE" w:rsidRPr="00EB7841" w:rsidRDefault="006438AE" w:rsidP="00952AEB">
            <w:pPr>
              <w:spacing w:before="20" w:after="20"/>
              <w:jc w:val="right"/>
              <w:rPr>
                <w:b/>
                <w:sz w:val="20"/>
                <w:szCs w:val="18"/>
              </w:rPr>
            </w:pPr>
            <w:r w:rsidRPr="00EB7841">
              <w:rPr>
                <w:b/>
                <w:sz w:val="20"/>
                <w:szCs w:val="18"/>
              </w:rPr>
              <w:t>N</w:t>
            </w:r>
          </w:p>
        </w:tc>
        <w:tc>
          <w:tcPr>
            <w:tcW w:w="992" w:type="dxa"/>
            <w:tcBorders>
              <w:left w:val="nil"/>
              <w:bottom w:val="single" w:sz="4" w:space="0" w:color="auto"/>
              <w:right w:val="nil"/>
            </w:tcBorders>
          </w:tcPr>
          <w:p w:rsidR="006438AE" w:rsidRPr="00EB7841" w:rsidRDefault="006438AE" w:rsidP="00952AEB">
            <w:pPr>
              <w:spacing w:before="20" w:after="20"/>
              <w:jc w:val="right"/>
              <w:rPr>
                <w:b/>
                <w:sz w:val="20"/>
                <w:szCs w:val="18"/>
              </w:rPr>
            </w:pPr>
            <w:r w:rsidRPr="00EB7841">
              <w:rPr>
                <w:b/>
                <w:sz w:val="20"/>
                <w:szCs w:val="18"/>
              </w:rPr>
              <w:t>(%)</w:t>
            </w:r>
          </w:p>
        </w:tc>
      </w:tr>
      <w:tr w:rsidR="006438AE" w:rsidRPr="00EB7841" w:rsidTr="00EB7841">
        <w:tc>
          <w:tcPr>
            <w:tcW w:w="6379" w:type="dxa"/>
            <w:tcBorders>
              <w:left w:val="nil"/>
              <w:bottom w:val="nil"/>
              <w:right w:val="nil"/>
            </w:tcBorders>
          </w:tcPr>
          <w:p w:rsidR="006438AE" w:rsidRPr="00EB7841" w:rsidRDefault="006438AE" w:rsidP="00952AEB">
            <w:pPr>
              <w:spacing w:before="20" w:after="20"/>
              <w:rPr>
                <w:b/>
                <w:sz w:val="20"/>
                <w:szCs w:val="18"/>
              </w:rPr>
            </w:pPr>
            <w:r w:rsidRPr="00EB7841">
              <w:rPr>
                <w:b/>
                <w:sz w:val="20"/>
                <w:szCs w:val="18"/>
              </w:rPr>
              <w:t>Gender</w:t>
            </w:r>
          </w:p>
        </w:tc>
        <w:tc>
          <w:tcPr>
            <w:tcW w:w="1134" w:type="dxa"/>
            <w:tcBorders>
              <w:left w:val="nil"/>
              <w:bottom w:val="nil"/>
              <w:right w:val="nil"/>
            </w:tcBorders>
          </w:tcPr>
          <w:p w:rsidR="006438AE" w:rsidRPr="00EB7841" w:rsidRDefault="006438AE" w:rsidP="00952AEB">
            <w:pPr>
              <w:spacing w:before="20" w:after="20"/>
              <w:rPr>
                <w:sz w:val="20"/>
                <w:szCs w:val="18"/>
              </w:rPr>
            </w:pPr>
          </w:p>
        </w:tc>
        <w:tc>
          <w:tcPr>
            <w:tcW w:w="992" w:type="dxa"/>
            <w:tcBorders>
              <w:left w:val="nil"/>
              <w:bottom w:val="nil"/>
              <w:right w:val="nil"/>
            </w:tcBorders>
          </w:tcPr>
          <w:p w:rsidR="006438AE" w:rsidRPr="00EB7841" w:rsidRDefault="006438AE" w:rsidP="00952AEB">
            <w:pPr>
              <w:spacing w:before="20" w:after="20"/>
              <w:rPr>
                <w:sz w:val="20"/>
                <w:szCs w:val="18"/>
              </w:rPr>
            </w:pP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r w:rsidRPr="00EB7841">
              <w:rPr>
                <w:sz w:val="20"/>
                <w:szCs w:val="18"/>
              </w:rPr>
              <w:t>Male</w:t>
            </w:r>
          </w:p>
        </w:tc>
        <w:tc>
          <w:tcPr>
            <w:tcW w:w="1134" w:type="dxa"/>
            <w:tcBorders>
              <w:top w:val="nil"/>
              <w:left w:val="nil"/>
              <w:bottom w:val="nil"/>
              <w:right w:val="nil"/>
            </w:tcBorders>
          </w:tcPr>
          <w:p w:rsidR="006438AE" w:rsidRPr="00EB7841" w:rsidRDefault="006438AE" w:rsidP="00952AEB">
            <w:pPr>
              <w:spacing w:before="20" w:after="20"/>
              <w:jc w:val="right"/>
              <w:rPr>
                <w:sz w:val="20"/>
                <w:szCs w:val="18"/>
              </w:rPr>
            </w:pPr>
            <w:r w:rsidRPr="00EB7841">
              <w:rPr>
                <w:sz w:val="20"/>
                <w:szCs w:val="18"/>
              </w:rPr>
              <w:t>1,607</w:t>
            </w:r>
          </w:p>
        </w:tc>
        <w:tc>
          <w:tcPr>
            <w:tcW w:w="992" w:type="dxa"/>
            <w:tcBorders>
              <w:top w:val="nil"/>
              <w:left w:val="nil"/>
              <w:bottom w:val="nil"/>
              <w:right w:val="nil"/>
            </w:tcBorders>
          </w:tcPr>
          <w:p w:rsidR="006438AE" w:rsidRPr="00EB7841" w:rsidRDefault="00EB7841" w:rsidP="00952AEB">
            <w:pPr>
              <w:spacing w:before="20" w:after="20"/>
              <w:jc w:val="right"/>
              <w:rPr>
                <w:sz w:val="20"/>
                <w:szCs w:val="18"/>
              </w:rPr>
            </w:pPr>
            <w:r>
              <w:rPr>
                <w:sz w:val="20"/>
                <w:szCs w:val="18"/>
              </w:rPr>
              <w:t>(</w:t>
            </w:r>
            <w:r w:rsidR="006438AE" w:rsidRPr="00EB7841">
              <w:rPr>
                <w:sz w:val="20"/>
                <w:szCs w:val="18"/>
              </w:rPr>
              <w:t>42.9</w:t>
            </w:r>
            <w:r>
              <w:rPr>
                <w:sz w:val="20"/>
                <w:szCs w:val="18"/>
              </w:rPr>
              <w:t>)</w:t>
            </w: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r w:rsidRPr="00EB7841">
              <w:rPr>
                <w:sz w:val="20"/>
                <w:szCs w:val="18"/>
              </w:rPr>
              <w:t>Female</w:t>
            </w:r>
          </w:p>
        </w:tc>
        <w:tc>
          <w:tcPr>
            <w:tcW w:w="1134" w:type="dxa"/>
            <w:tcBorders>
              <w:top w:val="nil"/>
              <w:left w:val="nil"/>
              <w:bottom w:val="nil"/>
              <w:right w:val="nil"/>
            </w:tcBorders>
          </w:tcPr>
          <w:p w:rsidR="006438AE" w:rsidRPr="00EB7841" w:rsidRDefault="006438AE" w:rsidP="00952AEB">
            <w:pPr>
              <w:spacing w:before="20" w:after="20"/>
              <w:jc w:val="right"/>
              <w:rPr>
                <w:sz w:val="20"/>
                <w:szCs w:val="18"/>
              </w:rPr>
            </w:pPr>
            <w:r w:rsidRPr="00EB7841">
              <w:rPr>
                <w:sz w:val="20"/>
                <w:szCs w:val="18"/>
              </w:rPr>
              <w:t>2,138</w:t>
            </w:r>
          </w:p>
        </w:tc>
        <w:tc>
          <w:tcPr>
            <w:tcW w:w="992" w:type="dxa"/>
            <w:tcBorders>
              <w:top w:val="nil"/>
              <w:left w:val="nil"/>
              <w:bottom w:val="nil"/>
              <w:right w:val="nil"/>
            </w:tcBorders>
          </w:tcPr>
          <w:p w:rsidR="006438AE" w:rsidRPr="00EB7841" w:rsidRDefault="00EB7841" w:rsidP="00952AEB">
            <w:pPr>
              <w:spacing w:before="20" w:after="20"/>
              <w:jc w:val="right"/>
              <w:rPr>
                <w:sz w:val="20"/>
                <w:szCs w:val="18"/>
              </w:rPr>
            </w:pPr>
            <w:r>
              <w:rPr>
                <w:sz w:val="20"/>
                <w:szCs w:val="18"/>
              </w:rPr>
              <w:t>(</w:t>
            </w:r>
            <w:r w:rsidR="006438AE" w:rsidRPr="00EB7841">
              <w:rPr>
                <w:sz w:val="20"/>
                <w:szCs w:val="18"/>
              </w:rPr>
              <w:t>57.1</w:t>
            </w:r>
            <w:r>
              <w:rPr>
                <w:sz w:val="20"/>
                <w:szCs w:val="18"/>
              </w:rPr>
              <w:t>)</w:t>
            </w: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i/>
                <w:sz w:val="20"/>
                <w:szCs w:val="18"/>
              </w:rPr>
            </w:pPr>
            <w:r w:rsidRPr="00EB7841">
              <w:rPr>
                <w:i/>
                <w:sz w:val="20"/>
                <w:szCs w:val="18"/>
              </w:rPr>
              <w:t>Total</w:t>
            </w:r>
          </w:p>
        </w:tc>
        <w:tc>
          <w:tcPr>
            <w:tcW w:w="1134" w:type="dxa"/>
            <w:tcBorders>
              <w:top w:val="nil"/>
              <w:left w:val="nil"/>
              <w:bottom w:val="nil"/>
              <w:right w:val="nil"/>
            </w:tcBorders>
          </w:tcPr>
          <w:p w:rsidR="006438AE" w:rsidRPr="00EB7841" w:rsidRDefault="006438AE" w:rsidP="00952AEB">
            <w:pPr>
              <w:spacing w:before="20" w:after="20"/>
              <w:jc w:val="right"/>
              <w:rPr>
                <w:i/>
                <w:sz w:val="20"/>
                <w:szCs w:val="18"/>
              </w:rPr>
            </w:pPr>
            <w:r w:rsidRPr="00EB7841">
              <w:rPr>
                <w:i/>
                <w:sz w:val="20"/>
                <w:szCs w:val="18"/>
              </w:rPr>
              <w:t>3,745</w:t>
            </w:r>
          </w:p>
        </w:tc>
        <w:tc>
          <w:tcPr>
            <w:tcW w:w="992" w:type="dxa"/>
            <w:tcBorders>
              <w:top w:val="nil"/>
              <w:left w:val="nil"/>
              <w:bottom w:val="nil"/>
              <w:right w:val="nil"/>
            </w:tcBorders>
          </w:tcPr>
          <w:p w:rsidR="006438AE" w:rsidRPr="00EB7841" w:rsidRDefault="00EB7841" w:rsidP="00952AEB">
            <w:pPr>
              <w:spacing w:before="20" w:after="20"/>
              <w:jc w:val="right"/>
              <w:rPr>
                <w:i/>
                <w:sz w:val="20"/>
                <w:szCs w:val="18"/>
              </w:rPr>
            </w:pPr>
            <w:r>
              <w:rPr>
                <w:i/>
                <w:sz w:val="20"/>
                <w:szCs w:val="18"/>
              </w:rPr>
              <w:t>(</w:t>
            </w:r>
            <w:r w:rsidR="006438AE" w:rsidRPr="00EB7841">
              <w:rPr>
                <w:i/>
                <w:sz w:val="20"/>
                <w:szCs w:val="18"/>
              </w:rPr>
              <w:t>100.0</w:t>
            </w:r>
            <w:r>
              <w:rPr>
                <w:i/>
                <w:sz w:val="20"/>
                <w:szCs w:val="18"/>
              </w:rPr>
              <w:t>)</w:t>
            </w: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p>
        </w:tc>
        <w:tc>
          <w:tcPr>
            <w:tcW w:w="1134" w:type="dxa"/>
            <w:tcBorders>
              <w:top w:val="nil"/>
              <w:left w:val="nil"/>
              <w:bottom w:val="nil"/>
              <w:right w:val="nil"/>
            </w:tcBorders>
          </w:tcPr>
          <w:p w:rsidR="006438AE" w:rsidRPr="00EB7841" w:rsidRDefault="006438AE" w:rsidP="00952AEB">
            <w:pPr>
              <w:spacing w:before="20" w:after="20"/>
              <w:jc w:val="right"/>
              <w:rPr>
                <w:sz w:val="20"/>
                <w:szCs w:val="18"/>
              </w:rPr>
            </w:pPr>
          </w:p>
        </w:tc>
        <w:tc>
          <w:tcPr>
            <w:tcW w:w="992" w:type="dxa"/>
            <w:tcBorders>
              <w:top w:val="nil"/>
              <w:left w:val="nil"/>
              <w:bottom w:val="nil"/>
              <w:right w:val="nil"/>
            </w:tcBorders>
          </w:tcPr>
          <w:p w:rsidR="006438AE" w:rsidRPr="00EB7841" w:rsidRDefault="006438AE" w:rsidP="00952AEB">
            <w:pPr>
              <w:spacing w:before="20" w:after="20"/>
              <w:jc w:val="right"/>
              <w:rPr>
                <w:sz w:val="20"/>
                <w:szCs w:val="18"/>
              </w:rPr>
            </w:pP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b/>
                <w:sz w:val="20"/>
                <w:szCs w:val="18"/>
              </w:rPr>
            </w:pPr>
            <w:r w:rsidRPr="00EB7841">
              <w:rPr>
                <w:b/>
                <w:sz w:val="20"/>
                <w:szCs w:val="18"/>
              </w:rPr>
              <w:t>Age groups</w:t>
            </w:r>
            <w:r w:rsidRPr="00EB7841">
              <w:rPr>
                <w:b/>
                <w:sz w:val="20"/>
                <w:szCs w:val="18"/>
                <w:vertAlign w:val="superscript"/>
              </w:rPr>
              <w:t>†</w:t>
            </w:r>
          </w:p>
        </w:tc>
        <w:tc>
          <w:tcPr>
            <w:tcW w:w="1134" w:type="dxa"/>
            <w:tcBorders>
              <w:top w:val="nil"/>
              <w:left w:val="nil"/>
              <w:bottom w:val="nil"/>
              <w:right w:val="nil"/>
            </w:tcBorders>
          </w:tcPr>
          <w:p w:rsidR="006438AE" w:rsidRPr="00EB7841" w:rsidRDefault="006438AE" w:rsidP="00952AEB">
            <w:pPr>
              <w:spacing w:before="20" w:after="20"/>
              <w:jc w:val="right"/>
              <w:rPr>
                <w:sz w:val="20"/>
                <w:szCs w:val="18"/>
              </w:rPr>
            </w:pPr>
          </w:p>
        </w:tc>
        <w:tc>
          <w:tcPr>
            <w:tcW w:w="992" w:type="dxa"/>
            <w:tcBorders>
              <w:top w:val="nil"/>
              <w:left w:val="nil"/>
              <w:bottom w:val="nil"/>
              <w:right w:val="nil"/>
            </w:tcBorders>
          </w:tcPr>
          <w:p w:rsidR="006438AE" w:rsidRPr="00EB7841" w:rsidRDefault="006438AE" w:rsidP="00952AEB">
            <w:pPr>
              <w:spacing w:before="20" w:after="20"/>
              <w:jc w:val="right"/>
              <w:rPr>
                <w:sz w:val="20"/>
                <w:szCs w:val="18"/>
              </w:rPr>
            </w:pP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r w:rsidRPr="00EB7841">
              <w:rPr>
                <w:sz w:val="20"/>
                <w:szCs w:val="18"/>
              </w:rPr>
              <w:t>18 - 39 years</w:t>
            </w:r>
          </w:p>
        </w:tc>
        <w:tc>
          <w:tcPr>
            <w:tcW w:w="1134" w:type="dxa"/>
            <w:tcBorders>
              <w:top w:val="nil"/>
              <w:left w:val="nil"/>
              <w:bottom w:val="nil"/>
              <w:right w:val="nil"/>
            </w:tcBorders>
          </w:tcPr>
          <w:p w:rsidR="006438AE" w:rsidRPr="00EB7841" w:rsidRDefault="00EB7841" w:rsidP="00952AEB">
            <w:pPr>
              <w:spacing w:before="20" w:after="20"/>
              <w:jc w:val="right"/>
              <w:rPr>
                <w:sz w:val="20"/>
                <w:szCs w:val="18"/>
              </w:rPr>
            </w:pPr>
            <w:r w:rsidRPr="00EB7841">
              <w:rPr>
                <w:sz w:val="20"/>
                <w:szCs w:val="18"/>
              </w:rPr>
              <w:t>1,187</w:t>
            </w:r>
          </w:p>
        </w:tc>
        <w:tc>
          <w:tcPr>
            <w:tcW w:w="992" w:type="dxa"/>
            <w:tcBorders>
              <w:top w:val="nil"/>
              <w:left w:val="nil"/>
              <w:bottom w:val="nil"/>
              <w:right w:val="nil"/>
            </w:tcBorders>
          </w:tcPr>
          <w:p w:rsidR="006438AE" w:rsidRPr="00EB7841" w:rsidRDefault="00EB7841" w:rsidP="00952AEB">
            <w:pPr>
              <w:spacing w:before="20" w:after="20"/>
              <w:jc w:val="right"/>
              <w:rPr>
                <w:sz w:val="20"/>
                <w:szCs w:val="18"/>
              </w:rPr>
            </w:pPr>
            <w:r>
              <w:rPr>
                <w:sz w:val="20"/>
                <w:szCs w:val="18"/>
              </w:rPr>
              <w:t>(</w:t>
            </w:r>
            <w:r w:rsidRPr="00EB7841">
              <w:rPr>
                <w:sz w:val="20"/>
                <w:szCs w:val="18"/>
              </w:rPr>
              <w:t>31.7</w:t>
            </w:r>
            <w:r>
              <w:rPr>
                <w:sz w:val="20"/>
                <w:szCs w:val="18"/>
              </w:rPr>
              <w:t>)</w:t>
            </w: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r w:rsidRPr="00EB7841">
              <w:rPr>
                <w:sz w:val="20"/>
                <w:szCs w:val="18"/>
              </w:rPr>
              <w:t>40 - 59 years</w:t>
            </w:r>
          </w:p>
        </w:tc>
        <w:tc>
          <w:tcPr>
            <w:tcW w:w="1134" w:type="dxa"/>
            <w:tcBorders>
              <w:top w:val="nil"/>
              <w:left w:val="nil"/>
              <w:bottom w:val="nil"/>
              <w:right w:val="nil"/>
            </w:tcBorders>
          </w:tcPr>
          <w:p w:rsidR="006438AE" w:rsidRPr="00EB7841" w:rsidRDefault="00EB7841" w:rsidP="00952AEB">
            <w:pPr>
              <w:spacing w:before="20" w:after="20"/>
              <w:jc w:val="right"/>
              <w:rPr>
                <w:sz w:val="20"/>
                <w:szCs w:val="18"/>
              </w:rPr>
            </w:pPr>
            <w:r w:rsidRPr="00EB7841">
              <w:rPr>
                <w:sz w:val="20"/>
                <w:szCs w:val="18"/>
              </w:rPr>
              <w:t>1,502</w:t>
            </w:r>
          </w:p>
        </w:tc>
        <w:tc>
          <w:tcPr>
            <w:tcW w:w="992" w:type="dxa"/>
            <w:tcBorders>
              <w:top w:val="nil"/>
              <w:left w:val="nil"/>
              <w:bottom w:val="nil"/>
              <w:right w:val="nil"/>
            </w:tcBorders>
          </w:tcPr>
          <w:p w:rsidR="006438AE" w:rsidRPr="00EB7841" w:rsidRDefault="00EB7841" w:rsidP="00952AEB">
            <w:pPr>
              <w:spacing w:before="20" w:after="20"/>
              <w:jc w:val="right"/>
              <w:rPr>
                <w:sz w:val="20"/>
                <w:szCs w:val="18"/>
              </w:rPr>
            </w:pPr>
            <w:r>
              <w:rPr>
                <w:sz w:val="20"/>
                <w:szCs w:val="18"/>
              </w:rPr>
              <w:t>(</w:t>
            </w:r>
            <w:r w:rsidRPr="00EB7841">
              <w:rPr>
                <w:sz w:val="20"/>
                <w:szCs w:val="18"/>
              </w:rPr>
              <w:t>40.1</w:t>
            </w:r>
            <w:r>
              <w:rPr>
                <w:sz w:val="20"/>
                <w:szCs w:val="18"/>
              </w:rPr>
              <w:t>)</w:t>
            </w:r>
          </w:p>
        </w:tc>
      </w:tr>
      <w:tr w:rsidR="006438AE" w:rsidRPr="00EB7841" w:rsidTr="00EB7841">
        <w:tc>
          <w:tcPr>
            <w:tcW w:w="6379" w:type="dxa"/>
            <w:tcBorders>
              <w:top w:val="nil"/>
              <w:left w:val="nil"/>
              <w:bottom w:val="nil"/>
              <w:right w:val="nil"/>
            </w:tcBorders>
          </w:tcPr>
          <w:p w:rsidR="006438AE" w:rsidRPr="00EB7841" w:rsidRDefault="006438AE" w:rsidP="00952AEB">
            <w:pPr>
              <w:spacing w:before="20" w:after="20"/>
              <w:rPr>
                <w:sz w:val="20"/>
                <w:szCs w:val="18"/>
              </w:rPr>
            </w:pPr>
            <w:r w:rsidRPr="00EB7841">
              <w:rPr>
                <w:sz w:val="20"/>
                <w:szCs w:val="18"/>
              </w:rPr>
              <w:t>60+ years</w:t>
            </w:r>
          </w:p>
        </w:tc>
        <w:tc>
          <w:tcPr>
            <w:tcW w:w="1134" w:type="dxa"/>
            <w:tcBorders>
              <w:top w:val="nil"/>
              <w:left w:val="nil"/>
              <w:bottom w:val="nil"/>
              <w:right w:val="nil"/>
            </w:tcBorders>
          </w:tcPr>
          <w:p w:rsidR="006438AE" w:rsidRPr="00EB7841" w:rsidRDefault="00EB7841" w:rsidP="00952AEB">
            <w:pPr>
              <w:spacing w:before="20" w:after="20"/>
              <w:jc w:val="right"/>
              <w:rPr>
                <w:sz w:val="20"/>
                <w:szCs w:val="18"/>
              </w:rPr>
            </w:pPr>
            <w:r w:rsidRPr="00EB7841">
              <w:rPr>
                <w:sz w:val="20"/>
                <w:szCs w:val="18"/>
              </w:rPr>
              <w:t>1,055</w:t>
            </w:r>
          </w:p>
        </w:tc>
        <w:tc>
          <w:tcPr>
            <w:tcW w:w="992" w:type="dxa"/>
            <w:tcBorders>
              <w:top w:val="nil"/>
              <w:left w:val="nil"/>
              <w:bottom w:val="nil"/>
              <w:right w:val="nil"/>
            </w:tcBorders>
          </w:tcPr>
          <w:p w:rsidR="006438AE" w:rsidRPr="00EB7841" w:rsidRDefault="00EB7841" w:rsidP="00952AEB">
            <w:pPr>
              <w:spacing w:before="20" w:after="20"/>
              <w:jc w:val="right"/>
              <w:rPr>
                <w:sz w:val="20"/>
                <w:szCs w:val="18"/>
              </w:rPr>
            </w:pPr>
            <w:r>
              <w:rPr>
                <w:sz w:val="20"/>
                <w:szCs w:val="18"/>
              </w:rPr>
              <w:t>(</w:t>
            </w:r>
            <w:r w:rsidRPr="00EB7841">
              <w:rPr>
                <w:sz w:val="20"/>
                <w:szCs w:val="18"/>
              </w:rPr>
              <w:t>28.2</w:t>
            </w:r>
            <w:r>
              <w:rPr>
                <w:sz w:val="20"/>
                <w:szCs w:val="18"/>
              </w:rPr>
              <w:t>)</w:t>
            </w:r>
          </w:p>
        </w:tc>
      </w:tr>
      <w:tr w:rsidR="006438AE" w:rsidRPr="00EB7841" w:rsidTr="00EB7841">
        <w:tc>
          <w:tcPr>
            <w:tcW w:w="6379" w:type="dxa"/>
            <w:tcBorders>
              <w:top w:val="nil"/>
              <w:left w:val="nil"/>
              <w:right w:val="nil"/>
            </w:tcBorders>
          </w:tcPr>
          <w:p w:rsidR="006438AE" w:rsidRPr="00EB7841" w:rsidRDefault="006438AE" w:rsidP="00952AEB">
            <w:pPr>
              <w:spacing w:before="20" w:after="20"/>
              <w:rPr>
                <w:i/>
                <w:sz w:val="20"/>
                <w:szCs w:val="18"/>
              </w:rPr>
            </w:pPr>
            <w:r w:rsidRPr="00EB7841">
              <w:rPr>
                <w:i/>
                <w:sz w:val="20"/>
                <w:szCs w:val="18"/>
              </w:rPr>
              <w:t>Total</w:t>
            </w:r>
          </w:p>
        </w:tc>
        <w:tc>
          <w:tcPr>
            <w:tcW w:w="1134" w:type="dxa"/>
            <w:tcBorders>
              <w:top w:val="nil"/>
              <w:left w:val="nil"/>
              <w:right w:val="nil"/>
            </w:tcBorders>
          </w:tcPr>
          <w:p w:rsidR="006438AE" w:rsidRPr="00EB7841" w:rsidRDefault="00EB7841" w:rsidP="00952AEB">
            <w:pPr>
              <w:spacing w:before="20" w:after="20"/>
              <w:jc w:val="right"/>
              <w:rPr>
                <w:i/>
                <w:sz w:val="20"/>
                <w:szCs w:val="18"/>
              </w:rPr>
            </w:pPr>
            <w:r w:rsidRPr="00EB7841">
              <w:rPr>
                <w:i/>
                <w:sz w:val="20"/>
                <w:szCs w:val="18"/>
              </w:rPr>
              <w:t>3,744</w:t>
            </w:r>
            <w:r w:rsidR="006438AE" w:rsidRPr="00EB7841">
              <w:rPr>
                <w:i/>
                <w:sz w:val="20"/>
                <w:szCs w:val="18"/>
                <w:vertAlign w:val="superscript"/>
              </w:rPr>
              <w:t>#</w:t>
            </w:r>
          </w:p>
        </w:tc>
        <w:tc>
          <w:tcPr>
            <w:tcW w:w="992" w:type="dxa"/>
            <w:tcBorders>
              <w:top w:val="nil"/>
              <w:left w:val="nil"/>
              <w:right w:val="nil"/>
            </w:tcBorders>
          </w:tcPr>
          <w:p w:rsidR="006438AE" w:rsidRPr="00EB7841" w:rsidRDefault="00EB7841" w:rsidP="00952AEB">
            <w:pPr>
              <w:spacing w:before="20" w:after="20"/>
              <w:jc w:val="right"/>
              <w:rPr>
                <w:i/>
                <w:sz w:val="20"/>
                <w:szCs w:val="18"/>
              </w:rPr>
            </w:pPr>
            <w:r>
              <w:rPr>
                <w:i/>
                <w:sz w:val="20"/>
                <w:szCs w:val="18"/>
              </w:rPr>
              <w:t>(</w:t>
            </w:r>
            <w:r w:rsidRPr="00EB7841">
              <w:rPr>
                <w:i/>
                <w:sz w:val="20"/>
                <w:szCs w:val="18"/>
              </w:rPr>
              <w:t>100.</w:t>
            </w:r>
            <w:r>
              <w:rPr>
                <w:i/>
                <w:sz w:val="20"/>
                <w:szCs w:val="18"/>
              </w:rPr>
              <w:t>0)</w:t>
            </w:r>
          </w:p>
        </w:tc>
      </w:tr>
    </w:tbl>
    <w:p w:rsidR="00EB7841" w:rsidRPr="006D0C12" w:rsidRDefault="00EB7841" w:rsidP="00952AEB">
      <w:pPr>
        <w:ind w:right="-52"/>
        <w:jc w:val="both"/>
        <w:rPr>
          <w:i/>
          <w:sz w:val="20"/>
          <w:szCs w:val="18"/>
        </w:rPr>
      </w:pPr>
      <w:r w:rsidRPr="006D0C12">
        <w:rPr>
          <w:sz w:val="20"/>
          <w:szCs w:val="18"/>
          <w:vertAlign w:val="superscript"/>
        </w:rPr>
        <w:t>†</w:t>
      </w:r>
      <w:r w:rsidRPr="006D0C12">
        <w:rPr>
          <w:sz w:val="20"/>
          <w:szCs w:val="18"/>
        </w:rPr>
        <w:t xml:space="preserve"> Age recorded at the 2012 baseline assessment</w:t>
      </w:r>
    </w:p>
    <w:p w:rsidR="00270170" w:rsidRPr="006D0C12" w:rsidRDefault="004F74CD" w:rsidP="00952AEB">
      <w:pPr>
        <w:ind w:right="-52"/>
        <w:jc w:val="both"/>
        <w:rPr>
          <w:sz w:val="24"/>
          <w:szCs w:val="22"/>
        </w:rPr>
      </w:pPr>
      <w:r w:rsidRPr="006D0C12">
        <w:rPr>
          <w:i/>
          <w:sz w:val="20"/>
          <w:szCs w:val="18"/>
          <w:vertAlign w:val="superscript"/>
        </w:rPr>
        <w:t>#</w:t>
      </w:r>
      <w:r w:rsidRPr="006D0C12">
        <w:rPr>
          <w:sz w:val="24"/>
        </w:rPr>
        <w:t xml:space="preserve"> </w:t>
      </w:r>
      <w:r w:rsidR="006438AE" w:rsidRPr="006D0C12">
        <w:rPr>
          <w:sz w:val="20"/>
          <w:szCs w:val="18"/>
        </w:rPr>
        <w:t>One</w:t>
      </w:r>
      <w:r w:rsidRPr="006D0C12">
        <w:rPr>
          <w:sz w:val="20"/>
          <w:szCs w:val="18"/>
        </w:rPr>
        <w:t xml:space="preserve"> respondent refused all three age questions: date of birth, age at last birthday and age group</w:t>
      </w:r>
    </w:p>
    <w:p w:rsidR="0086371A" w:rsidRPr="00F67FCB" w:rsidRDefault="0086371A" w:rsidP="006D0C12">
      <w:pPr>
        <w:pStyle w:val="Heading2b"/>
        <w:numPr>
          <w:ilvl w:val="2"/>
          <w:numId w:val="26"/>
        </w:numPr>
        <w:ind w:left="709" w:hanging="709"/>
        <w:rPr>
          <w:i/>
          <w:sz w:val="22"/>
          <w:lang w:val="en-NZ"/>
        </w:rPr>
      </w:pPr>
      <w:bookmarkStart w:id="94" w:name="_Toc371414876"/>
      <w:bookmarkStart w:id="95" w:name="_Toc399511074"/>
      <w:bookmarkStart w:id="96" w:name="_Toc399511219"/>
      <w:bookmarkStart w:id="97" w:name="_Toc403052526"/>
      <w:bookmarkStart w:id="98" w:name="_Toc403052861"/>
      <w:bookmarkStart w:id="99" w:name="_Toc420392595"/>
      <w:r>
        <w:rPr>
          <w:i/>
          <w:sz w:val="22"/>
          <w:lang w:val="en-NZ"/>
        </w:rPr>
        <w:lastRenderedPageBreak/>
        <w:t xml:space="preserve">Composition of the </w:t>
      </w:r>
      <w:r w:rsidR="00173EB8">
        <w:rPr>
          <w:i/>
          <w:sz w:val="22"/>
          <w:lang w:val="en-NZ"/>
        </w:rPr>
        <w:t>Wave 2</w:t>
      </w:r>
      <w:r>
        <w:rPr>
          <w:i/>
          <w:sz w:val="22"/>
          <w:lang w:val="en-NZ"/>
        </w:rPr>
        <w:t xml:space="preserve"> sample for ethnic groups</w:t>
      </w:r>
      <w:bookmarkEnd w:id="94"/>
      <w:bookmarkEnd w:id="95"/>
      <w:bookmarkEnd w:id="96"/>
      <w:bookmarkEnd w:id="97"/>
      <w:bookmarkEnd w:id="98"/>
      <w:bookmarkEnd w:id="99"/>
    </w:p>
    <w:p w:rsidR="0086371A" w:rsidRDefault="0086371A" w:rsidP="006D0C12">
      <w:pPr>
        <w:keepNext/>
        <w:jc w:val="both"/>
        <w:rPr>
          <w:szCs w:val="22"/>
        </w:rPr>
      </w:pPr>
    </w:p>
    <w:p w:rsidR="0086371A" w:rsidRDefault="00C61EC3" w:rsidP="006D0C12">
      <w:pPr>
        <w:keepNext/>
        <w:jc w:val="both"/>
        <w:rPr>
          <w:szCs w:val="22"/>
        </w:rPr>
      </w:pPr>
      <w:r>
        <w:rPr>
          <w:szCs w:val="22"/>
        </w:rPr>
        <w:fldChar w:fldCharType="begin"/>
      </w:r>
      <w:r>
        <w:rPr>
          <w:szCs w:val="22"/>
        </w:rPr>
        <w:instrText xml:space="preserve"> REF _Ref408404366 \h </w:instrText>
      </w:r>
      <w:r>
        <w:rPr>
          <w:szCs w:val="22"/>
        </w:rPr>
      </w:r>
      <w:r>
        <w:rPr>
          <w:szCs w:val="22"/>
        </w:rPr>
        <w:fldChar w:fldCharType="separate"/>
      </w:r>
      <w:r w:rsidR="00B2175B">
        <w:t xml:space="preserve">Table </w:t>
      </w:r>
      <w:r w:rsidR="00B2175B">
        <w:rPr>
          <w:noProof/>
        </w:rPr>
        <w:t>2</w:t>
      </w:r>
      <w:r>
        <w:rPr>
          <w:szCs w:val="22"/>
        </w:rPr>
        <w:fldChar w:fldCharType="end"/>
      </w:r>
      <w:r w:rsidR="00FE7B29">
        <w:rPr>
          <w:szCs w:val="22"/>
        </w:rPr>
        <w:t xml:space="preserve"> </w:t>
      </w:r>
      <w:r w:rsidR="00FE7B29" w:rsidRPr="00FE7B29">
        <w:rPr>
          <w:szCs w:val="22"/>
        </w:rPr>
        <w:t>shows un</w:t>
      </w:r>
      <w:r w:rsidR="009F495E">
        <w:rPr>
          <w:szCs w:val="22"/>
        </w:rPr>
        <w:t>-</w:t>
      </w:r>
      <w:r w:rsidR="00FE7B29" w:rsidRPr="00FE7B29">
        <w:rPr>
          <w:szCs w:val="22"/>
        </w:rPr>
        <w:t>prioritised frequencies</w:t>
      </w:r>
      <w:r w:rsidR="006D0C12">
        <w:rPr>
          <w:szCs w:val="22"/>
        </w:rPr>
        <w:t xml:space="preserve"> for ethnicity</w:t>
      </w:r>
      <w:r w:rsidR="00FE7B29" w:rsidRPr="00FE7B29">
        <w:rPr>
          <w:szCs w:val="22"/>
        </w:rPr>
        <w:t>; that is, some respondents identified with more than one of</w:t>
      </w:r>
      <w:r w:rsidR="009F495E">
        <w:rPr>
          <w:szCs w:val="22"/>
        </w:rPr>
        <w:t xml:space="preserve"> the four broad ethnic groups</w:t>
      </w:r>
      <w:r w:rsidR="00FE7B29" w:rsidRPr="00FE7B29">
        <w:rPr>
          <w:szCs w:val="22"/>
        </w:rPr>
        <w:t xml:space="preserve"> and have been included in each group they identified with.</w:t>
      </w:r>
      <w:r w:rsidR="00BE6FF5">
        <w:rPr>
          <w:szCs w:val="22"/>
        </w:rPr>
        <w:t xml:space="preserve">  Māori, Pacific and Asian participants were oversampled at the </w:t>
      </w:r>
      <w:r w:rsidR="006D0C12">
        <w:rPr>
          <w:szCs w:val="22"/>
        </w:rPr>
        <w:t>Wave 1</w:t>
      </w:r>
      <w:r w:rsidR="00BE6FF5">
        <w:rPr>
          <w:szCs w:val="22"/>
        </w:rPr>
        <w:t xml:space="preserve"> assessment.</w:t>
      </w:r>
    </w:p>
    <w:p w:rsidR="0086371A" w:rsidRDefault="0086371A" w:rsidP="00F67FCB">
      <w:pPr>
        <w:jc w:val="both"/>
        <w:rPr>
          <w:szCs w:val="22"/>
        </w:rPr>
      </w:pPr>
    </w:p>
    <w:p w:rsidR="00BE6FF5" w:rsidRDefault="00C61EC3" w:rsidP="00BE6FF5">
      <w:pPr>
        <w:pStyle w:val="Caption"/>
        <w:rPr>
          <w:sz w:val="22"/>
          <w:szCs w:val="22"/>
        </w:rPr>
      </w:pPr>
      <w:bookmarkStart w:id="100" w:name="_Ref408404366"/>
      <w:bookmarkStart w:id="101" w:name="_Toc420393790"/>
      <w:r>
        <w:t xml:space="preserve">Table </w:t>
      </w:r>
      <w:fldSimple w:instr=" SEQ Table \* ARABIC ">
        <w:r w:rsidR="00B2175B">
          <w:rPr>
            <w:noProof/>
          </w:rPr>
          <w:t>2</w:t>
        </w:r>
      </w:fldSimple>
      <w:bookmarkEnd w:id="100"/>
      <w:r w:rsidR="00BE6FF5">
        <w:t xml:space="preserve">: Ethnicity of participants </w:t>
      </w:r>
      <w:r>
        <w:t>in Wave 2</w:t>
      </w:r>
      <w:bookmarkEnd w:id="101"/>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9"/>
        <w:gridCol w:w="1108"/>
        <w:gridCol w:w="981"/>
      </w:tblGrid>
      <w:tr w:rsidR="00BE6FF5" w:rsidRPr="00BE6FF5" w:rsidTr="00BE6FF5">
        <w:tc>
          <w:tcPr>
            <w:tcW w:w="6379" w:type="dxa"/>
            <w:tcBorders>
              <w:top w:val="single" w:sz="4" w:space="0" w:color="auto"/>
              <w:bottom w:val="single" w:sz="4" w:space="0" w:color="auto"/>
            </w:tcBorders>
            <w:vAlign w:val="bottom"/>
          </w:tcPr>
          <w:p w:rsidR="00BE6FF5" w:rsidRPr="00BE6FF5" w:rsidRDefault="00BE6FF5" w:rsidP="00F94543">
            <w:pPr>
              <w:spacing w:before="20" w:after="20"/>
              <w:rPr>
                <w:b/>
                <w:sz w:val="20"/>
              </w:rPr>
            </w:pPr>
            <w:r w:rsidRPr="00BE6FF5">
              <w:rPr>
                <w:b/>
                <w:sz w:val="20"/>
              </w:rPr>
              <w:t>Ethnic group</w:t>
            </w:r>
          </w:p>
        </w:tc>
        <w:tc>
          <w:tcPr>
            <w:tcW w:w="1134" w:type="dxa"/>
            <w:tcBorders>
              <w:top w:val="single" w:sz="4" w:space="0" w:color="auto"/>
              <w:bottom w:val="single" w:sz="4" w:space="0" w:color="auto"/>
            </w:tcBorders>
            <w:vAlign w:val="bottom"/>
          </w:tcPr>
          <w:p w:rsidR="00BE6FF5" w:rsidRPr="00BE6FF5" w:rsidRDefault="00BE6FF5" w:rsidP="00F94543">
            <w:pPr>
              <w:spacing w:before="20" w:after="20"/>
              <w:jc w:val="right"/>
              <w:rPr>
                <w:b/>
                <w:sz w:val="20"/>
              </w:rPr>
            </w:pPr>
            <w:r w:rsidRPr="00BE6FF5">
              <w:rPr>
                <w:b/>
                <w:sz w:val="20"/>
              </w:rPr>
              <w:t>N</w:t>
            </w:r>
          </w:p>
        </w:tc>
        <w:tc>
          <w:tcPr>
            <w:tcW w:w="992" w:type="dxa"/>
            <w:tcBorders>
              <w:top w:val="single" w:sz="4" w:space="0" w:color="auto"/>
              <w:bottom w:val="single" w:sz="4" w:space="0" w:color="auto"/>
            </w:tcBorders>
          </w:tcPr>
          <w:p w:rsidR="00BE6FF5" w:rsidRPr="00BE6FF5" w:rsidRDefault="00BE6FF5" w:rsidP="00F94543">
            <w:pPr>
              <w:spacing w:before="20" w:after="20"/>
              <w:jc w:val="right"/>
              <w:rPr>
                <w:b/>
                <w:sz w:val="20"/>
              </w:rPr>
            </w:pPr>
            <w:r w:rsidRPr="00BE6FF5">
              <w:rPr>
                <w:b/>
                <w:sz w:val="20"/>
              </w:rPr>
              <w:t>(%)</w:t>
            </w:r>
          </w:p>
        </w:tc>
      </w:tr>
      <w:tr w:rsidR="00BE6FF5" w:rsidRPr="00BE6FF5" w:rsidTr="00BE6FF5">
        <w:tc>
          <w:tcPr>
            <w:tcW w:w="6379" w:type="dxa"/>
            <w:tcBorders>
              <w:top w:val="single" w:sz="4" w:space="0" w:color="auto"/>
            </w:tcBorders>
          </w:tcPr>
          <w:p w:rsidR="00BE6FF5" w:rsidRPr="00BE6FF5" w:rsidRDefault="00BE6FF5" w:rsidP="00F94543">
            <w:pPr>
              <w:spacing w:before="20" w:after="20"/>
              <w:rPr>
                <w:sz w:val="20"/>
              </w:rPr>
            </w:pPr>
            <w:r w:rsidRPr="00BE6FF5">
              <w:rPr>
                <w:sz w:val="20"/>
              </w:rPr>
              <w:t>European/Other</w:t>
            </w:r>
          </w:p>
        </w:tc>
        <w:tc>
          <w:tcPr>
            <w:tcW w:w="1134" w:type="dxa"/>
            <w:tcBorders>
              <w:top w:val="single" w:sz="4" w:space="0" w:color="auto"/>
            </w:tcBorders>
          </w:tcPr>
          <w:p w:rsidR="00BE6FF5" w:rsidRPr="00BE6FF5" w:rsidRDefault="00BE6FF5" w:rsidP="00F94543">
            <w:pPr>
              <w:spacing w:before="20" w:after="20"/>
              <w:jc w:val="right"/>
              <w:rPr>
                <w:sz w:val="20"/>
              </w:rPr>
            </w:pPr>
            <w:r w:rsidRPr="00BE6FF5">
              <w:rPr>
                <w:sz w:val="20"/>
              </w:rPr>
              <w:t>2,261</w:t>
            </w:r>
          </w:p>
        </w:tc>
        <w:tc>
          <w:tcPr>
            <w:tcW w:w="992" w:type="dxa"/>
            <w:tcBorders>
              <w:top w:val="single" w:sz="4" w:space="0" w:color="auto"/>
            </w:tcBorders>
          </w:tcPr>
          <w:p w:rsidR="00BE6FF5" w:rsidRPr="00BE6FF5" w:rsidRDefault="00BE6FF5" w:rsidP="00F94543">
            <w:pPr>
              <w:spacing w:before="20" w:after="20"/>
              <w:jc w:val="right"/>
              <w:rPr>
                <w:sz w:val="20"/>
              </w:rPr>
            </w:pPr>
            <w:r>
              <w:rPr>
                <w:sz w:val="20"/>
              </w:rPr>
              <w:t>(</w:t>
            </w:r>
            <w:r w:rsidRPr="00BE6FF5">
              <w:rPr>
                <w:sz w:val="20"/>
              </w:rPr>
              <w:t>60.4</w:t>
            </w:r>
            <w:r>
              <w:rPr>
                <w:sz w:val="20"/>
              </w:rPr>
              <w:t>)</w:t>
            </w:r>
          </w:p>
        </w:tc>
      </w:tr>
      <w:tr w:rsidR="00BE6FF5" w:rsidRPr="00BE6FF5" w:rsidTr="00BE6FF5">
        <w:tc>
          <w:tcPr>
            <w:tcW w:w="6379" w:type="dxa"/>
          </w:tcPr>
          <w:p w:rsidR="00BE6FF5" w:rsidRPr="00BE6FF5" w:rsidRDefault="00BE6FF5" w:rsidP="00F94543">
            <w:pPr>
              <w:spacing w:before="20" w:after="20"/>
              <w:rPr>
                <w:sz w:val="20"/>
              </w:rPr>
            </w:pPr>
            <w:r w:rsidRPr="00BE6FF5">
              <w:rPr>
                <w:sz w:val="20"/>
              </w:rPr>
              <w:t>Māori</w:t>
            </w:r>
          </w:p>
        </w:tc>
        <w:tc>
          <w:tcPr>
            <w:tcW w:w="1134" w:type="dxa"/>
          </w:tcPr>
          <w:p w:rsidR="00BE6FF5" w:rsidRPr="00BE6FF5" w:rsidRDefault="00BE6FF5" w:rsidP="00F94543">
            <w:pPr>
              <w:spacing w:before="20" w:after="20"/>
              <w:jc w:val="right"/>
              <w:rPr>
                <w:sz w:val="20"/>
              </w:rPr>
            </w:pPr>
            <w:r w:rsidRPr="00BE6FF5">
              <w:rPr>
                <w:sz w:val="20"/>
              </w:rPr>
              <w:t>651</w:t>
            </w:r>
          </w:p>
        </w:tc>
        <w:tc>
          <w:tcPr>
            <w:tcW w:w="992" w:type="dxa"/>
          </w:tcPr>
          <w:p w:rsidR="00BE6FF5" w:rsidRPr="00BE6FF5" w:rsidRDefault="00BE6FF5" w:rsidP="00F94543">
            <w:pPr>
              <w:spacing w:before="20" w:after="20"/>
              <w:jc w:val="right"/>
              <w:rPr>
                <w:sz w:val="20"/>
              </w:rPr>
            </w:pPr>
            <w:r>
              <w:rPr>
                <w:sz w:val="20"/>
              </w:rPr>
              <w:t>(</w:t>
            </w:r>
            <w:r w:rsidRPr="00BE6FF5">
              <w:rPr>
                <w:sz w:val="20"/>
              </w:rPr>
              <w:t>17.4</w:t>
            </w:r>
            <w:r>
              <w:rPr>
                <w:sz w:val="20"/>
              </w:rPr>
              <w:t>)</w:t>
            </w:r>
          </w:p>
        </w:tc>
      </w:tr>
      <w:tr w:rsidR="00BE6FF5" w:rsidRPr="00BE6FF5" w:rsidTr="00BE6FF5">
        <w:tc>
          <w:tcPr>
            <w:tcW w:w="6379" w:type="dxa"/>
          </w:tcPr>
          <w:p w:rsidR="00BE6FF5" w:rsidRPr="00BE6FF5" w:rsidRDefault="00BE6FF5" w:rsidP="00F94543">
            <w:pPr>
              <w:spacing w:before="20" w:after="20"/>
              <w:rPr>
                <w:sz w:val="20"/>
              </w:rPr>
            </w:pPr>
            <w:r w:rsidRPr="00BE6FF5">
              <w:rPr>
                <w:sz w:val="20"/>
              </w:rPr>
              <w:t>Pacific</w:t>
            </w:r>
          </w:p>
        </w:tc>
        <w:tc>
          <w:tcPr>
            <w:tcW w:w="1134" w:type="dxa"/>
          </w:tcPr>
          <w:p w:rsidR="00BE6FF5" w:rsidRPr="00BE6FF5" w:rsidRDefault="00BE6FF5" w:rsidP="00F94543">
            <w:pPr>
              <w:spacing w:before="20" w:after="20"/>
              <w:jc w:val="right"/>
              <w:rPr>
                <w:sz w:val="20"/>
              </w:rPr>
            </w:pPr>
            <w:r w:rsidRPr="00BE6FF5">
              <w:rPr>
                <w:sz w:val="20"/>
              </w:rPr>
              <w:t>473</w:t>
            </w:r>
          </w:p>
        </w:tc>
        <w:tc>
          <w:tcPr>
            <w:tcW w:w="992" w:type="dxa"/>
          </w:tcPr>
          <w:p w:rsidR="00BE6FF5" w:rsidRPr="00BE6FF5" w:rsidRDefault="00BE6FF5" w:rsidP="00F94543">
            <w:pPr>
              <w:spacing w:before="20" w:after="20"/>
              <w:jc w:val="right"/>
              <w:rPr>
                <w:sz w:val="20"/>
              </w:rPr>
            </w:pPr>
            <w:r>
              <w:rPr>
                <w:sz w:val="20"/>
              </w:rPr>
              <w:t>(</w:t>
            </w:r>
            <w:r w:rsidRPr="00BE6FF5">
              <w:rPr>
                <w:sz w:val="20"/>
              </w:rPr>
              <w:t>12.6</w:t>
            </w:r>
            <w:r>
              <w:rPr>
                <w:sz w:val="20"/>
              </w:rPr>
              <w:t>)</w:t>
            </w:r>
          </w:p>
        </w:tc>
      </w:tr>
      <w:tr w:rsidR="00BE6FF5" w:rsidRPr="00BE6FF5" w:rsidTr="00BE6FF5">
        <w:tc>
          <w:tcPr>
            <w:tcW w:w="6379" w:type="dxa"/>
          </w:tcPr>
          <w:p w:rsidR="00BE6FF5" w:rsidRPr="00BE6FF5" w:rsidRDefault="00BE6FF5" w:rsidP="00F94543">
            <w:pPr>
              <w:spacing w:before="20" w:after="20"/>
              <w:rPr>
                <w:sz w:val="20"/>
              </w:rPr>
            </w:pPr>
            <w:r w:rsidRPr="00BE6FF5">
              <w:rPr>
                <w:sz w:val="20"/>
              </w:rPr>
              <w:t>Asian</w:t>
            </w:r>
          </w:p>
        </w:tc>
        <w:tc>
          <w:tcPr>
            <w:tcW w:w="1134" w:type="dxa"/>
          </w:tcPr>
          <w:p w:rsidR="00BE6FF5" w:rsidRPr="00BE6FF5" w:rsidRDefault="00BE6FF5" w:rsidP="00F94543">
            <w:pPr>
              <w:spacing w:before="20" w:after="20"/>
              <w:jc w:val="right"/>
              <w:rPr>
                <w:sz w:val="20"/>
              </w:rPr>
            </w:pPr>
            <w:r w:rsidRPr="00BE6FF5">
              <w:rPr>
                <w:sz w:val="20"/>
              </w:rPr>
              <w:t>416</w:t>
            </w:r>
          </w:p>
        </w:tc>
        <w:tc>
          <w:tcPr>
            <w:tcW w:w="992" w:type="dxa"/>
          </w:tcPr>
          <w:p w:rsidR="00BE6FF5" w:rsidRPr="00BE6FF5" w:rsidRDefault="00BE6FF5" w:rsidP="00F94543">
            <w:pPr>
              <w:spacing w:before="20" w:after="20"/>
              <w:jc w:val="right"/>
              <w:rPr>
                <w:sz w:val="20"/>
              </w:rPr>
            </w:pPr>
            <w:r>
              <w:rPr>
                <w:sz w:val="20"/>
              </w:rPr>
              <w:t>(</w:t>
            </w:r>
            <w:r w:rsidRPr="00BE6FF5">
              <w:rPr>
                <w:sz w:val="20"/>
              </w:rPr>
              <w:t>11.1</w:t>
            </w:r>
            <w:r>
              <w:rPr>
                <w:sz w:val="20"/>
              </w:rPr>
              <w:t>)</w:t>
            </w:r>
          </w:p>
        </w:tc>
      </w:tr>
      <w:tr w:rsidR="00BE6FF5" w:rsidRPr="00BE6FF5" w:rsidTr="00BE6FF5">
        <w:tc>
          <w:tcPr>
            <w:tcW w:w="6379" w:type="dxa"/>
          </w:tcPr>
          <w:p w:rsidR="00BE6FF5" w:rsidRPr="00BE6FF5" w:rsidRDefault="00BE6FF5" w:rsidP="00F94543">
            <w:pPr>
              <w:spacing w:before="20" w:after="20"/>
              <w:rPr>
                <w:i/>
                <w:sz w:val="20"/>
              </w:rPr>
            </w:pPr>
            <w:r w:rsidRPr="00BE6FF5">
              <w:rPr>
                <w:i/>
                <w:sz w:val="20"/>
              </w:rPr>
              <w:t>Total</w:t>
            </w:r>
          </w:p>
        </w:tc>
        <w:tc>
          <w:tcPr>
            <w:tcW w:w="1134" w:type="dxa"/>
          </w:tcPr>
          <w:p w:rsidR="00BE6FF5" w:rsidRPr="00BE6FF5" w:rsidRDefault="00BE6FF5" w:rsidP="00F94543">
            <w:pPr>
              <w:spacing w:before="20" w:after="20"/>
              <w:jc w:val="right"/>
              <w:rPr>
                <w:i/>
                <w:sz w:val="20"/>
              </w:rPr>
            </w:pPr>
            <w:r w:rsidRPr="00BE6FF5">
              <w:rPr>
                <w:i/>
                <w:sz w:val="20"/>
              </w:rPr>
              <w:t>3,801</w:t>
            </w:r>
          </w:p>
        </w:tc>
        <w:tc>
          <w:tcPr>
            <w:tcW w:w="992" w:type="dxa"/>
          </w:tcPr>
          <w:p w:rsidR="00BE6FF5" w:rsidRPr="00BE6FF5" w:rsidRDefault="00BE6FF5" w:rsidP="00F94543">
            <w:pPr>
              <w:spacing w:before="20" w:after="20"/>
              <w:jc w:val="right"/>
              <w:rPr>
                <w:i/>
                <w:sz w:val="20"/>
              </w:rPr>
            </w:pPr>
            <w:r>
              <w:rPr>
                <w:i/>
                <w:sz w:val="20"/>
              </w:rPr>
              <w:t>(</w:t>
            </w:r>
            <w:r w:rsidRPr="00BE6FF5">
              <w:rPr>
                <w:i/>
                <w:sz w:val="20"/>
              </w:rPr>
              <w:t>101.5</w:t>
            </w:r>
            <w:r>
              <w:rPr>
                <w:i/>
                <w:sz w:val="20"/>
              </w:rPr>
              <w:t>)</w:t>
            </w:r>
          </w:p>
        </w:tc>
      </w:tr>
    </w:tbl>
    <w:p w:rsidR="00BF3117" w:rsidRDefault="00BF3117" w:rsidP="00FE7B29">
      <w:pPr>
        <w:jc w:val="both"/>
        <w:rPr>
          <w:szCs w:val="22"/>
        </w:rPr>
      </w:pPr>
    </w:p>
    <w:p w:rsidR="00CC7C99" w:rsidRPr="00D80B84" w:rsidRDefault="00CC7C99" w:rsidP="00017B76">
      <w:pPr>
        <w:pStyle w:val="heading2a"/>
        <w:keepNext w:val="0"/>
        <w:numPr>
          <w:ilvl w:val="1"/>
          <w:numId w:val="26"/>
        </w:numPr>
        <w:pBdr>
          <w:top w:val="single" w:sz="4" w:space="1" w:color="auto"/>
          <w:left w:val="single" w:sz="4" w:space="4" w:color="auto"/>
          <w:bottom w:val="single" w:sz="4" w:space="1" w:color="auto"/>
          <w:right w:val="single" w:sz="4" w:space="4" w:color="auto"/>
        </w:pBdr>
        <w:ind w:left="426" w:hanging="426"/>
        <w:rPr>
          <w:sz w:val="18"/>
          <w:szCs w:val="22"/>
        </w:rPr>
      </w:pPr>
      <w:bookmarkStart w:id="102" w:name="_Toc371414898"/>
      <w:bookmarkStart w:id="103" w:name="_Toc399511075"/>
      <w:bookmarkStart w:id="104" w:name="_Toc399511220"/>
      <w:bookmarkStart w:id="105" w:name="_Toc403052527"/>
      <w:bookmarkStart w:id="106" w:name="_Toc403052862"/>
      <w:bookmarkStart w:id="107" w:name="_Toc420392596"/>
      <w:r>
        <w:rPr>
          <w:sz w:val="22"/>
          <w:szCs w:val="22"/>
        </w:rPr>
        <w:t>Weighting</w:t>
      </w:r>
      <w:bookmarkEnd w:id="102"/>
      <w:bookmarkEnd w:id="103"/>
      <w:bookmarkEnd w:id="104"/>
      <w:bookmarkEnd w:id="105"/>
      <w:bookmarkEnd w:id="106"/>
      <w:bookmarkEnd w:id="107"/>
    </w:p>
    <w:p w:rsidR="00F94543" w:rsidRPr="00F67FCB" w:rsidRDefault="00F94543" w:rsidP="00017B76">
      <w:pPr>
        <w:pStyle w:val="Heading2b"/>
        <w:keepLines/>
        <w:numPr>
          <w:ilvl w:val="2"/>
          <w:numId w:val="26"/>
        </w:numPr>
        <w:ind w:left="709"/>
        <w:rPr>
          <w:i/>
          <w:sz w:val="22"/>
          <w:lang w:val="en-NZ"/>
        </w:rPr>
      </w:pPr>
      <w:bookmarkStart w:id="108" w:name="_Toc399511076"/>
      <w:bookmarkStart w:id="109" w:name="_Toc399511221"/>
      <w:bookmarkStart w:id="110" w:name="_Toc403052528"/>
      <w:bookmarkStart w:id="111" w:name="_Toc403052863"/>
      <w:bookmarkStart w:id="112" w:name="_Toc420392597"/>
      <w:r>
        <w:rPr>
          <w:i/>
          <w:sz w:val="22"/>
          <w:lang w:val="en-NZ"/>
        </w:rPr>
        <w:t>Generalities</w:t>
      </w:r>
      <w:bookmarkEnd w:id="108"/>
      <w:bookmarkEnd w:id="109"/>
      <w:bookmarkEnd w:id="110"/>
      <w:bookmarkEnd w:id="111"/>
      <w:bookmarkEnd w:id="112"/>
    </w:p>
    <w:p w:rsidR="00F94543" w:rsidRDefault="00F94543" w:rsidP="00280A00">
      <w:pPr>
        <w:jc w:val="both"/>
        <w:rPr>
          <w:szCs w:val="22"/>
        </w:rPr>
      </w:pPr>
    </w:p>
    <w:p w:rsidR="00280A00" w:rsidRDefault="00280A00" w:rsidP="00280A00">
      <w:pPr>
        <w:jc w:val="both"/>
        <w:rPr>
          <w:szCs w:val="22"/>
        </w:rPr>
      </w:pPr>
      <w:r w:rsidRPr="00280A00">
        <w:rPr>
          <w:szCs w:val="22"/>
        </w:rPr>
        <w:t xml:space="preserve">The purpose of weighting is to maintain the representativeness of the sample with respect to a given population. </w:t>
      </w:r>
      <w:r>
        <w:rPr>
          <w:szCs w:val="22"/>
        </w:rPr>
        <w:t xml:space="preserve"> </w:t>
      </w:r>
      <w:r w:rsidRPr="00280A00">
        <w:rPr>
          <w:szCs w:val="22"/>
        </w:rPr>
        <w:t>The general principle underlying the analysis of the prese</w:t>
      </w:r>
      <w:r w:rsidR="00C61EC3">
        <w:rPr>
          <w:szCs w:val="22"/>
        </w:rPr>
        <w:t>nt study wa</w:t>
      </w:r>
      <w:r w:rsidRPr="00280A00">
        <w:rPr>
          <w:szCs w:val="22"/>
        </w:rPr>
        <w:t>s the pursuit of results representative of the Wave 1 population, rat</w:t>
      </w:r>
      <w:r w:rsidR="00C61EC3">
        <w:rPr>
          <w:szCs w:val="22"/>
        </w:rPr>
        <w:t>her than the population of Wave </w:t>
      </w:r>
      <w:r w:rsidRPr="00280A00">
        <w:rPr>
          <w:szCs w:val="22"/>
        </w:rPr>
        <w:t xml:space="preserve">2 or any subsequent Wave. </w:t>
      </w:r>
      <w:r>
        <w:rPr>
          <w:szCs w:val="22"/>
        </w:rPr>
        <w:t xml:space="preserve"> </w:t>
      </w:r>
      <w:r w:rsidRPr="00280A00">
        <w:rPr>
          <w:szCs w:val="22"/>
        </w:rPr>
        <w:t>In this way</w:t>
      </w:r>
      <w:r>
        <w:rPr>
          <w:szCs w:val="22"/>
        </w:rPr>
        <w:t>,</w:t>
      </w:r>
      <w:r w:rsidRPr="00280A00">
        <w:rPr>
          <w:szCs w:val="22"/>
        </w:rPr>
        <w:t xml:space="preserve"> inference regarding gambling and other trajectories, particularly inference regarding transitions, </w:t>
      </w:r>
      <w:r w:rsidR="00C61EC3">
        <w:rPr>
          <w:szCs w:val="22"/>
        </w:rPr>
        <w:t>wa</w:t>
      </w:r>
      <w:r>
        <w:rPr>
          <w:szCs w:val="22"/>
        </w:rPr>
        <w:t xml:space="preserve">s pursued </w:t>
      </w:r>
      <w:r w:rsidRPr="00280A00">
        <w:rPr>
          <w:szCs w:val="22"/>
        </w:rPr>
        <w:t>from the sample as originally constructed. Population-inference can be obtained by considering shifting composition of the population.</w:t>
      </w:r>
    </w:p>
    <w:p w:rsidR="00C61EC3" w:rsidRPr="00280A00" w:rsidRDefault="00C61EC3" w:rsidP="00280A00">
      <w:pPr>
        <w:jc w:val="both"/>
        <w:rPr>
          <w:szCs w:val="22"/>
        </w:rPr>
      </w:pPr>
    </w:p>
    <w:p w:rsidR="00280A00" w:rsidRPr="00280A00" w:rsidRDefault="00280A00" w:rsidP="00280A00">
      <w:pPr>
        <w:jc w:val="both"/>
        <w:rPr>
          <w:szCs w:val="22"/>
        </w:rPr>
      </w:pPr>
      <w:r w:rsidRPr="00280A00">
        <w:rPr>
          <w:szCs w:val="22"/>
        </w:rPr>
        <w:t>To achieve this with the planned analyses Wave 1 weights</w:t>
      </w:r>
      <w:r w:rsidR="008A02EA">
        <w:rPr>
          <w:szCs w:val="22"/>
        </w:rPr>
        <w:t>, in order to be representative of the New Zealand population,</w:t>
      </w:r>
      <w:r w:rsidRPr="00280A00">
        <w:rPr>
          <w:szCs w:val="22"/>
        </w:rPr>
        <w:t xml:space="preserve"> were based on age group, gender and ethnicity. </w:t>
      </w:r>
      <w:r>
        <w:rPr>
          <w:szCs w:val="22"/>
        </w:rPr>
        <w:t xml:space="preserve"> </w:t>
      </w:r>
      <w:r w:rsidRPr="00280A00">
        <w:rPr>
          <w:szCs w:val="22"/>
        </w:rPr>
        <w:t>Wave 2 weights incorporate</w:t>
      </w:r>
      <w:r>
        <w:rPr>
          <w:szCs w:val="22"/>
        </w:rPr>
        <w:t>d</w:t>
      </w:r>
      <w:r w:rsidRPr="00280A00">
        <w:rPr>
          <w:szCs w:val="22"/>
        </w:rPr>
        <w:t xml:space="preserve"> Wave 1 weights but also </w:t>
      </w:r>
      <w:r>
        <w:rPr>
          <w:szCs w:val="22"/>
        </w:rPr>
        <w:t>took</w:t>
      </w:r>
      <w:r w:rsidRPr="00280A00">
        <w:rPr>
          <w:szCs w:val="22"/>
        </w:rPr>
        <w:t xml:space="preserve"> into consideration differential attrition in the same categories. </w:t>
      </w:r>
    </w:p>
    <w:p w:rsidR="00280A00" w:rsidRDefault="00280A00" w:rsidP="00280A00">
      <w:pPr>
        <w:jc w:val="both"/>
        <w:rPr>
          <w:szCs w:val="22"/>
        </w:rPr>
      </w:pPr>
    </w:p>
    <w:p w:rsidR="00280A00" w:rsidRDefault="00280A00" w:rsidP="00280A00">
      <w:pPr>
        <w:jc w:val="both"/>
        <w:rPr>
          <w:szCs w:val="22"/>
        </w:rPr>
      </w:pPr>
      <w:r>
        <w:rPr>
          <w:szCs w:val="22"/>
        </w:rPr>
        <w:t>An</w:t>
      </w:r>
      <w:r w:rsidRPr="00280A00">
        <w:rPr>
          <w:szCs w:val="22"/>
        </w:rPr>
        <w:t xml:space="preserve"> assumption </w:t>
      </w:r>
      <w:r>
        <w:rPr>
          <w:szCs w:val="22"/>
        </w:rPr>
        <w:t xml:space="preserve">was made </w:t>
      </w:r>
      <w:r w:rsidRPr="00280A00">
        <w:rPr>
          <w:szCs w:val="22"/>
        </w:rPr>
        <w:t>that the bulk of the information con</w:t>
      </w:r>
      <w:r>
        <w:rPr>
          <w:szCs w:val="22"/>
        </w:rPr>
        <w:t>cerning differential attrition wa</w:t>
      </w:r>
      <w:r w:rsidRPr="00280A00">
        <w:rPr>
          <w:szCs w:val="22"/>
        </w:rPr>
        <w:t xml:space="preserve">s contained in the age-gender-ethnicity triad. </w:t>
      </w:r>
      <w:r>
        <w:rPr>
          <w:szCs w:val="22"/>
        </w:rPr>
        <w:t xml:space="preserve"> T</w:t>
      </w:r>
      <w:r w:rsidRPr="00280A00">
        <w:rPr>
          <w:szCs w:val="22"/>
        </w:rPr>
        <w:t xml:space="preserve">his information </w:t>
      </w:r>
      <w:r>
        <w:rPr>
          <w:szCs w:val="22"/>
        </w:rPr>
        <w:t xml:space="preserve">was tempered </w:t>
      </w:r>
      <w:r w:rsidRPr="00280A00">
        <w:rPr>
          <w:szCs w:val="22"/>
        </w:rPr>
        <w:t xml:space="preserve">with an investigation of outcome-based attrition, </w:t>
      </w:r>
      <w:r>
        <w:rPr>
          <w:szCs w:val="22"/>
        </w:rPr>
        <w:t>which</w:t>
      </w:r>
      <w:r w:rsidRPr="00280A00">
        <w:rPr>
          <w:szCs w:val="22"/>
        </w:rPr>
        <w:t xml:space="preserve"> determine</w:t>
      </w:r>
      <w:r>
        <w:rPr>
          <w:szCs w:val="22"/>
        </w:rPr>
        <w:t>d whether there wa</w:t>
      </w:r>
      <w:r w:rsidRPr="00280A00">
        <w:rPr>
          <w:szCs w:val="22"/>
        </w:rPr>
        <w:t xml:space="preserve">s a need to further adjust the weights based on PGSI risk </w:t>
      </w:r>
      <w:r>
        <w:rPr>
          <w:szCs w:val="22"/>
        </w:rPr>
        <w:t>categories</w:t>
      </w:r>
      <w:r w:rsidRPr="00280A00">
        <w:rPr>
          <w:szCs w:val="22"/>
        </w:rPr>
        <w:t xml:space="preserve"> or aggregated </w:t>
      </w:r>
      <w:r>
        <w:rPr>
          <w:szCs w:val="22"/>
        </w:rPr>
        <w:t>categories</w:t>
      </w:r>
      <w:r w:rsidRPr="00280A00">
        <w:rPr>
          <w:szCs w:val="22"/>
        </w:rPr>
        <w:t>.</w:t>
      </w:r>
    </w:p>
    <w:p w:rsidR="00280A00" w:rsidRDefault="00280A00" w:rsidP="00A667B6">
      <w:pPr>
        <w:jc w:val="both"/>
        <w:rPr>
          <w:szCs w:val="22"/>
        </w:rPr>
      </w:pPr>
    </w:p>
    <w:p w:rsidR="00F94543" w:rsidRPr="00F67FCB" w:rsidRDefault="00F94543" w:rsidP="00017B76">
      <w:pPr>
        <w:pStyle w:val="Heading2b"/>
        <w:keepLines/>
        <w:numPr>
          <w:ilvl w:val="2"/>
          <w:numId w:val="26"/>
        </w:numPr>
        <w:ind w:left="709"/>
        <w:rPr>
          <w:i/>
          <w:sz w:val="22"/>
          <w:lang w:val="en-NZ"/>
        </w:rPr>
      </w:pPr>
      <w:bookmarkStart w:id="113" w:name="_Toc399511077"/>
      <w:bookmarkStart w:id="114" w:name="_Toc399511222"/>
      <w:bookmarkStart w:id="115" w:name="_Toc403052529"/>
      <w:bookmarkStart w:id="116" w:name="_Toc403052864"/>
      <w:bookmarkStart w:id="117" w:name="_Toc420392598"/>
      <w:r>
        <w:rPr>
          <w:i/>
          <w:sz w:val="22"/>
          <w:lang w:val="en-NZ"/>
        </w:rPr>
        <w:t>Census benchmark</w:t>
      </w:r>
      <w:bookmarkEnd w:id="113"/>
      <w:bookmarkEnd w:id="114"/>
      <w:bookmarkEnd w:id="115"/>
      <w:bookmarkEnd w:id="116"/>
      <w:bookmarkEnd w:id="117"/>
    </w:p>
    <w:p w:rsidR="00F94543" w:rsidRDefault="00F94543" w:rsidP="00F67FCB">
      <w:pPr>
        <w:jc w:val="both"/>
        <w:rPr>
          <w:szCs w:val="22"/>
        </w:rPr>
      </w:pPr>
    </w:p>
    <w:p w:rsidR="00F94543" w:rsidRPr="00F94543" w:rsidRDefault="00F94543" w:rsidP="00F94543">
      <w:pPr>
        <w:jc w:val="both"/>
        <w:rPr>
          <w:szCs w:val="22"/>
        </w:rPr>
      </w:pPr>
      <w:r w:rsidRPr="00F94543">
        <w:rPr>
          <w:szCs w:val="22"/>
        </w:rPr>
        <w:t xml:space="preserve">Factor weights for </w:t>
      </w:r>
      <w:r w:rsidR="003F7812">
        <w:rPr>
          <w:szCs w:val="22"/>
        </w:rPr>
        <w:t xml:space="preserve">Wave 2 </w:t>
      </w:r>
      <w:r w:rsidRPr="00F94543">
        <w:rPr>
          <w:szCs w:val="22"/>
        </w:rPr>
        <w:t xml:space="preserve">analyses </w:t>
      </w:r>
      <w:r>
        <w:rPr>
          <w:szCs w:val="22"/>
        </w:rPr>
        <w:t>were</w:t>
      </w:r>
      <w:r w:rsidRPr="00F94543">
        <w:rPr>
          <w:szCs w:val="22"/>
        </w:rPr>
        <w:t xml:space="preserve"> based on the 2013 Census</w:t>
      </w:r>
      <w:r w:rsidR="003F7812">
        <w:rPr>
          <w:szCs w:val="22"/>
        </w:rPr>
        <w:t>; however, the Wave 1 analyses were based on the 2006 Census</w:t>
      </w:r>
      <w:r w:rsidRPr="00F94543">
        <w:rPr>
          <w:szCs w:val="22"/>
        </w:rPr>
        <w:t xml:space="preserve">. </w:t>
      </w:r>
      <w:r w:rsidR="003F7812">
        <w:rPr>
          <w:szCs w:val="22"/>
        </w:rPr>
        <w:t xml:space="preserve"> In order to be able to compare results from Wave 1 to Wave 2, the adjustments made needed to be based on comparable Census data.  Therefore, Wave 1 results by PGSI risk category were recalculated using 2013 Census data. </w:t>
      </w:r>
      <w:r>
        <w:rPr>
          <w:szCs w:val="22"/>
        </w:rPr>
        <w:t xml:space="preserve"> </w:t>
      </w:r>
      <w:r w:rsidR="00C61EC3">
        <w:rPr>
          <w:szCs w:val="22"/>
        </w:rPr>
        <w:fldChar w:fldCharType="begin"/>
      </w:r>
      <w:r w:rsidR="00C61EC3">
        <w:rPr>
          <w:szCs w:val="22"/>
        </w:rPr>
        <w:instrText xml:space="preserve"> REF _Ref408404389 \h </w:instrText>
      </w:r>
      <w:r w:rsidR="00C61EC3">
        <w:rPr>
          <w:szCs w:val="22"/>
        </w:rPr>
      </w:r>
      <w:r w:rsidR="00C61EC3">
        <w:rPr>
          <w:szCs w:val="22"/>
        </w:rPr>
        <w:fldChar w:fldCharType="separate"/>
      </w:r>
      <w:r w:rsidR="00B2175B">
        <w:t xml:space="preserve">Table </w:t>
      </w:r>
      <w:r w:rsidR="00B2175B">
        <w:rPr>
          <w:noProof/>
        </w:rPr>
        <w:t>3</w:t>
      </w:r>
      <w:r w:rsidR="00C61EC3">
        <w:rPr>
          <w:szCs w:val="22"/>
        </w:rPr>
        <w:fldChar w:fldCharType="end"/>
      </w:r>
      <w:r>
        <w:rPr>
          <w:szCs w:val="22"/>
        </w:rPr>
        <w:t xml:space="preserve"> demonstrates</w:t>
      </w:r>
      <w:r w:rsidRPr="00F94543">
        <w:rPr>
          <w:szCs w:val="22"/>
        </w:rPr>
        <w:t xml:space="preserve"> that the use of 2006 vs. 2013 Census-based weights </w:t>
      </w:r>
      <w:r>
        <w:rPr>
          <w:szCs w:val="22"/>
        </w:rPr>
        <w:t>did</w:t>
      </w:r>
      <w:r w:rsidRPr="00F94543">
        <w:rPr>
          <w:szCs w:val="22"/>
        </w:rPr>
        <w:t xml:space="preserve"> not appreciably change the results. </w:t>
      </w:r>
    </w:p>
    <w:p w:rsidR="00F94543" w:rsidRDefault="00F94543" w:rsidP="00F94543">
      <w:pPr>
        <w:jc w:val="both"/>
        <w:rPr>
          <w:szCs w:val="22"/>
        </w:rPr>
      </w:pPr>
    </w:p>
    <w:p w:rsidR="00F94543" w:rsidRPr="00F94543" w:rsidRDefault="00C61EC3" w:rsidP="00CB132E">
      <w:pPr>
        <w:pStyle w:val="Caption"/>
        <w:keepNext/>
        <w:rPr>
          <w:sz w:val="22"/>
          <w:szCs w:val="22"/>
        </w:rPr>
      </w:pPr>
      <w:bookmarkStart w:id="118" w:name="_Ref408404389"/>
      <w:bookmarkStart w:id="119" w:name="_Toc420393791"/>
      <w:r>
        <w:lastRenderedPageBreak/>
        <w:t xml:space="preserve">Table </w:t>
      </w:r>
      <w:fldSimple w:instr=" SEQ Table \* ARABIC ">
        <w:r w:rsidR="00B2175B">
          <w:rPr>
            <w:noProof/>
          </w:rPr>
          <w:t>3</w:t>
        </w:r>
      </w:fldSimple>
      <w:bookmarkEnd w:id="118"/>
      <w:r w:rsidR="00F94543">
        <w:t>: 2006 vs. 2013 Census weighting</w:t>
      </w:r>
      <w:bookmarkEnd w:id="119"/>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992"/>
        <w:gridCol w:w="851"/>
        <w:gridCol w:w="1275"/>
        <w:gridCol w:w="1134"/>
        <w:gridCol w:w="1283"/>
      </w:tblGrid>
      <w:tr w:rsidR="00F94543" w:rsidRPr="00F94543" w:rsidTr="00CB132E">
        <w:tc>
          <w:tcPr>
            <w:tcW w:w="3119" w:type="dxa"/>
            <w:tcBorders>
              <w:top w:val="single" w:sz="4" w:space="0" w:color="auto"/>
            </w:tcBorders>
            <w:hideMark/>
          </w:tcPr>
          <w:p w:rsidR="00F94543" w:rsidRPr="00F94543" w:rsidRDefault="00F94543" w:rsidP="00CB132E">
            <w:pPr>
              <w:keepNext/>
              <w:spacing w:before="20" w:after="20"/>
              <w:rPr>
                <w:rFonts w:ascii="Times New Roman" w:hAnsi="Times New Roman" w:cs="Times New Roman"/>
                <w:sz w:val="20"/>
                <w:szCs w:val="20"/>
                <w:lang w:eastAsia="en-NZ"/>
              </w:rPr>
            </w:pPr>
          </w:p>
        </w:tc>
        <w:tc>
          <w:tcPr>
            <w:tcW w:w="992" w:type="dxa"/>
            <w:tcBorders>
              <w:top w:val="single" w:sz="4" w:space="0" w:color="auto"/>
              <w:bottom w:val="single" w:sz="4" w:space="0" w:color="auto"/>
            </w:tcBorders>
            <w:hideMark/>
          </w:tcPr>
          <w:p w:rsidR="00F94543" w:rsidRPr="00F94543" w:rsidRDefault="00F94543" w:rsidP="00CB132E">
            <w:pPr>
              <w:keepNext/>
              <w:spacing w:before="20" w:after="20"/>
              <w:rPr>
                <w:rFonts w:ascii="Times New Roman" w:hAnsi="Times New Roman" w:cs="Times New Roman"/>
                <w:sz w:val="20"/>
                <w:szCs w:val="20"/>
                <w:lang w:eastAsia="en-NZ"/>
              </w:rPr>
            </w:pPr>
          </w:p>
        </w:tc>
        <w:tc>
          <w:tcPr>
            <w:tcW w:w="4543" w:type="dxa"/>
            <w:gridSpan w:val="4"/>
            <w:tcBorders>
              <w:top w:val="single" w:sz="4" w:space="0" w:color="auto"/>
              <w:bottom w:val="single" w:sz="4" w:space="0" w:color="auto"/>
            </w:tcBorders>
            <w:hideMark/>
          </w:tcPr>
          <w:p w:rsidR="00F94543" w:rsidRPr="00F94543" w:rsidRDefault="00F94543" w:rsidP="00CB132E">
            <w:pPr>
              <w:keepNext/>
              <w:spacing w:before="20" w:after="20"/>
              <w:jc w:val="center"/>
              <w:rPr>
                <w:rFonts w:ascii="Times New Roman" w:hAnsi="Times New Roman" w:cs="Times New Roman"/>
                <w:b/>
                <w:bCs/>
                <w:sz w:val="20"/>
                <w:szCs w:val="20"/>
                <w:lang w:eastAsia="en-NZ"/>
              </w:rPr>
            </w:pPr>
            <w:r w:rsidRPr="00F94543">
              <w:rPr>
                <w:rFonts w:ascii="Times New Roman" w:hAnsi="Times New Roman" w:cs="Times New Roman"/>
                <w:b/>
                <w:bCs/>
                <w:spacing w:val="5"/>
                <w:sz w:val="20"/>
                <w:szCs w:val="20"/>
                <w:lang w:val="en-US" w:eastAsia="en-NZ"/>
              </w:rPr>
              <w:t>Prevalence %</w:t>
            </w:r>
          </w:p>
        </w:tc>
      </w:tr>
      <w:tr w:rsidR="00CB132E" w:rsidRPr="00F94543" w:rsidTr="00CB132E">
        <w:tc>
          <w:tcPr>
            <w:tcW w:w="3119" w:type="dxa"/>
            <w:tcBorders>
              <w:bottom w:val="single" w:sz="4" w:space="0" w:color="auto"/>
            </w:tcBorders>
            <w:vAlign w:val="bottom"/>
            <w:hideMark/>
          </w:tcPr>
          <w:p w:rsidR="00F94543" w:rsidRPr="00F94543" w:rsidRDefault="00F94543" w:rsidP="00CB132E">
            <w:pPr>
              <w:keepNext/>
              <w:spacing w:before="20" w:after="20"/>
              <w:rPr>
                <w:rFonts w:ascii="Times New Roman" w:hAnsi="Times New Roman" w:cs="Times New Roman"/>
                <w:b/>
                <w:bCs/>
                <w:sz w:val="20"/>
                <w:szCs w:val="20"/>
                <w:lang w:eastAsia="en-NZ"/>
              </w:rPr>
            </w:pPr>
            <w:r w:rsidRPr="00F94543">
              <w:rPr>
                <w:rFonts w:ascii="Times New Roman" w:hAnsi="Times New Roman" w:cs="Times New Roman"/>
                <w:b/>
                <w:bCs/>
                <w:sz w:val="20"/>
                <w:szCs w:val="20"/>
                <w:lang w:val="en-US" w:eastAsia="en-NZ"/>
              </w:rPr>
              <w:t>Problem gambling level</w:t>
            </w:r>
            <w:r>
              <w:rPr>
                <w:rFonts w:ascii="Times New Roman" w:hAnsi="Times New Roman" w:cs="Times New Roman"/>
                <w:b/>
                <w:bCs/>
                <w:sz w:val="20"/>
                <w:szCs w:val="20"/>
                <w:lang w:val="en-US" w:eastAsia="en-NZ"/>
              </w:rPr>
              <w:t xml:space="preserve"> (PGSI)</w:t>
            </w:r>
          </w:p>
        </w:tc>
        <w:tc>
          <w:tcPr>
            <w:tcW w:w="992" w:type="dxa"/>
            <w:tcBorders>
              <w:top w:val="single" w:sz="4" w:space="0" w:color="auto"/>
              <w:bottom w:val="single" w:sz="4" w:space="0" w:color="auto"/>
            </w:tcBorders>
            <w:vAlign w:val="bottom"/>
            <w:hideMark/>
          </w:tcPr>
          <w:p w:rsidR="00F94543" w:rsidRPr="00F94543" w:rsidRDefault="00F94543" w:rsidP="00700268">
            <w:pPr>
              <w:keepNext/>
              <w:spacing w:before="20" w:after="20"/>
              <w:jc w:val="right"/>
              <w:rPr>
                <w:rFonts w:ascii="Times New Roman" w:hAnsi="Times New Roman" w:cs="Times New Roman"/>
                <w:b/>
                <w:bCs/>
                <w:sz w:val="20"/>
                <w:szCs w:val="20"/>
                <w:lang w:eastAsia="en-NZ"/>
              </w:rPr>
            </w:pPr>
            <w:r w:rsidRPr="00F94543">
              <w:rPr>
                <w:rFonts w:ascii="Times New Roman" w:hAnsi="Times New Roman" w:cs="Times New Roman"/>
                <w:b/>
                <w:bCs/>
                <w:sz w:val="20"/>
                <w:szCs w:val="20"/>
                <w:lang w:eastAsia="en-NZ"/>
              </w:rPr>
              <w:t>Census year</w:t>
            </w:r>
            <w:r w:rsidR="00CB132E" w:rsidRPr="00CB132E">
              <w:rPr>
                <w:rFonts w:ascii="Times New Roman" w:hAnsi="Times New Roman" w:cs="Times New Roman"/>
                <w:b/>
                <w:bCs/>
                <w:sz w:val="20"/>
                <w:szCs w:val="20"/>
                <w:vertAlign w:val="superscript"/>
                <w:lang w:eastAsia="en-NZ"/>
              </w:rPr>
              <w:t>#</w:t>
            </w:r>
          </w:p>
        </w:tc>
        <w:tc>
          <w:tcPr>
            <w:tcW w:w="851" w:type="dxa"/>
            <w:tcBorders>
              <w:top w:val="single" w:sz="4" w:space="0" w:color="auto"/>
              <w:bottom w:val="single" w:sz="4" w:space="0" w:color="auto"/>
            </w:tcBorders>
            <w:vAlign w:val="bottom"/>
            <w:hideMark/>
          </w:tcPr>
          <w:p w:rsidR="00F94543" w:rsidRPr="00F94543" w:rsidRDefault="00F94543" w:rsidP="00700268">
            <w:pPr>
              <w:keepNext/>
              <w:spacing w:before="20" w:after="20"/>
              <w:jc w:val="right"/>
              <w:rPr>
                <w:rFonts w:ascii="Times New Roman" w:hAnsi="Times New Roman" w:cs="Times New Roman"/>
                <w:b/>
                <w:bCs/>
                <w:sz w:val="20"/>
                <w:szCs w:val="20"/>
                <w:lang w:eastAsia="en-NZ"/>
              </w:rPr>
            </w:pPr>
            <w:r w:rsidRPr="00F94543">
              <w:rPr>
                <w:rFonts w:ascii="Times New Roman" w:hAnsi="Times New Roman" w:cs="Times New Roman"/>
                <w:b/>
                <w:bCs/>
                <w:sz w:val="20"/>
                <w:szCs w:val="20"/>
                <w:lang w:eastAsia="en-NZ"/>
              </w:rPr>
              <w:t>Total adults</w:t>
            </w:r>
          </w:p>
        </w:tc>
        <w:tc>
          <w:tcPr>
            <w:tcW w:w="1275" w:type="dxa"/>
            <w:tcBorders>
              <w:top w:val="single" w:sz="4" w:space="0" w:color="auto"/>
              <w:bottom w:val="single" w:sz="4" w:space="0" w:color="auto"/>
            </w:tcBorders>
            <w:vAlign w:val="bottom"/>
            <w:hideMark/>
          </w:tcPr>
          <w:p w:rsidR="00F94543" w:rsidRPr="00F94543" w:rsidRDefault="0061400B" w:rsidP="00700268">
            <w:pPr>
              <w:keepNext/>
              <w:spacing w:before="20" w:after="20"/>
              <w:jc w:val="right"/>
              <w:rPr>
                <w:rFonts w:ascii="Times New Roman" w:hAnsi="Times New Roman" w:cs="Times New Roman"/>
                <w:b/>
                <w:bCs/>
                <w:sz w:val="20"/>
                <w:szCs w:val="20"/>
                <w:lang w:eastAsia="en-NZ"/>
              </w:rPr>
            </w:pPr>
            <w:r>
              <w:rPr>
                <w:rFonts w:ascii="Times New Roman" w:hAnsi="Times New Roman" w:cs="Times New Roman"/>
                <w:b/>
                <w:bCs/>
                <w:sz w:val="20"/>
                <w:szCs w:val="20"/>
                <w:lang w:eastAsia="en-NZ"/>
              </w:rPr>
              <w:t>(</w:t>
            </w:r>
            <w:r w:rsidR="00F94543" w:rsidRPr="00F94543">
              <w:rPr>
                <w:rFonts w:ascii="Times New Roman" w:hAnsi="Times New Roman" w:cs="Times New Roman"/>
                <w:b/>
                <w:bCs/>
                <w:sz w:val="20"/>
                <w:szCs w:val="20"/>
                <w:lang w:eastAsia="en-NZ"/>
              </w:rPr>
              <w:t>95% CI</w:t>
            </w:r>
            <w:r>
              <w:rPr>
                <w:rFonts w:ascii="Times New Roman" w:hAnsi="Times New Roman" w:cs="Times New Roman"/>
                <w:b/>
                <w:bCs/>
                <w:sz w:val="20"/>
                <w:szCs w:val="20"/>
                <w:lang w:eastAsia="en-NZ"/>
              </w:rPr>
              <w:t>)</w:t>
            </w:r>
          </w:p>
        </w:tc>
        <w:tc>
          <w:tcPr>
            <w:tcW w:w="1134" w:type="dxa"/>
            <w:tcBorders>
              <w:top w:val="single" w:sz="4" w:space="0" w:color="auto"/>
              <w:bottom w:val="single" w:sz="4" w:space="0" w:color="auto"/>
            </w:tcBorders>
            <w:vAlign w:val="bottom"/>
            <w:hideMark/>
          </w:tcPr>
          <w:p w:rsidR="00F94543" w:rsidRPr="00F94543" w:rsidRDefault="00F94543" w:rsidP="00700268">
            <w:pPr>
              <w:keepNext/>
              <w:spacing w:before="20" w:after="20"/>
              <w:jc w:val="right"/>
              <w:rPr>
                <w:rFonts w:ascii="Times New Roman" w:hAnsi="Times New Roman" w:cs="Times New Roman"/>
                <w:b/>
                <w:bCs/>
                <w:sz w:val="20"/>
                <w:szCs w:val="20"/>
                <w:lang w:eastAsia="en-NZ"/>
              </w:rPr>
            </w:pPr>
            <w:r w:rsidRPr="00F94543">
              <w:rPr>
                <w:rFonts w:ascii="Times New Roman" w:hAnsi="Times New Roman" w:cs="Times New Roman"/>
                <w:b/>
                <w:bCs/>
                <w:sz w:val="20"/>
                <w:szCs w:val="20"/>
                <w:lang w:eastAsia="en-NZ"/>
              </w:rPr>
              <w:t>Past year gamblers</w:t>
            </w:r>
          </w:p>
        </w:tc>
        <w:tc>
          <w:tcPr>
            <w:tcW w:w="1283" w:type="dxa"/>
            <w:tcBorders>
              <w:top w:val="single" w:sz="4" w:space="0" w:color="auto"/>
              <w:bottom w:val="single" w:sz="4" w:space="0" w:color="auto"/>
            </w:tcBorders>
            <w:vAlign w:val="bottom"/>
            <w:hideMark/>
          </w:tcPr>
          <w:p w:rsidR="00F94543" w:rsidRPr="00F94543" w:rsidRDefault="0061400B" w:rsidP="00700268">
            <w:pPr>
              <w:keepNext/>
              <w:spacing w:before="20" w:after="20"/>
              <w:jc w:val="right"/>
              <w:rPr>
                <w:rFonts w:ascii="Times New Roman" w:hAnsi="Times New Roman" w:cs="Times New Roman"/>
                <w:b/>
                <w:bCs/>
                <w:sz w:val="20"/>
                <w:szCs w:val="20"/>
                <w:lang w:eastAsia="en-NZ"/>
              </w:rPr>
            </w:pPr>
            <w:r>
              <w:rPr>
                <w:rFonts w:ascii="Times New Roman" w:hAnsi="Times New Roman" w:cs="Times New Roman"/>
                <w:b/>
                <w:bCs/>
                <w:sz w:val="20"/>
                <w:szCs w:val="20"/>
                <w:lang w:eastAsia="en-NZ"/>
              </w:rPr>
              <w:t>(</w:t>
            </w:r>
            <w:r w:rsidR="00F94543" w:rsidRPr="00F94543">
              <w:rPr>
                <w:rFonts w:ascii="Times New Roman" w:hAnsi="Times New Roman" w:cs="Times New Roman"/>
                <w:b/>
                <w:bCs/>
                <w:sz w:val="20"/>
                <w:szCs w:val="20"/>
                <w:lang w:eastAsia="en-NZ"/>
              </w:rPr>
              <w:t>95% CI</w:t>
            </w:r>
            <w:r>
              <w:rPr>
                <w:rFonts w:ascii="Times New Roman" w:hAnsi="Times New Roman" w:cs="Times New Roman"/>
                <w:b/>
                <w:bCs/>
                <w:sz w:val="20"/>
                <w:szCs w:val="20"/>
                <w:lang w:eastAsia="en-NZ"/>
              </w:rPr>
              <w:t>)</w:t>
            </w:r>
          </w:p>
        </w:tc>
      </w:tr>
      <w:tr w:rsidR="00CB132E" w:rsidRPr="00F94543" w:rsidTr="00CB132E">
        <w:tc>
          <w:tcPr>
            <w:tcW w:w="3119" w:type="dxa"/>
            <w:tcBorders>
              <w:top w:val="single" w:sz="4" w:space="0" w:color="auto"/>
            </w:tcBorders>
            <w:hideMark/>
          </w:tcPr>
          <w:p w:rsidR="00F94543" w:rsidRPr="00F94543" w:rsidRDefault="00F94543" w:rsidP="00700268">
            <w:pPr>
              <w:keepNext/>
              <w:spacing w:before="20" w:after="20"/>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val="en-US" w:eastAsia="en-NZ"/>
              </w:rPr>
              <w:t>No</w:t>
            </w:r>
            <w:r w:rsidR="00CB132E">
              <w:rPr>
                <w:rFonts w:ascii="Times New Roman" w:hAnsi="Times New Roman" w:cs="Times New Roman"/>
                <w:bCs/>
                <w:color w:val="000000"/>
                <w:sz w:val="20"/>
                <w:szCs w:val="20"/>
                <w:lang w:val="en-US" w:eastAsia="en-NZ"/>
              </w:rPr>
              <w:t xml:space="preserve"> gambling</w:t>
            </w:r>
            <w:r w:rsidRPr="00F94543">
              <w:rPr>
                <w:rFonts w:ascii="Times New Roman" w:hAnsi="Times New Roman" w:cs="Times New Roman"/>
                <w:bCs/>
                <w:color w:val="000000"/>
                <w:sz w:val="20"/>
                <w:szCs w:val="20"/>
                <w:lang w:val="en-US" w:eastAsia="en-NZ"/>
              </w:rPr>
              <w:t xml:space="preserve"> in last year</w:t>
            </w:r>
          </w:p>
        </w:tc>
        <w:tc>
          <w:tcPr>
            <w:tcW w:w="992" w:type="dxa"/>
            <w:tcBorders>
              <w:top w:val="single" w:sz="4" w:space="0" w:color="auto"/>
            </w:tcBorders>
            <w:vAlign w:val="bottom"/>
            <w:hideMark/>
          </w:tcPr>
          <w:p w:rsidR="00F94543" w:rsidRPr="00F94543" w:rsidRDefault="00F94543" w:rsidP="00CB132E">
            <w:pPr>
              <w:keepNext/>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tcBorders>
              <w:top w:val="single" w:sz="4" w:space="0" w:color="auto"/>
            </w:tcBorders>
            <w:vAlign w:val="bottom"/>
            <w:hideMark/>
          </w:tcPr>
          <w:p w:rsidR="00F94543" w:rsidRPr="00F94543" w:rsidRDefault="00F94543" w:rsidP="00CB132E">
            <w:pPr>
              <w:keepNext/>
              <w:spacing w:before="20" w:after="20"/>
              <w:jc w:val="right"/>
              <w:rPr>
                <w:rFonts w:ascii="Times New Roman" w:hAnsi="Times New Roman" w:cs="Times New Roman"/>
                <w:sz w:val="20"/>
                <w:szCs w:val="20"/>
                <w:lang w:eastAsia="en-NZ"/>
              </w:rPr>
            </w:pPr>
            <w:r w:rsidRPr="00F94543">
              <w:rPr>
                <w:rFonts w:ascii="Times New Roman" w:hAnsi="Times New Roman" w:cs="Times New Roman"/>
                <w:sz w:val="20"/>
                <w:szCs w:val="20"/>
                <w:lang w:eastAsia="en-NZ"/>
              </w:rPr>
              <w:t>19.6</w:t>
            </w:r>
          </w:p>
        </w:tc>
        <w:tc>
          <w:tcPr>
            <w:tcW w:w="1275" w:type="dxa"/>
            <w:tcBorders>
              <w:top w:val="single" w:sz="4" w:space="0" w:color="auto"/>
            </w:tcBorders>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(18.4 - 20.9)</w:t>
            </w:r>
          </w:p>
        </w:tc>
        <w:tc>
          <w:tcPr>
            <w:tcW w:w="1134" w:type="dxa"/>
            <w:tcBorders>
              <w:top w:val="single" w:sz="4" w:space="0" w:color="auto"/>
            </w:tcBorders>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w:t>
            </w:r>
          </w:p>
        </w:tc>
        <w:tc>
          <w:tcPr>
            <w:tcW w:w="1283" w:type="dxa"/>
            <w:tcBorders>
              <w:top w:val="single" w:sz="4" w:space="0" w:color="auto"/>
            </w:tcBorders>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w:t>
            </w:r>
          </w:p>
        </w:tc>
      </w:tr>
      <w:tr w:rsidR="00F94543" w:rsidRPr="00F94543" w:rsidTr="00CB132E">
        <w:tc>
          <w:tcPr>
            <w:tcW w:w="3119" w:type="dxa"/>
            <w:hideMark/>
          </w:tcPr>
          <w:p w:rsidR="00F94543" w:rsidRPr="00F94543" w:rsidRDefault="00F94543" w:rsidP="00700268">
            <w:pPr>
              <w:keepNext/>
              <w:spacing w:before="20" w:after="60"/>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 </w:t>
            </w:r>
          </w:p>
        </w:tc>
        <w:tc>
          <w:tcPr>
            <w:tcW w:w="992" w:type="dxa"/>
            <w:vAlign w:val="bottom"/>
            <w:hideMark/>
          </w:tcPr>
          <w:p w:rsidR="00F94543" w:rsidRPr="00F94543" w:rsidRDefault="00F94543" w:rsidP="00700268">
            <w:pPr>
              <w:keepNext/>
              <w:spacing w:before="20" w:after="6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vAlign w:val="bottom"/>
            <w:hideMark/>
          </w:tcPr>
          <w:p w:rsidR="00F94543" w:rsidRPr="00F94543" w:rsidRDefault="00F94543" w:rsidP="00700268">
            <w:pPr>
              <w:keepNext/>
              <w:spacing w:before="20" w:after="60"/>
              <w:jc w:val="right"/>
              <w:rPr>
                <w:rFonts w:ascii="Times New Roman" w:hAnsi="Times New Roman" w:cs="Times New Roman"/>
                <w:sz w:val="20"/>
                <w:szCs w:val="20"/>
                <w:lang w:eastAsia="en-NZ"/>
              </w:rPr>
            </w:pPr>
            <w:r w:rsidRPr="00F94543">
              <w:rPr>
                <w:rFonts w:ascii="Times New Roman" w:hAnsi="Times New Roman" w:cs="Times New Roman"/>
                <w:sz w:val="20"/>
                <w:szCs w:val="20"/>
                <w:lang w:val="en-US" w:eastAsia="en-NZ"/>
              </w:rPr>
              <w:t>20.2</w:t>
            </w:r>
          </w:p>
        </w:tc>
        <w:tc>
          <w:tcPr>
            <w:tcW w:w="1275" w:type="dxa"/>
            <w:vAlign w:val="bottom"/>
            <w:hideMark/>
          </w:tcPr>
          <w:p w:rsidR="00F94543" w:rsidRPr="00F94543" w:rsidRDefault="00F94543" w:rsidP="00700268">
            <w:pPr>
              <w:keepNext/>
              <w:spacing w:before="20" w:after="6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(18.9 - 21.4)</w:t>
            </w:r>
          </w:p>
        </w:tc>
        <w:tc>
          <w:tcPr>
            <w:tcW w:w="1134" w:type="dxa"/>
            <w:vAlign w:val="bottom"/>
            <w:hideMark/>
          </w:tcPr>
          <w:p w:rsidR="00F94543" w:rsidRPr="00F94543" w:rsidRDefault="00F94543" w:rsidP="00700268">
            <w:pPr>
              <w:keepNext/>
              <w:spacing w:before="20" w:after="6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w:t>
            </w:r>
          </w:p>
        </w:tc>
        <w:tc>
          <w:tcPr>
            <w:tcW w:w="1283" w:type="dxa"/>
            <w:vAlign w:val="bottom"/>
            <w:hideMark/>
          </w:tcPr>
          <w:p w:rsidR="00F94543" w:rsidRPr="00F94543" w:rsidRDefault="00F94543" w:rsidP="00700268">
            <w:pPr>
              <w:keepNext/>
              <w:spacing w:before="20" w:after="6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w:t>
            </w:r>
          </w:p>
        </w:tc>
      </w:tr>
      <w:tr w:rsidR="00F94543" w:rsidRPr="00F94543" w:rsidTr="00CB132E">
        <w:tc>
          <w:tcPr>
            <w:tcW w:w="3119" w:type="dxa"/>
            <w:hideMark/>
          </w:tcPr>
          <w:p w:rsidR="00F94543" w:rsidRPr="00F94543" w:rsidRDefault="00CB132E" w:rsidP="00700268">
            <w:pPr>
              <w:keepNext/>
              <w:spacing w:before="20" w:after="20"/>
              <w:rPr>
                <w:rFonts w:ascii="Times New Roman" w:hAnsi="Times New Roman" w:cs="Times New Roman"/>
                <w:bCs/>
                <w:color w:val="000000"/>
                <w:sz w:val="20"/>
                <w:szCs w:val="20"/>
                <w:lang w:eastAsia="en-NZ"/>
              </w:rPr>
            </w:pPr>
            <w:r>
              <w:rPr>
                <w:rFonts w:ascii="Times New Roman" w:hAnsi="Times New Roman" w:cs="Times New Roman"/>
                <w:bCs/>
                <w:color w:val="000000"/>
                <w:sz w:val="20"/>
                <w:szCs w:val="20"/>
                <w:lang w:val="en-US" w:eastAsia="en-NZ"/>
              </w:rPr>
              <w:t>Non-problem gambler</w:t>
            </w:r>
          </w:p>
        </w:tc>
        <w:tc>
          <w:tcPr>
            <w:tcW w:w="992" w:type="dxa"/>
            <w:vAlign w:val="bottom"/>
            <w:hideMark/>
          </w:tcPr>
          <w:p w:rsidR="00F94543" w:rsidRPr="00F94543" w:rsidRDefault="00F94543" w:rsidP="00CB132E">
            <w:pPr>
              <w:keepNext/>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73.0</w:t>
            </w:r>
          </w:p>
        </w:tc>
        <w:tc>
          <w:tcPr>
            <w:tcW w:w="1275"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 xml:space="preserve"> (71.6 - 74.4) </w:t>
            </w:r>
          </w:p>
        </w:tc>
        <w:tc>
          <w:tcPr>
            <w:tcW w:w="1134"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90.8</w:t>
            </w:r>
          </w:p>
        </w:tc>
        <w:tc>
          <w:tcPr>
            <w:tcW w:w="1283"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(89.7 - 91.9)</w:t>
            </w:r>
          </w:p>
        </w:tc>
      </w:tr>
      <w:tr w:rsidR="00F94543" w:rsidRPr="00700268" w:rsidTr="00CB132E">
        <w:tc>
          <w:tcPr>
            <w:tcW w:w="3119" w:type="dxa"/>
            <w:hideMark/>
          </w:tcPr>
          <w:p w:rsidR="00F94543" w:rsidRPr="00F94543" w:rsidRDefault="00F94543" w:rsidP="00700268">
            <w:pPr>
              <w:keepNext/>
              <w:spacing w:before="20" w:after="60"/>
              <w:rPr>
                <w:rFonts w:ascii="Times New Roman" w:hAnsi="Times New Roman" w:cs="Times New Roman"/>
                <w:bCs/>
                <w:color w:val="000000"/>
                <w:sz w:val="20"/>
                <w:szCs w:val="20"/>
                <w:lang w:eastAsia="en-NZ"/>
              </w:rPr>
            </w:pPr>
          </w:p>
        </w:tc>
        <w:tc>
          <w:tcPr>
            <w:tcW w:w="992" w:type="dxa"/>
            <w:vAlign w:val="bottom"/>
            <w:hideMark/>
          </w:tcPr>
          <w:p w:rsidR="00F94543" w:rsidRPr="00F94543" w:rsidRDefault="00F94543" w:rsidP="00700268">
            <w:pPr>
              <w:keepNext/>
              <w:spacing w:before="20" w:after="6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72.5</w:t>
            </w:r>
          </w:p>
        </w:tc>
        <w:tc>
          <w:tcPr>
            <w:tcW w:w="1275"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 xml:space="preserve"> (71.2 - 73.9)</w:t>
            </w:r>
          </w:p>
        </w:tc>
        <w:tc>
          <w:tcPr>
            <w:tcW w:w="1134"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90.9</w:t>
            </w:r>
          </w:p>
        </w:tc>
        <w:tc>
          <w:tcPr>
            <w:tcW w:w="1283"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(89.8 - 91.9)</w:t>
            </w:r>
          </w:p>
        </w:tc>
      </w:tr>
      <w:tr w:rsidR="00F94543" w:rsidRPr="00F94543" w:rsidTr="00CB132E">
        <w:tc>
          <w:tcPr>
            <w:tcW w:w="3119" w:type="dxa"/>
            <w:hideMark/>
          </w:tcPr>
          <w:p w:rsidR="00F94543" w:rsidRPr="00F94543" w:rsidRDefault="00CB132E" w:rsidP="00700268">
            <w:pPr>
              <w:keepNext/>
              <w:spacing w:before="20" w:after="20"/>
              <w:rPr>
                <w:rFonts w:ascii="Times New Roman" w:hAnsi="Times New Roman" w:cs="Times New Roman"/>
                <w:bCs/>
                <w:color w:val="000000"/>
                <w:sz w:val="20"/>
                <w:szCs w:val="20"/>
                <w:lang w:eastAsia="en-NZ"/>
              </w:rPr>
            </w:pPr>
            <w:r>
              <w:rPr>
                <w:rFonts w:ascii="Times New Roman" w:hAnsi="Times New Roman" w:cs="Times New Roman"/>
                <w:bCs/>
                <w:color w:val="000000"/>
                <w:sz w:val="20"/>
                <w:szCs w:val="20"/>
                <w:lang w:val="en-US" w:eastAsia="en-NZ"/>
              </w:rPr>
              <w:t>Low-r</w:t>
            </w:r>
            <w:r w:rsidR="00F94543" w:rsidRPr="00F94543">
              <w:rPr>
                <w:rFonts w:ascii="Times New Roman" w:hAnsi="Times New Roman" w:cs="Times New Roman"/>
                <w:bCs/>
                <w:color w:val="000000"/>
                <w:sz w:val="20"/>
                <w:szCs w:val="20"/>
                <w:lang w:val="en-US" w:eastAsia="en-NZ"/>
              </w:rPr>
              <w:t xml:space="preserve">isk </w:t>
            </w:r>
            <w:r>
              <w:rPr>
                <w:rFonts w:ascii="Times New Roman" w:hAnsi="Times New Roman" w:cs="Times New Roman"/>
                <w:bCs/>
                <w:color w:val="000000"/>
                <w:sz w:val="20"/>
                <w:szCs w:val="20"/>
                <w:lang w:val="en-US" w:eastAsia="en-NZ"/>
              </w:rPr>
              <w:t>gambler</w:t>
            </w:r>
          </w:p>
        </w:tc>
        <w:tc>
          <w:tcPr>
            <w:tcW w:w="992" w:type="dxa"/>
            <w:vAlign w:val="bottom"/>
            <w:hideMark/>
          </w:tcPr>
          <w:p w:rsidR="00F94543" w:rsidRPr="00F94543" w:rsidRDefault="00F94543" w:rsidP="00CB132E">
            <w:pPr>
              <w:keepNext/>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vAlign w:val="bottom"/>
            <w:hideMark/>
          </w:tcPr>
          <w:p w:rsidR="00F94543" w:rsidRPr="00F94543" w:rsidRDefault="00F94543" w:rsidP="00CB132E">
            <w:pPr>
              <w:keepNext/>
              <w:spacing w:before="20" w:after="20"/>
              <w:jc w:val="right"/>
              <w:rPr>
                <w:rFonts w:ascii="Times New Roman" w:hAnsi="Times New Roman" w:cs="Times New Roman"/>
                <w:sz w:val="20"/>
                <w:szCs w:val="20"/>
                <w:lang w:eastAsia="en-NZ"/>
              </w:rPr>
            </w:pPr>
            <w:r w:rsidRPr="00F94543">
              <w:rPr>
                <w:rFonts w:ascii="Times New Roman" w:hAnsi="Times New Roman" w:cs="Times New Roman"/>
                <w:sz w:val="20"/>
                <w:szCs w:val="20"/>
                <w:lang w:eastAsia="en-NZ"/>
              </w:rPr>
              <w:t>5.0</w:t>
            </w:r>
          </w:p>
        </w:tc>
        <w:tc>
          <w:tcPr>
            <w:tcW w:w="1275"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(4.2 - 5.7)</w:t>
            </w:r>
          </w:p>
        </w:tc>
        <w:tc>
          <w:tcPr>
            <w:tcW w:w="1134" w:type="dxa"/>
            <w:vAlign w:val="bottom"/>
            <w:hideMark/>
          </w:tcPr>
          <w:p w:rsidR="00F94543" w:rsidRPr="00F94543" w:rsidRDefault="00F94543" w:rsidP="00CB132E">
            <w:pPr>
              <w:keepNext/>
              <w:spacing w:before="20" w:after="20"/>
              <w:jc w:val="right"/>
              <w:rPr>
                <w:rFonts w:ascii="Times New Roman" w:hAnsi="Times New Roman" w:cs="Times New Roman"/>
                <w:sz w:val="20"/>
                <w:szCs w:val="20"/>
                <w:lang w:eastAsia="en-NZ"/>
              </w:rPr>
            </w:pPr>
            <w:r w:rsidRPr="00F94543">
              <w:rPr>
                <w:rFonts w:ascii="Times New Roman" w:hAnsi="Times New Roman" w:cs="Times New Roman"/>
                <w:sz w:val="20"/>
                <w:szCs w:val="20"/>
                <w:lang w:eastAsia="en-NZ"/>
              </w:rPr>
              <w:t>6.2</w:t>
            </w:r>
          </w:p>
        </w:tc>
        <w:tc>
          <w:tcPr>
            <w:tcW w:w="1283" w:type="dxa"/>
            <w:vAlign w:val="bottom"/>
            <w:hideMark/>
          </w:tcPr>
          <w:p w:rsidR="00F94543" w:rsidRPr="00F94543" w:rsidRDefault="00F94543" w:rsidP="00CB132E">
            <w:pPr>
              <w:keepNext/>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(5.3 - 7.1)</w:t>
            </w:r>
          </w:p>
        </w:tc>
      </w:tr>
      <w:tr w:rsidR="00F94543" w:rsidRPr="00F94543" w:rsidTr="00CB132E">
        <w:tc>
          <w:tcPr>
            <w:tcW w:w="3119" w:type="dxa"/>
            <w:hideMark/>
          </w:tcPr>
          <w:p w:rsidR="00F94543" w:rsidRPr="00F94543" w:rsidRDefault="00F94543" w:rsidP="00700268">
            <w:pPr>
              <w:spacing w:before="20" w:after="20"/>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 </w:t>
            </w:r>
          </w:p>
        </w:tc>
        <w:tc>
          <w:tcPr>
            <w:tcW w:w="992" w:type="dxa"/>
            <w:vAlign w:val="bottom"/>
            <w:hideMark/>
          </w:tcPr>
          <w:p w:rsidR="00F94543" w:rsidRPr="00F94543" w:rsidRDefault="00F94543" w:rsidP="00700268">
            <w:pPr>
              <w:keepNext/>
              <w:spacing w:before="20" w:after="6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4.9</w:t>
            </w:r>
          </w:p>
        </w:tc>
        <w:tc>
          <w:tcPr>
            <w:tcW w:w="1275"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(4.2 - 5.6)</w:t>
            </w:r>
          </w:p>
        </w:tc>
        <w:tc>
          <w:tcPr>
            <w:tcW w:w="1134"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6.2</w:t>
            </w:r>
          </w:p>
        </w:tc>
        <w:tc>
          <w:tcPr>
            <w:tcW w:w="1283"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(5.3 - 7.0)</w:t>
            </w:r>
          </w:p>
        </w:tc>
      </w:tr>
      <w:tr w:rsidR="00F94543" w:rsidRPr="00F94543" w:rsidTr="00CB132E">
        <w:tc>
          <w:tcPr>
            <w:tcW w:w="3119" w:type="dxa"/>
            <w:hideMark/>
          </w:tcPr>
          <w:p w:rsidR="00F94543" w:rsidRPr="00F94543" w:rsidRDefault="00CB132E" w:rsidP="00700268">
            <w:pPr>
              <w:spacing w:before="20" w:after="20"/>
              <w:rPr>
                <w:rFonts w:ascii="Times New Roman" w:hAnsi="Times New Roman" w:cs="Times New Roman"/>
                <w:bCs/>
                <w:color w:val="000000"/>
                <w:sz w:val="20"/>
                <w:szCs w:val="20"/>
                <w:lang w:eastAsia="en-NZ"/>
              </w:rPr>
            </w:pPr>
            <w:r>
              <w:rPr>
                <w:rFonts w:ascii="Times New Roman" w:hAnsi="Times New Roman" w:cs="Times New Roman"/>
                <w:bCs/>
                <w:color w:val="000000"/>
                <w:sz w:val="20"/>
                <w:szCs w:val="20"/>
                <w:lang w:val="en-US" w:eastAsia="en-NZ"/>
              </w:rPr>
              <w:t>Moderate-r</w:t>
            </w:r>
            <w:r w:rsidR="00F94543" w:rsidRPr="00F94543">
              <w:rPr>
                <w:rFonts w:ascii="Times New Roman" w:hAnsi="Times New Roman" w:cs="Times New Roman"/>
                <w:bCs/>
                <w:color w:val="000000"/>
                <w:sz w:val="20"/>
                <w:szCs w:val="20"/>
                <w:lang w:val="en-US" w:eastAsia="en-NZ"/>
              </w:rPr>
              <w:t xml:space="preserve">isk </w:t>
            </w:r>
            <w:r>
              <w:rPr>
                <w:rFonts w:ascii="Times New Roman" w:hAnsi="Times New Roman" w:cs="Times New Roman"/>
                <w:bCs/>
                <w:color w:val="000000"/>
                <w:sz w:val="20"/>
                <w:szCs w:val="20"/>
                <w:lang w:val="en-US" w:eastAsia="en-NZ"/>
              </w:rPr>
              <w:t>gambler</w:t>
            </w:r>
          </w:p>
        </w:tc>
        <w:tc>
          <w:tcPr>
            <w:tcW w:w="992" w:type="dxa"/>
            <w:vAlign w:val="bottom"/>
            <w:hideMark/>
          </w:tcPr>
          <w:p w:rsidR="00F94543" w:rsidRPr="00F94543" w:rsidRDefault="00F94543" w:rsidP="00F94543">
            <w:pPr>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1.8</w:t>
            </w:r>
          </w:p>
        </w:tc>
        <w:tc>
          <w:tcPr>
            <w:tcW w:w="1275"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(1.4 - 2.1)</w:t>
            </w:r>
          </w:p>
        </w:tc>
        <w:tc>
          <w:tcPr>
            <w:tcW w:w="1134"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2.2</w:t>
            </w:r>
          </w:p>
        </w:tc>
        <w:tc>
          <w:tcPr>
            <w:tcW w:w="1283"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(1.7 - 2.7)</w:t>
            </w:r>
          </w:p>
        </w:tc>
      </w:tr>
      <w:tr w:rsidR="00F94543" w:rsidRPr="00F94543" w:rsidTr="00CB132E">
        <w:tc>
          <w:tcPr>
            <w:tcW w:w="3119" w:type="dxa"/>
            <w:hideMark/>
          </w:tcPr>
          <w:p w:rsidR="00F94543" w:rsidRPr="00F94543" w:rsidRDefault="00F94543" w:rsidP="00700268">
            <w:pPr>
              <w:spacing w:before="20" w:after="20"/>
              <w:rPr>
                <w:rFonts w:ascii="Times New Roman" w:hAnsi="Times New Roman" w:cs="Times New Roman"/>
                <w:bCs/>
                <w:color w:val="000000"/>
                <w:sz w:val="20"/>
                <w:szCs w:val="20"/>
                <w:lang w:eastAsia="en-NZ"/>
              </w:rPr>
            </w:pPr>
          </w:p>
        </w:tc>
        <w:tc>
          <w:tcPr>
            <w:tcW w:w="992" w:type="dxa"/>
            <w:vAlign w:val="bottom"/>
            <w:hideMark/>
          </w:tcPr>
          <w:p w:rsidR="00F94543" w:rsidRPr="00F94543" w:rsidRDefault="00F94543" w:rsidP="00700268">
            <w:pPr>
              <w:keepNext/>
              <w:spacing w:before="20" w:after="6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1.7</w:t>
            </w:r>
          </w:p>
        </w:tc>
        <w:tc>
          <w:tcPr>
            <w:tcW w:w="1275"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(1.3 - 2.1)</w:t>
            </w:r>
          </w:p>
        </w:tc>
        <w:tc>
          <w:tcPr>
            <w:tcW w:w="1134"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2.2</w:t>
            </w:r>
          </w:p>
        </w:tc>
        <w:tc>
          <w:tcPr>
            <w:tcW w:w="1283"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(1.7 - 2.6)</w:t>
            </w:r>
          </w:p>
        </w:tc>
      </w:tr>
      <w:tr w:rsidR="00F94543" w:rsidRPr="00F94543" w:rsidTr="00CB132E">
        <w:tc>
          <w:tcPr>
            <w:tcW w:w="3119" w:type="dxa"/>
            <w:hideMark/>
          </w:tcPr>
          <w:p w:rsidR="00F94543" w:rsidRPr="00F94543" w:rsidRDefault="00CB132E" w:rsidP="00700268">
            <w:pPr>
              <w:spacing w:before="20" w:after="20"/>
              <w:rPr>
                <w:rFonts w:ascii="Times New Roman" w:hAnsi="Times New Roman" w:cs="Times New Roman"/>
                <w:bCs/>
                <w:color w:val="000000"/>
                <w:sz w:val="20"/>
                <w:szCs w:val="20"/>
                <w:lang w:eastAsia="en-NZ"/>
              </w:rPr>
            </w:pPr>
            <w:r>
              <w:rPr>
                <w:rFonts w:ascii="Times New Roman" w:hAnsi="Times New Roman" w:cs="Times New Roman"/>
                <w:bCs/>
                <w:color w:val="000000"/>
                <w:sz w:val="20"/>
                <w:szCs w:val="20"/>
                <w:lang w:val="en-US" w:eastAsia="en-NZ"/>
              </w:rPr>
              <w:t>Problem g</w:t>
            </w:r>
            <w:r w:rsidR="00F94543" w:rsidRPr="00F94543">
              <w:rPr>
                <w:rFonts w:ascii="Times New Roman" w:hAnsi="Times New Roman" w:cs="Times New Roman"/>
                <w:bCs/>
                <w:color w:val="000000"/>
                <w:sz w:val="20"/>
                <w:szCs w:val="20"/>
                <w:lang w:val="en-US" w:eastAsia="en-NZ"/>
              </w:rPr>
              <w:t>ambler</w:t>
            </w:r>
          </w:p>
        </w:tc>
        <w:tc>
          <w:tcPr>
            <w:tcW w:w="992" w:type="dxa"/>
            <w:vAlign w:val="bottom"/>
            <w:hideMark/>
          </w:tcPr>
          <w:p w:rsidR="00F94543" w:rsidRPr="00F94543" w:rsidRDefault="00F94543" w:rsidP="00F94543">
            <w:pPr>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vAlign w:val="bottom"/>
            <w:hideMark/>
          </w:tcPr>
          <w:p w:rsidR="00F94543" w:rsidRPr="00F94543" w:rsidRDefault="00F94543" w:rsidP="00F94543">
            <w:pPr>
              <w:spacing w:before="20" w:after="20"/>
              <w:jc w:val="right"/>
              <w:rPr>
                <w:rFonts w:ascii="Times New Roman" w:hAnsi="Times New Roman" w:cs="Times New Roman"/>
                <w:sz w:val="20"/>
                <w:szCs w:val="20"/>
                <w:lang w:eastAsia="en-NZ"/>
              </w:rPr>
            </w:pPr>
            <w:r w:rsidRPr="00F94543">
              <w:rPr>
                <w:rFonts w:ascii="Times New Roman" w:hAnsi="Times New Roman" w:cs="Times New Roman"/>
                <w:sz w:val="20"/>
                <w:szCs w:val="20"/>
                <w:lang w:eastAsia="en-NZ"/>
              </w:rPr>
              <w:t>0.7</w:t>
            </w:r>
          </w:p>
        </w:tc>
        <w:tc>
          <w:tcPr>
            <w:tcW w:w="1275"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(0.4 - 0.9)</w:t>
            </w:r>
          </w:p>
        </w:tc>
        <w:tc>
          <w:tcPr>
            <w:tcW w:w="1134" w:type="dxa"/>
            <w:vAlign w:val="bottom"/>
            <w:hideMark/>
          </w:tcPr>
          <w:p w:rsidR="00F94543" w:rsidRPr="00F94543" w:rsidRDefault="00F94543" w:rsidP="00F94543">
            <w:pPr>
              <w:spacing w:before="20" w:after="20"/>
              <w:jc w:val="right"/>
              <w:rPr>
                <w:rFonts w:ascii="Times New Roman" w:hAnsi="Times New Roman" w:cs="Times New Roman"/>
                <w:sz w:val="20"/>
                <w:szCs w:val="20"/>
                <w:lang w:eastAsia="en-NZ"/>
              </w:rPr>
            </w:pPr>
            <w:r w:rsidRPr="00F94543">
              <w:rPr>
                <w:rFonts w:ascii="Times New Roman" w:hAnsi="Times New Roman" w:cs="Times New Roman"/>
                <w:sz w:val="20"/>
                <w:szCs w:val="20"/>
                <w:lang w:eastAsia="en-NZ"/>
              </w:rPr>
              <w:t>0.8</w:t>
            </w:r>
          </w:p>
        </w:tc>
        <w:tc>
          <w:tcPr>
            <w:tcW w:w="1283" w:type="dxa"/>
            <w:vAlign w:val="bottom"/>
            <w:hideMark/>
          </w:tcPr>
          <w:p w:rsidR="00F94543" w:rsidRPr="00F94543" w:rsidRDefault="00F94543"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(0.5 - 1.1)</w:t>
            </w:r>
          </w:p>
        </w:tc>
      </w:tr>
      <w:tr w:rsidR="00F94543" w:rsidRPr="00F94543" w:rsidTr="00CB132E">
        <w:tc>
          <w:tcPr>
            <w:tcW w:w="3119" w:type="dxa"/>
            <w:hideMark/>
          </w:tcPr>
          <w:p w:rsidR="00F94543" w:rsidRPr="00F94543" w:rsidRDefault="00F94543" w:rsidP="00700268">
            <w:pPr>
              <w:spacing w:before="20" w:after="20"/>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 </w:t>
            </w:r>
          </w:p>
        </w:tc>
        <w:tc>
          <w:tcPr>
            <w:tcW w:w="992" w:type="dxa"/>
            <w:vAlign w:val="bottom"/>
            <w:hideMark/>
          </w:tcPr>
          <w:p w:rsidR="00F94543" w:rsidRPr="00F94543" w:rsidRDefault="00F94543" w:rsidP="00700268">
            <w:pPr>
              <w:keepNext/>
              <w:spacing w:before="20" w:after="6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0.6</w:t>
            </w:r>
          </w:p>
        </w:tc>
        <w:tc>
          <w:tcPr>
            <w:tcW w:w="1275"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(0.4 - 0.9)</w:t>
            </w:r>
          </w:p>
        </w:tc>
        <w:tc>
          <w:tcPr>
            <w:tcW w:w="1134"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0.8</w:t>
            </w:r>
          </w:p>
        </w:tc>
        <w:tc>
          <w:tcPr>
            <w:tcW w:w="1283" w:type="dxa"/>
            <w:vAlign w:val="bottom"/>
            <w:hideMark/>
          </w:tcPr>
          <w:p w:rsidR="00F94543" w:rsidRPr="00700268" w:rsidRDefault="00F94543" w:rsidP="00700268">
            <w:pPr>
              <w:keepNext/>
              <w:spacing w:before="20" w:after="60"/>
              <w:jc w:val="right"/>
              <w:rPr>
                <w:rFonts w:ascii="Times New Roman" w:hAnsi="Times New Roman" w:cs="Times New Roman"/>
                <w:bCs/>
                <w:color w:val="000000"/>
                <w:sz w:val="20"/>
                <w:szCs w:val="20"/>
                <w:lang w:eastAsia="en-NZ"/>
              </w:rPr>
            </w:pPr>
            <w:r w:rsidRPr="00700268">
              <w:rPr>
                <w:rFonts w:ascii="Times New Roman" w:hAnsi="Times New Roman" w:cs="Times New Roman"/>
                <w:bCs/>
                <w:color w:val="000000"/>
                <w:sz w:val="20"/>
                <w:szCs w:val="20"/>
                <w:lang w:eastAsia="en-NZ"/>
              </w:rPr>
              <w:t>(0.5 - 1.1)</w:t>
            </w:r>
          </w:p>
        </w:tc>
      </w:tr>
      <w:tr w:rsidR="00CB132E" w:rsidRPr="00F94543" w:rsidTr="00CB132E">
        <w:tc>
          <w:tcPr>
            <w:tcW w:w="3119" w:type="dxa"/>
            <w:vMerge w:val="restart"/>
            <w:hideMark/>
          </w:tcPr>
          <w:p w:rsidR="00CB132E" w:rsidRPr="00F94543" w:rsidRDefault="00CB132E" w:rsidP="00700268">
            <w:pPr>
              <w:spacing w:before="20" w:after="20"/>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val="en-US" w:eastAsia="en-NZ"/>
              </w:rPr>
              <w:t>Mod</w:t>
            </w:r>
            <w:r>
              <w:rPr>
                <w:rFonts w:ascii="Times New Roman" w:hAnsi="Times New Roman" w:cs="Times New Roman"/>
                <w:bCs/>
                <w:color w:val="000000"/>
                <w:sz w:val="20"/>
                <w:szCs w:val="20"/>
                <w:lang w:val="en-US" w:eastAsia="en-NZ"/>
              </w:rPr>
              <w:t>erate-r</w:t>
            </w:r>
            <w:r w:rsidRPr="00F94543">
              <w:rPr>
                <w:rFonts w:ascii="Times New Roman" w:hAnsi="Times New Roman" w:cs="Times New Roman"/>
                <w:bCs/>
                <w:color w:val="000000"/>
                <w:sz w:val="20"/>
                <w:szCs w:val="20"/>
                <w:lang w:val="en-US" w:eastAsia="en-NZ"/>
              </w:rPr>
              <w:t xml:space="preserve">isk/Problem </w:t>
            </w:r>
            <w:r>
              <w:rPr>
                <w:rFonts w:ascii="Times New Roman" w:hAnsi="Times New Roman" w:cs="Times New Roman"/>
                <w:bCs/>
                <w:color w:val="000000"/>
                <w:sz w:val="20"/>
                <w:szCs w:val="20"/>
                <w:lang w:val="en-US" w:eastAsia="en-NZ"/>
              </w:rPr>
              <w:t>g</w:t>
            </w:r>
            <w:r w:rsidRPr="00F94543">
              <w:rPr>
                <w:rFonts w:ascii="Times New Roman" w:hAnsi="Times New Roman" w:cs="Times New Roman"/>
                <w:bCs/>
                <w:color w:val="000000"/>
                <w:sz w:val="20"/>
                <w:szCs w:val="20"/>
                <w:lang w:val="en-US" w:eastAsia="en-NZ"/>
              </w:rPr>
              <w:t>ambler combined</w:t>
            </w:r>
          </w:p>
        </w:tc>
        <w:tc>
          <w:tcPr>
            <w:tcW w:w="992" w:type="dxa"/>
            <w:vAlign w:val="bottom"/>
            <w:hideMark/>
          </w:tcPr>
          <w:p w:rsidR="00CB132E" w:rsidRPr="00F94543" w:rsidRDefault="00CB132E" w:rsidP="00F94543">
            <w:pPr>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2006</w:t>
            </w:r>
          </w:p>
        </w:tc>
        <w:tc>
          <w:tcPr>
            <w:tcW w:w="851" w:type="dxa"/>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2.4</w:t>
            </w:r>
          </w:p>
        </w:tc>
        <w:tc>
          <w:tcPr>
            <w:tcW w:w="1275" w:type="dxa"/>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(2.0 - 2.9)</w:t>
            </w:r>
          </w:p>
        </w:tc>
        <w:tc>
          <w:tcPr>
            <w:tcW w:w="1134" w:type="dxa"/>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3.0</w:t>
            </w:r>
          </w:p>
        </w:tc>
        <w:tc>
          <w:tcPr>
            <w:tcW w:w="1283" w:type="dxa"/>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(2.4 - 3.6)</w:t>
            </w:r>
          </w:p>
        </w:tc>
      </w:tr>
      <w:tr w:rsidR="00CB132E" w:rsidRPr="00F94543" w:rsidTr="00CB132E">
        <w:tc>
          <w:tcPr>
            <w:tcW w:w="3119" w:type="dxa"/>
            <w:vMerge/>
            <w:tcBorders>
              <w:bottom w:val="single" w:sz="4" w:space="0" w:color="auto"/>
            </w:tcBorders>
            <w:hideMark/>
          </w:tcPr>
          <w:p w:rsidR="00CB132E" w:rsidRPr="00F94543" w:rsidRDefault="00CB132E" w:rsidP="00F94543">
            <w:pPr>
              <w:spacing w:before="20" w:after="20"/>
              <w:jc w:val="right"/>
              <w:rPr>
                <w:rFonts w:ascii="Times New Roman" w:hAnsi="Times New Roman" w:cs="Times New Roman"/>
                <w:bCs/>
                <w:color w:val="000000"/>
                <w:sz w:val="20"/>
                <w:szCs w:val="20"/>
                <w:lang w:eastAsia="en-NZ"/>
              </w:rPr>
            </w:pPr>
          </w:p>
        </w:tc>
        <w:tc>
          <w:tcPr>
            <w:tcW w:w="992" w:type="dxa"/>
            <w:tcBorders>
              <w:bottom w:val="single" w:sz="4" w:space="0" w:color="auto"/>
            </w:tcBorders>
            <w:vAlign w:val="bottom"/>
            <w:hideMark/>
          </w:tcPr>
          <w:p w:rsidR="00CB132E" w:rsidRPr="00F94543" w:rsidRDefault="00CB132E" w:rsidP="00F94543">
            <w:pPr>
              <w:spacing w:before="20" w:after="20"/>
              <w:jc w:val="right"/>
              <w:rPr>
                <w:rFonts w:ascii="Times New Roman" w:hAnsi="Times New Roman" w:cs="Times New Roman"/>
                <w:bCs/>
                <w:color w:val="000000"/>
                <w:sz w:val="20"/>
                <w:szCs w:val="20"/>
                <w:lang w:eastAsia="en-NZ"/>
              </w:rPr>
            </w:pPr>
            <w:r w:rsidRPr="00F94543">
              <w:rPr>
                <w:rFonts w:ascii="Times New Roman" w:hAnsi="Times New Roman" w:cs="Times New Roman"/>
                <w:bCs/>
                <w:color w:val="000000"/>
                <w:sz w:val="20"/>
                <w:szCs w:val="20"/>
                <w:lang w:eastAsia="en-NZ"/>
              </w:rPr>
              <w:t>2013</w:t>
            </w:r>
          </w:p>
        </w:tc>
        <w:tc>
          <w:tcPr>
            <w:tcW w:w="851" w:type="dxa"/>
            <w:tcBorders>
              <w:bottom w:val="single" w:sz="4" w:space="0" w:color="auto"/>
            </w:tcBorders>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val="en-US" w:eastAsia="en-NZ"/>
              </w:rPr>
              <w:t>2.4</w:t>
            </w:r>
          </w:p>
        </w:tc>
        <w:tc>
          <w:tcPr>
            <w:tcW w:w="1275" w:type="dxa"/>
            <w:tcBorders>
              <w:bottom w:val="single" w:sz="4" w:space="0" w:color="auto"/>
            </w:tcBorders>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(1.9 - 2.8)</w:t>
            </w:r>
          </w:p>
        </w:tc>
        <w:tc>
          <w:tcPr>
            <w:tcW w:w="1134" w:type="dxa"/>
            <w:tcBorders>
              <w:bottom w:val="single" w:sz="4" w:space="0" w:color="auto"/>
            </w:tcBorders>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3.0</w:t>
            </w:r>
          </w:p>
        </w:tc>
        <w:tc>
          <w:tcPr>
            <w:tcW w:w="1283" w:type="dxa"/>
            <w:tcBorders>
              <w:bottom w:val="single" w:sz="4" w:space="0" w:color="auto"/>
            </w:tcBorders>
            <w:vAlign w:val="bottom"/>
            <w:hideMark/>
          </w:tcPr>
          <w:p w:rsidR="00CB132E" w:rsidRPr="00F94543" w:rsidRDefault="00CB132E" w:rsidP="00F94543">
            <w:pPr>
              <w:spacing w:before="20" w:after="20"/>
              <w:jc w:val="right"/>
              <w:rPr>
                <w:rFonts w:ascii="Times New Roman" w:hAnsi="Times New Roman" w:cs="Times New Roman"/>
                <w:color w:val="000000"/>
                <w:sz w:val="20"/>
                <w:szCs w:val="20"/>
                <w:lang w:eastAsia="en-NZ"/>
              </w:rPr>
            </w:pPr>
            <w:r w:rsidRPr="00F94543">
              <w:rPr>
                <w:rFonts w:ascii="Times New Roman" w:hAnsi="Times New Roman" w:cs="Times New Roman"/>
                <w:color w:val="000000"/>
                <w:sz w:val="20"/>
                <w:szCs w:val="20"/>
                <w:lang w:eastAsia="en-NZ"/>
              </w:rPr>
              <w:t>(2.4 - 3.5)</w:t>
            </w:r>
          </w:p>
        </w:tc>
      </w:tr>
    </w:tbl>
    <w:p w:rsidR="00F94543" w:rsidRDefault="00CB132E" w:rsidP="00CB132E">
      <w:pPr>
        <w:jc w:val="both"/>
        <w:rPr>
          <w:szCs w:val="22"/>
        </w:rPr>
      </w:pPr>
      <w:r w:rsidRPr="00CB132E">
        <w:rPr>
          <w:bCs/>
          <w:sz w:val="20"/>
          <w:szCs w:val="20"/>
          <w:vertAlign w:val="superscript"/>
          <w:lang w:eastAsia="en-NZ"/>
        </w:rPr>
        <w:t xml:space="preserve"># </w:t>
      </w:r>
      <w:r w:rsidRPr="00CB132E">
        <w:rPr>
          <w:bCs/>
          <w:sz w:val="20"/>
          <w:szCs w:val="20"/>
          <w:lang w:eastAsia="en-NZ"/>
        </w:rPr>
        <w:t>Year of the Census from which weights were derived</w:t>
      </w:r>
      <w:r w:rsidR="00F94543" w:rsidRPr="00F94543">
        <w:rPr>
          <w:szCs w:val="22"/>
        </w:rPr>
        <w:tab/>
      </w:r>
    </w:p>
    <w:p w:rsidR="00F94543" w:rsidRDefault="00F94543" w:rsidP="00F67FCB">
      <w:pPr>
        <w:jc w:val="both"/>
        <w:rPr>
          <w:szCs w:val="22"/>
        </w:rPr>
      </w:pPr>
    </w:p>
    <w:p w:rsidR="00CB132E" w:rsidRPr="00F67FCB" w:rsidRDefault="00CB132E" w:rsidP="00017B76">
      <w:pPr>
        <w:pStyle w:val="Heading2b"/>
        <w:keepLines/>
        <w:numPr>
          <w:ilvl w:val="2"/>
          <w:numId w:val="26"/>
        </w:numPr>
        <w:ind w:left="709"/>
        <w:rPr>
          <w:i/>
          <w:sz w:val="22"/>
          <w:lang w:val="en-NZ"/>
        </w:rPr>
      </w:pPr>
      <w:bookmarkStart w:id="120" w:name="_Toc399511078"/>
      <w:bookmarkStart w:id="121" w:name="_Toc399511223"/>
      <w:bookmarkStart w:id="122" w:name="_Toc403052530"/>
      <w:bookmarkStart w:id="123" w:name="_Toc403052865"/>
      <w:bookmarkStart w:id="124" w:name="_Toc420392599"/>
      <w:r>
        <w:rPr>
          <w:i/>
          <w:sz w:val="22"/>
          <w:lang w:val="en-NZ"/>
        </w:rPr>
        <w:t>Attrition-specific weights</w:t>
      </w:r>
      <w:bookmarkEnd w:id="120"/>
      <w:bookmarkEnd w:id="121"/>
      <w:bookmarkEnd w:id="122"/>
      <w:bookmarkEnd w:id="123"/>
      <w:bookmarkEnd w:id="124"/>
    </w:p>
    <w:p w:rsidR="00F94543" w:rsidRDefault="00F94543" w:rsidP="00F67FCB">
      <w:pPr>
        <w:jc w:val="both"/>
        <w:rPr>
          <w:szCs w:val="22"/>
        </w:rPr>
      </w:pPr>
    </w:p>
    <w:p w:rsidR="00CB132E" w:rsidRPr="00CB132E" w:rsidRDefault="00CB132E" w:rsidP="00CB132E">
      <w:pPr>
        <w:jc w:val="both"/>
        <w:rPr>
          <w:szCs w:val="22"/>
        </w:rPr>
      </w:pPr>
      <w:r w:rsidRPr="00CB132E">
        <w:rPr>
          <w:szCs w:val="22"/>
        </w:rPr>
        <w:t>The participants in Wave 2</w:t>
      </w:r>
      <w:r>
        <w:rPr>
          <w:szCs w:val="22"/>
        </w:rPr>
        <w:t xml:space="preserve"> </w:t>
      </w:r>
      <w:r w:rsidRPr="00CB132E">
        <w:rPr>
          <w:szCs w:val="22"/>
        </w:rPr>
        <w:t>(n=3,745) represented 60% of the participants in Wave 1 (n=6,251).</w:t>
      </w:r>
      <w:r>
        <w:rPr>
          <w:szCs w:val="22"/>
        </w:rPr>
        <w:t xml:space="preserve">  </w:t>
      </w:r>
      <w:r w:rsidRPr="00CB132E">
        <w:rPr>
          <w:szCs w:val="22"/>
        </w:rPr>
        <w:t xml:space="preserve">This reduction </w:t>
      </w:r>
      <w:r>
        <w:rPr>
          <w:szCs w:val="22"/>
        </w:rPr>
        <w:t>is</w:t>
      </w:r>
      <w:r w:rsidRPr="00CB132E">
        <w:rPr>
          <w:szCs w:val="22"/>
        </w:rPr>
        <w:t xml:space="preserve"> succinctly described by the word </w:t>
      </w:r>
      <w:r>
        <w:rPr>
          <w:szCs w:val="22"/>
        </w:rPr>
        <w:t>‘</w:t>
      </w:r>
      <w:r w:rsidRPr="00CB132E">
        <w:rPr>
          <w:szCs w:val="22"/>
        </w:rPr>
        <w:t>attrition</w:t>
      </w:r>
      <w:r>
        <w:rPr>
          <w:szCs w:val="22"/>
        </w:rPr>
        <w:t>’</w:t>
      </w:r>
      <w:r w:rsidRPr="00CB132E">
        <w:rPr>
          <w:szCs w:val="22"/>
        </w:rPr>
        <w:t xml:space="preserve"> in the present </w:t>
      </w:r>
      <w:r>
        <w:rPr>
          <w:szCs w:val="22"/>
        </w:rPr>
        <w:t>report</w:t>
      </w:r>
      <w:r w:rsidRPr="00CB132E">
        <w:rPr>
          <w:szCs w:val="22"/>
        </w:rPr>
        <w:t>, although the mechanisms by which Wave 2 was reduced from Wave 1 do not all fall under non</w:t>
      </w:r>
      <w:r>
        <w:rPr>
          <w:szCs w:val="22"/>
        </w:rPr>
        <w:t>-</w:t>
      </w:r>
      <w:r w:rsidRPr="00CB132E">
        <w:rPr>
          <w:szCs w:val="22"/>
        </w:rPr>
        <w:t>response.</w:t>
      </w:r>
    </w:p>
    <w:p w:rsidR="00CB132E" w:rsidRDefault="00CB132E" w:rsidP="00CB132E">
      <w:pPr>
        <w:jc w:val="both"/>
        <w:rPr>
          <w:szCs w:val="22"/>
        </w:rPr>
      </w:pPr>
    </w:p>
    <w:p w:rsidR="00CB132E" w:rsidRPr="00CB132E" w:rsidRDefault="00CB132E" w:rsidP="00CB132E">
      <w:pPr>
        <w:jc w:val="both"/>
        <w:rPr>
          <w:szCs w:val="22"/>
        </w:rPr>
      </w:pPr>
      <w:r w:rsidRPr="00CB132E">
        <w:rPr>
          <w:szCs w:val="22"/>
        </w:rPr>
        <w:t>The application of age, gender and ethnicity-based weights to Wave 2 data cause</w:t>
      </w:r>
      <w:r>
        <w:rPr>
          <w:szCs w:val="22"/>
        </w:rPr>
        <w:t>s</w:t>
      </w:r>
      <w:r w:rsidRPr="00CB132E">
        <w:rPr>
          <w:szCs w:val="22"/>
        </w:rPr>
        <w:t xml:space="preserve"> an underestimation of the estimated proportions in the </w:t>
      </w:r>
      <w:r>
        <w:rPr>
          <w:szCs w:val="22"/>
        </w:rPr>
        <w:t>m</w:t>
      </w:r>
      <w:r w:rsidRPr="00CB132E">
        <w:rPr>
          <w:szCs w:val="22"/>
        </w:rPr>
        <w:t>oderate</w:t>
      </w:r>
      <w:r>
        <w:rPr>
          <w:szCs w:val="22"/>
        </w:rPr>
        <w:t>-r</w:t>
      </w:r>
      <w:r w:rsidRPr="00CB132E">
        <w:rPr>
          <w:szCs w:val="22"/>
        </w:rPr>
        <w:t xml:space="preserve">isk and </w:t>
      </w:r>
      <w:r>
        <w:rPr>
          <w:szCs w:val="22"/>
        </w:rPr>
        <w:t>problem gambling</w:t>
      </w:r>
      <w:r w:rsidRPr="00CB132E">
        <w:rPr>
          <w:szCs w:val="22"/>
        </w:rPr>
        <w:t xml:space="preserve"> categories. </w:t>
      </w:r>
      <w:r>
        <w:rPr>
          <w:szCs w:val="22"/>
        </w:rPr>
        <w:t xml:space="preserve"> </w:t>
      </w:r>
      <w:r w:rsidRPr="00CB132E">
        <w:rPr>
          <w:szCs w:val="22"/>
        </w:rPr>
        <w:t xml:space="preserve">However, small numbers in some of the cells of the four-way table would cause the variance inflation factor to reach unacceptable values. </w:t>
      </w:r>
      <w:r>
        <w:rPr>
          <w:szCs w:val="22"/>
        </w:rPr>
        <w:t xml:space="preserve"> </w:t>
      </w:r>
      <w:r w:rsidRPr="00CB132E">
        <w:rPr>
          <w:szCs w:val="22"/>
        </w:rPr>
        <w:t xml:space="preserve">For this reason, raking (gender-age-ethnicity in one margin, PGSI </w:t>
      </w:r>
      <w:r>
        <w:rPr>
          <w:szCs w:val="22"/>
        </w:rPr>
        <w:t>r</w:t>
      </w:r>
      <w:r w:rsidRPr="00CB132E">
        <w:rPr>
          <w:szCs w:val="22"/>
        </w:rPr>
        <w:t xml:space="preserve">isk </w:t>
      </w:r>
      <w:r>
        <w:rPr>
          <w:szCs w:val="22"/>
        </w:rPr>
        <w:t>category</w:t>
      </w:r>
      <w:r w:rsidRPr="00CB132E">
        <w:rPr>
          <w:szCs w:val="22"/>
        </w:rPr>
        <w:t xml:space="preserve"> in the other) </w:t>
      </w:r>
      <w:r>
        <w:rPr>
          <w:szCs w:val="22"/>
        </w:rPr>
        <w:t xml:space="preserve">was used </w:t>
      </w:r>
      <w:r w:rsidRPr="00CB132E">
        <w:rPr>
          <w:szCs w:val="22"/>
        </w:rPr>
        <w:t>to produce the final weights. Raking presents the advantage of preserving the marginal weights</w:t>
      </w:r>
      <w:r w:rsidR="0061400B">
        <w:rPr>
          <w:szCs w:val="22"/>
        </w:rPr>
        <w:t xml:space="preserve"> </w:t>
      </w:r>
      <w:r w:rsidR="0061400B" w:rsidRPr="00CB132E">
        <w:rPr>
          <w:szCs w:val="22"/>
        </w:rPr>
        <w:t>(Deming &amp; Stephan, 1940)</w:t>
      </w:r>
      <w:r w:rsidRPr="00CB132E">
        <w:rPr>
          <w:szCs w:val="22"/>
        </w:rPr>
        <w:t>.</w:t>
      </w:r>
    </w:p>
    <w:p w:rsidR="00CB132E" w:rsidRDefault="00CB132E" w:rsidP="00CB132E">
      <w:pPr>
        <w:jc w:val="both"/>
        <w:rPr>
          <w:szCs w:val="22"/>
        </w:rPr>
      </w:pPr>
    </w:p>
    <w:p w:rsidR="00F94543" w:rsidRDefault="00CB132E" w:rsidP="00CB132E">
      <w:pPr>
        <w:jc w:val="both"/>
        <w:rPr>
          <w:szCs w:val="22"/>
        </w:rPr>
      </w:pPr>
      <w:r w:rsidRPr="00CB132E">
        <w:rPr>
          <w:szCs w:val="22"/>
        </w:rPr>
        <w:t xml:space="preserve">Raking </w:t>
      </w:r>
      <w:r>
        <w:rPr>
          <w:szCs w:val="22"/>
        </w:rPr>
        <w:t>was</w:t>
      </w:r>
      <w:r w:rsidRPr="00CB132E">
        <w:rPr>
          <w:szCs w:val="22"/>
        </w:rPr>
        <w:t xml:space="preserve"> applied to the Wave 2 sample to match the weighted marginal frequencies of the Wave 1 sample, in an effort to allay any gambling outcome-based differential attrition.</w:t>
      </w:r>
    </w:p>
    <w:p w:rsidR="00F94543" w:rsidRDefault="00F94543" w:rsidP="00F67FCB">
      <w:pPr>
        <w:jc w:val="both"/>
        <w:rPr>
          <w:szCs w:val="22"/>
        </w:rPr>
      </w:pPr>
    </w:p>
    <w:p w:rsidR="004C2823" w:rsidRPr="00602EFB" w:rsidRDefault="004C2823" w:rsidP="00017B76">
      <w:pPr>
        <w:pStyle w:val="heading2a"/>
        <w:keepLines/>
        <w:numPr>
          <w:ilvl w:val="1"/>
          <w:numId w:val="26"/>
        </w:numPr>
        <w:pBdr>
          <w:top w:val="single" w:sz="4" w:space="1" w:color="auto"/>
          <w:left w:val="single" w:sz="4" w:space="4" w:color="auto"/>
          <w:bottom w:val="single" w:sz="4" w:space="1" w:color="auto"/>
          <w:right w:val="single" w:sz="4" w:space="4" w:color="auto"/>
        </w:pBdr>
        <w:ind w:left="426" w:hanging="426"/>
        <w:rPr>
          <w:sz w:val="18"/>
          <w:szCs w:val="22"/>
        </w:rPr>
      </w:pPr>
      <w:bookmarkStart w:id="125" w:name="_Toc371414902"/>
      <w:bookmarkStart w:id="126" w:name="_Toc399511079"/>
      <w:bookmarkStart w:id="127" w:name="_Toc399511224"/>
      <w:bookmarkStart w:id="128" w:name="_Toc403052531"/>
      <w:bookmarkStart w:id="129" w:name="_Toc403052866"/>
      <w:bookmarkStart w:id="130" w:name="_Toc420392600"/>
      <w:r w:rsidRPr="00602EFB">
        <w:rPr>
          <w:sz w:val="22"/>
          <w:szCs w:val="22"/>
        </w:rPr>
        <w:t>Data analysis</w:t>
      </w:r>
      <w:bookmarkEnd w:id="125"/>
      <w:bookmarkEnd w:id="126"/>
      <w:bookmarkEnd w:id="127"/>
      <w:bookmarkEnd w:id="128"/>
      <w:bookmarkEnd w:id="129"/>
      <w:bookmarkEnd w:id="130"/>
    </w:p>
    <w:p w:rsidR="003E49F4" w:rsidRPr="00F67FCB" w:rsidRDefault="00D05D7E" w:rsidP="00017B76">
      <w:pPr>
        <w:pStyle w:val="Heading2b"/>
        <w:keepLines/>
        <w:numPr>
          <w:ilvl w:val="2"/>
          <w:numId w:val="26"/>
        </w:numPr>
        <w:ind w:left="709"/>
        <w:rPr>
          <w:i/>
          <w:sz w:val="22"/>
          <w:lang w:val="en-NZ"/>
        </w:rPr>
      </w:pPr>
      <w:bookmarkStart w:id="131" w:name="_Toc399511080"/>
      <w:bookmarkStart w:id="132" w:name="_Toc399511225"/>
      <w:bookmarkStart w:id="133" w:name="_Toc403052532"/>
      <w:bookmarkStart w:id="134" w:name="_Toc403052867"/>
      <w:bookmarkStart w:id="135" w:name="_Toc420392601"/>
      <w:r>
        <w:rPr>
          <w:i/>
          <w:sz w:val="22"/>
          <w:lang w:val="en-NZ"/>
        </w:rPr>
        <w:t>Attrition analyses</w:t>
      </w:r>
      <w:bookmarkEnd w:id="131"/>
      <w:bookmarkEnd w:id="132"/>
      <w:bookmarkEnd w:id="133"/>
      <w:bookmarkEnd w:id="134"/>
      <w:bookmarkEnd w:id="135"/>
    </w:p>
    <w:p w:rsidR="003E49F4" w:rsidRDefault="003E49F4" w:rsidP="00EC0F34">
      <w:pPr>
        <w:keepNext/>
        <w:keepLines/>
        <w:jc w:val="both"/>
        <w:rPr>
          <w:szCs w:val="22"/>
        </w:rPr>
      </w:pPr>
    </w:p>
    <w:p w:rsidR="00A667B6" w:rsidRDefault="00D05D7E" w:rsidP="00A667B6">
      <w:pPr>
        <w:jc w:val="both"/>
        <w:rPr>
          <w:szCs w:val="22"/>
        </w:rPr>
      </w:pPr>
      <w:r w:rsidRPr="00D05D7E">
        <w:rPr>
          <w:szCs w:val="22"/>
        </w:rPr>
        <w:t xml:space="preserve">Attrition effects </w:t>
      </w:r>
      <w:r>
        <w:rPr>
          <w:szCs w:val="22"/>
        </w:rPr>
        <w:t>are</w:t>
      </w:r>
      <w:r w:rsidRPr="00D05D7E">
        <w:rPr>
          <w:szCs w:val="22"/>
        </w:rPr>
        <w:t xml:space="preserve"> displayed using tables indicating the unweighted frequency and proportion in each category (including a category for missing value) in Wave 1 participants, Wave 2 participants and Wave 2 non-participants. </w:t>
      </w:r>
      <w:r>
        <w:rPr>
          <w:szCs w:val="22"/>
        </w:rPr>
        <w:t xml:space="preserve"> </w:t>
      </w:r>
      <w:r w:rsidRPr="00D05D7E">
        <w:rPr>
          <w:szCs w:val="22"/>
        </w:rPr>
        <w:t xml:space="preserve">All characteristics are taken from Wave 1. </w:t>
      </w:r>
      <w:r>
        <w:rPr>
          <w:szCs w:val="22"/>
        </w:rPr>
        <w:t xml:space="preserve"> </w:t>
      </w:r>
      <w:r w:rsidRPr="00D05D7E">
        <w:rPr>
          <w:szCs w:val="22"/>
        </w:rPr>
        <w:t xml:space="preserve">The p-values testing independence between Wave 2 participants and non-participants </w:t>
      </w:r>
      <w:r>
        <w:rPr>
          <w:szCs w:val="22"/>
        </w:rPr>
        <w:t>are</w:t>
      </w:r>
      <w:r w:rsidRPr="00D05D7E">
        <w:rPr>
          <w:szCs w:val="22"/>
        </w:rPr>
        <w:t xml:space="preserve"> displayed in each case. </w:t>
      </w:r>
      <w:r>
        <w:rPr>
          <w:szCs w:val="22"/>
        </w:rPr>
        <w:t xml:space="preserve"> </w:t>
      </w:r>
      <w:r w:rsidRPr="00D05D7E">
        <w:rPr>
          <w:szCs w:val="22"/>
        </w:rPr>
        <w:t>The categorical variables concerned are presented in</w:t>
      </w:r>
      <w:r w:rsidRPr="00D05D7E">
        <w:t xml:space="preserve"> </w:t>
      </w:r>
      <w:r w:rsidRPr="00D05D7E">
        <w:fldChar w:fldCharType="begin"/>
      </w:r>
      <w:r w:rsidRPr="00D05D7E">
        <w:instrText xml:space="preserve"> REF _Ref399507146 \h </w:instrText>
      </w:r>
      <w:r>
        <w:instrText xml:space="preserve"> \* MERGEFORMAT </w:instrText>
      </w:r>
      <w:r w:rsidRPr="00D05D7E">
        <w:fldChar w:fldCharType="separate"/>
      </w:r>
      <w:r w:rsidR="00B2175B" w:rsidRPr="00B2175B">
        <w:t>Appendix 1</w:t>
      </w:r>
      <w:r w:rsidRPr="00D05D7E">
        <w:fldChar w:fldCharType="end"/>
      </w:r>
      <w:r>
        <w:rPr>
          <w:szCs w:val="22"/>
        </w:rPr>
        <w:t>.</w:t>
      </w:r>
    </w:p>
    <w:p w:rsidR="00017B76" w:rsidRPr="00F67FCB" w:rsidRDefault="00017B76" w:rsidP="00017B76">
      <w:pPr>
        <w:pStyle w:val="Heading2b"/>
        <w:keepLines/>
        <w:numPr>
          <w:ilvl w:val="2"/>
          <w:numId w:val="26"/>
        </w:numPr>
        <w:ind w:left="709"/>
        <w:rPr>
          <w:i/>
          <w:sz w:val="22"/>
          <w:lang w:val="en-NZ"/>
        </w:rPr>
      </w:pPr>
      <w:bookmarkStart w:id="136" w:name="_Toc399511081"/>
      <w:bookmarkStart w:id="137" w:name="_Toc399511226"/>
      <w:bookmarkStart w:id="138" w:name="_Toc403052533"/>
      <w:bookmarkStart w:id="139" w:name="_Toc403052868"/>
      <w:bookmarkStart w:id="140" w:name="_Toc420392602"/>
      <w:r>
        <w:rPr>
          <w:i/>
          <w:sz w:val="22"/>
          <w:lang w:val="en-NZ"/>
        </w:rPr>
        <w:lastRenderedPageBreak/>
        <w:t>Descriptive statistics</w:t>
      </w:r>
      <w:bookmarkEnd w:id="136"/>
      <w:bookmarkEnd w:id="137"/>
      <w:bookmarkEnd w:id="138"/>
      <w:bookmarkEnd w:id="139"/>
      <w:bookmarkEnd w:id="140"/>
    </w:p>
    <w:p w:rsidR="00017B76" w:rsidRDefault="00017B76" w:rsidP="00A667B6">
      <w:pPr>
        <w:jc w:val="both"/>
        <w:rPr>
          <w:szCs w:val="22"/>
        </w:rPr>
      </w:pPr>
    </w:p>
    <w:p w:rsidR="00017B76" w:rsidRDefault="00017B76" w:rsidP="00A667B6">
      <w:pPr>
        <w:jc w:val="both"/>
        <w:rPr>
          <w:szCs w:val="22"/>
        </w:rPr>
      </w:pPr>
      <w:r>
        <w:rPr>
          <w:b/>
          <w:szCs w:val="22"/>
        </w:rPr>
        <w:t>Wave 2 prevalence statistics</w:t>
      </w:r>
    </w:p>
    <w:p w:rsidR="00017B76" w:rsidRDefault="00017B76" w:rsidP="00A667B6">
      <w:pPr>
        <w:jc w:val="both"/>
        <w:rPr>
          <w:szCs w:val="22"/>
        </w:rPr>
      </w:pPr>
    </w:p>
    <w:p w:rsidR="00017B76" w:rsidRPr="00017B76" w:rsidRDefault="00017B76" w:rsidP="00A667B6">
      <w:pPr>
        <w:jc w:val="both"/>
        <w:rPr>
          <w:szCs w:val="22"/>
        </w:rPr>
      </w:pPr>
      <w:r w:rsidRPr="00017B76">
        <w:rPr>
          <w:szCs w:val="22"/>
        </w:rPr>
        <w:t xml:space="preserve">Census+attrition-weighted proportions in the Wave 2 sample </w:t>
      </w:r>
      <w:r>
        <w:rPr>
          <w:szCs w:val="22"/>
        </w:rPr>
        <w:t>are</w:t>
      </w:r>
      <w:r w:rsidRPr="00017B76">
        <w:rPr>
          <w:szCs w:val="22"/>
        </w:rPr>
        <w:t xml:space="preserve"> presented for all categorical variables presented in </w:t>
      </w:r>
      <w:r w:rsidR="00F5172D" w:rsidRPr="00F5172D">
        <w:rPr>
          <w:szCs w:val="22"/>
        </w:rPr>
        <w:fldChar w:fldCharType="begin"/>
      </w:r>
      <w:r w:rsidR="00F5172D" w:rsidRPr="00F5172D">
        <w:rPr>
          <w:szCs w:val="22"/>
        </w:rPr>
        <w:instrText xml:space="preserve"> REF _Ref399510102 \h  \* MERGEFORMAT </w:instrText>
      </w:r>
      <w:r w:rsidR="00F5172D" w:rsidRPr="00F5172D">
        <w:rPr>
          <w:szCs w:val="22"/>
        </w:rPr>
      </w:r>
      <w:r w:rsidR="00F5172D" w:rsidRPr="00F5172D">
        <w:rPr>
          <w:szCs w:val="22"/>
        </w:rPr>
        <w:fldChar w:fldCharType="separate"/>
      </w:r>
      <w:r w:rsidR="00B2175B" w:rsidRPr="00B2175B">
        <w:t xml:space="preserve">Appendix </w:t>
      </w:r>
      <w:r w:rsidR="00B2175B" w:rsidRPr="00B2175B">
        <w:rPr>
          <w:noProof/>
        </w:rPr>
        <w:t>2</w:t>
      </w:r>
      <w:r w:rsidR="00F5172D" w:rsidRPr="00F5172D">
        <w:rPr>
          <w:szCs w:val="22"/>
        </w:rPr>
        <w:fldChar w:fldCharType="end"/>
      </w:r>
      <w:r w:rsidRPr="00017B76">
        <w:rPr>
          <w:szCs w:val="22"/>
        </w:rPr>
        <w:t xml:space="preserve">. </w:t>
      </w:r>
      <w:r>
        <w:rPr>
          <w:szCs w:val="22"/>
        </w:rPr>
        <w:t xml:space="preserve"> </w:t>
      </w:r>
      <w:r w:rsidR="00D646B2">
        <w:rPr>
          <w:szCs w:val="22"/>
        </w:rPr>
        <w:t>Population prevalence and 95% </w:t>
      </w:r>
      <w:r w:rsidRPr="00017B76">
        <w:rPr>
          <w:szCs w:val="22"/>
        </w:rPr>
        <w:t xml:space="preserve">confidence intervals based on the census+attrition weights </w:t>
      </w:r>
      <w:r>
        <w:rPr>
          <w:szCs w:val="22"/>
        </w:rPr>
        <w:t>are</w:t>
      </w:r>
      <w:r w:rsidRPr="00017B76">
        <w:rPr>
          <w:szCs w:val="22"/>
        </w:rPr>
        <w:t xml:space="preserve"> also presented.</w:t>
      </w:r>
    </w:p>
    <w:p w:rsidR="003E49F4" w:rsidRDefault="003E49F4" w:rsidP="00F67FCB">
      <w:pPr>
        <w:jc w:val="both"/>
        <w:rPr>
          <w:szCs w:val="22"/>
        </w:rPr>
      </w:pPr>
    </w:p>
    <w:p w:rsidR="003E49F4" w:rsidRPr="008D41C0" w:rsidRDefault="003E49F4" w:rsidP="008D41C0">
      <w:pPr>
        <w:rPr>
          <w:u w:val="single"/>
        </w:rPr>
      </w:pPr>
      <w:bookmarkStart w:id="141" w:name="_Toc371414904"/>
      <w:r w:rsidRPr="008D41C0">
        <w:rPr>
          <w:u w:val="single"/>
        </w:rPr>
        <w:t>Confidence intervals</w:t>
      </w:r>
      <w:bookmarkEnd w:id="141"/>
    </w:p>
    <w:p w:rsidR="00BB54E2" w:rsidRPr="00BB54E2" w:rsidRDefault="00BB54E2" w:rsidP="00BB54E2">
      <w:pPr>
        <w:jc w:val="both"/>
        <w:rPr>
          <w:szCs w:val="22"/>
        </w:rPr>
      </w:pPr>
      <w:r>
        <w:rPr>
          <w:szCs w:val="22"/>
        </w:rPr>
        <w:t>As</w:t>
      </w:r>
      <w:r w:rsidRPr="00BB54E2">
        <w:rPr>
          <w:szCs w:val="22"/>
        </w:rPr>
        <w:t xml:space="preserve"> many of the subpopulation </w:t>
      </w:r>
      <w:r w:rsidR="00944C15">
        <w:rPr>
          <w:szCs w:val="22"/>
        </w:rPr>
        <w:t>estimates of proportions (e.g. p</w:t>
      </w:r>
      <w:r w:rsidRPr="00BB54E2">
        <w:rPr>
          <w:szCs w:val="22"/>
        </w:rPr>
        <w:t xml:space="preserve">referred </w:t>
      </w:r>
      <w:r w:rsidR="00944C15">
        <w:rPr>
          <w:szCs w:val="22"/>
        </w:rPr>
        <w:t>gambling activity by problem gambling s</w:t>
      </w:r>
      <w:r w:rsidRPr="00BB54E2">
        <w:rPr>
          <w:szCs w:val="22"/>
        </w:rPr>
        <w:t>tatus) either had small sample sizes or small estimates, the method of constructing confidence intervals using the normal approximation leads to intervals whose coverage is</w:t>
      </w:r>
      <w:r>
        <w:rPr>
          <w:szCs w:val="22"/>
        </w:rPr>
        <w:t xml:space="preserve"> not close to the nominal level, for example</w:t>
      </w:r>
      <w:r w:rsidRPr="00BB54E2">
        <w:rPr>
          <w:szCs w:val="22"/>
        </w:rPr>
        <w:t xml:space="preserve"> a 95% confidence interval may have an actual coverage of 90%. </w:t>
      </w:r>
      <w:r>
        <w:rPr>
          <w:szCs w:val="22"/>
        </w:rPr>
        <w:t xml:space="preserve"> </w:t>
      </w:r>
      <w:r w:rsidRPr="00BB54E2">
        <w:rPr>
          <w:szCs w:val="22"/>
        </w:rPr>
        <w:t xml:space="preserve">So, as in earlier </w:t>
      </w:r>
      <w:r>
        <w:rPr>
          <w:szCs w:val="22"/>
        </w:rPr>
        <w:t xml:space="preserve">New Zealand </w:t>
      </w:r>
      <w:r w:rsidRPr="00BB54E2">
        <w:rPr>
          <w:szCs w:val="22"/>
        </w:rPr>
        <w:t>gambling surveys, the method proposed by Korn and Graubard</w:t>
      </w:r>
      <w:r w:rsidR="00BD4DAC">
        <w:rPr>
          <w:szCs w:val="22"/>
        </w:rPr>
        <w:t>,</w:t>
      </w:r>
      <w:r w:rsidRPr="00BB54E2">
        <w:rPr>
          <w:szCs w:val="22"/>
        </w:rPr>
        <w:t xml:space="preserve"> and assessed in the N</w:t>
      </w:r>
      <w:r>
        <w:rPr>
          <w:szCs w:val="22"/>
        </w:rPr>
        <w:t>ew Zealand context by Gray, Haslett and Kuzmicich (2004)</w:t>
      </w:r>
      <w:r w:rsidRPr="00BB54E2">
        <w:rPr>
          <w:szCs w:val="22"/>
        </w:rPr>
        <w:t xml:space="preserve">, was used with two modifications. </w:t>
      </w:r>
    </w:p>
    <w:p w:rsidR="00791C6A" w:rsidRDefault="00791C6A" w:rsidP="00BB54E2">
      <w:pPr>
        <w:jc w:val="both"/>
        <w:rPr>
          <w:szCs w:val="22"/>
        </w:rPr>
      </w:pPr>
    </w:p>
    <w:p w:rsidR="00BB54E2" w:rsidRPr="00BB54E2" w:rsidRDefault="00BB54E2" w:rsidP="00BB54E2">
      <w:pPr>
        <w:jc w:val="both"/>
        <w:rPr>
          <w:szCs w:val="22"/>
        </w:rPr>
      </w:pPr>
      <w:r w:rsidRPr="00BB54E2">
        <w:rPr>
          <w:szCs w:val="22"/>
        </w:rPr>
        <w:t>The method Korn and</w:t>
      </w:r>
      <w:r w:rsidR="00BD4DAC">
        <w:rPr>
          <w:szCs w:val="22"/>
        </w:rPr>
        <w:t xml:space="preserve"> Graubard suggest is to use an “</w:t>
      </w:r>
      <w:r w:rsidRPr="00BB54E2">
        <w:rPr>
          <w:szCs w:val="22"/>
        </w:rPr>
        <w:t>exact method</w:t>
      </w:r>
      <w:r w:rsidR="00BD4DAC">
        <w:rPr>
          <w:szCs w:val="22"/>
        </w:rPr>
        <w:t>”</w:t>
      </w:r>
      <w:r w:rsidRPr="00BB54E2">
        <w:rPr>
          <w:szCs w:val="22"/>
        </w:rPr>
        <w:t xml:space="preserve"> of constructing a confidence interval for binomial variables. </w:t>
      </w:r>
      <w:r w:rsidR="0032464B">
        <w:rPr>
          <w:szCs w:val="22"/>
        </w:rPr>
        <w:t xml:space="preserve"> </w:t>
      </w:r>
      <w:r w:rsidRPr="00BB54E2">
        <w:rPr>
          <w:szCs w:val="22"/>
        </w:rPr>
        <w:t>Their suggest</w:t>
      </w:r>
      <w:r w:rsidR="0032464B">
        <w:rPr>
          <w:szCs w:val="22"/>
        </w:rPr>
        <w:t>ion is the well-</w:t>
      </w:r>
      <w:r w:rsidRPr="00BB54E2">
        <w:rPr>
          <w:szCs w:val="22"/>
        </w:rPr>
        <w:t xml:space="preserve">known Clopper-Pearson approach. </w:t>
      </w:r>
      <w:r w:rsidR="0032464B">
        <w:rPr>
          <w:szCs w:val="22"/>
        </w:rPr>
        <w:t xml:space="preserve"> </w:t>
      </w:r>
      <w:r w:rsidRPr="00BB54E2">
        <w:rPr>
          <w:szCs w:val="22"/>
        </w:rPr>
        <w:t>However, rather than use the actual sample size in the Clopper-Pearson formula, they suggest using the “effective” sample size, which is the actual sample size divided by the design effect</w:t>
      </w:r>
      <w:r w:rsidR="0032464B">
        <w:rPr>
          <w:rStyle w:val="FootnoteReference"/>
          <w:szCs w:val="22"/>
        </w:rPr>
        <w:footnoteReference w:id="3"/>
      </w:r>
      <w:r w:rsidRPr="00BB54E2">
        <w:rPr>
          <w:szCs w:val="22"/>
        </w:rPr>
        <w:t xml:space="preserve"> of the complex survey.  </w:t>
      </w:r>
      <w:r w:rsidR="0032464B">
        <w:rPr>
          <w:szCs w:val="22"/>
        </w:rPr>
        <w:t>As</w:t>
      </w:r>
      <w:r w:rsidRPr="00BB54E2">
        <w:rPr>
          <w:szCs w:val="22"/>
        </w:rPr>
        <w:t xml:space="preserve"> they were dealing with situations where the number of </w:t>
      </w:r>
      <w:r w:rsidR="0032464B">
        <w:rPr>
          <w:szCs w:val="22"/>
        </w:rPr>
        <w:t>PSU</w:t>
      </w:r>
      <w:r w:rsidRPr="00BB54E2">
        <w:rPr>
          <w:szCs w:val="22"/>
        </w:rPr>
        <w:t xml:space="preserve">s minus the number of strata (M-L, </w:t>
      </w:r>
      <w:r w:rsidR="0032464B">
        <w:rPr>
          <w:szCs w:val="22"/>
        </w:rPr>
        <w:t>for example</w:t>
      </w:r>
      <w:r w:rsidRPr="00BB54E2">
        <w:rPr>
          <w:szCs w:val="22"/>
        </w:rPr>
        <w:t xml:space="preserve">) was small, they also modified the effective sample size by a ratio </w:t>
      </w:r>
      <w:r w:rsidR="0032464B">
        <w:rPr>
          <w:szCs w:val="22"/>
        </w:rPr>
        <w:t>of t-values squared;</w:t>
      </w:r>
      <w:r w:rsidRPr="00BB54E2">
        <w:rPr>
          <w:szCs w:val="22"/>
        </w:rPr>
        <w:t xml:space="preserve"> the numerator having n</w:t>
      </w:r>
      <w:r w:rsidR="00D646B2">
        <w:rPr>
          <w:szCs w:val="22"/>
        </w:rPr>
        <w:noBreakHyphen/>
      </w:r>
      <w:r w:rsidRPr="00BB54E2">
        <w:rPr>
          <w:szCs w:val="22"/>
        </w:rPr>
        <w:t xml:space="preserve">1 degrees of freedom, where n is the final number of respondents; the denominator having M-L degrees of freedom. </w:t>
      </w:r>
    </w:p>
    <w:p w:rsidR="0032464B" w:rsidRDefault="0032464B" w:rsidP="00BB54E2">
      <w:pPr>
        <w:jc w:val="both"/>
        <w:rPr>
          <w:szCs w:val="22"/>
        </w:rPr>
      </w:pPr>
    </w:p>
    <w:p w:rsidR="003E49F4" w:rsidRDefault="00BB54E2" w:rsidP="00BB54E2">
      <w:pPr>
        <w:jc w:val="both"/>
        <w:rPr>
          <w:szCs w:val="22"/>
        </w:rPr>
      </w:pPr>
      <w:r w:rsidRPr="00BB54E2">
        <w:rPr>
          <w:szCs w:val="22"/>
        </w:rPr>
        <w:t>The first modification was to use a different exact method, the equal-tailed Jeffreys prior</w:t>
      </w:r>
      <w:r w:rsidR="0032464B">
        <w:rPr>
          <w:szCs w:val="22"/>
        </w:rPr>
        <w:t xml:space="preserve"> </w:t>
      </w:r>
      <w:r w:rsidRPr="00BB54E2">
        <w:rPr>
          <w:szCs w:val="22"/>
        </w:rPr>
        <w:t xml:space="preserve">interval because it has better coverage properties than the Clopper-Pearson interval </w:t>
      </w:r>
      <w:r w:rsidR="0032464B">
        <w:rPr>
          <w:szCs w:val="22"/>
        </w:rPr>
        <w:t>(Brown, Cai, &amp; DasGupta, 2001).</w:t>
      </w:r>
      <w:r w:rsidRPr="00BB54E2">
        <w:rPr>
          <w:szCs w:val="22"/>
        </w:rPr>
        <w:t xml:space="preserve"> </w:t>
      </w:r>
      <w:r w:rsidR="0032464B">
        <w:rPr>
          <w:szCs w:val="22"/>
        </w:rPr>
        <w:t xml:space="preserve"> </w:t>
      </w:r>
      <w:r w:rsidRPr="00BB54E2">
        <w:rPr>
          <w:szCs w:val="22"/>
        </w:rPr>
        <w:t>The second modification was to dispense with the t-value adjustment since both n and M-L were generally over 30, at which point a t-value is very close to a z-value and hence the ratio is very close to 1.</w:t>
      </w:r>
    </w:p>
    <w:p w:rsidR="00E44076" w:rsidRDefault="00E44076" w:rsidP="00E44076">
      <w:pPr>
        <w:jc w:val="both"/>
        <w:rPr>
          <w:szCs w:val="22"/>
          <w:highlight w:val="cyan"/>
        </w:rPr>
      </w:pPr>
    </w:p>
    <w:p w:rsidR="008F5151" w:rsidRPr="003E49F4" w:rsidRDefault="008F5151" w:rsidP="00BB54E2">
      <w:pPr>
        <w:jc w:val="both"/>
        <w:rPr>
          <w:szCs w:val="22"/>
        </w:rPr>
      </w:pPr>
    </w:p>
    <w:p w:rsidR="003E49F4" w:rsidRDefault="00E24E3E" w:rsidP="00F67FCB">
      <w:pPr>
        <w:jc w:val="both"/>
        <w:rPr>
          <w:szCs w:val="22"/>
        </w:rPr>
      </w:pPr>
      <w:r>
        <w:rPr>
          <w:b/>
          <w:szCs w:val="22"/>
        </w:rPr>
        <w:t>Transition descriptive statistics</w:t>
      </w:r>
    </w:p>
    <w:p w:rsidR="00813A90" w:rsidRDefault="00813A90" w:rsidP="00F67FCB">
      <w:pPr>
        <w:jc w:val="both"/>
        <w:rPr>
          <w:szCs w:val="22"/>
        </w:rPr>
      </w:pPr>
    </w:p>
    <w:p w:rsidR="00E24E3E" w:rsidRPr="00E24E3E" w:rsidRDefault="00E24E3E" w:rsidP="00E24E3E">
      <w:pPr>
        <w:jc w:val="both"/>
        <w:rPr>
          <w:szCs w:val="22"/>
        </w:rPr>
      </w:pPr>
      <w:r w:rsidRPr="00E24E3E">
        <w:rPr>
          <w:szCs w:val="22"/>
        </w:rPr>
        <w:t xml:space="preserve">Tables describing key PGSI risk </w:t>
      </w:r>
      <w:r>
        <w:rPr>
          <w:szCs w:val="22"/>
        </w:rPr>
        <w:t>category</w:t>
      </w:r>
      <w:r w:rsidRPr="00E24E3E">
        <w:rPr>
          <w:szCs w:val="22"/>
        </w:rPr>
        <w:t xml:space="preserve"> transitions between Wave 1 and </w:t>
      </w:r>
      <w:r>
        <w:rPr>
          <w:szCs w:val="22"/>
        </w:rPr>
        <w:t xml:space="preserve">Wave </w:t>
      </w:r>
      <w:r w:rsidRPr="00E24E3E">
        <w:rPr>
          <w:szCs w:val="22"/>
        </w:rPr>
        <w:t>2 display census+attrition-weighted frequencies, along with transition inc</w:t>
      </w:r>
      <w:r>
        <w:rPr>
          <w:szCs w:val="22"/>
        </w:rPr>
        <w:t>idence proportions and 95% </w:t>
      </w:r>
      <w:r w:rsidRPr="00E24E3E">
        <w:rPr>
          <w:szCs w:val="22"/>
        </w:rPr>
        <w:t xml:space="preserve">confidence intervals based on the latter. </w:t>
      </w:r>
    </w:p>
    <w:p w:rsidR="00E24E3E" w:rsidRPr="00E24E3E" w:rsidRDefault="00E24E3E" w:rsidP="00E24E3E">
      <w:pPr>
        <w:jc w:val="both"/>
        <w:rPr>
          <w:szCs w:val="22"/>
        </w:rPr>
      </w:pPr>
    </w:p>
    <w:p w:rsidR="00E24E3E" w:rsidRPr="00E24E3E" w:rsidRDefault="00E24E3E" w:rsidP="00E24E3E">
      <w:pPr>
        <w:jc w:val="both"/>
        <w:rPr>
          <w:szCs w:val="22"/>
        </w:rPr>
      </w:pPr>
      <w:r w:rsidRPr="00E24E3E">
        <w:rPr>
          <w:szCs w:val="22"/>
        </w:rPr>
        <w:t>Similar transition descriptive table</w:t>
      </w:r>
      <w:r>
        <w:rPr>
          <w:szCs w:val="22"/>
        </w:rPr>
        <w:t>s</w:t>
      </w:r>
      <w:r w:rsidRPr="00E24E3E">
        <w:rPr>
          <w:szCs w:val="22"/>
        </w:rPr>
        <w:t xml:space="preserve"> </w:t>
      </w:r>
      <w:r>
        <w:rPr>
          <w:szCs w:val="22"/>
        </w:rPr>
        <w:t>have been</w:t>
      </w:r>
      <w:r w:rsidRPr="00E24E3E">
        <w:rPr>
          <w:szCs w:val="22"/>
        </w:rPr>
        <w:t xml:space="preserve"> presented on a fully weighted basis, for</w:t>
      </w:r>
      <w:r>
        <w:rPr>
          <w:szCs w:val="22"/>
        </w:rPr>
        <w:t>:</w:t>
      </w:r>
    </w:p>
    <w:p w:rsidR="00E24E3E" w:rsidRPr="00E24E3E" w:rsidRDefault="00E24E3E" w:rsidP="005636CC">
      <w:pPr>
        <w:pStyle w:val="ListParagraph"/>
        <w:numPr>
          <w:ilvl w:val="0"/>
          <w:numId w:val="36"/>
        </w:numPr>
        <w:jc w:val="both"/>
        <w:rPr>
          <w:szCs w:val="22"/>
        </w:rPr>
      </w:pPr>
      <w:r w:rsidRPr="00E24E3E">
        <w:rPr>
          <w:szCs w:val="22"/>
        </w:rPr>
        <w:t>Gambling participation (frequency, number and pattern of act</w:t>
      </w:r>
      <w:r>
        <w:rPr>
          <w:szCs w:val="22"/>
        </w:rPr>
        <w:t>ivities)</w:t>
      </w:r>
    </w:p>
    <w:p w:rsidR="00E24E3E" w:rsidRPr="00E24E3E" w:rsidRDefault="00E24E3E" w:rsidP="005636CC">
      <w:pPr>
        <w:pStyle w:val="ListParagraph"/>
        <w:numPr>
          <w:ilvl w:val="0"/>
          <w:numId w:val="36"/>
        </w:numPr>
        <w:jc w:val="both"/>
        <w:rPr>
          <w:szCs w:val="22"/>
        </w:rPr>
      </w:pPr>
      <w:r w:rsidRPr="00E24E3E">
        <w:rPr>
          <w:szCs w:val="22"/>
        </w:rPr>
        <w:t>Readiness to change</w:t>
      </w:r>
    </w:p>
    <w:p w:rsidR="00E24E3E" w:rsidRPr="00E24E3E" w:rsidRDefault="00E24E3E" w:rsidP="005636CC">
      <w:pPr>
        <w:pStyle w:val="ListParagraph"/>
        <w:numPr>
          <w:ilvl w:val="0"/>
          <w:numId w:val="36"/>
        </w:numPr>
        <w:jc w:val="both"/>
        <w:rPr>
          <w:szCs w:val="22"/>
        </w:rPr>
      </w:pPr>
      <w:r w:rsidRPr="00E24E3E">
        <w:rPr>
          <w:szCs w:val="22"/>
        </w:rPr>
        <w:t xml:space="preserve">Psychological distress (Kessler-10; likely well, likely mild, </w:t>
      </w:r>
      <w:r>
        <w:rPr>
          <w:szCs w:val="22"/>
        </w:rPr>
        <w:t>likely moderate, likely severe)</w:t>
      </w:r>
    </w:p>
    <w:p w:rsidR="00E24E3E" w:rsidRPr="00E24E3E" w:rsidRDefault="00E24E3E" w:rsidP="005636CC">
      <w:pPr>
        <w:pStyle w:val="ListParagraph"/>
        <w:numPr>
          <w:ilvl w:val="0"/>
          <w:numId w:val="36"/>
        </w:numPr>
        <w:jc w:val="both"/>
        <w:rPr>
          <w:szCs w:val="22"/>
        </w:rPr>
      </w:pPr>
      <w:r>
        <w:rPr>
          <w:szCs w:val="22"/>
        </w:rPr>
        <w:lastRenderedPageBreak/>
        <w:t>Quality of life (</w:t>
      </w:r>
      <w:r w:rsidRPr="00E24E3E">
        <w:rPr>
          <w:szCs w:val="22"/>
        </w:rPr>
        <w:t>WHOQol</w:t>
      </w:r>
      <w:r>
        <w:rPr>
          <w:szCs w:val="22"/>
        </w:rPr>
        <w:t>-8)</w:t>
      </w:r>
    </w:p>
    <w:p w:rsidR="003E49F4" w:rsidRDefault="00E24E3E" w:rsidP="005636CC">
      <w:pPr>
        <w:pStyle w:val="ListParagraph"/>
        <w:numPr>
          <w:ilvl w:val="0"/>
          <w:numId w:val="36"/>
        </w:numPr>
        <w:jc w:val="both"/>
        <w:rPr>
          <w:szCs w:val="22"/>
        </w:rPr>
      </w:pPr>
      <w:r w:rsidRPr="00E24E3E">
        <w:rPr>
          <w:szCs w:val="22"/>
        </w:rPr>
        <w:t>Alcohol (AUDIT-C) and other drug use</w:t>
      </w:r>
    </w:p>
    <w:p w:rsidR="00D646B2" w:rsidRDefault="00D646B2" w:rsidP="00D646B2">
      <w:pPr>
        <w:pStyle w:val="ListParagraph"/>
        <w:jc w:val="both"/>
        <w:rPr>
          <w:szCs w:val="22"/>
        </w:rPr>
      </w:pPr>
    </w:p>
    <w:p w:rsidR="00E24E3E" w:rsidRPr="00F67FCB" w:rsidRDefault="0065275B" w:rsidP="00E24E3E">
      <w:pPr>
        <w:pStyle w:val="Heading2b"/>
        <w:keepLines/>
        <w:numPr>
          <w:ilvl w:val="2"/>
          <w:numId w:val="26"/>
        </w:numPr>
        <w:ind w:left="709"/>
        <w:rPr>
          <w:i/>
          <w:sz w:val="22"/>
          <w:lang w:val="en-NZ"/>
        </w:rPr>
      </w:pPr>
      <w:bookmarkStart w:id="142" w:name="_Toc399511082"/>
      <w:bookmarkStart w:id="143" w:name="_Toc399511227"/>
      <w:bookmarkStart w:id="144" w:name="_Toc403052534"/>
      <w:bookmarkStart w:id="145" w:name="_Toc403052869"/>
      <w:bookmarkStart w:id="146" w:name="_Toc420392603"/>
      <w:r>
        <w:rPr>
          <w:i/>
          <w:sz w:val="22"/>
          <w:lang w:val="en-NZ"/>
        </w:rPr>
        <w:t>Inferential</w:t>
      </w:r>
      <w:r w:rsidR="00E24E3E">
        <w:rPr>
          <w:i/>
          <w:sz w:val="22"/>
          <w:lang w:val="en-NZ"/>
        </w:rPr>
        <w:t xml:space="preserve"> statistics</w:t>
      </w:r>
      <w:bookmarkEnd w:id="142"/>
      <w:bookmarkEnd w:id="143"/>
      <w:bookmarkEnd w:id="144"/>
      <w:bookmarkEnd w:id="145"/>
      <w:bookmarkEnd w:id="146"/>
    </w:p>
    <w:p w:rsidR="00E24E3E" w:rsidRPr="00E24E3E" w:rsidRDefault="00E24E3E" w:rsidP="00E24E3E">
      <w:pPr>
        <w:jc w:val="both"/>
        <w:rPr>
          <w:szCs w:val="22"/>
        </w:rPr>
      </w:pPr>
    </w:p>
    <w:p w:rsidR="00E262DF" w:rsidRPr="0065275B" w:rsidRDefault="0065275B" w:rsidP="00173EB8">
      <w:pPr>
        <w:jc w:val="both"/>
        <w:rPr>
          <w:b/>
          <w:szCs w:val="22"/>
        </w:rPr>
      </w:pPr>
      <w:r>
        <w:rPr>
          <w:b/>
          <w:szCs w:val="22"/>
        </w:rPr>
        <w:t>Inference on transitions</w:t>
      </w:r>
    </w:p>
    <w:p w:rsidR="0065275B" w:rsidRDefault="0065275B" w:rsidP="00173EB8">
      <w:pPr>
        <w:jc w:val="both"/>
        <w:rPr>
          <w:szCs w:val="22"/>
        </w:rPr>
      </w:pPr>
    </w:p>
    <w:p w:rsidR="0065275B" w:rsidRDefault="0065275B" w:rsidP="00173EB8">
      <w:pPr>
        <w:jc w:val="both"/>
        <w:rPr>
          <w:szCs w:val="22"/>
        </w:rPr>
      </w:pPr>
      <w:r w:rsidRPr="0065275B">
        <w:rPr>
          <w:szCs w:val="22"/>
        </w:rPr>
        <w:t xml:space="preserve">Inferential statistics </w:t>
      </w:r>
      <w:r w:rsidR="0071080C">
        <w:rPr>
          <w:szCs w:val="22"/>
        </w:rPr>
        <w:t>have</w:t>
      </w:r>
      <w:r w:rsidRPr="0065275B">
        <w:rPr>
          <w:szCs w:val="22"/>
        </w:rPr>
        <w:t xml:space="preserve"> focus</w:t>
      </w:r>
      <w:r w:rsidR="0071080C">
        <w:rPr>
          <w:szCs w:val="22"/>
        </w:rPr>
        <w:t>ed</w:t>
      </w:r>
      <w:r w:rsidRPr="0065275B">
        <w:rPr>
          <w:szCs w:val="22"/>
        </w:rPr>
        <w:t xml:space="preserve"> on explaining the transitions. </w:t>
      </w:r>
      <w:r>
        <w:rPr>
          <w:szCs w:val="22"/>
        </w:rPr>
        <w:t xml:space="preserve"> </w:t>
      </w:r>
      <w:r w:rsidR="00C61EC3" w:rsidRPr="00700268">
        <w:rPr>
          <w:szCs w:val="22"/>
        </w:rPr>
        <w:fldChar w:fldCharType="begin"/>
      </w:r>
      <w:r w:rsidR="00C61EC3" w:rsidRPr="00700268">
        <w:rPr>
          <w:szCs w:val="22"/>
        </w:rPr>
        <w:instrText xml:space="preserve"> REF _Ref408404410 \h </w:instrText>
      </w:r>
      <w:r w:rsidR="00700268" w:rsidRPr="00700268">
        <w:rPr>
          <w:szCs w:val="22"/>
        </w:rPr>
        <w:instrText xml:space="preserve"> \* MERGEFORMAT </w:instrText>
      </w:r>
      <w:r w:rsidR="00C61EC3" w:rsidRPr="00700268">
        <w:rPr>
          <w:szCs w:val="22"/>
        </w:rPr>
      </w:r>
      <w:r w:rsidR="00C61EC3" w:rsidRPr="00700268">
        <w:rPr>
          <w:szCs w:val="22"/>
        </w:rPr>
        <w:fldChar w:fldCharType="separate"/>
      </w:r>
      <w:r w:rsidR="00B2175B" w:rsidRPr="00B2175B">
        <w:rPr>
          <w:szCs w:val="22"/>
        </w:rPr>
        <w:t xml:space="preserve">Table </w:t>
      </w:r>
      <w:r w:rsidR="00B2175B" w:rsidRPr="00B2175B">
        <w:rPr>
          <w:noProof/>
          <w:szCs w:val="22"/>
        </w:rPr>
        <w:t>4</w:t>
      </w:r>
      <w:r w:rsidR="00C61EC3" w:rsidRPr="00700268">
        <w:rPr>
          <w:szCs w:val="22"/>
        </w:rPr>
        <w:fldChar w:fldCharType="end"/>
      </w:r>
      <w:r>
        <w:rPr>
          <w:szCs w:val="22"/>
        </w:rPr>
        <w:t xml:space="preserve"> </w:t>
      </w:r>
      <w:r w:rsidR="00320536">
        <w:rPr>
          <w:szCs w:val="22"/>
        </w:rPr>
        <w:t>details transitions in PGSI risk category from Wave 1 to Wave 2.</w:t>
      </w:r>
      <w:r>
        <w:rPr>
          <w:szCs w:val="22"/>
        </w:rPr>
        <w:t xml:space="preserve"> </w:t>
      </w:r>
      <w:r w:rsidR="00320536">
        <w:rPr>
          <w:szCs w:val="22"/>
        </w:rPr>
        <w:t xml:space="preserve"> </w:t>
      </w:r>
    </w:p>
    <w:p w:rsidR="00320536" w:rsidRDefault="00320536" w:rsidP="00173EB8">
      <w:pPr>
        <w:jc w:val="both"/>
        <w:rPr>
          <w:szCs w:val="22"/>
        </w:rPr>
      </w:pPr>
    </w:p>
    <w:p w:rsidR="002433AB" w:rsidRPr="002433AB" w:rsidRDefault="00C61EC3" w:rsidP="002433AB">
      <w:pPr>
        <w:jc w:val="both"/>
        <w:rPr>
          <w:b/>
          <w:sz w:val="20"/>
          <w:szCs w:val="22"/>
        </w:rPr>
      </w:pPr>
      <w:bookmarkStart w:id="147" w:name="_Ref408404410"/>
      <w:bookmarkStart w:id="148" w:name="_Toc420393792"/>
      <w:r w:rsidRPr="00700268">
        <w:rPr>
          <w:b/>
          <w:sz w:val="20"/>
        </w:rPr>
        <w:t xml:space="preserve">Table </w:t>
      </w:r>
      <w:r w:rsidRPr="00700268">
        <w:rPr>
          <w:b/>
          <w:sz w:val="20"/>
        </w:rPr>
        <w:fldChar w:fldCharType="begin"/>
      </w:r>
      <w:r w:rsidRPr="00700268">
        <w:rPr>
          <w:b/>
          <w:sz w:val="20"/>
        </w:rPr>
        <w:instrText xml:space="preserve"> SEQ Table \* ARABIC </w:instrText>
      </w:r>
      <w:r w:rsidRPr="00700268">
        <w:rPr>
          <w:b/>
          <w:sz w:val="20"/>
        </w:rPr>
        <w:fldChar w:fldCharType="separate"/>
      </w:r>
      <w:r w:rsidR="00B2175B">
        <w:rPr>
          <w:b/>
          <w:noProof/>
          <w:sz w:val="20"/>
        </w:rPr>
        <w:t>4</w:t>
      </w:r>
      <w:r w:rsidRPr="00700268">
        <w:rPr>
          <w:b/>
          <w:sz w:val="20"/>
        </w:rPr>
        <w:fldChar w:fldCharType="end"/>
      </w:r>
      <w:bookmarkEnd w:id="147"/>
      <w:r w:rsidR="00C434B0" w:rsidRPr="00C434B0">
        <w:rPr>
          <w:b/>
          <w:sz w:val="20"/>
          <w:szCs w:val="22"/>
        </w:rPr>
        <w:t>: List of transitions for inferential analyses</w:t>
      </w:r>
      <w:bookmarkEnd w:id="148"/>
    </w:p>
    <w:tbl>
      <w:tblPr>
        <w:tblStyle w:val="TableGrid1"/>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4394"/>
        <w:gridCol w:w="709"/>
      </w:tblGrid>
      <w:tr w:rsidR="000257BF" w:rsidRPr="000257BF" w:rsidTr="00717DA0">
        <w:trPr>
          <w:trHeight w:val="300"/>
        </w:trPr>
        <w:tc>
          <w:tcPr>
            <w:tcW w:w="3369" w:type="dxa"/>
            <w:tcBorders>
              <w:top w:val="single" w:sz="4" w:space="0" w:color="auto"/>
              <w:bottom w:val="single" w:sz="4" w:space="0" w:color="auto"/>
              <w:right w:val="dotted" w:sz="4" w:space="0" w:color="auto"/>
            </w:tcBorders>
            <w:noWrap/>
            <w:vAlign w:val="center"/>
            <w:hideMark/>
          </w:tcPr>
          <w:p w:rsidR="000257BF" w:rsidRPr="000257BF" w:rsidRDefault="000257BF" w:rsidP="00F42305">
            <w:pPr>
              <w:spacing w:before="20" w:after="20"/>
              <w:rPr>
                <w:rFonts w:ascii="Times New Roman" w:hAnsi="Times New Roman" w:cs="Times New Roman"/>
                <w:b/>
                <w:bCs/>
                <w:sz w:val="18"/>
                <w:szCs w:val="18"/>
                <w:lang w:eastAsia="en-NZ"/>
              </w:rPr>
            </w:pPr>
            <w:r w:rsidRPr="000257BF">
              <w:rPr>
                <w:rFonts w:ascii="Times New Roman" w:hAnsi="Times New Roman" w:cs="Times New Roman"/>
                <w:b/>
                <w:bCs/>
                <w:sz w:val="18"/>
                <w:szCs w:val="18"/>
                <w:lang w:eastAsia="en-NZ"/>
              </w:rPr>
              <w:t>Wave 1 State</w:t>
            </w:r>
          </w:p>
        </w:tc>
        <w:tc>
          <w:tcPr>
            <w:tcW w:w="4394" w:type="dxa"/>
            <w:tcBorders>
              <w:top w:val="single" w:sz="4" w:space="0" w:color="auto"/>
              <w:left w:val="dotted" w:sz="4" w:space="0" w:color="auto"/>
              <w:bottom w:val="single" w:sz="4" w:space="0" w:color="auto"/>
            </w:tcBorders>
            <w:noWrap/>
            <w:vAlign w:val="center"/>
            <w:hideMark/>
          </w:tcPr>
          <w:p w:rsidR="000257BF" w:rsidRPr="000257BF" w:rsidRDefault="000257BF" w:rsidP="00F42305">
            <w:pPr>
              <w:spacing w:before="20" w:after="20"/>
              <w:rPr>
                <w:rFonts w:ascii="Times New Roman" w:hAnsi="Times New Roman" w:cs="Times New Roman"/>
                <w:b/>
                <w:bCs/>
                <w:sz w:val="18"/>
                <w:szCs w:val="18"/>
                <w:lang w:eastAsia="en-NZ"/>
              </w:rPr>
            </w:pPr>
            <w:r w:rsidRPr="000257BF">
              <w:rPr>
                <w:rFonts w:ascii="Times New Roman" w:hAnsi="Times New Roman" w:cs="Times New Roman"/>
                <w:b/>
                <w:bCs/>
                <w:sz w:val="18"/>
                <w:szCs w:val="18"/>
                <w:lang w:eastAsia="en-NZ"/>
              </w:rPr>
              <w:t>Wave 2 State</w:t>
            </w:r>
          </w:p>
        </w:tc>
        <w:tc>
          <w:tcPr>
            <w:tcW w:w="709" w:type="dxa"/>
            <w:tcBorders>
              <w:top w:val="single" w:sz="4" w:space="0" w:color="auto"/>
              <w:bottom w:val="single" w:sz="4" w:space="0" w:color="auto"/>
            </w:tcBorders>
            <w:vAlign w:val="center"/>
          </w:tcPr>
          <w:p w:rsidR="000257BF" w:rsidRPr="00F42305" w:rsidRDefault="000257BF" w:rsidP="00F42305">
            <w:pPr>
              <w:spacing w:before="20" w:after="20"/>
              <w:jc w:val="right"/>
              <w:rPr>
                <w:rFonts w:ascii="Times New Roman" w:hAnsi="Times New Roman" w:cs="Times New Roman"/>
                <w:b/>
                <w:bCs/>
                <w:sz w:val="18"/>
                <w:szCs w:val="18"/>
                <w:lang w:eastAsia="en-NZ"/>
              </w:rPr>
            </w:pPr>
            <w:r w:rsidRPr="00F42305">
              <w:rPr>
                <w:rFonts w:ascii="Times New Roman" w:hAnsi="Times New Roman" w:cs="Times New Roman"/>
                <w:b/>
                <w:bCs/>
                <w:sz w:val="18"/>
                <w:szCs w:val="18"/>
                <w:lang w:eastAsia="en-NZ"/>
              </w:rPr>
              <w:t>n</w:t>
            </w:r>
          </w:p>
        </w:tc>
      </w:tr>
      <w:tr w:rsidR="00502EE4" w:rsidRPr="000257BF" w:rsidTr="00717DA0">
        <w:trPr>
          <w:trHeight w:val="300"/>
        </w:trPr>
        <w:tc>
          <w:tcPr>
            <w:tcW w:w="7763" w:type="dxa"/>
            <w:gridSpan w:val="2"/>
            <w:tcBorders>
              <w:top w:val="single" w:sz="4" w:space="0" w:color="auto"/>
            </w:tcBorders>
            <w:shd w:val="clear" w:color="auto" w:fill="auto"/>
            <w:noWrap/>
            <w:vAlign w:val="center"/>
            <w:hideMark/>
          </w:tcPr>
          <w:p w:rsidR="00502EE4" w:rsidRPr="000257BF" w:rsidRDefault="00502EE4" w:rsidP="00C434B0">
            <w:pPr>
              <w:spacing w:before="20" w:after="20"/>
              <w:rPr>
                <w:rFonts w:ascii="Times New Roman" w:hAnsi="Times New Roman" w:cs="Times New Roman"/>
                <w:b/>
                <w:color w:val="000000"/>
                <w:sz w:val="18"/>
                <w:szCs w:val="18"/>
                <w:lang w:eastAsia="en-NZ"/>
              </w:rPr>
            </w:pPr>
            <w:r w:rsidRPr="000257BF">
              <w:rPr>
                <w:rFonts w:ascii="Times New Roman" w:hAnsi="Times New Roman" w:cs="Times New Roman"/>
                <w:b/>
                <w:color w:val="000000"/>
                <w:sz w:val="18"/>
                <w:szCs w:val="18"/>
                <w:lang w:eastAsia="en-NZ"/>
              </w:rPr>
              <w:t>Incidence of moderate-risk/problem gambler</w:t>
            </w:r>
          </w:p>
        </w:tc>
        <w:tc>
          <w:tcPr>
            <w:tcW w:w="709" w:type="dxa"/>
            <w:tcBorders>
              <w:top w:val="single" w:sz="4" w:space="0" w:color="auto"/>
            </w:tcBorders>
            <w:vAlign w:val="center"/>
          </w:tcPr>
          <w:p w:rsidR="00502EE4" w:rsidRPr="00F42305" w:rsidRDefault="00502EE4" w:rsidP="000257BF">
            <w:pPr>
              <w:spacing w:before="20" w:after="20"/>
              <w:jc w:val="right"/>
              <w:rPr>
                <w:rFonts w:ascii="Times New Roman" w:hAnsi="Times New Roman" w:cs="Times New Roman"/>
                <w:b/>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shd w:val="clear" w:color="auto" w:fill="auto"/>
            <w:noWrap/>
            <w:vAlign w:val="center"/>
            <w:hideMark/>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7728" behindDoc="0" locked="0" layoutInCell="1" allowOverlap="1" wp14:anchorId="0F6E41C2" wp14:editId="13DD65A7">
                      <wp:simplePos x="0" y="0"/>
                      <wp:positionH relativeFrom="column">
                        <wp:posOffset>1701165</wp:posOffset>
                      </wp:positionH>
                      <wp:positionV relativeFrom="paragraph">
                        <wp:posOffset>56515</wp:posOffset>
                      </wp:positionV>
                      <wp:extent cx="277495" cy="55245"/>
                      <wp:effectExtent l="0" t="19050" r="46355" b="40005"/>
                      <wp:wrapNone/>
                      <wp:docPr id="25" name="Right Arrow 25"/>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8F7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33.95pt;margin-top:4.45pt;width:21.8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qdgIAAEE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" adj="19438"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Non-problem/low-risk</w:t>
            </w: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Moderate-risk/problem gambler</w:t>
            </w:r>
          </w:p>
        </w:tc>
        <w:tc>
          <w:tcPr>
            <w:tcW w:w="709" w:type="dxa"/>
            <w:vAlign w:val="center"/>
          </w:tcPr>
          <w:p w:rsidR="000257BF" w:rsidRPr="00F42305" w:rsidRDefault="000257BF" w:rsidP="000257BF">
            <w:pPr>
              <w:spacing w:before="20" w:after="20"/>
              <w:jc w:val="right"/>
              <w:rPr>
                <w:rFonts w:ascii="Times New Roman" w:hAnsi="Times New Roman" w:cs="Times New Roman"/>
                <w:color w:val="000000"/>
                <w:sz w:val="18"/>
                <w:szCs w:val="18"/>
                <w:lang w:eastAsia="en-NZ"/>
              </w:rPr>
            </w:pPr>
            <w:r w:rsidRPr="00F42305">
              <w:rPr>
                <w:rFonts w:ascii="Times New Roman" w:hAnsi="Times New Roman" w:cs="Times New Roman"/>
                <w:color w:val="000000"/>
                <w:sz w:val="18"/>
                <w:szCs w:val="18"/>
                <w:lang w:eastAsia="en-NZ"/>
              </w:rPr>
              <w:t>45</w:t>
            </w:r>
          </w:p>
        </w:tc>
      </w:tr>
      <w:tr w:rsidR="000257BF" w:rsidRPr="000257BF" w:rsidTr="00717DA0">
        <w:trPr>
          <w:trHeight w:val="300"/>
        </w:trPr>
        <w:tc>
          <w:tcPr>
            <w:tcW w:w="3369" w:type="dxa"/>
            <w:vMerge/>
            <w:tcBorders>
              <w:right w:val="dotted" w:sz="4" w:space="0" w:color="auto"/>
            </w:tcBorders>
            <w:shd w:val="clear" w:color="auto" w:fill="auto"/>
            <w:vAlign w:val="center"/>
            <w:hideMark/>
          </w:tcPr>
          <w:p w:rsidR="000257BF" w:rsidRPr="000257BF" w:rsidRDefault="000257BF" w:rsidP="002D7175">
            <w:pPr>
              <w:spacing w:before="20" w:after="20"/>
              <w:ind w:left="176"/>
              <w:jc w:val="center"/>
              <w:rPr>
                <w:rFonts w:ascii="Times New Roman" w:hAnsi="Times New Roman" w:cs="Times New Roman"/>
                <w:color w:val="000000"/>
                <w:sz w:val="18"/>
                <w:szCs w:val="18"/>
                <w:lang w:eastAsia="en-NZ"/>
              </w:rPr>
            </w:pP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Non-problem/low-risk</w:t>
            </w:r>
          </w:p>
        </w:tc>
        <w:tc>
          <w:tcPr>
            <w:tcW w:w="709" w:type="dxa"/>
            <w:vAlign w:val="center"/>
          </w:tcPr>
          <w:p w:rsidR="000257BF" w:rsidRPr="00F42305" w:rsidRDefault="000257BF" w:rsidP="000257BF">
            <w:pPr>
              <w:spacing w:before="20" w:after="20"/>
              <w:jc w:val="right"/>
              <w:rPr>
                <w:rFonts w:ascii="Times New Roman" w:hAnsi="Times New Roman" w:cs="Times New Roman"/>
                <w:color w:val="000000"/>
                <w:sz w:val="18"/>
                <w:szCs w:val="18"/>
                <w:lang w:eastAsia="en-NZ"/>
              </w:rPr>
            </w:pPr>
            <w:r w:rsidRPr="00F42305">
              <w:rPr>
                <w:rFonts w:ascii="Times New Roman" w:hAnsi="Times New Roman" w:cs="Times New Roman"/>
                <w:color w:val="000000"/>
                <w:sz w:val="18"/>
                <w:szCs w:val="18"/>
                <w:lang w:eastAsia="en-NZ"/>
              </w:rPr>
              <w:t>2,543</w:t>
            </w:r>
          </w:p>
        </w:tc>
      </w:tr>
      <w:tr w:rsidR="00502EE4" w:rsidRPr="000257BF" w:rsidTr="00717DA0">
        <w:trPr>
          <w:trHeight w:val="300"/>
        </w:trPr>
        <w:tc>
          <w:tcPr>
            <w:tcW w:w="7763" w:type="dxa"/>
            <w:gridSpan w:val="2"/>
            <w:shd w:val="clear" w:color="auto" w:fill="auto"/>
            <w:noWrap/>
            <w:vAlign w:val="center"/>
            <w:hideMark/>
          </w:tcPr>
          <w:p w:rsidR="00502EE4" w:rsidRPr="000257BF" w:rsidRDefault="00502EE4"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b/>
                <w:color w:val="000000"/>
                <w:sz w:val="18"/>
                <w:szCs w:val="18"/>
                <w:lang w:eastAsia="en-NZ"/>
              </w:rPr>
              <w:t>Persistence of moderate-risk/problem gambler</w:t>
            </w:r>
          </w:p>
        </w:tc>
        <w:tc>
          <w:tcPr>
            <w:tcW w:w="709" w:type="dxa"/>
            <w:vAlign w:val="center"/>
          </w:tcPr>
          <w:p w:rsidR="00502EE4" w:rsidRPr="00F42305" w:rsidRDefault="00502EE4" w:rsidP="000257BF">
            <w:pPr>
              <w:spacing w:before="20" w:after="20"/>
              <w:jc w:val="right"/>
              <w:rPr>
                <w:rFonts w:ascii="Times New Roman" w:hAnsi="Times New Roman" w:cs="Times New Roman"/>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shd w:val="clear" w:color="auto" w:fill="auto"/>
            <w:noWrap/>
            <w:vAlign w:val="center"/>
            <w:hideMark/>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6704" behindDoc="0" locked="0" layoutInCell="1" allowOverlap="1" wp14:anchorId="2F9177A8" wp14:editId="7AA84683">
                      <wp:simplePos x="0" y="0"/>
                      <wp:positionH relativeFrom="column">
                        <wp:posOffset>1709420</wp:posOffset>
                      </wp:positionH>
                      <wp:positionV relativeFrom="paragraph">
                        <wp:posOffset>52070</wp:posOffset>
                      </wp:positionV>
                      <wp:extent cx="277495" cy="55245"/>
                      <wp:effectExtent l="0" t="19050" r="46355" b="40005"/>
                      <wp:wrapNone/>
                      <wp:docPr id="24" name="Right Arrow 24"/>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0E989" id="Right Arrow 24" o:spid="_x0000_s1026" type="#_x0000_t13" style="position:absolute;margin-left:134.6pt;margin-top:4.1pt;width:21.85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" adj="19438"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Moderate-risk/problem gambler</w:t>
            </w: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Moderate-risk/problem gambler</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sidRPr="00F42305">
              <w:rPr>
                <w:rFonts w:ascii="Times New Roman" w:hAnsi="Times New Roman" w:cs="Times New Roman"/>
                <w:color w:val="000000"/>
                <w:sz w:val="18"/>
                <w:szCs w:val="18"/>
                <w:lang w:eastAsia="en-NZ"/>
              </w:rPr>
              <w:t>29</w:t>
            </w:r>
          </w:p>
        </w:tc>
      </w:tr>
      <w:tr w:rsidR="000257BF" w:rsidRPr="000257BF" w:rsidTr="00717DA0">
        <w:trPr>
          <w:trHeight w:val="300"/>
        </w:trPr>
        <w:tc>
          <w:tcPr>
            <w:tcW w:w="3369" w:type="dxa"/>
            <w:vMerge/>
            <w:tcBorders>
              <w:right w:val="dotted" w:sz="4" w:space="0" w:color="auto"/>
            </w:tcBorders>
            <w:shd w:val="clear" w:color="auto" w:fill="auto"/>
            <w:vAlign w:val="center"/>
            <w:hideMark/>
          </w:tcPr>
          <w:p w:rsidR="000257BF" w:rsidRPr="000257BF" w:rsidRDefault="000257BF" w:rsidP="002D7175">
            <w:pPr>
              <w:spacing w:before="20" w:after="20"/>
              <w:ind w:left="176"/>
              <w:jc w:val="center"/>
              <w:rPr>
                <w:rFonts w:ascii="Times New Roman" w:hAnsi="Times New Roman" w:cs="Times New Roman"/>
                <w:color w:val="000000"/>
                <w:sz w:val="18"/>
                <w:szCs w:val="18"/>
                <w:lang w:eastAsia="en-NZ"/>
              </w:rPr>
            </w:pP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Non-problem/low-risk</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sidRPr="00F42305">
              <w:rPr>
                <w:rFonts w:ascii="Times New Roman" w:hAnsi="Times New Roman" w:cs="Times New Roman"/>
                <w:color w:val="000000"/>
                <w:sz w:val="18"/>
                <w:szCs w:val="18"/>
                <w:lang w:eastAsia="en-NZ"/>
              </w:rPr>
              <w:t>38</w:t>
            </w:r>
          </w:p>
        </w:tc>
      </w:tr>
      <w:tr w:rsidR="000257BF" w:rsidRPr="000257BF" w:rsidTr="00717DA0">
        <w:trPr>
          <w:trHeight w:val="300"/>
        </w:trPr>
        <w:tc>
          <w:tcPr>
            <w:tcW w:w="3369" w:type="dxa"/>
            <w:shd w:val="clear" w:color="auto" w:fill="auto"/>
            <w:noWrap/>
            <w:vAlign w:val="center"/>
            <w:hideMark/>
          </w:tcPr>
          <w:p w:rsidR="000257BF" w:rsidRPr="002D7175" w:rsidRDefault="000257BF" w:rsidP="002D7175">
            <w:pPr>
              <w:spacing w:before="20" w:after="20"/>
              <w:rPr>
                <w:rFonts w:ascii="Times New Roman" w:hAnsi="Times New Roman" w:cs="Times New Roman"/>
                <w:b/>
                <w:color w:val="000000"/>
                <w:sz w:val="18"/>
                <w:szCs w:val="18"/>
                <w:lang w:eastAsia="en-NZ"/>
              </w:rPr>
            </w:pPr>
            <w:r w:rsidRPr="000257BF">
              <w:rPr>
                <w:rFonts w:ascii="Times New Roman" w:hAnsi="Times New Roman" w:cs="Times New Roman"/>
                <w:b/>
                <w:color w:val="000000"/>
                <w:sz w:val="18"/>
                <w:szCs w:val="18"/>
                <w:lang w:eastAsia="en-NZ"/>
              </w:rPr>
              <w:t>Incidence of risk</w:t>
            </w:r>
          </w:p>
        </w:tc>
        <w:tc>
          <w:tcPr>
            <w:tcW w:w="4394" w:type="dxa"/>
            <w:shd w:val="clear" w:color="auto" w:fill="auto"/>
            <w:vAlign w:val="center"/>
          </w:tcPr>
          <w:p w:rsidR="000257BF" w:rsidRPr="000257BF" w:rsidRDefault="000257BF" w:rsidP="000257BF">
            <w:pPr>
              <w:spacing w:before="20" w:after="20"/>
              <w:rPr>
                <w:rFonts w:ascii="Times New Roman" w:hAnsi="Times New Roman" w:cs="Times New Roman"/>
                <w:b/>
                <w:color w:val="000000"/>
                <w:sz w:val="18"/>
                <w:szCs w:val="18"/>
                <w:lang w:eastAsia="en-NZ"/>
              </w:rPr>
            </w:pPr>
          </w:p>
        </w:tc>
        <w:tc>
          <w:tcPr>
            <w:tcW w:w="709" w:type="dxa"/>
            <w:vAlign w:val="center"/>
          </w:tcPr>
          <w:p w:rsidR="000257BF" w:rsidRPr="00F42305" w:rsidRDefault="000257BF" w:rsidP="000257BF">
            <w:pPr>
              <w:spacing w:before="20" w:after="20"/>
              <w:jc w:val="right"/>
              <w:rPr>
                <w:rFonts w:ascii="Times New Roman" w:hAnsi="Times New Roman" w:cs="Times New Roman"/>
                <w:b/>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shd w:val="clear" w:color="auto" w:fill="auto"/>
            <w:noWrap/>
            <w:vAlign w:val="center"/>
            <w:hideMark/>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4656" behindDoc="0" locked="0" layoutInCell="1" allowOverlap="1" wp14:anchorId="3A352987" wp14:editId="2486F7A3">
                      <wp:simplePos x="0" y="0"/>
                      <wp:positionH relativeFrom="column">
                        <wp:posOffset>1708785</wp:posOffset>
                      </wp:positionH>
                      <wp:positionV relativeFrom="paragraph">
                        <wp:posOffset>68580</wp:posOffset>
                      </wp:positionV>
                      <wp:extent cx="277495" cy="55245"/>
                      <wp:effectExtent l="0" t="19050" r="46355" b="40005"/>
                      <wp:wrapNone/>
                      <wp:docPr id="22" name="Right Arrow 22"/>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A68E" id="Right Arrow 22" o:spid="_x0000_s1026" type="#_x0000_t13" style="position:absolute;margin-left:134.55pt;margin-top:5.4pt;width:21.85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aMdgIAAEE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" adj="19438"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No risk</w:t>
            </w:r>
          </w:p>
        </w:tc>
        <w:tc>
          <w:tcPr>
            <w:tcW w:w="4394" w:type="dxa"/>
            <w:tcBorders>
              <w:left w:val="dotted" w:sz="4" w:space="0" w:color="auto"/>
            </w:tcBorders>
            <w:shd w:val="clear" w:color="auto" w:fill="auto"/>
            <w:noWrap/>
            <w:vAlign w:val="center"/>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Low-risk/moderate-risk/problem gambler</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155</w:t>
            </w:r>
          </w:p>
        </w:tc>
      </w:tr>
      <w:tr w:rsidR="000257BF" w:rsidRPr="000257BF" w:rsidTr="00717DA0">
        <w:trPr>
          <w:trHeight w:val="300"/>
        </w:trPr>
        <w:tc>
          <w:tcPr>
            <w:tcW w:w="3369" w:type="dxa"/>
            <w:vMerge/>
            <w:tcBorders>
              <w:right w:val="dotted" w:sz="4" w:space="0" w:color="auto"/>
            </w:tcBorders>
            <w:shd w:val="clear" w:color="auto" w:fill="auto"/>
            <w:vAlign w:val="center"/>
            <w:hideMark/>
          </w:tcPr>
          <w:p w:rsidR="000257BF" w:rsidRPr="000257BF" w:rsidRDefault="000257BF" w:rsidP="002D7175">
            <w:pPr>
              <w:spacing w:before="20" w:after="20"/>
              <w:ind w:left="176"/>
              <w:jc w:val="center"/>
              <w:rPr>
                <w:rFonts w:ascii="Times New Roman" w:hAnsi="Times New Roman" w:cs="Times New Roman"/>
                <w:color w:val="000000"/>
                <w:sz w:val="18"/>
                <w:szCs w:val="18"/>
                <w:lang w:eastAsia="en-NZ"/>
              </w:rPr>
            </w:pP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 risk</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2,267</w:t>
            </w:r>
          </w:p>
        </w:tc>
      </w:tr>
      <w:tr w:rsidR="000257BF" w:rsidRPr="000257BF" w:rsidTr="00717DA0">
        <w:trPr>
          <w:trHeight w:val="300"/>
        </w:trPr>
        <w:tc>
          <w:tcPr>
            <w:tcW w:w="3369" w:type="dxa"/>
            <w:shd w:val="clear" w:color="auto" w:fill="auto"/>
            <w:noWrap/>
            <w:vAlign w:val="center"/>
            <w:hideMark/>
          </w:tcPr>
          <w:p w:rsidR="000257BF" w:rsidRPr="002D7175" w:rsidRDefault="000257BF" w:rsidP="002D7175">
            <w:pPr>
              <w:spacing w:before="20" w:after="20"/>
              <w:rPr>
                <w:rFonts w:ascii="Times New Roman" w:hAnsi="Times New Roman" w:cs="Times New Roman"/>
                <w:b/>
                <w:color w:val="000000"/>
                <w:sz w:val="18"/>
                <w:szCs w:val="18"/>
                <w:lang w:eastAsia="en-NZ"/>
              </w:rPr>
            </w:pPr>
            <w:r w:rsidRPr="000257BF">
              <w:rPr>
                <w:rFonts w:ascii="Times New Roman" w:hAnsi="Times New Roman" w:cs="Times New Roman"/>
                <w:b/>
                <w:color w:val="000000"/>
                <w:sz w:val="18"/>
                <w:szCs w:val="18"/>
                <w:lang w:eastAsia="en-NZ"/>
              </w:rPr>
              <w:t>Persistence of risk</w:t>
            </w:r>
          </w:p>
        </w:tc>
        <w:tc>
          <w:tcPr>
            <w:tcW w:w="4394" w:type="dxa"/>
            <w:shd w:val="clear" w:color="auto" w:fill="auto"/>
            <w:vAlign w:val="center"/>
          </w:tcPr>
          <w:p w:rsidR="000257BF" w:rsidRPr="000257BF" w:rsidRDefault="000257BF" w:rsidP="000257BF">
            <w:pPr>
              <w:spacing w:before="20" w:after="20"/>
              <w:rPr>
                <w:rFonts w:ascii="Times New Roman" w:hAnsi="Times New Roman" w:cs="Times New Roman"/>
                <w:b/>
                <w:color w:val="000000"/>
                <w:sz w:val="18"/>
                <w:szCs w:val="18"/>
                <w:lang w:eastAsia="en-NZ"/>
              </w:rPr>
            </w:pPr>
          </w:p>
        </w:tc>
        <w:tc>
          <w:tcPr>
            <w:tcW w:w="709" w:type="dxa"/>
            <w:vAlign w:val="center"/>
          </w:tcPr>
          <w:p w:rsidR="000257BF" w:rsidRPr="00F42305" w:rsidRDefault="000257BF" w:rsidP="000257BF">
            <w:pPr>
              <w:spacing w:before="20" w:after="20"/>
              <w:jc w:val="right"/>
              <w:rPr>
                <w:rFonts w:ascii="Times New Roman" w:hAnsi="Times New Roman" w:cs="Times New Roman"/>
                <w:b/>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shd w:val="clear" w:color="auto" w:fill="auto"/>
            <w:noWrap/>
            <w:vAlign w:val="center"/>
            <w:hideMark/>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0560" behindDoc="0" locked="0" layoutInCell="1" allowOverlap="1" wp14:anchorId="68D6E8A7" wp14:editId="17A8309A">
                      <wp:simplePos x="0" y="0"/>
                      <wp:positionH relativeFrom="column">
                        <wp:posOffset>1697990</wp:posOffset>
                      </wp:positionH>
                      <wp:positionV relativeFrom="paragraph">
                        <wp:posOffset>137795</wp:posOffset>
                      </wp:positionV>
                      <wp:extent cx="277495" cy="45085"/>
                      <wp:effectExtent l="0" t="19050" r="46355" b="31115"/>
                      <wp:wrapNone/>
                      <wp:docPr id="7" name="Right Arrow 7"/>
                      <wp:cNvGraphicFramePr/>
                      <a:graphic xmlns:a="http://schemas.openxmlformats.org/drawingml/2006/main">
                        <a:graphicData uri="http://schemas.microsoft.com/office/word/2010/wordprocessingShape">
                          <wps:wsp>
                            <wps:cNvSpPr/>
                            <wps:spPr>
                              <a:xfrm>
                                <a:off x="0" y="0"/>
                                <a:ext cx="27804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FACA" id="Right Arrow 7" o:spid="_x0000_s1026" type="#_x0000_t13" style="position:absolute;margin-left:133.7pt;margin-top:10.85pt;width:21.85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" adj="19824"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Low-risk/moderate-risk/problem gambler</w:t>
            </w:r>
          </w:p>
        </w:tc>
        <w:tc>
          <w:tcPr>
            <w:tcW w:w="4394" w:type="dxa"/>
            <w:tcBorders>
              <w:left w:val="dotted" w:sz="4" w:space="0" w:color="auto"/>
            </w:tcBorders>
            <w:shd w:val="clear" w:color="auto" w:fill="auto"/>
            <w:noWrap/>
            <w:vAlign w:val="center"/>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Low-risk/moderate-risk/problem gambler</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113</w:t>
            </w:r>
          </w:p>
        </w:tc>
      </w:tr>
      <w:tr w:rsidR="000257BF" w:rsidRPr="000257BF" w:rsidTr="00717DA0">
        <w:trPr>
          <w:trHeight w:val="300"/>
        </w:trPr>
        <w:tc>
          <w:tcPr>
            <w:tcW w:w="3369" w:type="dxa"/>
            <w:vMerge/>
            <w:tcBorders>
              <w:right w:val="dotted" w:sz="4" w:space="0" w:color="auto"/>
            </w:tcBorders>
            <w:shd w:val="clear" w:color="auto" w:fill="auto"/>
            <w:vAlign w:val="center"/>
            <w:hideMark/>
          </w:tcPr>
          <w:p w:rsidR="000257BF" w:rsidRPr="000257BF" w:rsidRDefault="000257BF" w:rsidP="002D7175">
            <w:pPr>
              <w:spacing w:before="20" w:after="20"/>
              <w:ind w:left="176"/>
              <w:jc w:val="center"/>
              <w:rPr>
                <w:rFonts w:ascii="Times New Roman" w:hAnsi="Times New Roman" w:cs="Times New Roman"/>
                <w:color w:val="000000"/>
                <w:sz w:val="18"/>
                <w:szCs w:val="18"/>
                <w:lang w:eastAsia="en-NZ"/>
              </w:rPr>
            </w:pP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 risk</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119</w:t>
            </w:r>
          </w:p>
        </w:tc>
      </w:tr>
      <w:tr w:rsidR="00502EE4" w:rsidRPr="000257BF" w:rsidTr="00717DA0">
        <w:trPr>
          <w:trHeight w:val="300"/>
        </w:trPr>
        <w:tc>
          <w:tcPr>
            <w:tcW w:w="7763" w:type="dxa"/>
            <w:gridSpan w:val="2"/>
            <w:shd w:val="clear" w:color="auto" w:fill="auto"/>
            <w:noWrap/>
            <w:vAlign w:val="center"/>
            <w:hideMark/>
          </w:tcPr>
          <w:p w:rsidR="00502EE4" w:rsidRPr="000257BF" w:rsidRDefault="00502EE4" w:rsidP="000257BF">
            <w:pPr>
              <w:spacing w:before="20" w:after="20"/>
              <w:rPr>
                <w:rFonts w:ascii="Times New Roman" w:hAnsi="Times New Roman" w:cs="Times New Roman"/>
                <w:b/>
                <w:color w:val="000000"/>
                <w:sz w:val="18"/>
                <w:szCs w:val="18"/>
                <w:lang w:eastAsia="en-NZ"/>
              </w:rPr>
            </w:pPr>
            <w:r w:rsidRPr="000257BF">
              <w:rPr>
                <w:rFonts w:ascii="Times New Roman" w:hAnsi="Times New Roman" w:cs="Times New Roman"/>
                <w:b/>
                <w:color w:val="000000"/>
                <w:sz w:val="18"/>
                <w:szCs w:val="18"/>
                <w:lang w:eastAsia="en-NZ"/>
              </w:rPr>
              <w:t>Re-initiation of gambling (at 12 months)</w:t>
            </w:r>
          </w:p>
        </w:tc>
        <w:tc>
          <w:tcPr>
            <w:tcW w:w="709" w:type="dxa"/>
            <w:vAlign w:val="center"/>
          </w:tcPr>
          <w:p w:rsidR="00502EE4" w:rsidRPr="00F42305" w:rsidRDefault="00502EE4" w:rsidP="000257BF">
            <w:pPr>
              <w:spacing w:before="20" w:after="20"/>
              <w:jc w:val="right"/>
              <w:rPr>
                <w:rFonts w:ascii="Times New Roman" w:hAnsi="Times New Roman" w:cs="Times New Roman"/>
                <w:b/>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shd w:val="clear" w:color="auto" w:fill="auto"/>
            <w:noWrap/>
            <w:vAlign w:val="center"/>
            <w:hideMark/>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2608" behindDoc="0" locked="0" layoutInCell="1" allowOverlap="1" wp14:anchorId="0B736C0B" wp14:editId="66048AAE">
                      <wp:simplePos x="0" y="0"/>
                      <wp:positionH relativeFrom="column">
                        <wp:posOffset>1717040</wp:posOffset>
                      </wp:positionH>
                      <wp:positionV relativeFrom="paragraph">
                        <wp:posOffset>63500</wp:posOffset>
                      </wp:positionV>
                      <wp:extent cx="277495" cy="55245"/>
                      <wp:effectExtent l="0" t="19050" r="46355" b="40005"/>
                      <wp:wrapNone/>
                      <wp:docPr id="18" name="Right Arrow 18"/>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7FBC" id="Right Arrow 18" o:spid="_x0000_s1026" type="#_x0000_t13" style="position:absolute;margin-left:135.2pt;margin-top:5pt;width:21.85pt;height: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" adj="19438"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Ever gambled + no gambling</w:t>
            </w:r>
          </w:p>
        </w:tc>
        <w:tc>
          <w:tcPr>
            <w:tcW w:w="4394" w:type="dxa"/>
            <w:tcBorders>
              <w:left w:val="dotted" w:sz="4" w:space="0" w:color="auto"/>
            </w:tcBorders>
            <w:shd w:val="clear" w:color="auto" w:fill="auto"/>
            <w:noWrap/>
            <w:vAlign w:val="center"/>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Non-problem/low-risk/moderate-risk/problem gambler</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99</w:t>
            </w:r>
          </w:p>
        </w:tc>
      </w:tr>
      <w:tr w:rsidR="000257BF" w:rsidRPr="000257BF" w:rsidTr="00717DA0">
        <w:trPr>
          <w:trHeight w:val="300"/>
        </w:trPr>
        <w:tc>
          <w:tcPr>
            <w:tcW w:w="3369" w:type="dxa"/>
            <w:vMerge/>
            <w:tcBorders>
              <w:right w:val="dotted" w:sz="4" w:space="0" w:color="auto"/>
            </w:tcBorders>
            <w:shd w:val="clear" w:color="auto" w:fill="auto"/>
            <w:vAlign w:val="center"/>
            <w:hideMark/>
          </w:tcPr>
          <w:p w:rsidR="000257BF" w:rsidRPr="000257BF" w:rsidRDefault="000257BF" w:rsidP="002D7175">
            <w:pPr>
              <w:spacing w:before="20" w:after="20"/>
              <w:ind w:left="176"/>
              <w:jc w:val="center"/>
              <w:rPr>
                <w:rFonts w:ascii="Times New Roman" w:hAnsi="Times New Roman" w:cs="Times New Roman"/>
                <w:color w:val="000000"/>
                <w:sz w:val="18"/>
                <w:szCs w:val="18"/>
                <w:lang w:eastAsia="en-NZ"/>
              </w:rPr>
            </w:pPr>
          </w:p>
        </w:tc>
        <w:tc>
          <w:tcPr>
            <w:tcW w:w="4394" w:type="dxa"/>
            <w:tcBorders>
              <w:left w:val="dotted" w:sz="4" w:space="0" w:color="auto"/>
            </w:tcBorders>
            <w:shd w:val="clear" w:color="auto" w:fill="auto"/>
            <w:noWrap/>
            <w:vAlign w:val="center"/>
            <w:hideMark/>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 gambling</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131</w:t>
            </w:r>
          </w:p>
        </w:tc>
      </w:tr>
      <w:tr w:rsidR="000257BF" w:rsidRPr="000257BF" w:rsidTr="00717DA0">
        <w:trPr>
          <w:trHeight w:val="300"/>
        </w:trPr>
        <w:tc>
          <w:tcPr>
            <w:tcW w:w="3369" w:type="dxa"/>
            <w:shd w:val="clear" w:color="auto" w:fill="auto"/>
            <w:noWrap/>
            <w:vAlign w:val="center"/>
          </w:tcPr>
          <w:p w:rsidR="000257BF" w:rsidRPr="002D7175" w:rsidRDefault="000257BF" w:rsidP="002D7175">
            <w:pPr>
              <w:spacing w:before="20" w:after="20"/>
              <w:rPr>
                <w:rFonts w:ascii="Times New Roman" w:hAnsi="Times New Roman" w:cs="Times New Roman"/>
                <w:b/>
                <w:color w:val="000000"/>
                <w:sz w:val="18"/>
                <w:szCs w:val="18"/>
                <w:lang w:eastAsia="en-NZ"/>
              </w:rPr>
            </w:pPr>
            <w:r w:rsidRPr="000257BF">
              <w:rPr>
                <w:rFonts w:ascii="Times New Roman" w:hAnsi="Times New Roman" w:cs="Times New Roman"/>
                <w:b/>
                <w:color w:val="000000"/>
                <w:sz w:val="18"/>
                <w:szCs w:val="18"/>
                <w:lang w:eastAsia="en-NZ"/>
              </w:rPr>
              <w:t>Initiation of gambling (ever)</w:t>
            </w:r>
          </w:p>
        </w:tc>
        <w:tc>
          <w:tcPr>
            <w:tcW w:w="4394" w:type="dxa"/>
            <w:shd w:val="clear" w:color="auto" w:fill="auto"/>
            <w:vAlign w:val="center"/>
          </w:tcPr>
          <w:p w:rsidR="000257BF" w:rsidRPr="000257BF" w:rsidRDefault="000257BF" w:rsidP="000257BF">
            <w:pPr>
              <w:spacing w:before="20" w:after="20"/>
              <w:rPr>
                <w:rFonts w:ascii="Times New Roman" w:hAnsi="Times New Roman" w:cs="Times New Roman"/>
                <w:b/>
                <w:color w:val="000000"/>
                <w:sz w:val="18"/>
                <w:szCs w:val="18"/>
                <w:lang w:eastAsia="en-NZ"/>
              </w:rPr>
            </w:pPr>
          </w:p>
        </w:tc>
        <w:tc>
          <w:tcPr>
            <w:tcW w:w="709" w:type="dxa"/>
            <w:vAlign w:val="center"/>
          </w:tcPr>
          <w:p w:rsidR="000257BF" w:rsidRPr="00F42305" w:rsidRDefault="000257BF" w:rsidP="000257BF">
            <w:pPr>
              <w:spacing w:before="20" w:after="20"/>
              <w:jc w:val="right"/>
              <w:rPr>
                <w:rFonts w:ascii="Times New Roman" w:hAnsi="Times New Roman" w:cs="Times New Roman"/>
                <w:b/>
                <w:color w:val="000000"/>
                <w:sz w:val="18"/>
                <w:szCs w:val="18"/>
                <w:lang w:eastAsia="en-NZ"/>
              </w:rPr>
            </w:pPr>
          </w:p>
        </w:tc>
      </w:tr>
      <w:tr w:rsidR="000257BF" w:rsidRPr="000257BF" w:rsidTr="00717DA0">
        <w:trPr>
          <w:trHeight w:val="300"/>
        </w:trPr>
        <w:tc>
          <w:tcPr>
            <w:tcW w:w="3369" w:type="dxa"/>
            <w:vMerge w:val="restart"/>
            <w:tcBorders>
              <w:right w:val="dotted" w:sz="4" w:space="0" w:color="auto"/>
            </w:tcBorders>
            <w:noWrap/>
            <w:vAlign w:val="center"/>
          </w:tcPr>
          <w:p w:rsidR="000257BF" w:rsidRPr="000257BF" w:rsidRDefault="00502EE4" w:rsidP="002D7175">
            <w:pPr>
              <w:spacing w:before="20" w:after="20"/>
              <w:ind w:left="176"/>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3632" behindDoc="0" locked="0" layoutInCell="1" allowOverlap="1" wp14:anchorId="57492740" wp14:editId="2C73ADA0">
                      <wp:simplePos x="0" y="0"/>
                      <wp:positionH relativeFrom="column">
                        <wp:posOffset>1717040</wp:posOffset>
                      </wp:positionH>
                      <wp:positionV relativeFrom="paragraph">
                        <wp:posOffset>53340</wp:posOffset>
                      </wp:positionV>
                      <wp:extent cx="277495" cy="55245"/>
                      <wp:effectExtent l="0" t="19050" r="46355" b="40005"/>
                      <wp:wrapNone/>
                      <wp:docPr id="21" name="Right Arrow 21"/>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0C3B" id="Right Arrow 21" o:spid="_x0000_s1026" type="#_x0000_t13" style="position:absolute;margin-left:135.2pt;margin-top:4.2pt;width:21.85pt;height: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" adj="19438" fillcolor="#4f81bd [3204]" strokecolor="#243f60 [1604]" strokeweight="2pt"/>
                  </w:pict>
                </mc:Fallback>
              </mc:AlternateContent>
            </w:r>
            <w:r w:rsidR="000257BF" w:rsidRPr="000257BF">
              <w:rPr>
                <w:rFonts w:ascii="Times New Roman" w:hAnsi="Times New Roman" w:cs="Times New Roman"/>
                <w:color w:val="000000"/>
                <w:sz w:val="18"/>
                <w:szCs w:val="18"/>
                <w:lang w:eastAsia="en-NZ"/>
              </w:rPr>
              <w:t>Never gambled + no gambling</w:t>
            </w:r>
          </w:p>
        </w:tc>
        <w:tc>
          <w:tcPr>
            <w:tcW w:w="4394" w:type="dxa"/>
            <w:tcBorders>
              <w:left w:val="dotted" w:sz="4" w:space="0" w:color="auto"/>
            </w:tcBorders>
            <w:noWrap/>
            <w:vAlign w:val="center"/>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Non-problem/low-risk/moderate-risk/problem gambler</w:t>
            </w:r>
          </w:p>
        </w:tc>
        <w:tc>
          <w:tcPr>
            <w:tcW w:w="709" w:type="dxa"/>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165</w:t>
            </w:r>
          </w:p>
        </w:tc>
      </w:tr>
      <w:tr w:rsidR="000257BF" w:rsidRPr="000257BF" w:rsidTr="00717DA0">
        <w:trPr>
          <w:trHeight w:val="300"/>
        </w:trPr>
        <w:tc>
          <w:tcPr>
            <w:tcW w:w="3369" w:type="dxa"/>
            <w:vMerge/>
            <w:tcBorders>
              <w:bottom w:val="single" w:sz="4" w:space="0" w:color="auto"/>
              <w:right w:val="dotted" w:sz="4" w:space="0" w:color="auto"/>
            </w:tcBorders>
            <w:vAlign w:val="center"/>
          </w:tcPr>
          <w:p w:rsidR="000257BF" w:rsidRPr="000257BF" w:rsidRDefault="000257BF" w:rsidP="00C434B0">
            <w:pPr>
              <w:spacing w:before="20" w:after="20"/>
              <w:jc w:val="center"/>
              <w:rPr>
                <w:rFonts w:ascii="Times New Roman" w:hAnsi="Times New Roman" w:cs="Times New Roman"/>
                <w:color w:val="000000"/>
                <w:sz w:val="18"/>
                <w:szCs w:val="18"/>
                <w:lang w:eastAsia="en-NZ"/>
              </w:rPr>
            </w:pPr>
          </w:p>
        </w:tc>
        <w:tc>
          <w:tcPr>
            <w:tcW w:w="4394" w:type="dxa"/>
            <w:tcBorders>
              <w:left w:val="dotted" w:sz="4" w:space="0" w:color="auto"/>
              <w:bottom w:val="single" w:sz="4" w:space="0" w:color="auto"/>
            </w:tcBorders>
            <w:noWrap/>
            <w:vAlign w:val="center"/>
          </w:tcPr>
          <w:p w:rsidR="000257BF" w:rsidRPr="000257BF" w:rsidRDefault="000257BF" w:rsidP="000257BF">
            <w:pPr>
              <w:spacing w:before="20" w:after="20"/>
              <w:rPr>
                <w:rFonts w:ascii="Times New Roman" w:hAnsi="Times New Roman" w:cs="Times New Roman"/>
                <w:color w:val="000000"/>
                <w:sz w:val="18"/>
                <w:szCs w:val="18"/>
                <w:lang w:eastAsia="en-NZ"/>
              </w:rPr>
            </w:pPr>
            <w:r w:rsidRPr="000257BF">
              <w:rPr>
                <w:rFonts w:ascii="Times New Roman" w:hAnsi="Times New Roman" w:cs="Times New Roman"/>
                <w:color w:val="000000"/>
                <w:sz w:val="18"/>
                <w:szCs w:val="18"/>
                <w:lang w:eastAsia="en-NZ"/>
              </w:rPr>
              <w:t>Never gambled</w:t>
            </w:r>
          </w:p>
        </w:tc>
        <w:tc>
          <w:tcPr>
            <w:tcW w:w="709" w:type="dxa"/>
            <w:tcBorders>
              <w:bottom w:val="single" w:sz="4" w:space="0" w:color="auto"/>
            </w:tcBorders>
            <w:vAlign w:val="center"/>
          </w:tcPr>
          <w:p w:rsidR="000257BF" w:rsidRPr="00F42305" w:rsidRDefault="00F42305" w:rsidP="000257BF">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354</w:t>
            </w:r>
          </w:p>
        </w:tc>
      </w:tr>
    </w:tbl>
    <w:p w:rsidR="00B9482F" w:rsidRPr="00502EE4" w:rsidRDefault="00B9482F" w:rsidP="00B9482F">
      <w:pPr>
        <w:jc w:val="both"/>
        <w:rPr>
          <w:sz w:val="18"/>
          <w:szCs w:val="22"/>
        </w:rPr>
      </w:pPr>
      <w:r w:rsidRPr="00502EE4">
        <w:rPr>
          <w:sz w:val="18"/>
          <w:szCs w:val="22"/>
        </w:rPr>
        <w:t>Note: No gambling relates to no gambling in last 12 months</w:t>
      </w:r>
    </w:p>
    <w:p w:rsidR="000257BF" w:rsidRPr="00502EE4" w:rsidRDefault="000257BF" w:rsidP="00B9482F">
      <w:pPr>
        <w:jc w:val="both"/>
        <w:rPr>
          <w:sz w:val="18"/>
          <w:szCs w:val="22"/>
        </w:rPr>
      </w:pPr>
      <w:r w:rsidRPr="00502EE4">
        <w:rPr>
          <w:sz w:val="18"/>
          <w:szCs w:val="22"/>
        </w:rPr>
        <w:t xml:space="preserve">n values adjusted for </w:t>
      </w:r>
      <w:r w:rsidRPr="00502EE4">
        <w:rPr>
          <w:sz w:val="16"/>
        </w:rPr>
        <w:t>2013 Census data and attrition</w:t>
      </w:r>
    </w:p>
    <w:p w:rsidR="000257BF" w:rsidRPr="008D6037" w:rsidRDefault="000257BF" w:rsidP="00B9482F">
      <w:pPr>
        <w:jc w:val="both"/>
        <w:rPr>
          <w:sz w:val="20"/>
          <w:szCs w:val="22"/>
        </w:rPr>
      </w:pPr>
    </w:p>
    <w:p w:rsidR="00320536" w:rsidRDefault="00C61EC3" w:rsidP="00320536">
      <w:pPr>
        <w:jc w:val="both"/>
        <w:rPr>
          <w:szCs w:val="22"/>
        </w:rPr>
      </w:pPr>
      <w:r w:rsidRPr="00700268">
        <w:rPr>
          <w:szCs w:val="22"/>
        </w:rPr>
        <w:fldChar w:fldCharType="begin"/>
      </w:r>
      <w:r w:rsidRPr="00700268">
        <w:rPr>
          <w:szCs w:val="22"/>
        </w:rPr>
        <w:instrText xml:space="preserve"> REF _Ref408404428 \h </w:instrText>
      </w:r>
      <w:r w:rsidR="00700268" w:rsidRPr="00700268">
        <w:rPr>
          <w:szCs w:val="22"/>
        </w:rPr>
        <w:instrText xml:space="preserve"> \* MERGEFORMAT </w:instrText>
      </w:r>
      <w:r w:rsidRPr="00700268">
        <w:rPr>
          <w:szCs w:val="22"/>
        </w:rPr>
      </w:r>
      <w:r w:rsidRPr="00700268">
        <w:rPr>
          <w:szCs w:val="22"/>
        </w:rPr>
        <w:fldChar w:fldCharType="separate"/>
      </w:r>
      <w:r w:rsidR="00B2175B" w:rsidRPr="00B2175B">
        <w:rPr>
          <w:szCs w:val="22"/>
        </w:rPr>
        <w:t xml:space="preserve">Table </w:t>
      </w:r>
      <w:r w:rsidR="00B2175B" w:rsidRPr="00B2175B">
        <w:rPr>
          <w:noProof/>
          <w:szCs w:val="22"/>
        </w:rPr>
        <w:t>5</w:t>
      </w:r>
      <w:r w:rsidRPr="00700268">
        <w:rPr>
          <w:szCs w:val="22"/>
        </w:rPr>
        <w:fldChar w:fldCharType="end"/>
      </w:r>
      <w:r w:rsidR="00320536" w:rsidRPr="00700268">
        <w:rPr>
          <w:szCs w:val="22"/>
        </w:rPr>
        <w:t xml:space="preserve"> </w:t>
      </w:r>
      <w:r w:rsidR="00320536">
        <w:rPr>
          <w:szCs w:val="22"/>
        </w:rPr>
        <w:t>details transitions using the South Oaks Gambling Screen (SOGS) lifetime measures to identify gamblers who have relapsed vs. new cases of at-risk/problem gambling (using PGSI).</w:t>
      </w:r>
    </w:p>
    <w:p w:rsidR="00320536" w:rsidRDefault="00320536" w:rsidP="00173EB8">
      <w:pPr>
        <w:jc w:val="both"/>
        <w:rPr>
          <w:szCs w:val="22"/>
        </w:rPr>
      </w:pPr>
    </w:p>
    <w:p w:rsidR="00C434B0" w:rsidRPr="00C434B0" w:rsidRDefault="00C61EC3" w:rsidP="00B00F16">
      <w:pPr>
        <w:keepNext/>
        <w:pBdr>
          <w:bar w:val="single" w:sz="4" w:color="auto"/>
        </w:pBdr>
        <w:jc w:val="both"/>
        <w:rPr>
          <w:b/>
          <w:sz w:val="20"/>
          <w:szCs w:val="22"/>
        </w:rPr>
      </w:pPr>
      <w:bookmarkStart w:id="149" w:name="_Ref408404428"/>
      <w:bookmarkStart w:id="150" w:name="_Toc420393793"/>
      <w:r w:rsidRPr="00700268">
        <w:rPr>
          <w:b/>
          <w:sz w:val="20"/>
        </w:rPr>
        <w:lastRenderedPageBreak/>
        <w:t xml:space="preserve">Table </w:t>
      </w:r>
      <w:r w:rsidRPr="00700268">
        <w:rPr>
          <w:b/>
          <w:sz w:val="20"/>
        </w:rPr>
        <w:fldChar w:fldCharType="begin"/>
      </w:r>
      <w:r w:rsidRPr="00700268">
        <w:rPr>
          <w:b/>
          <w:sz w:val="20"/>
        </w:rPr>
        <w:instrText xml:space="preserve"> SEQ Table \* ARABIC </w:instrText>
      </w:r>
      <w:r w:rsidRPr="00700268">
        <w:rPr>
          <w:b/>
          <w:sz w:val="20"/>
        </w:rPr>
        <w:fldChar w:fldCharType="separate"/>
      </w:r>
      <w:r w:rsidR="00B2175B">
        <w:rPr>
          <w:b/>
          <w:noProof/>
          <w:sz w:val="20"/>
        </w:rPr>
        <w:t>5</w:t>
      </w:r>
      <w:r w:rsidRPr="00700268">
        <w:rPr>
          <w:b/>
          <w:sz w:val="20"/>
        </w:rPr>
        <w:fldChar w:fldCharType="end"/>
      </w:r>
      <w:bookmarkEnd w:id="149"/>
      <w:r w:rsidR="00C434B0" w:rsidRPr="00C434B0">
        <w:rPr>
          <w:b/>
          <w:sz w:val="20"/>
          <w:szCs w:val="22"/>
        </w:rPr>
        <w:t xml:space="preserve">: List of transitions </w:t>
      </w:r>
      <w:r w:rsidR="00C434B0">
        <w:rPr>
          <w:b/>
          <w:sz w:val="20"/>
          <w:szCs w:val="22"/>
        </w:rPr>
        <w:t xml:space="preserve">using SOGS lifetime measures </w:t>
      </w:r>
      <w:r w:rsidR="00C434B0" w:rsidRPr="00C434B0">
        <w:rPr>
          <w:b/>
          <w:sz w:val="20"/>
          <w:szCs w:val="22"/>
        </w:rPr>
        <w:t>for inferential analyses</w:t>
      </w:r>
      <w:bookmarkEnd w:id="150"/>
    </w:p>
    <w:tbl>
      <w:tblPr>
        <w:tblStyle w:val="TableGrid1"/>
        <w:tblW w:w="84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118"/>
        <w:gridCol w:w="2548"/>
        <w:gridCol w:w="621"/>
      </w:tblGrid>
      <w:tr w:rsidR="00502EE4" w:rsidRPr="00502EE4" w:rsidTr="00B00F16">
        <w:trPr>
          <w:trHeight w:val="300"/>
        </w:trPr>
        <w:tc>
          <w:tcPr>
            <w:tcW w:w="5245" w:type="dxa"/>
            <w:gridSpan w:val="2"/>
            <w:tcBorders>
              <w:top w:val="single" w:sz="4" w:space="0" w:color="auto"/>
              <w:bottom w:val="single" w:sz="4" w:space="0" w:color="auto"/>
              <w:right w:val="dotted" w:sz="4" w:space="0" w:color="auto"/>
            </w:tcBorders>
            <w:vAlign w:val="center"/>
          </w:tcPr>
          <w:p w:rsidR="00502EE4" w:rsidRPr="00502EE4" w:rsidRDefault="00502EE4" w:rsidP="00502EE4">
            <w:pPr>
              <w:keepNext/>
              <w:spacing w:before="20" w:after="20"/>
              <w:jc w:val="center"/>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Wave 1 State</w:t>
            </w:r>
          </w:p>
        </w:tc>
        <w:tc>
          <w:tcPr>
            <w:tcW w:w="3169" w:type="dxa"/>
            <w:gridSpan w:val="2"/>
            <w:tcBorders>
              <w:top w:val="single" w:sz="4" w:space="0" w:color="auto"/>
              <w:left w:val="dotted" w:sz="4" w:space="0" w:color="auto"/>
              <w:bottom w:val="single" w:sz="4" w:space="0" w:color="auto"/>
            </w:tcBorders>
            <w:noWrap/>
            <w:vAlign w:val="center"/>
            <w:hideMark/>
          </w:tcPr>
          <w:p w:rsidR="00502EE4" w:rsidRPr="00502EE4" w:rsidRDefault="00502EE4" w:rsidP="00502EE4">
            <w:pPr>
              <w:keepNext/>
              <w:spacing w:before="20" w:after="20"/>
              <w:jc w:val="center"/>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Wave 2 State</w:t>
            </w:r>
          </w:p>
        </w:tc>
      </w:tr>
      <w:tr w:rsidR="002433AB" w:rsidRPr="00502EE4" w:rsidTr="00B00F16">
        <w:trPr>
          <w:trHeight w:val="300"/>
        </w:trPr>
        <w:tc>
          <w:tcPr>
            <w:tcW w:w="2127" w:type="dxa"/>
            <w:tcBorders>
              <w:top w:val="single" w:sz="4" w:space="0" w:color="auto"/>
              <w:bottom w:val="single" w:sz="4" w:space="0" w:color="auto"/>
            </w:tcBorders>
            <w:vAlign w:val="center"/>
          </w:tcPr>
          <w:p w:rsidR="002433AB" w:rsidRPr="00502EE4" w:rsidRDefault="002433AB" w:rsidP="002433AB">
            <w:pPr>
              <w:keepNext/>
              <w:spacing w:before="20" w:after="20"/>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SOGS</w:t>
            </w:r>
          </w:p>
        </w:tc>
        <w:tc>
          <w:tcPr>
            <w:tcW w:w="3118" w:type="dxa"/>
            <w:tcBorders>
              <w:top w:val="single" w:sz="4" w:space="0" w:color="auto"/>
              <w:bottom w:val="single" w:sz="4" w:space="0" w:color="auto"/>
              <w:right w:val="dotted" w:sz="4" w:space="0" w:color="auto"/>
            </w:tcBorders>
            <w:noWrap/>
            <w:vAlign w:val="center"/>
            <w:hideMark/>
          </w:tcPr>
          <w:p w:rsidR="002433AB" w:rsidRPr="00502EE4" w:rsidRDefault="002433AB" w:rsidP="002433AB">
            <w:pPr>
              <w:keepNext/>
              <w:spacing w:before="20" w:after="20"/>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PGSI</w:t>
            </w:r>
          </w:p>
        </w:tc>
        <w:tc>
          <w:tcPr>
            <w:tcW w:w="2548" w:type="dxa"/>
            <w:tcBorders>
              <w:top w:val="single" w:sz="4" w:space="0" w:color="auto"/>
              <w:left w:val="dotted" w:sz="4" w:space="0" w:color="auto"/>
              <w:bottom w:val="single" w:sz="4" w:space="0" w:color="auto"/>
            </w:tcBorders>
            <w:noWrap/>
            <w:vAlign w:val="center"/>
            <w:hideMark/>
          </w:tcPr>
          <w:p w:rsidR="002433AB" w:rsidRPr="00502EE4" w:rsidRDefault="002433AB" w:rsidP="002433AB">
            <w:pPr>
              <w:keepNext/>
              <w:spacing w:before="20" w:after="20"/>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PGSI</w:t>
            </w:r>
          </w:p>
        </w:tc>
        <w:tc>
          <w:tcPr>
            <w:tcW w:w="621" w:type="dxa"/>
            <w:tcBorders>
              <w:top w:val="single" w:sz="4" w:space="0" w:color="auto"/>
              <w:bottom w:val="single" w:sz="4" w:space="0" w:color="auto"/>
            </w:tcBorders>
            <w:vAlign w:val="center"/>
          </w:tcPr>
          <w:p w:rsidR="002433AB" w:rsidRPr="00502EE4" w:rsidRDefault="00502EE4" w:rsidP="00502EE4">
            <w:pPr>
              <w:keepNext/>
              <w:spacing w:before="20" w:after="20"/>
              <w:jc w:val="right"/>
              <w:rPr>
                <w:rFonts w:ascii="Times New Roman" w:hAnsi="Times New Roman" w:cs="Times New Roman"/>
                <w:b/>
                <w:bCs/>
                <w:sz w:val="18"/>
                <w:szCs w:val="18"/>
                <w:lang w:eastAsia="en-NZ"/>
              </w:rPr>
            </w:pPr>
            <w:r w:rsidRPr="00502EE4">
              <w:rPr>
                <w:rFonts w:ascii="Times New Roman" w:hAnsi="Times New Roman" w:cs="Times New Roman"/>
                <w:b/>
                <w:bCs/>
                <w:sz w:val="18"/>
                <w:szCs w:val="18"/>
                <w:lang w:eastAsia="en-NZ"/>
              </w:rPr>
              <w:t>n</w:t>
            </w:r>
          </w:p>
        </w:tc>
      </w:tr>
      <w:tr w:rsidR="002433AB" w:rsidRPr="00502EE4" w:rsidTr="00B00F16">
        <w:trPr>
          <w:trHeight w:val="300"/>
        </w:trPr>
        <w:tc>
          <w:tcPr>
            <w:tcW w:w="5245" w:type="dxa"/>
            <w:gridSpan w:val="2"/>
            <w:tcBorders>
              <w:top w:val="single" w:sz="4" w:space="0" w:color="auto"/>
            </w:tcBorders>
            <w:shd w:val="clear" w:color="auto" w:fill="auto"/>
          </w:tcPr>
          <w:p w:rsidR="002433AB" w:rsidRPr="00502EE4" w:rsidRDefault="002433AB" w:rsidP="008D41C0">
            <w:pPr>
              <w:keepNext/>
              <w:spacing w:before="20" w:after="20"/>
              <w:rPr>
                <w:rFonts w:ascii="Times New Roman" w:hAnsi="Times New Roman" w:cs="Times New Roman"/>
                <w:b/>
                <w:color w:val="000000"/>
                <w:sz w:val="18"/>
                <w:szCs w:val="18"/>
                <w:lang w:eastAsia="en-NZ"/>
              </w:rPr>
            </w:pPr>
            <w:r w:rsidRPr="00502EE4">
              <w:rPr>
                <w:rFonts w:ascii="Times New Roman" w:hAnsi="Times New Roman" w:cs="Times New Roman"/>
                <w:b/>
                <w:color w:val="000000"/>
                <w:sz w:val="18"/>
                <w:szCs w:val="18"/>
                <w:lang w:eastAsia="en-NZ"/>
              </w:rPr>
              <w:t>Incidence of new moderate risk/problem gambler</w:t>
            </w:r>
          </w:p>
        </w:tc>
        <w:tc>
          <w:tcPr>
            <w:tcW w:w="2548" w:type="dxa"/>
            <w:tcBorders>
              <w:top w:val="single" w:sz="4" w:space="0" w:color="auto"/>
            </w:tcBorders>
            <w:shd w:val="clear" w:color="auto" w:fill="auto"/>
          </w:tcPr>
          <w:p w:rsidR="002433AB" w:rsidRPr="00502EE4" w:rsidRDefault="002433AB" w:rsidP="008D41C0">
            <w:pPr>
              <w:keepNext/>
              <w:spacing w:before="20" w:after="20"/>
              <w:rPr>
                <w:rFonts w:ascii="Times New Roman" w:hAnsi="Times New Roman" w:cs="Times New Roman"/>
                <w:b/>
                <w:color w:val="000000"/>
                <w:sz w:val="18"/>
                <w:szCs w:val="18"/>
                <w:lang w:eastAsia="en-NZ"/>
              </w:rPr>
            </w:pPr>
          </w:p>
        </w:tc>
        <w:tc>
          <w:tcPr>
            <w:tcW w:w="621" w:type="dxa"/>
            <w:tcBorders>
              <w:top w:val="single" w:sz="4" w:space="0" w:color="auto"/>
            </w:tcBorders>
            <w:vAlign w:val="center"/>
          </w:tcPr>
          <w:p w:rsidR="002433AB" w:rsidRPr="00502EE4" w:rsidRDefault="002433AB" w:rsidP="00502EE4">
            <w:pPr>
              <w:keepNext/>
              <w:spacing w:before="20" w:after="20"/>
              <w:jc w:val="right"/>
              <w:rPr>
                <w:rFonts w:ascii="Times New Roman" w:hAnsi="Times New Roman" w:cs="Times New Roman"/>
                <w:b/>
                <w:color w:val="000000"/>
                <w:sz w:val="18"/>
                <w:szCs w:val="18"/>
                <w:lang w:eastAsia="en-NZ"/>
              </w:rPr>
            </w:pPr>
          </w:p>
        </w:tc>
      </w:tr>
      <w:tr w:rsidR="002433AB" w:rsidRPr="00502EE4" w:rsidTr="00B00F16">
        <w:trPr>
          <w:trHeight w:val="300"/>
        </w:trPr>
        <w:tc>
          <w:tcPr>
            <w:tcW w:w="2127" w:type="dxa"/>
            <w:vMerge w:val="restart"/>
            <w:shd w:val="clear" w:color="auto" w:fill="auto"/>
            <w:vAlign w:val="center"/>
          </w:tcPr>
          <w:p w:rsidR="002433AB" w:rsidRPr="00502EE4" w:rsidRDefault="002433AB" w:rsidP="00502EE4">
            <w:pPr>
              <w:keepNext/>
              <w:spacing w:before="20" w:after="20"/>
              <w:ind w:left="176"/>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SOGS non-problem</w:t>
            </w:r>
          </w:p>
        </w:tc>
        <w:tc>
          <w:tcPr>
            <w:tcW w:w="3118" w:type="dxa"/>
            <w:vMerge w:val="restart"/>
            <w:tcBorders>
              <w:right w:val="dotted" w:sz="4" w:space="0" w:color="auto"/>
            </w:tcBorders>
            <w:shd w:val="clear" w:color="auto" w:fill="auto"/>
            <w:noWrap/>
            <w:vAlign w:val="center"/>
            <w:hideMark/>
          </w:tcPr>
          <w:p w:rsidR="002433AB" w:rsidRPr="00502EE4" w:rsidRDefault="00502EE4" w:rsidP="002433AB">
            <w:pPr>
              <w:keepNext/>
              <w:spacing w:before="20" w:after="20"/>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8752" behindDoc="0" locked="0" layoutInCell="1" allowOverlap="1" wp14:anchorId="6CD891C3" wp14:editId="4B5CE059">
                      <wp:simplePos x="0" y="0"/>
                      <wp:positionH relativeFrom="column">
                        <wp:posOffset>1622425</wp:posOffset>
                      </wp:positionH>
                      <wp:positionV relativeFrom="paragraph">
                        <wp:posOffset>125730</wp:posOffset>
                      </wp:positionV>
                      <wp:extent cx="277495" cy="55245"/>
                      <wp:effectExtent l="0" t="19050" r="46355" b="40005"/>
                      <wp:wrapNone/>
                      <wp:docPr id="26" name="Right Arrow 26"/>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B1BD" id="Right Arrow 26" o:spid="_x0000_s1026" type="#_x0000_t13" style="position:absolute;margin-left:127.75pt;margin-top:9.9pt;width:21.8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" adj="19438" fillcolor="#4f81bd [3204]" strokecolor="#243f60 [1604]" strokeweight="2pt"/>
                  </w:pict>
                </mc:Fallback>
              </mc:AlternateContent>
            </w:r>
            <w:r w:rsidR="002433AB" w:rsidRPr="00502EE4">
              <w:rPr>
                <w:rFonts w:ascii="Times New Roman" w:hAnsi="Times New Roman" w:cs="Times New Roman"/>
                <w:color w:val="000000"/>
                <w:sz w:val="18"/>
                <w:szCs w:val="18"/>
                <w:lang w:eastAsia="en-NZ"/>
              </w:rPr>
              <w:t>Ever gambled + no gambling/non-problem/low risk</w:t>
            </w:r>
          </w:p>
        </w:tc>
        <w:tc>
          <w:tcPr>
            <w:tcW w:w="2548" w:type="dxa"/>
            <w:tcBorders>
              <w:left w:val="dotted" w:sz="4" w:space="0" w:color="auto"/>
            </w:tcBorders>
            <w:shd w:val="clear" w:color="auto" w:fill="auto"/>
            <w:noWrap/>
            <w:vAlign w:val="center"/>
            <w:hideMark/>
          </w:tcPr>
          <w:p w:rsidR="002433AB" w:rsidRPr="00502EE4" w:rsidRDefault="002433AB" w:rsidP="002433AB">
            <w:pPr>
              <w:keepNext/>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Moderate-risk/problem gambler</w:t>
            </w:r>
          </w:p>
        </w:tc>
        <w:tc>
          <w:tcPr>
            <w:tcW w:w="621" w:type="dxa"/>
            <w:vAlign w:val="center"/>
          </w:tcPr>
          <w:p w:rsidR="002433AB" w:rsidRPr="00502EE4" w:rsidRDefault="00502EE4" w:rsidP="00502EE4">
            <w:pPr>
              <w:keepNext/>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34</w:t>
            </w:r>
          </w:p>
        </w:tc>
      </w:tr>
      <w:tr w:rsidR="002433AB" w:rsidRPr="00502EE4" w:rsidTr="00B00F16">
        <w:trPr>
          <w:trHeight w:val="300"/>
        </w:trPr>
        <w:tc>
          <w:tcPr>
            <w:tcW w:w="2127" w:type="dxa"/>
            <w:vMerge/>
            <w:shd w:val="clear" w:color="auto" w:fill="auto"/>
            <w:vAlign w:val="center"/>
          </w:tcPr>
          <w:p w:rsidR="002433AB" w:rsidRPr="00502EE4" w:rsidRDefault="002433AB" w:rsidP="008D41C0">
            <w:pPr>
              <w:keepNext/>
              <w:spacing w:before="20" w:after="20"/>
              <w:jc w:val="center"/>
              <w:rPr>
                <w:rFonts w:ascii="Times New Roman" w:hAnsi="Times New Roman" w:cs="Times New Roman"/>
                <w:color w:val="000000"/>
                <w:sz w:val="18"/>
                <w:szCs w:val="18"/>
                <w:lang w:eastAsia="en-NZ"/>
              </w:rPr>
            </w:pPr>
          </w:p>
        </w:tc>
        <w:tc>
          <w:tcPr>
            <w:tcW w:w="3118" w:type="dxa"/>
            <w:vMerge/>
            <w:tcBorders>
              <w:right w:val="dotted" w:sz="4" w:space="0" w:color="auto"/>
            </w:tcBorders>
            <w:shd w:val="clear" w:color="auto" w:fill="auto"/>
            <w:vAlign w:val="center"/>
            <w:hideMark/>
          </w:tcPr>
          <w:p w:rsidR="002433AB" w:rsidRPr="00502EE4" w:rsidRDefault="002433AB" w:rsidP="008D41C0">
            <w:pPr>
              <w:keepNext/>
              <w:spacing w:before="20" w:after="20"/>
              <w:jc w:val="center"/>
              <w:rPr>
                <w:rFonts w:ascii="Times New Roman" w:hAnsi="Times New Roman" w:cs="Times New Roman"/>
                <w:color w:val="000000"/>
                <w:sz w:val="18"/>
                <w:szCs w:val="18"/>
                <w:lang w:eastAsia="en-NZ"/>
              </w:rPr>
            </w:pPr>
          </w:p>
        </w:tc>
        <w:tc>
          <w:tcPr>
            <w:tcW w:w="2548" w:type="dxa"/>
            <w:tcBorders>
              <w:left w:val="dotted" w:sz="4" w:space="0" w:color="auto"/>
            </w:tcBorders>
            <w:shd w:val="clear" w:color="auto" w:fill="auto"/>
            <w:noWrap/>
            <w:vAlign w:val="center"/>
            <w:hideMark/>
          </w:tcPr>
          <w:p w:rsidR="002433AB" w:rsidRPr="00502EE4" w:rsidRDefault="002433AB" w:rsidP="002433AB">
            <w:pPr>
              <w:keepNext/>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Non-problem/low risk</w:t>
            </w:r>
          </w:p>
        </w:tc>
        <w:tc>
          <w:tcPr>
            <w:tcW w:w="621" w:type="dxa"/>
            <w:vAlign w:val="center"/>
          </w:tcPr>
          <w:p w:rsidR="002433AB" w:rsidRPr="00502EE4" w:rsidRDefault="00502EE4" w:rsidP="00502EE4">
            <w:pPr>
              <w:keepNext/>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2,724</w:t>
            </w:r>
          </w:p>
        </w:tc>
      </w:tr>
      <w:tr w:rsidR="00B00F16" w:rsidRPr="00502EE4" w:rsidTr="0017366A">
        <w:trPr>
          <w:trHeight w:val="300"/>
        </w:trPr>
        <w:tc>
          <w:tcPr>
            <w:tcW w:w="7793" w:type="dxa"/>
            <w:gridSpan w:val="3"/>
            <w:shd w:val="clear" w:color="auto" w:fill="auto"/>
            <w:vAlign w:val="center"/>
          </w:tcPr>
          <w:p w:rsidR="00B00F16" w:rsidRPr="00502EE4" w:rsidRDefault="00B00F16" w:rsidP="008D41C0">
            <w:pPr>
              <w:keepNext/>
              <w:spacing w:before="20" w:after="20"/>
              <w:rPr>
                <w:rFonts w:ascii="Times New Roman" w:hAnsi="Times New Roman" w:cs="Times New Roman"/>
                <w:b/>
                <w:color w:val="000000"/>
                <w:sz w:val="18"/>
                <w:szCs w:val="18"/>
                <w:lang w:eastAsia="en-NZ"/>
              </w:rPr>
            </w:pPr>
            <w:r w:rsidRPr="00502EE4">
              <w:rPr>
                <w:rFonts w:ascii="Times New Roman" w:hAnsi="Times New Roman" w:cs="Times New Roman"/>
                <w:b/>
                <w:color w:val="000000"/>
                <w:sz w:val="18"/>
                <w:szCs w:val="18"/>
                <w:lang w:eastAsia="en-NZ"/>
              </w:rPr>
              <w:t>Incidence of relapsed (SOGS 3+) moderate-risk/problem gambler</w:t>
            </w:r>
          </w:p>
        </w:tc>
        <w:tc>
          <w:tcPr>
            <w:tcW w:w="621" w:type="dxa"/>
            <w:vAlign w:val="center"/>
          </w:tcPr>
          <w:p w:rsidR="00B00F16" w:rsidRPr="00502EE4" w:rsidRDefault="00B00F16" w:rsidP="00502EE4">
            <w:pPr>
              <w:keepNext/>
              <w:spacing w:before="20" w:after="20"/>
              <w:jc w:val="right"/>
              <w:rPr>
                <w:rFonts w:ascii="Times New Roman" w:hAnsi="Times New Roman" w:cs="Times New Roman"/>
                <w:b/>
                <w:color w:val="000000"/>
                <w:sz w:val="18"/>
                <w:szCs w:val="18"/>
                <w:lang w:eastAsia="en-NZ"/>
              </w:rPr>
            </w:pPr>
          </w:p>
        </w:tc>
      </w:tr>
      <w:tr w:rsidR="002433AB" w:rsidRPr="00502EE4" w:rsidTr="00B00F16">
        <w:trPr>
          <w:trHeight w:val="300"/>
        </w:trPr>
        <w:tc>
          <w:tcPr>
            <w:tcW w:w="2127" w:type="dxa"/>
            <w:vMerge w:val="restart"/>
            <w:shd w:val="clear" w:color="auto" w:fill="auto"/>
            <w:vAlign w:val="center"/>
          </w:tcPr>
          <w:p w:rsidR="00502EE4" w:rsidRDefault="002433AB" w:rsidP="00502EE4">
            <w:pPr>
              <w:keepNext/>
              <w:spacing w:before="20" w:after="20"/>
              <w:ind w:left="176"/>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 xml:space="preserve">SOGS 3+ </w:t>
            </w:r>
          </w:p>
          <w:p w:rsidR="002433AB" w:rsidRPr="00502EE4" w:rsidRDefault="002433AB" w:rsidP="00502EE4">
            <w:pPr>
              <w:keepNext/>
              <w:spacing w:before="20" w:after="20"/>
              <w:ind w:left="176"/>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(problem gambler)</w:t>
            </w:r>
          </w:p>
        </w:tc>
        <w:tc>
          <w:tcPr>
            <w:tcW w:w="3118" w:type="dxa"/>
            <w:vMerge w:val="restart"/>
            <w:tcBorders>
              <w:right w:val="dotted" w:sz="4" w:space="0" w:color="auto"/>
            </w:tcBorders>
            <w:shd w:val="clear" w:color="auto" w:fill="auto"/>
            <w:noWrap/>
            <w:vAlign w:val="center"/>
            <w:hideMark/>
          </w:tcPr>
          <w:p w:rsidR="002433AB" w:rsidRPr="00502EE4" w:rsidRDefault="00502EE4" w:rsidP="002433AB">
            <w:pPr>
              <w:keepNext/>
              <w:spacing w:before="20" w:after="20"/>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59776" behindDoc="0" locked="0" layoutInCell="1" allowOverlap="1" wp14:anchorId="45178F92" wp14:editId="33EBBAB1">
                      <wp:simplePos x="0" y="0"/>
                      <wp:positionH relativeFrom="column">
                        <wp:posOffset>1630045</wp:posOffset>
                      </wp:positionH>
                      <wp:positionV relativeFrom="paragraph">
                        <wp:posOffset>144145</wp:posOffset>
                      </wp:positionV>
                      <wp:extent cx="277495" cy="55245"/>
                      <wp:effectExtent l="0" t="19050" r="46355" b="40005"/>
                      <wp:wrapNone/>
                      <wp:docPr id="27" name="Right Arrow 27"/>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0733" id="Right Arrow 27" o:spid="_x0000_s1026" type="#_x0000_t13" style="position:absolute;margin-left:128.35pt;margin-top:11.35pt;width:21.85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" adj="19438" fillcolor="#4f81bd [3204]" strokecolor="#243f60 [1604]" strokeweight="2pt"/>
                  </w:pict>
                </mc:Fallback>
              </mc:AlternateContent>
            </w:r>
            <w:r w:rsidR="002433AB" w:rsidRPr="00502EE4">
              <w:rPr>
                <w:rFonts w:ascii="Times New Roman" w:hAnsi="Times New Roman" w:cs="Times New Roman"/>
                <w:color w:val="000000"/>
                <w:sz w:val="18"/>
                <w:szCs w:val="18"/>
                <w:lang w:eastAsia="en-NZ"/>
              </w:rPr>
              <w:t>Ever gambled + no gambling/non-problem/low risk</w:t>
            </w:r>
          </w:p>
        </w:tc>
        <w:tc>
          <w:tcPr>
            <w:tcW w:w="2548" w:type="dxa"/>
            <w:tcBorders>
              <w:left w:val="dotted" w:sz="4" w:space="0" w:color="auto"/>
            </w:tcBorders>
            <w:shd w:val="clear" w:color="auto" w:fill="auto"/>
            <w:noWrap/>
            <w:vAlign w:val="center"/>
            <w:hideMark/>
          </w:tcPr>
          <w:p w:rsidR="002433AB" w:rsidRPr="00502EE4" w:rsidRDefault="002433AB" w:rsidP="002433AB">
            <w:pPr>
              <w:keepNext/>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Moderate-risk/problem gambler</w:t>
            </w:r>
          </w:p>
        </w:tc>
        <w:tc>
          <w:tcPr>
            <w:tcW w:w="621" w:type="dxa"/>
            <w:vAlign w:val="center"/>
          </w:tcPr>
          <w:p w:rsidR="002433AB" w:rsidRPr="00502EE4" w:rsidRDefault="00502EE4" w:rsidP="00502EE4">
            <w:pPr>
              <w:keepNext/>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12</w:t>
            </w:r>
          </w:p>
        </w:tc>
      </w:tr>
      <w:tr w:rsidR="002433AB" w:rsidRPr="00502EE4" w:rsidTr="00B00F16">
        <w:trPr>
          <w:trHeight w:val="300"/>
        </w:trPr>
        <w:tc>
          <w:tcPr>
            <w:tcW w:w="2127" w:type="dxa"/>
            <w:vMerge/>
            <w:vAlign w:val="center"/>
          </w:tcPr>
          <w:p w:rsidR="002433AB" w:rsidRPr="00502EE4" w:rsidRDefault="002433AB" w:rsidP="008D41C0">
            <w:pPr>
              <w:keepNext/>
              <w:spacing w:before="20" w:after="20"/>
              <w:jc w:val="center"/>
              <w:rPr>
                <w:rFonts w:ascii="Times New Roman" w:hAnsi="Times New Roman" w:cs="Times New Roman"/>
                <w:color w:val="000000"/>
                <w:sz w:val="18"/>
                <w:szCs w:val="18"/>
                <w:lang w:eastAsia="en-NZ"/>
              </w:rPr>
            </w:pPr>
          </w:p>
        </w:tc>
        <w:tc>
          <w:tcPr>
            <w:tcW w:w="3118" w:type="dxa"/>
            <w:vMerge/>
            <w:tcBorders>
              <w:right w:val="dotted" w:sz="4" w:space="0" w:color="auto"/>
            </w:tcBorders>
            <w:vAlign w:val="center"/>
            <w:hideMark/>
          </w:tcPr>
          <w:p w:rsidR="002433AB" w:rsidRPr="00502EE4" w:rsidRDefault="002433AB" w:rsidP="008D41C0">
            <w:pPr>
              <w:keepNext/>
              <w:spacing w:before="20" w:after="20"/>
              <w:jc w:val="center"/>
              <w:rPr>
                <w:rFonts w:ascii="Times New Roman" w:hAnsi="Times New Roman" w:cs="Times New Roman"/>
                <w:color w:val="000000"/>
                <w:sz w:val="18"/>
                <w:szCs w:val="18"/>
                <w:lang w:eastAsia="en-NZ"/>
              </w:rPr>
            </w:pPr>
          </w:p>
        </w:tc>
        <w:tc>
          <w:tcPr>
            <w:tcW w:w="2548" w:type="dxa"/>
            <w:tcBorders>
              <w:left w:val="dotted" w:sz="4" w:space="0" w:color="auto"/>
            </w:tcBorders>
            <w:noWrap/>
            <w:vAlign w:val="center"/>
            <w:hideMark/>
          </w:tcPr>
          <w:p w:rsidR="002433AB" w:rsidRPr="00502EE4" w:rsidRDefault="002433AB" w:rsidP="002433AB">
            <w:pPr>
              <w:keepNext/>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Non-problem/low risk</w:t>
            </w:r>
          </w:p>
        </w:tc>
        <w:tc>
          <w:tcPr>
            <w:tcW w:w="621" w:type="dxa"/>
            <w:vAlign w:val="center"/>
          </w:tcPr>
          <w:p w:rsidR="002433AB" w:rsidRPr="00502EE4" w:rsidRDefault="00502EE4" w:rsidP="00502EE4">
            <w:pPr>
              <w:keepNext/>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78</w:t>
            </w:r>
          </w:p>
        </w:tc>
      </w:tr>
      <w:tr w:rsidR="00B00F16" w:rsidRPr="00502EE4" w:rsidTr="0017366A">
        <w:trPr>
          <w:trHeight w:val="300"/>
        </w:trPr>
        <w:tc>
          <w:tcPr>
            <w:tcW w:w="7793" w:type="dxa"/>
            <w:gridSpan w:val="3"/>
            <w:vAlign w:val="center"/>
          </w:tcPr>
          <w:p w:rsidR="00B00F16" w:rsidRPr="00502EE4" w:rsidRDefault="00B00F16" w:rsidP="002433AB">
            <w:pPr>
              <w:keepNext/>
              <w:spacing w:before="20" w:after="20"/>
              <w:rPr>
                <w:rFonts w:ascii="Times New Roman" w:hAnsi="Times New Roman" w:cs="Times New Roman"/>
                <w:b/>
                <w:color w:val="000000"/>
                <w:sz w:val="18"/>
                <w:szCs w:val="18"/>
                <w:lang w:eastAsia="en-NZ"/>
              </w:rPr>
            </w:pPr>
            <w:r w:rsidRPr="00502EE4">
              <w:rPr>
                <w:rFonts w:ascii="Times New Roman" w:hAnsi="Times New Roman" w:cs="Times New Roman"/>
                <w:b/>
                <w:color w:val="000000"/>
                <w:sz w:val="18"/>
                <w:szCs w:val="18"/>
                <w:lang w:eastAsia="en-NZ"/>
              </w:rPr>
              <w:t>Incidence of relapsed (SOGS 5+) moderate-risk/problem gambler</w:t>
            </w:r>
          </w:p>
        </w:tc>
        <w:tc>
          <w:tcPr>
            <w:tcW w:w="621" w:type="dxa"/>
            <w:vAlign w:val="center"/>
          </w:tcPr>
          <w:p w:rsidR="00B00F16" w:rsidRPr="00502EE4" w:rsidRDefault="00B00F16" w:rsidP="00502EE4">
            <w:pPr>
              <w:keepNext/>
              <w:spacing w:before="20" w:after="20"/>
              <w:jc w:val="right"/>
              <w:rPr>
                <w:rFonts w:ascii="Times New Roman" w:hAnsi="Times New Roman" w:cs="Times New Roman"/>
                <w:b/>
                <w:color w:val="000000"/>
                <w:sz w:val="18"/>
                <w:szCs w:val="18"/>
                <w:lang w:eastAsia="en-NZ"/>
              </w:rPr>
            </w:pPr>
          </w:p>
        </w:tc>
      </w:tr>
      <w:tr w:rsidR="002433AB" w:rsidRPr="00502EE4" w:rsidTr="00B00F16">
        <w:trPr>
          <w:trHeight w:val="300"/>
        </w:trPr>
        <w:tc>
          <w:tcPr>
            <w:tcW w:w="2127" w:type="dxa"/>
            <w:vMerge w:val="restart"/>
            <w:vAlign w:val="center"/>
          </w:tcPr>
          <w:p w:rsidR="002433AB" w:rsidRPr="00502EE4" w:rsidRDefault="002433AB" w:rsidP="00502EE4">
            <w:pPr>
              <w:keepNext/>
              <w:spacing w:before="20" w:after="20"/>
              <w:ind w:left="176"/>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SOGS 5+ (probable pathological gambler)</w:t>
            </w:r>
          </w:p>
        </w:tc>
        <w:tc>
          <w:tcPr>
            <w:tcW w:w="3118" w:type="dxa"/>
            <w:vMerge w:val="restart"/>
            <w:tcBorders>
              <w:right w:val="dotted" w:sz="4" w:space="0" w:color="auto"/>
            </w:tcBorders>
            <w:noWrap/>
            <w:vAlign w:val="center"/>
            <w:hideMark/>
          </w:tcPr>
          <w:p w:rsidR="002433AB" w:rsidRPr="00502EE4" w:rsidRDefault="00502EE4" w:rsidP="002433AB">
            <w:pPr>
              <w:keepNext/>
              <w:spacing w:before="20" w:after="20"/>
              <w:rPr>
                <w:rFonts w:ascii="Times New Roman" w:hAnsi="Times New Roman" w:cs="Times New Roman"/>
                <w:color w:val="000000"/>
                <w:sz w:val="18"/>
                <w:szCs w:val="18"/>
                <w:lang w:eastAsia="en-NZ"/>
              </w:rPr>
            </w:pPr>
            <w:r>
              <w:rPr>
                <w:noProof/>
                <w:color w:val="000000"/>
                <w:sz w:val="18"/>
                <w:szCs w:val="18"/>
                <w:lang w:eastAsia="en-NZ"/>
              </w:rPr>
              <mc:AlternateContent>
                <mc:Choice Requires="wps">
                  <w:drawing>
                    <wp:anchor distT="0" distB="0" distL="114300" distR="114300" simplePos="0" relativeHeight="251662848" behindDoc="0" locked="0" layoutInCell="1" allowOverlap="1" wp14:anchorId="7565EC4B" wp14:editId="6226EAD6">
                      <wp:simplePos x="0" y="0"/>
                      <wp:positionH relativeFrom="column">
                        <wp:posOffset>1620520</wp:posOffset>
                      </wp:positionH>
                      <wp:positionV relativeFrom="paragraph">
                        <wp:posOffset>134620</wp:posOffset>
                      </wp:positionV>
                      <wp:extent cx="277495" cy="55245"/>
                      <wp:effectExtent l="0" t="19050" r="46355" b="40005"/>
                      <wp:wrapNone/>
                      <wp:docPr id="28" name="Right Arrow 28"/>
                      <wp:cNvGraphicFramePr/>
                      <a:graphic xmlns:a="http://schemas.openxmlformats.org/drawingml/2006/main">
                        <a:graphicData uri="http://schemas.microsoft.com/office/word/2010/wordprocessingShape">
                          <wps:wsp>
                            <wps:cNvSpPr/>
                            <wps:spPr>
                              <a:xfrm>
                                <a:off x="0" y="0"/>
                                <a:ext cx="278048" cy="5565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B03" id="Right Arrow 28" o:spid="_x0000_s1026" type="#_x0000_t13" style="position:absolute;margin-left:127.6pt;margin-top:10.6pt;width:21.85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" adj="19438" fillcolor="#4f81bd [3204]" strokecolor="#243f60 [1604]" strokeweight="2pt"/>
                  </w:pict>
                </mc:Fallback>
              </mc:AlternateContent>
            </w:r>
            <w:r w:rsidR="002433AB" w:rsidRPr="00502EE4">
              <w:rPr>
                <w:rFonts w:ascii="Times New Roman" w:hAnsi="Times New Roman" w:cs="Times New Roman"/>
                <w:color w:val="000000"/>
                <w:sz w:val="18"/>
                <w:szCs w:val="18"/>
                <w:lang w:eastAsia="en-NZ"/>
              </w:rPr>
              <w:t>Ever gambled + no gambling/non-problem/low risk</w:t>
            </w:r>
          </w:p>
        </w:tc>
        <w:tc>
          <w:tcPr>
            <w:tcW w:w="2548" w:type="dxa"/>
            <w:tcBorders>
              <w:left w:val="dotted" w:sz="4" w:space="0" w:color="auto"/>
            </w:tcBorders>
            <w:noWrap/>
            <w:vAlign w:val="center"/>
            <w:hideMark/>
          </w:tcPr>
          <w:p w:rsidR="002433AB" w:rsidRPr="00502EE4" w:rsidRDefault="002433AB" w:rsidP="002433AB">
            <w:pPr>
              <w:keepNext/>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Moderate-risk/problem gambler</w:t>
            </w:r>
          </w:p>
        </w:tc>
        <w:tc>
          <w:tcPr>
            <w:tcW w:w="621" w:type="dxa"/>
            <w:vAlign w:val="center"/>
          </w:tcPr>
          <w:p w:rsidR="002433AB" w:rsidRPr="00502EE4" w:rsidRDefault="00502EE4" w:rsidP="00502EE4">
            <w:pPr>
              <w:keepNext/>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0.6</w:t>
            </w:r>
          </w:p>
        </w:tc>
      </w:tr>
      <w:tr w:rsidR="002433AB" w:rsidRPr="00502EE4" w:rsidTr="00B00F16">
        <w:trPr>
          <w:trHeight w:val="300"/>
        </w:trPr>
        <w:tc>
          <w:tcPr>
            <w:tcW w:w="2127" w:type="dxa"/>
            <w:vMerge/>
            <w:tcBorders>
              <w:bottom w:val="single" w:sz="4" w:space="0" w:color="auto"/>
            </w:tcBorders>
            <w:vAlign w:val="center"/>
          </w:tcPr>
          <w:p w:rsidR="002433AB" w:rsidRPr="00502EE4" w:rsidRDefault="002433AB" w:rsidP="00320536">
            <w:pPr>
              <w:spacing w:before="20" w:after="20"/>
              <w:jc w:val="center"/>
              <w:rPr>
                <w:rFonts w:ascii="Times New Roman" w:hAnsi="Times New Roman" w:cs="Times New Roman"/>
                <w:color w:val="000000"/>
                <w:sz w:val="18"/>
                <w:szCs w:val="18"/>
                <w:lang w:eastAsia="en-NZ"/>
              </w:rPr>
            </w:pPr>
          </w:p>
        </w:tc>
        <w:tc>
          <w:tcPr>
            <w:tcW w:w="3118" w:type="dxa"/>
            <w:vMerge/>
            <w:tcBorders>
              <w:bottom w:val="single" w:sz="4" w:space="0" w:color="auto"/>
              <w:right w:val="dotted" w:sz="4" w:space="0" w:color="auto"/>
            </w:tcBorders>
            <w:vAlign w:val="center"/>
            <w:hideMark/>
          </w:tcPr>
          <w:p w:rsidR="002433AB" w:rsidRPr="00502EE4" w:rsidRDefault="002433AB" w:rsidP="00320536">
            <w:pPr>
              <w:spacing w:before="20" w:after="20"/>
              <w:jc w:val="center"/>
              <w:rPr>
                <w:rFonts w:ascii="Times New Roman" w:hAnsi="Times New Roman" w:cs="Times New Roman"/>
                <w:color w:val="000000"/>
                <w:sz w:val="18"/>
                <w:szCs w:val="18"/>
                <w:lang w:eastAsia="en-NZ"/>
              </w:rPr>
            </w:pPr>
          </w:p>
        </w:tc>
        <w:tc>
          <w:tcPr>
            <w:tcW w:w="2548" w:type="dxa"/>
            <w:tcBorders>
              <w:left w:val="dotted" w:sz="4" w:space="0" w:color="auto"/>
              <w:bottom w:val="single" w:sz="4" w:space="0" w:color="auto"/>
            </w:tcBorders>
            <w:noWrap/>
            <w:vAlign w:val="center"/>
            <w:hideMark/>
          </w:tcPr>
          <w:p w:rsidR="002433AB" w:rsidRPr="00502EE4" w:rsidRDefault="002433AB" w:rsidP="002433AB">
            <w:pPr>
              <w:spacing w:before="20" w:after="20"/>
              <w:rPr>
                <w:rFonts w:ascii="Times New Roman" w:hAnsi="Times New Roman" w:cs="Times New Roman"/>
                <w:color w:val="000000"/>
                <w:sz w:val="18"/>
                <w:szCs w:val="18"/>
                <w:lang w:eastAsia="en-NZ"/>
              </w:rPr>
            </w:pPr>
            <w:r w:rsidRPr="00502EE4">
              <w:rPr>
                <w:rFonts w:ascii="Times New Roman" w:hAnsi="Times New Roman" w:cs="Times New Roman"/>
                <w:color w:val="000000"/>
                <w:sz w:val="18"/>
                <w:szCs w:val="18"/>
                <w:lang w:eastAsia="en-NZ"/>
              </w:rPr>
              <w:t>Non-problem/low risk</w:t>
            </w:r>
          </w:p>
        </w:tc>
        <w:tc>
          <w:tcPr>
            <w:tcW w:w="621" w:type="dxa"/>
            <w:tcBorders>
              <w:bottom w:val="single" w:sz="4" w:space="0" w:color="auto"/>
            </w:tcBorders>
            <w:vAlign w:val="center"/>
          </w:tcPr>
          <w:p w:rsidR="002433AB" w:rsidRPr="00502EE4" w:rsidRDefault="00502EE4" w:rsidP="00502EE4">
            <w:pPr>
              <w:spacing w:before="20" w:after="20"/>
              <w:jc w:val="right"/>
              <w:rPr>
                <w:rFonts w:ascii="Times New Roman" w:hAnsi="Times New Roman" w:cs="Times New Roman"/>
                <w:color w:val="000000"/>
                <w:sz w:val="18"/>
                <w:szCs w:val="18"/>
                <w:lang w:eastAsia="en-NZ"/>
              </w:rPr>
            </w:pPr>
            <w:r>
              <w:rPr>
                <w:rFonts w:ascii="Times New Roman" w:hAnsi="Times New Roman" w:cs="Times New Roman"/>
                <w:color w:val="000000"/>
                <w:sz w:val="18"/>
                <w:szCs w:val="18"/>
                <w:lang w:eastAsia="en-NZ"/>
              </w:rPr>
              <w:t>29</w:t>
            </w:r>
          </w:p>
        </w:tc>
      </w:tr>
    </w:tbl>
    <w:p w:rsidR="008D6037" w:rsidRPr="00502EE4" w:rsidRDefault="008D6037" w:rsidP="008D6037">
      <w:pPr>
        <w:jc w:val="both"/>
        <w:rPr>
          <w:sz w:val="18"/>
          <w:szCs w:val="22"/>
        </w:rPr>
      </w:pPr>
      <w:r w:rsidRPr="00502EE4">
        <w:rPr>
          <w:sz w:val="18"/>
          <w:szCs w:val="22"/>
        </w:rPr>
        <w:t xml:space="preserve">Note: </w:t>
      </w:r>
    </w:p>
    <w:p w:rsidR="008D6037" w:rsidRPr="00502EE4" w:rsidRDefault="008D6037" w:rsidP="008D6037">
      <w:pPr>
        <w:jc w:val="both"/>
        <w:rPr>
          <w:sz w:val="18"/>
          <w:szCs w:val="22"/>
        </w:rPr>
      </w:pPr>
      <w:r w:rsidRPr="00502EE4">
        <w:rPr>
          <w:sz w:val="18"/>
          <w:szCs w:val="22"/>
        </w:rPr>
        <w:t>1) No gambling relates to no gambling in last 12 months</w:t>
      </w:r>
    </w:p>
    <w:p w:rsidR="00C434B0" w:rsidRDefault="008D6037" w:rsidP="008D6037">
      <w:pPr>
        <w:jc w:val="both"/>
        <w:rPr>
          <w:sz w:val="18"/>
          <w:szCs w:val="22"/>
        </w:rPr>
      </w:pPr>
      <w:r w:rsidRPr="00502EE4">
        <w:rPr>
          <w:sz w:val="18"/>
          <w:szCs w:val="22"/>
        </w:rPr>
        <w:t>2) Incidence of problem gambler, persistence of problem gambler, and cessation of gambling from problem gambler are all small numbers and as such have only been presented descriptively.  They will not be inferentially analysed until later waves of data have been collect</w:t>
      </w:r>
      <w:r w:rsidR="006D391C" w:rsidRPr="00502EE4">
        <w:rPr>
          <w:sz w:val="18"/>
          <w:szCs w:val="22"/>
        </w:rPr>
        <w:t>ed</w:t>
      </w:r>
      <w:r w:rsidRPr="00502EE4">
        <w:rPr>
          <w:sz w:val="18"/>
          <w:szCs w:val="22"/>
        </w:rPr>
        <w:t xml:space="preserve"> and the cumulative numbers are sufficient for robust analysis.</w:t>
      </w:r>
    </w:p>
    <w:p w:rsidR="00502EE4" w:rsidRPr="00502EE4" w:rsidRDefault="00502EE4" w:rsidP="00502EE4">
      <w:pPr>
        <w:jc w:val="both"/>
        <w:rPr>
          <w:sz w:val="18"/>
          <w:szCs w:val="22"/>
        </w:rPr>
      </w:pPr>
      <w:r>
        <w:rPr>
          <w:sz w:val="18"/>
          <w:szCs w:val="22"/>
        </w:rPr>
        <w:t xml:space="preserve">3) </w:t>
      </w:r>
      <w:r w:rsidRPr="00502EE4">
        <w:rPr>
          <w:sz w:val="18"/>
          <w:szCs w:val="22"/>
        </w:rPr>
        <w:t xml:space="preserve">n values adjusted for </w:t>
      </w:r>
      <w:r w:rsidRPr="00502EE4">
        <w:rPr>
          <w:sz w:val="16"/>
        </w:rPr>
        <w:t>2013 Census data and attrition</w:t>
      </w:r>
    </w:p>
    <w:p w:rsidR="0065275B" w:rsidRDefault="0065275B" w:rsidP="00173EB8">
      <w:pPr>
        <w:jc w:val="both"/>
        <w:rPr>
          <w:szCs w:val="22"/>
        </w:rPr>
      </w:pPr>
    </w:p>
    <w:p w:rsidR="008D6037" w:rsidRPr="008D6037" w:rsidRDefault="008D6037" w:rsidP="008D6037">
      <w:pPr>
        <w:jc w:val="both"/>
        <w:rPr>
          <w:szCs w:val="22"/>
        </w:rPr>
      </w:pPr>
      <w:r w:rsidRPr="008D6037">
        <w:rPr>
          <w:szCs w:val="22"/>
        </w:rPr>
        <w:t xml:space="preserve">The transitions </w:t>
      </w:r>
      <w:r>
        <w:rPr>
          <w:szCs w:val="22"/>
        </w:rPr>
        <w:t>were</w:t>
      </w:r>
      <w:r w:rsidRPr="008D6037">
        <w:rPr>
          <w:szCs w:val="22"/>
        </w:rPr>
        <w:t xml:space="preserve"> examined in turn using weighted logistic regression, using the census+attrition weights. </w:t>
      </w:r>
      <w:r>
        <w:rPr>
          <w:szCs w:val="22"/>
        </w:rPr>
        <w:t xml:space="preserve"> </w:t>
      </w:r>
      <w:r w:rsidRPr="008D6037">
        <w:rPr>
          <w:szCs w:val="22"/>
        </w:rPr>
        <w:t xml:space="preserve">For each transition, the potential explanatory covariates listed in </w:t>
      </w:r>
      <w:r w:rsidRPr="008D6037">
        <w:rPr>
          <w:szCs w:val="22"/>
        </w:rPr>
        <w:fldChar w:fldCharType="begin"/>
      </w:r>
      <w:r w:rsidRPr="008D6037">
        <w:rPr>
          <w:szCs w:val="22"/>
        </w:rPr>
        <w:instrText xml:space="preserve"> REF _Ref399510102 \h  \* MERGEFORMAT </w:instrText>
      </w:r>
      <w:r w:rsidRPr="008D6037">
        <w:rPr>
          <w:szCs w:val="22"/>
        </w:rPr>
      </w:r>
      <w:r w:rsidRPr="008D6037">
        <w:rPr>
          <w:szCs w:val="22"/>
        </w:rPr>
        <w:fldChar w:fldCharType="separate"/>
      </w:r>
      <w:r w:rsidR="00B2175B" w:rsidRPr="00B2175B">
        <w:t xml:space="preserve">Appendix </w:t>
      </w:r>
      <w:r w:rsidR="00B2175B" w:rsidRPr="00B2175B">
        <w:rPr>
          <w:noProof/>
        </w:rPr>
        <w:t>2</w:t>
      </w:r>
      <w:r w:rsidRPr="008D6037">
        <w:rPr>
          <w:szCs w:val="22"/>
        </w:rPr>
        <w:fldChar w:fldCharType="end"/>
      </w:r>
      <w:r w:rsidRPr="008D6037">
        <w:rPr>
          <w:szCs w:val="22"/>
        </w:rPr>
        <w:t xml:space="preserve"> </w:t>
      </w:r>
      <w:r>
        <w:rPr>
          <w:szCs w:val="22"/>
        </w:rPr>
        <w:t>were</w:t>
      </w:r>
      <w:r w:rsidRPr="008D6037">
        <w:rPr>
          <w:szCs w:val="22"/>
        </w:rPr>
        <w:t xml:space="preserve"> considered for possible inclusion in an explanatory model. </w:t>
      </w:r>
    </w:p>
    <w:p w:rsidR="008D6037" w:rsidRDefault="008D6037" w:rsidP="008D6037">
      <w:pPr>
        <w:jc w:val="both"/>
        <w:rPr>
          <w:szCs w:val="22"/>
        </w:rPr>
      </w:pPr>
    </w:p>
    <w:p w:rsidR="008D6037" w:rsidRDefault="008D6037" w:rsidP="008D6037">
      <w:pPr>
        <w:jc w:val="both"/>
        <w:rPr>
          <w:szCs w:val="22"/>
        </w:rPr>
      </w:pPr>
      <w:r w:rsidRPr="008D6037">
        <w:rPr>
          <w:szCs w:val="22"/>
        </w:rPr>
        <w:t>Model selection generally proceed</w:t>
      </w:r>
      <w:r>
        <w:rPr>
          <w:szCs w:val="22"/>
        </w:rPr>
        <w:t>ed</w:t>
      </w:r>
      <w:r w:rsidRPr="008D6037">
        <w:rPr>
          <w:szCs w:val="22"/>
        </w:rPr>
        <w:t xml:space="preserve"> through several steps. </w:t>
      </w:r>
      <w:r>
        <w:rPr>
          <w:szCs w:val="22"/>
        </w:rPr>
        <w:t xml:space="preserve"> The first step wa</w:t>
      </w:r>
      <w:r w:rsidRPr="008D6037">
        <w:rPr>
          <w:szCs w:val="22"/>
        </w:rPr>
        <w:t>s to identify candidate variables in bivariate analyses with the outcome variable that ha</w:t>
      </w:r>
      <w:r w:rsidR="006C5D8B">
        <w:rPr>
          <w:szCs w:val="22"/>
        </w:rPr>
        <w:t>ve</w:t>
      </w:r>
      <w:r w:rsidRPr="008D6037">
        <w:rPr>
          <w:szCs w:val="22"/>
        </w:rPr>
        <w:t xml:space="preserve"> a p-value &lt; 0.2</w:t>
      </w:r>
      <w:r>
        <w:rPr>
          <w:szCs w:val="22"/>
        </w:rPr>
        <w:t xml:space="preserve">. </w:t>
      </w:r>
      <w:r w:rsidRPr="008D6037">
        <w:rPr>
          <w:szCs w:val="22"/>
        </w:rPr>
        <w:t xml:space="preserve"> Models </w:t>
      </w:r>
      <w:r>
        <w:rPr>
          <w:szCs w:val="22"/>
        </w:rPr>
        <w:t>were</w:t>
      </w:r>
      <w:r w:rsidRPr="008D6037">
        <w:rPr>
          <w:szCs w:val="22"/>
        </w:rPr>
        <w:t xml:space="preserve"> then </w:t>
      </w:r>
      <w:r>
        <w:rPr>
          <w:szCs w:val="22"/>
        </w:rPr>
        <w:t>d</w:t>
      </w:r>
      <w:r w:rsidRPr="008D6037">
        <w:rPr>
          <w:szCs w:val="22"/>
        </w:rPr>
        <w:t xml:space="preserve">eveloped for each of the major data domains (e.g. demographics, participation, co-existing conditions) using the candidate variables, in order to identify the best subset of variables from that data domain. </w:t>
      </w:r>
      <w:r>
        <w:rPr>
          <w:szCs w:val="22"/>
        </w:rPr>
        <w:t xml:space="preserve"> </w:t>
      </w:r>
      <w:r w:rsidRPr="008D6037">
        <w:rPr>
          <w:szCs w:val="22"/>
        </w:rPr>
        <w:t xml:space="preserve">Then all of the results from the separate domains </w:t>
      </w:r>
      <w:r>
        <w:rPr>
          <w:szCs w:val="22"/>
        </w:rPr>
        <w:t>were</w:t>
      </w:r>
      <w:r w:rsidRPr="008D6037">
        <w:rPr>
          <w:szCs w:val="22"/>
        </w:rPr>
        <w:t xml:space="preserve"> considered for an overall model. </w:t>
      </w:r>
      <w:r>
        <w:rPr>
          <w:szCs w:val="22"/>
        </w:rPr>
        <w:t xml:space="preserve"> </w:t>
      </w:r>
      <w:r w:rsidRPr="008D6037">
        <w:rPr>
          <w:szCs w:val="22"/>
        </w:rPr>
        <w:t xml:space="preserve">Each of the model building procedures </w:t>
      </w:r>
      <w:r>
        <w:rPr>
          <w:szCs w:val="22"/>
        </w:rPr>
        <w:t xml:space="preserve">followed </w:t>
      </w:r>
      <w:r w:rsidRPr="008D6037">
        <w:rPr>
          <w:szCs w:val="22"/>
        </w:rPr>
        <w:t xml:space="preserve">a stepwise selection method tempered by consideration of information criteria. </w:t>
      </w:r>
      <w:r>
        <w:rPr>
          <w:szCs w:val="22"/>
        </w:rPr>
        <w:t xml:space="preserve"> </w:t>
      </w:r>
      <w:r w:rsidRPr="008D6037">
        <w:rPr>
          <w:szCs w:val="22"/>
        </w:rPr>
        <w:t xml:space="preserve">Parsimonious models </w:t>
      </w:r>
      <w:r>
        <w:rPr>
          <w:szCs w:val="22"/>
        </w:rPr>
        <w:t xml:space="preserve">were </w:t>
      </w:r>
      <w:r w:rsidRPr="008D6037">
        <w:rPr>
          <w:szCs w:val="22"/>
        </w:rPr>
        <w:t xml:space="preserve">favoured, and competing models with similar fit but markedly different compositions </w:t>
      </w:r>
      <w:r>
        <w:rPr>
          <w:szCs w:val="22"/>
        </w:rPr>
        <w:t>have</w:t>
      </w:r>
      <w:r w:rsidRPr="008D6037">
        <w:rPr>
          <w:szCs w:val="22"/>
        </w:rPr>
        <w:t xml:space="preserve"> all be</w:t>
      </w:r>
      <w:r>
        <w:rPr>
          <w:szCs w:val="22"/>
        </w:rPr>
        <w:t>en</w:t>
      </w:r>
      <w:r w:rsidRPr="008D6037">
        <w:rPr>
          <w:szCs w:val="22"/>
        </w:rPr>
        <w:t xml:space="preserve"> reported.</w:t>
      </w:r>
    </w:p>
    <w:p w:rsidR="008D6037" w:rsidRPr="008D6037" w:rsidRDefault="008D6037" w:rsidP="008D6037">
      <w:pPr>
        <w:jc w:val="both"/>
        <w:rPr>
          <w:szCs w:val="22"/>
        </w:rPr>
      </w:pPr>
      <w:r w:rsidRPr="008D6037">
        <w:rPr>
          <w:szCs w:val="22"/>
        </w:rPr>
        <w:t xml:space="preserve"> </w:t>
      </w:r>
    </w:p>
    <w:p w:rsidR="008D6037" w:rsidRDefault="008D6037" w:rsidP="008D6037">
      <w:pPr>
        <w:jc w:val="both"/>
        <w:rPr>
          <w:szCs w:val="22"/>
        </w:rPr>
      </w:pPr>
      <w:r w:rsidRPr="008D6037">
        <w:rPr>
          <w:szCs w:val="22"/>
        </w:rPr>
        <w:t xml:space="preserve">The base odds and odds ratio of potential explanatory covariates </w:t>
      </w:r>
      <w:r>
        <w:rPr>
          <w:szCs w:val="22"/>
        </w:rPr>
        <w:t>are</w:t>
      </w:r>
      <w:r w:rsidRPr="008D6037">
        <w:rPr>
          <w:szCs w:val="22"/>
        </w:rPr>
        <w:t xml:space="preserve"> reported as point estimates and 95% confidence interval</w:t>
      </w:r>
      <w:r>
        <w:rPr>
          <w:szCs w:val="22"/>
        </w:rPr>
        <w:t>s,</w:t>
      </w:r>
      <w:r w:rsidRPr="008D6037">
        <w:rPr>
          <w:szCs w:val="22"/>
        </w:rPr>
        <w:t xml:space="preserve"> accompanied by a p-value for the covariate.</w:t>
      </w:r>
    </w:p>
    <w:p w:rsidR="008D6037" w:rsidRDefault="008D6037" w:rsidP="008D6037">
      <w:pPr>
        <w:jc w:val="both"/>
        <w:rPr>
          <w:szCs w:val="22"/>
        </w:rPr>
      </w:pPr>
    </w:p>
    <w:p w:rsidR="0065275B" w:rsidRPr="00D13ADD" w:rsidRDefault="0065275B" w:rsidP="00173EB8">
      <w:pPr>
        <w:jc w:val="both"/>
        <w:rPr>
          <w:szCs w:val="22"/>
        </w:rPr>
      </w:pPr>
    </w:p>
    <w:p w:rsidR="00132D03" w:rsidRPr="00F541CA" w:rsidRDefault="003A1288" w:rsidP="003A1288">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rPr>
          <w:rFonts w:cs="Times New Roman"/>
          <w:sz w:val="22"/>
          <w:szCs w:val="22"/>
        </w:rPr>
      </w:pPr>
      <w:bookmarkStart w:id="151" w:name="_Toc109453391"/>
      <w:r w:rsidRPr="00D13ADD">
        <w:rPr>
          <w:rFonts w:cs="Times New Roman"/>
          <w:sz w:val="22"/>
          <w:szCs w:val="22"/>
        </w:rPr>
        <w:br w:type="page"/>
      </w:r>
      <w:bookmarkStart w:id="152" w:name="_Toc371414908"/>
      <w:bookmarkStart w:id="153" w:name="_Toc399511083"/>
      <w:bookmarkStart w:id="154" w:name="_Toc399511228"/>
      <w:bookmarkStart w:id="155" w:name="_Toc403052535"/>
      <w:bookmarkStart w:id="156" w:name="_Toc403052870"/>
      <w:bookmarkStart w:id="157" w:name="_Toc420392604"/>
      <w:r w:rsidR="0059198D" w:rsidRPr="00F541CA">
        <w:rPr>
          <w:rFonts w:cs="Times New Roman"/>
          <w:sz w:val="22"/>
          <w:szCs w:val="22"/>
        </w:rPr>
        <w:lastRenderedPageBreak/>
        <w:t>RESULTS</w:t>
      </w:r>
      <w:bookmarkEnd w:id="151"/>
      <w:bookmarkEnd w:id="152"/>
      <w:bookmarkEnd w:id="153"/>
      <w:bookmarkEnd w:id="154"/>
      <w:bookmarkEnd w:id="155"/>
      <w:bookmarkEnd w:id="156"/>
      <w:bookmarkEnd w:id="157"/>
    </w:p>
    <w:p w:rsidR="004F6A5E" w:rsidRDefault="004F6A5E" w:rsidP="004F6A5E">
      <w:pPr>
        <w:rPr>
          <w:szCs w:val="22"/>
        </w:rPr>
      </w:pPr>
      <w:bookmarkStart w:id="158" w:name="_Toc109453392"/>
    </w:p>
    <w:p w:rsidR="00C06A8E" w:rsidRDefault="00F541CA" w:rsidP="00816F1B">
      <w:pPr>
        <w:jc w:val="both"/>
      </w:pPr>
      <w:r w:rsidRPr="00F541CA">
        <w:t xml:space="preserve">This </w:t>
      </w:r>
      <w:r w:rsidR="00173EB8">
        <w:t>c</w:t>
      </w:r>
      <w:r w:rsidR="00816F1B" w:rsidRPr="00F541CA">
        <w:t xml:space="preserve">hapter </w:t>
      </w:r>
      <w:r w:rsidRPr="00F541CA">
        <w:t>details the results of data analyses</w:t>
      </w:r>
      <w:r w:rsidR="00816F1B">
        <w:t xml:space="preserve"> focusing on</w:t>
      </w:r>
      <w:r w:rsidR="00C06A8E">
        <w:t>:</w:t>
      </w:r>
    </w:p>
    <w:p w:rsidR="00C06A8E" w:rsidRDefault="00C06A8E" w:rsidP="00C06A8E">
      <w:pPr>
        <w:pStyle w:val="ListParagraph"/>
        <w:numPr>
          <w:ilvl w:val="0"/>
          <w:numId w:val="43"/>
        </w:numPr>
        <w:jc w:val="both"/>
      </w:pPr>
      <w:r>
        <w:t>Attrition (section 4.1)</w:t>
      </w:r>
    </w:p>
    <w:p w:rsidR="00816F1B" w:rsidRDefault="00C06A8E" w:rsidP="00C06A8E">
      <w:pPr>
        <w:pStyle w:val="ListParagraph"/>
        <w:numPr>
          <w:ilvl w:val="0"/>
          <w:numId w:val="43"/>
        </w:numPr>
        <w:jc w:val="both"/>
      </w:pPr>
      <w:r>
        <w:t>Descriptive statistics including socio-demographic variables, gambling participation, problem gambling and health status (section 4.2)</w:t>
      </w:r>
    </w:p>
    <w:p w:rsidR="00C06A8E" w:rsidRDefault="00C06A8E" w:rsidP="00C06A8E">
      <w:pPr>
        <w:pStyle w:val="ListParagraph"/>
        <w:numPr>
          <w:ilvl w:val="0"/>
          <w:numId w:val="43"/>
        </w:numPr>
        <w:jc w:val="both"/>
      </w:pPr>
      <w:r>
        <w:t>Transitions, incidence and relapse (section 4.3)</w:t>
      </w:r>
    </w:p>
    <w:p w:rsidR="00C06A8E" w:rsidRDefault="00C06A8E" w:rsidP="00C06A8E">
      <w:pPr>
        <w:pStyle w:val="ListParagraph"/>
        <w:numPr>
          <w:ilvl w:val="0"/>
          <w:numId w:val="43"/>
        </w:numPr>
        <w:jc w:val="both"/>
      </w:pPr>
      <w:r>
        <w:t>Associations with transitions (section 4.</w:t>
      </w:r>
      <w:r w:rsidR="00A84358">
        <w:t>4</w:t>
      </w:r>
      <w:r>
        <w:t>)</w:t>
      </w:r>
    </w:p>
    <w:p w:rsidR="00F541CA" w:rsidRPr="00F541CA" w:rsidRDefault="00F541CA" w:rsidP="004F6A5E">
      <w:pPr>
        <w:rPr>
          <w:sz w:val="20"/>
          <w:szCs w:val="22"/>
        </w:rPr>
      </w:pPr>
      <w:r>
        <w:t xml:space="preserve"> </w:t>
      </w:r>
    </w:p>
    <w:p w:rsidR="00F977A8" w:rsidRPr="00004F3C" w:rsidRDefault="00004F3C" w:rsidP="00017B76">
      <w:pPr>
        <w:pStyle w:val="heading2a"/>
        <w:numPr>
          <w:ilvl w:val="1"/>
          <w:numId w:val="28"/>
        </w:numPr>
        <w:pBdr>
          <w:top w:val="single" w:sz="4" w:space="1" w:color="auto"/>
          <w:left w:val="single" w:sz="4" w:space="4" w:color="auto"/>
          <w:bottom w:val="single" w:sz="4" w:space="1" w:color="auto"/>
          <w:right w:val="single" w:sz="4" w:space="4" w:color="auto"/>
        </w:pBdr>
        <w:ind w:left="426" w:hanging="426"/>
        <w:rPr>
          <w:rFonts w:cs="Times New Roman"/>
          <w:sz w:val="22"/>
          <w:szCs w:val="22"/>
        </w:rPr>
      </w:pPr>
      <w:bookmarkStart w:id="159" w:name="_Toc403052536"/>
      <w:bookmarkStart w:id="160" w:name="_Toc403052871"/>
      <w:bookmarkStart w:id="161" w:name="_Toc420392605"/>
      <w:bookmarkEnd w:id="158"/>
      <w:r w:rsidRPr="00004F3C">
        <w:rPr>
          <w:rFonts w:cs="Times New Roman"/>
          <w:sz w:val="22"/>
          <w:szCs w:val="22"/>
        </w:rPr>
        <w:t>Attrition analyses</w:t>
      </w:r>
      <w:bookmarkEnd w:id="159"/>
      <w:bookmarkEnd w:id="160"/>
      <w:bookmarkEnd w:id="161"/>
    </w:p>
    <w:p w:rsidR="00030BF4" w:rsidRPr="00952AEB" w:rsidRDefault="00030BF4" w:rsidP="00353618">
      <w:pPr>
        <w:jc w:val="both"/>
        <w:rPr>
          <w:szCs w:val="22"/>
        </w:rPr>
      </w:pPr>
    </w:p>
    <w:p w:rsidR="00952AEB" w:rsidRDefault="00952AEB" w:rsidP="00353618">
      <w:pPr>
        <w:jc w:val="both"/>
        <w:rPr>
          <w:szCs w:val="22"/>
        </w:rPr>
      </w:pPr>
      <w:r w:rsidRPr="00952AEB">
        <w:rPr>
          <w:szCs w:val="22"/>
        </w:rPr>
        <w:t>Attrition analys</w:t>
      </w:r>
      <w:r>
        <w:rPr>
          <w:szCs w:val="22"/>
        </w:rPr>
        <w:t>es were conducted to assess whether the participants who remained in the study in Wave 2 differed to a significant extent from the original participan</w:t>
      </w:r>
      <w:r w:rsidR="00E17C29">
        <w:rPr>
          <w:szCs w:val="22"/>
        </w:rPr>
        <w:t>t cohort at baseline (Wave </w:t>
      </w:r>
      <w:r>
        <w:rPr>
          <w:szCs w:val="22"/>
        </w:rPr>
        <w:t>1).</w:t>
      </w:r>
    </w:p>
    <w:p w:rsidR="00952AEB" w:rsidRDefault="00952AEB" w:rsidP="00353618">
      <w:pPr>
        <w:jc w:val="both"/>
        <w:rPr>
          <w:szCs w:val="22"/>
        </w:rPr>
      </w:pPr>
    </w:p>
    <w:p w:rsidR="00952AEB" w:rsidRDefault="00952AEB" w:rsidP="00353618">
      <w:pPr>
        <w:jc w:val="both"/>
        <w:rPr>
          <w:szCs w:val="22"/>
        </w:rPr>
      </w:pPr>
      <w:r>
        <w:rPr>
          <w:szCs w:val="22"/>
        </w:rPr>
        <w:t xml:space="preserve">The analyses indicated statistical differences between the samples based on demographics (age, ethnicity and region of residence), problem gambling severity, gambling participation, help-seeking behaviour </w:t>
      </w:r>
      <w:r w:rsidR="00FA7721" w:rsidRPr="009F5E09">
        <w:rPr>
          <w:szCs w:val="22"/>
        </w:rPr>
        <w:t xml:space="preserve">(from formal and informal sources) </w:t>
      </w:r>
      <w:r>
        <w:rPr>
          <w:szCs w:val="22"/>
        </w:rPr>
        <w:t>and co-existing issues.</w:t>
      </w:r>
    </w:p>
    <w:p w:rsidR="00952AEB" w:rsidRDefault="00952AEB" w:rsidP="00353618">
      <w:pPr>
        <w:jc w:val="both"/>
        <w:rPr>
          <w:szCs w:val="22"/>
        </w:rPr>
      </w:pPr>
    </w:p>
    <w:p w:rsidR="00BB2EE9" w:rsidRPr="00BB2EE9" w:rsidRDefault="00BB2EE9" w:rsidP="00353618">
      <w:pPr>
        <w:jc w:val="both"/>
        <w:rPr>
          <w:szCs w:val="22"/>
        </w:rPr>
      </w:pPr>
      <w:r>
        <w:rPr>
          <w:szCs w:val="22"/>
        </w:rPr>
        <w:t>As detailed in</w:t>
      </w:r>
      <w:r w:rsidRPr="00BB2EE9">
        <w:rPr>
          <w:szCs w:val="22"/>
        </w:rPr>
        <w:t xml:space="preserve"> </w:t>
      </w:r>
      <w:r w:rsidRPr="00BB2EE9">
        <w:rPr>
          <w:szCs w:val="22"/>
        </w:rPr>
        <w:fldChar w:fldCharType="begin"/>
      </w:r>
      <w:r w:rsidRPr="00BB2EE9">
        <w:rPr>
          <w:szCs w:val="22"/>
        </w:rPr>
        <w:instrText xml:space="preserve"> REF _Ref404087133 \h  \* MERGEFORMAT </w:instrText>
      </w:r>
      <w:r w:rsidRPr="00BB2EE9">
        <w:rPr>
          <w:szCs w:val="22"/>
        </w:rPr>
      </w:r>
      <w:r w:rsidRPr="00BB2EE9">
        <w:rPr>
          <w:szCs w:val="22"/>
        </w:rPr>
        <w:fldChar w:fldCharType="separate"/>
      </w:r>
      <w:r w:rsidR="00B2175B" w:rsidRPr="00B2175B">
        <w:t xml:space="preserve">Appendix </w:t>
      </w:r>
      <w:r w:rsidR="00B2175B" w:rsidRPr="00B2175B">
        <w:rPr>
          <w:noProof/>
        </w:rPr>
        <w:t>3</w:t>
      </w:r>
      <w:r w:rsidRPr="00BB2EE9">
        <w:rPr>
          <w:szCs w:val="22"/>
        </w:rPr>
        <w:fldChar w:fldCharType="end"/>
      </w:r>
      <w:r>
        <w:rPr>
          <w:szCs w:val="22"/>
        </w:rPr>
        <w:t xml:space="preserve">, there was </w:t>
      </w:r>
      <w:r w:rsidRPr="005F5E5C">
        <w:rPr>
          <w:i/>
          <w:szCs w:val="22"/>
        </w:rPr>
        <w:t>greater attrition</w:t>
      </w:r>
      <w:r>
        <w:rPr>
          <w:szCs w:val="22"/>
        </w:rPr>
        <w:t xml:space="preserve"> (less people retained in the study) amongst: the youngest age group (18-24 years)</w:t>
      </w:r>
      <w:r w:rsidR="005F5E5C">
        <w:rPr>
          <w:szCs w:val="22"/>
        </w:rPr>
        <w:t>;</w:t>
      </w:r>
      <w:r>
        <w:rPr>
          <w:szCs w:val="22"/>
        </w:rPr>
        <w:t xml:space="preserve"> Asian</w:t>
      </w:r>
      <w:r w:rsidR="00971147">
        <w:rPr>
          <w:szCs w:val="22"/>
        </w:rPr>
        <w:t xml:space="preserve"> people</w:t>
      </w:r>
      <w:r w:rsidR="005F5E5C">
        <w:rPr>
          <w:szCs w:val="22"/>
        </w:rPr>
        <w:t>;</w:t>
      </w:r>
      <w:r>
        <w:rPr>
          <w:szCs w:val="22"/>
        </w:rPr>
        <w:t xml:space="preserve"> those who had not gambled in the past year</w:t>
      </w:r>
      <w:r w:rsidR="005F5E5C">
        <w:rPr>
          <w:szCs w:val="22"/>
        </w:rPr>
        <w:t>;</w:t>
      </w:r>
      <w:r>
        <w:rPr>
          <w:szCs w:val="22"/>
        </w:rPr>
        <w:t xml:space="preserve"> </w:t>
      </w:r>
      <w:r w:rsidR="005F5E5C">
        <w:rPr>
          <w:szCs w:val="22"/>
        </w:rPr>
        <w:t xml:space="preserve">people who had experienced five or more major life events in the past year; and those whose quality of life was below the median score, and/or who had higher levels of psychological distress.  </w:t>
      </w:r>
      <w:r>
        <w:rPr>
          <w:szCs w:val="22"/>
        </w:rPr>
        <w:t xml:space="preserve">There was </w:t>
      </w:r>
      <w:r w:rsidRPr="005F5E5C">
        <w:rPr>
          <w:i/>
          <w:szCs w:val="22"/>
        </w:rPr>
        <w:t>greater retention</w:t>
      </w:r>
      <w:r>
        <w:rPr>
          <w:szCs w:val="22"/>
        </w:rPr>
        <w:t xml:space="preserve"> (more people stayed in the study) amongst: people living in Wellington or Christchurch, non-problem gamblers,</w:t>
      </w:r>
      <w:r w:rsidR="005F5E5C">
        <w:rPr>
          <w:szCs w:val="22"/>
        </w:rPr>
        <w:t xml:space="preserve"> and</w:t>
      </w:r>
      <w:r>
        <w:rPr>
          <w:szCs w:val="22"/>
        </w:rPr>
        <w:t xml:space="preserve"> people who</w:t>
      </w:r>
      <w:r w:rsidR="005F5E5C">
        <w:rPr>
          <w:szCs w:val="22"/>
        </w:rPr>
        <w:t xml:space="preserve"> had not sought help </w:t>
      </w:r>
      <w:r w:rsidR="00FA7721" w:rsidRPr="009F5E09">
        <w:rPr>
          <w:szCs w:val="22"/>
        </w:rPr>
        <w:t xml:space="preserve">(from formal </w:t>
      </w:r>
      <w:r w:rsidR="00FA7721">
        <w:rPr>
          <w:szCs w:val="22"/>
        </w:rPr>
        <w:t>or</w:t>
      </w:r>
      <w:r w:rsidR="00FA7721" w:rsidRPr="009F5E09">
        <w:rPr>
          <w:szCs w:val="22"/>
        </w:rPr>
        <w:t xml:space="preserve"> informal sources) </w:t>
      </w:r>
      <w:r w:rsidR="005F5E5C">
        <w:rPr>
          <w:szCs w:val="22"/>
        </w:rPr>
        <w:t>in the past year.</w:t>
      </w:r>
    </w:p>
    <w:p w:rsidR="00952AEB" w:rsidRPr="005F5E5C" w:rsidRDefault="00952AEB" w:rsidP="00353618">
      <w:pPr>
        <w:jc w:val="both"/>
        <w:rPr>
          <w:sz w:val="24"/>
          <w:szCs w:val="22"/>
        </w:rPr>
      </w:pPr>
    </w:p>
    <w:p w:rsidR="006D573B" w:rsidRPr="005F5E5C" w:rsidRDefault="005F5E5C" w:rsidP="00353618">
      <w:pPr>
        <w:rPr>
          <w:szCs w:val="22"/>
        </w:rPr>
      </w:pPr>
      <w:r>
        <w:rPr>
          <w:szCs w:val="22"/>
        </w:rPr>
        <w:t xml:space="preserve">Due to the significant differential </w:t>
      </w:r>
      <w:r w:rsidR="00023140">
        <w:rPr>
          <w:szCs w:val="22"/>
        </w:rPr>
        <w:t>attrition between the two Waves, subsequent data analyses have been adjusted to account for attrition effects.</w:t>
      </w:r>
    </w:p>
    <w:p w:rsidR="00997D45" w:rsidRDefault="00997D45" w:rsidP="00353618">
      <w:pPr>
        <w:jc w:val="both"/>
        <w:rPr>
          <w:szCs w:val="22"/>
        </w:rPr>
      </w:pPr>
    </w:p>
    <w:p w:rsidR="009E225E" w:rsidRPr="00004F3C" w:rsidRDefault="009E225E" w:rsidP="00353618">
      <w:pPr>
        <w:pStyle w:val="heading2a"/>
        <w:keepNext w:val="0"/>
        <w:numPr>
          <w:ilvl w:val="1"/>
          <w:numId w:val="28"/>
        </w:numPr>
        <w:pBdr>
          <w:top w:val="single" w:sz="4" w:space="1" w:color="auto"/>
          <w:left w:val="single" w:sz="4" w:space="4" w:color="auto"/>
          <w:bottom w:val="single" w:sz="4" w:space="1" w:color="auto"/>
          <w:right w:val="single" w:sz="4" w:space="4" w:color="auto"/>
        </w:pBdr>
        <w:ind w:left="426" w:hanging="426"/>
        <w:rPr>
          <w:rFonts w:cs="Times New Roman"/>
          <w:sz w:val="22"/>
          <w:szCs w:val="22"/>
        </w:rPr>
      </w:pPr>
      <w:bookmarkStart w:id="162" w:name="_Toc403052537"/>
      <w:bookmarkStart w:id="163" w:name="_Toc403052872"/>
      <w:bookmarkStart w:id="164" w:name="_Toc420392606"/>
      <w:r>
        <w:rPr>
          <w:rFonts w:cs="Times New Roman"/>
          <w:sz w:val="22"/>
          <w:szCs w:val="22"/>
        </w:rPr>
        <w:t>Descriptive statistics</w:t>
      </w:r>
      <w:bookmarkEnd w:id="162"/>
      <w:bookmarkEnd w:id="163"/>
      <w:bookmarkEnd w:id="164"/>
    </w:p>
    <w:p w:rsidR="00D33AE9" w:rsidRDefault="00D33AE9" w:rsidP="00D33AE9"/>
    <w:p w:rsidR="00D33AE9" w:rsidRDefault="00C06A8E" w:rsidP="00C06A8E">
      <w:pPr>
        <w:jc w:val="both"/>
        <w:rPr>
          <w:szCs w:val="22"/>
        </w:rPr>
      </w:pPr>
      <w:r>
        <w:t xml:space="preserve">This section contains descriptive analyses of socio-demographic </w:t>
      </w:r>
      <w:r w:rsidR="000B37DC">
        <w:t>characteristics</w:t>
      </w:r>
      <w:r>
        <w:t xml:space="preserve"> which could have changed in the past year</w:t>
      </w:r>
      <w:r w:rsidR="000B37DC">
        <w:t>;</w:t>
      </w:r>
      <w:r>
        <w:t xml:space="preserve"> gambling participation</w:t>
      </w:r>
      <w:r w:rsidR="000B37DC">
        <w:t>;</w:t>
      </w:r>
      <w:r>
        <w:t xml:space="preserve"> problem gambling including methods to stop gambling too much and help-seeking behaviour</w:t>
      </w:r>
      <w:r w:rsidR="000B37DC">
        <w:t>;</w:t>
      </w:r>
      <w:r>
        <w:t xml:space="preserve"> and health status with a focus on </w:t>
      </w:r>
      <w:r w:rsidR="000B37DC">
        <w:rPr>
          <w:szCs w:val="22"/>
        </w:rPr>
        <w:t>major</w:t>
      </w:r>
      <w:r>
        <w:rPr>
          <w:szCs w:val="22"/>
        </w:rPr>
        <w:t xml:space="preserve"> life events, quality of life, psychological distress and substance use/misuse.</w:t>
      </w:r>
    </w:p>
    <w:p w:rsidR="00C06A8E" w:rsidRDefault="00C06A8E" w:rsidP="00C06A8E">
      <w:pPr>
        <w:jc w:val="both"/>
      </w:pPr>
    </w:p>
    <w:p w:rsidR="00EE30AE" w:rsidRDefault="00D33AE9" w:rsidP="005636CC">
      <w:pPr>
        <w:pStyle w:val="Heading3b"/>
        <w:keepNext w:val="0"/>
        <w:numPr>
          <w:ilvl w:val="2"/>
          <w:numId w:val="39"/>
        </w:numPr>
        <w:tabs>
          <w:tab w:val="clear" w:pos="1146"/>
        </w:tabs>
        <w:ind w:left="709"/>
        <w:rPr>
          <w:rFonts w:ascii="Times New Roman" w:hAnsi="Times New Roman" w:cs="Times New Roman"/>
          <w:b/>
        </w:rPr>
      </w:pPr>
      <w:bookmarkStart w:id="165" w:name="_Toc420392607"/>
      <w:r>
        <w:rPr>
          <w:rFonts w:ascii="Times New Roman" w:hAnsi="Times New Roman" w:cs="Times New Roman"/>
          <w:b/>
        </w:rPr>
        <w:t>Socio-demographic variables</w:t>
      </w:r>
      <w:bookmarkEnd w:id="165"/>
    </w:p>
    <w:p w:rsidR="009E225E" w:rsidRDefault="009E225E" w:rsidP="00353618">
      <w:pPr>
        <w:tabs>
          <w:tab w:val="left" w:pos="0"/>
        </w:tabs>
        <w:jc w:val="both"/>
        <w:rPr>
          <w:szCs w:val="22"/>
        </w:rPr>
      </w:pPr>
    </w:p>
    <w:p w:rsidR="00D33AE9" w:rsidRDefault="00D33AE9" w:rsidP="00353618">
      <w:pPr>
        <w:tabs>
          <w:tab w:val="left" w:pos="0"/>
        </w:tabs>
        <w:jc w:val="both"/>
        <w:rPr>
          <w:szCs w:val="22"/>
        </w:rPr>
      </w:pPr>
      <w:r>
        <w:rPr>
          <w:szCs w:val="22"/>
        </w:rPr>
        <w:t xml:space="preserve">In Wave 2, participants were re-asked about socio-demographic characteristics which could have changed in the past year.  These included labour force status, household size, </w:t>
      </w:r>
      <w:r w:rsidR="000B37DC">
        <w:rPr>
          <w:szCs w:val="22"/>
        </w:rPr>
        <w:t xml:space="preserve">annual </w:t>
      </w:r>
      <w:r>
        <w:rPr>
          <w:szCs w:val="22"/>
        </w:rPr>
        <w:t xml:space="preserve">personal income, </w:t>
      </w:r>
      <w:r w:rsidR="000B37DC">
        <w:rPr>
          <w:szCs w:val="22"/>
        </w:rPr>
        <w:t xml:space="preserve">annual </w:t>
      </w:r>
      <w:r>
        <w:rPr>
          <w:szCs w:val="22"/>
        </w:rPr>
        <w:t xml:space="preserve">household income and </w:t>
      </w:r>
      <w:r w:rsidR="00A430E7">
        <w:rPr>
          <w:szCs w:val="22"/>
        </w:rPr>
        <w:t xml:space="preserve">individual </w:t>
      </w:r>
      <w:r>
        <w:rPr>
          <w:szCs w:val="22"/>
        </w:rPr>
        <w:t>level of deprivation (</w:t>
      </w:r>
      <w:r w:rsidR="0039794E">
        <w:rPr>
          <w:szCs w:val="22"/>
        </w:rPr>
        <w:t>NZiDep</w:t>
      </w:r>
      <w:r>
        <w:rPr>
          <w:szCs w:val="22"/>
        </w:rPr>
        <w:t>).</w:t>
      </w:r>
      <w:r w:rsidR="00D822AC">
        <w:rPr>
          <w:szCs w:val="22"/>
        </w:rPr>
        <w:t xml:space="preserve">  There were no major differences in the percentage of participants for the various demographic</w:t>
      </w:r>
      <w:r w:rsidR="000B37DC">
        <w:rPr>
          <w:szCs w:val="22"/>
        </w:rPr>
        <w:t xml:space="preserve"> characteristics</w:t>
      </w:r>
      <w:r w:rsidR="00D822AC">
        <w:rPr>
          <w:szCs w:val="22"/>
        </w:rPr>
        <w:t xml:space="preserve"> between Wave 1 and Wave 2 apart from </w:t>
      </w:r>
      <w:r w:rsidR="000B37DC">
        <w:rPr>
          <w:szCs w:val="22"/>
        </w:rPr>
        <w:t xml:space="preserve">individual </w:t>
      </w:r>
      <w:r w:rsidR="00D822AC">
        <w:rPr>
          <w:szCs w:val="22"/>
        </w:rPr>
        <w:t>level of deprivation</w:t>
      </w:r>
      <w:r w:rsidR="005F62BA">
        <w:rPr>
          <w:szCs w:val="22"/>
        </w:rPr>
        <w:t xml:space="preserve"> (</w:t>
      </w:r>
      <w:r w:rsidR="005F62BA" w:rsidRPr="005F62BA">
        <w:rPr>
          <w:szCs w:val="22"/>
        </w:rPr>
        <w:fldChar w:fldCharType="begin"/>
      </w:r>
      <w:r w:rsidR="005F62BA" w:rsidRPr="005F62BA">
        <w:rPr>
          <w:szCs w:val="22"/>
        </w:rPr>
        <w:instrText xml:space="preserve"> REF _Ref404158804 \h  \* MERGEFORMAT </w:instrText>
      </w:r>
      <w:r w:rsidR="005F62BA" w:rsidRPr="005F62BA">
        <w:rPr>
          <w:szCs w:val="22"/>
        </w:rPr>
      </w:r>
      <w:r w:rsidR="005F62BA" w:rsidRPr="005F62BA">
        <w:rPr>
          <w:szCs w:val="22"/>
        </w:rPr>
        <w:fldChar w:fldCharType="separate"/>
      </w:r>
      <w:r w:rsidR="00B2175B" w:rsidRPr="00B2175B">
        <w:t xml:space="preserve">Appendix </w:t>
      </w:r>
      <w:r w:rsidR="00B2175B" w:rsidRPr="00B2175B">
        <w:rPr>
          <w:noProof/>
        </w:rPr>
        <w:t>4</w:t>
      </w:r>
      <w:r w:rsidR="005F62BA" w:rsidRPr="005F62BA">
        <w:rPr>
          <w:szCs w:val="22"/>
        </w:rPr>
        <w:fldChar w:fldCharType="end"/>
      </w:r>
      <w:r w:rsidR="005F62BA">
        <w:rPr>
          <w:szCs w:val="22"/>
        </w:rPr>
        <w:t>)</w:t>
      </w:r>
      <w:r w:rsidR="00880ABA">
        <w:rPr>
          <w:szCs w:val="22"/>
        </w:rPr>
        <w:t xml:space="preserve">.  A slightly greater proportion </w:t>
      </w:r>
      <w:r w:rsidR="008E5342">
        <w:rPr>
          <w:szCs w:val="22"/>
        </w:rPr>
        <w:t xml:space="preserve">of people who did not report any deprivation </w:t>
      </w:r>
      <w:r w:rsidR="008E5342">
        <w:rPr>
          <w:szCs w:val="22"/>
        </w:rPr>
        <w:lastRenderedPageBreak/>
        <w:t>characteristics</w:t>
      </w:r>
      <w:r w:rsidR="00880ABA">
        <w:rPr>
          <w:szCs w:val="22"/>
        </w:rPr>
        <w:t xml:space="preserve"> participated in Wave 2 in relation to Wave 1 (61% vs.</w:t>
      </w:r>
      <w:r w:rsidR="00A84358">
        <w:rPr>
          <w:szCs w:val="22"/>
        </w:rPr>
        <w:t xml:space="preserve"> </w:t>
      </w:r>
      <w:r w:rsidR="00880ABA">
        <w:rPr>
          <w:szCs w:val="22"/>
        </w:rPr>
        <w:t xml:space="preserve">57%) whilst a slightly lesser proportion who </w:t>
      </w:r>
      <w:r w:rsidR="008E5342">
        <w:rPr>
          <w:szCs w:val="22"/>
        </w:rPr>
        <w:t>reported 4 deprivation characteristics</w:t>
      </w:r>
      <w:r w:rsidR="005F62BA">
        <w:rPr>
          <w:szCs w:val="22"/>
        </w:rPr>
        <w:t xml:space="preserve"> participated in </w:t>
      </w:r>
      <w:r w:rsidR="000B37DC">
        <w:rPr>
          <w:szCs w:val="22"/>
        </w:rPr>
        <w:t>W</w:t>
      </w:r>
      <w:r w:rsidR="005F62BA">
        <w:rPr>
          <w:szCs w:val="22"/>
        </w:rPr>
        <w:t>ave</w:t>
      </w:r>
      <w:r w:rsidR="000B37DC">
        <w:rPr>
          <w:szCs w:val="22"/>
        </w:rPr>
        <w:t xml:space="preserve"> 2</w:t>
      </w:r>
      <w:r w:rsidR="005F62BA">
        <w:rPr>
          <w:szCs w:val="22"/>
        </w:rPr>
        <w:t xml:space="preserve"> in comparison with </w:t>
      </w:r>
      <w:r w:rsidR="000B37DC">
        <w:rPr>
          <w:szCs w:val="22"/>
        </w:rPr>
        <w:t>Wave 1</w:t>
      </w:r>
      <w:r w:rsidR="005F62BA">
        <w:rPr>
          <w:szCs w:val="22"/>
        </w:rPr>
        <w:t xml:space="preserve"> (2.0% vs. 3.2%) (</w:t>
      </w:r>
      <w:r w:rsidR="005F62BA">
        <w:rPr>
          <w:szCs w:val="22"/>
        </w:rPr>
        <w:fldChar w:fldCharType="begin"/>
      </w:r>
      <w:r w:rsidR="005F62BA">
        <w:rPr>
          <w:szCs w:val="22"/>
        </w:rPr>
        <w:instrText xml:space="preserve"> REF _Ref404158834 \h </w:instrText>
      </w:r>
      <w:r w:rsidR="005F62BA">
        <w:rPr>
          <w:szCs w:val="22"/>
        </w:rPr>
      </w:r>
      <w:r w:rsidR="005F62BA">
        <w:rPr>
          <w:szCs w:val="22"/>
        </w:rPr>
        <w:fldChar w:fldCharType="separate"/>
      </w:r>
      <w:r w:rsidR="00B2175B">
        <w:t xml:space="preserve">Table </w:t>
      </w:r>
      <w:r w:rsidR="00B2175B">
        <w:rPr>
          <w:noProof/>
        </w:rPr>
        <w:t>6</w:t>
      </w:r>
      <w:r w:rsidR="005F62BA">
        <w:rPr>
          <w:szCs w:val="22"/>
        </w:rPr>
        <w:fldChar w:fldCharType="end"/>
      </w:r>
      <w:r w:rsidR="005F62BA">
        <w:rPr>
          <w:szCs w:val="22"/>
        </w:rPr>
        <w:t>).</w:t>
      </w:r>
    </w:p>
    <w:p w:rsidR="00D33AE9" w:rsidRDefault="00D33AE9" w:rsidP="00353618">
      <w:pPr>
        <w:tabs>
          <w:tab w:val="left" w:pos="0"/>
        </w:tabs>
        <w:jc w:val="both"/>
        <w:rPr>
          <w:szCs w:val="22"/>
        </w:rPr>
      </w:pPr>
    </w:p>
    <w:p w:rsidR="00880ABA" w:rsidRDefault="00880ABA" w:rsidP="005F62BA">
      <w:pPr>
        <w:pStyle w:val="Caption"/>
        <w:keepNext/>
        <w:rPr>
          <w:szCs w:val="22"/>
        </w:rPr>
      </w:pPr>
      <w:bookmarkStart w:id="166" w:name="_Ref404158834"/>
      <w:bookmarkStart w:id="167" w:name="_Toc420393794"/>
      <w:r>
        <w:t xml:space="preserve">Table </w:t>
      </w:r>
      <w:fldSimple w:instr=" SEQ Table \* ARABIC ">
        <w:r w:rsidR="00B2175B">
          <w:rPr>
            <w:noProof/>
          </w:rPr>
          <w:t>6</w:t>
        </w:r>
      </w:fldSimple>
      <w:bookmarkEnd w:id="166"/>
      <w:r>
        <w:t xml:space="preserve">: Prevalence and 95% confidence intervals for deprivation </w:t>
      </w:r>
      <w:r w:rsidR="000B37DC">
        <w:t>in Wave 1</w:t>
      </w:r>
      <w:r>
        <w:t xml:space="preserve"> and Wave 2</w:t>
      </w:r>
      <w:bookmarkEnd w:id="167"/>
    </w:p>
    <w:tbl>
      <w:tblPr>
        <w:tblStyle w:val="LightShading4"/>
        <w:tblW w:w="0" w:type="auto"/>
        <w:tblLook w:val="06A0" w:firstRow="1" w:lastRow="0" w:firstColumn="1" w:lastColumn="0" w:noHBand="1" w:noVBand="1"/>
      </w:tblPr>
      <w:tblGrid>
        <w:gridCol w:w="3105"/>
        <w:gridCol w:w="616"/>
        <w:gridCol w:w="567"/>
        <w:gridCol w:w="1275"/>
        <w:gridCol w:w="851"/>
        <w:gridCol w:w="567"/>
        <w:gridCol w:w="1325"/>
      </w:tblGrid>
      <w:tr w:rsidR="00DA35F3" w:rsidRPr="000B37DC"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5" w:type="dxa"/>
            <w:vMerge w:val="restart"/>
            <w:tcBorders>
              <w:bottom w:val="single" w:sz="4" w:space="0" w:color="auto"/>
            </w:tcBorders>
            <w:vAlign w:val="bottom"/>
            <w:hideMark/>
          </w:tcPr>
          <w:p w:rsidR="00DA35F3" w:rsidRPr="000B37DC" w:rsidRDefault="000B37DC" w:rsidP="005F62BA">
            <w:pPr>
              <w:keepNext/>
              <w:spacing w:before="20" w:after="20"/>
              <w:rPr>
                <w:rFonts w:ascii="Times New Roman" w:eastAsiaTheme="minorEastAsia" w:hAnsi="Times New Roman" w:cs="Times New Roman"/>
                <w:sz w:val="20"/>
                <w:szCs w:val="20"/>
                <w:lang w:eastAsia="en-US"/>
              </w:rPr>
            </w:pPr>
            <w:r w:rsidRPr="000B37DC">
              <w:rPr>
                <w:rFonts w:ascii="Times New Roman" w:hAnsi="Times New Roman" w:cs="Times New Roman"/>
                <w:sz w:val="20"/>
                <w:szCs w:val="20"/>
              </w:rPr>
              <w:t>NZiDep</w:t>
            </w:r>
          </w:p>
        </w:tc>
        <w:tc>
          <w:tcPr>
            <w:tcW w:w="2458" w:type="dxa"/>
            <w:gridSpan w:val="3"/>
            <w:tcBorders>
              <w:bottom w:val="single" w:sz="4" w:space="0" w:color="auto"/>
              <w:right w:val="single" w:sz="4" w:space="0" w:color="auto"/>
            </w:tcBorders>
            <w:noWrap/>
            <w:vAlign w:val="center"/>
            <w:hideMark/>
          </w:tcPr>
          <w:p w:rsidR="00DA35F3" w:rsidRPr="000B37DC" w:rsidRDefault="000B37DC" w:rsidP="005F62BA">
            <w:pPr>
              <w:keepNext/>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20"/>
                <w:lang w:eastAsia="en-US"/>
              </w:rPr>
            </w:pPr>
            <w:r>
              <w:rPr>
                <w:rFonts w:ascii="Times New Roman" w:eastAsiaTheme="minorEastAsia" w:hAnsi="Times New Roman" w:cs="Times New Roman"/>
                <w:sz w:val="20"/>
                <w:szCs w:val="20"/>
              </w:rPr>
              <w:t>Wave 1</w:t>
            </w:r>
          </w:p>
        </w:tc>
        <w:tc>
          <w:tcPr>
            <w:tcW w:w="2743" w:type="dxa"/>
            <w:gridSpan w:val="3"/>
            <w:tcBorders>
              <w:left w:val="single" w:sz="4" w:space="0" w:color="auto"/>
              <w:bottom w:val="single" w:sz="4" w:space="0" w:color="auto"/>
            </w:tcBorders>
            <w:vAlign w:val="center"/>
          </w:tcPr>
          <w:p w:rsidR="00DA35F3" w:rsidRPr="000B37DC" w:rsidRDefault="00DA35F3" w:rsidP="005F62BA">
            <w:pPr>
              <w:keepNext/>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Wave 2</w:t>
            </w:r>
          </w:p>
        </w:tc>
      </w:tr>
      <w:tr w:rsidR="00DA35F3" w:rsidRPr="000B37DC"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05" w:type="dxa"/>
            <w:vMerge/>
            <w:tcBorders>
              <w:bottom w:val="single" w:sz="4" w:space="0" w:color="auto"/>
            </w:tcBorders>
            <w:vAlign w:val="center"/>
            <w:hideMark/>
          </w:tcPr>
          <w:p w:rsidR="00DA35F3" w:rsidRPr="000B37DC" w:rsidRDefault="00DA35F3" w:rsidP="005F62BA">
            <w:pPr>
              <w:keepNext/>
              <w:spacing w:before="20" w:after="20"/>
              <w:rPr>
                <w:rFonts w:ascii="Times New Roman" w:eastAsiaTheme="minorEastAsia" w:hAnsi="Times New Roman" w:cs="Times New Roman"/>
                <w:sz w:val="20"/>
                <w:szCs w:val="20"/>
                <w:lang w:eastAsia="en-US"/>
              </w:rPr>
            </w:pPr>
          </w:p>
        </w:tc>
        <w:tc>
          <w:tcPr>
            <w:tcW w:w="616" w:type="dxa"/>
            <w:tcBorders>
              <w:top w:val="single" w:sz="4" w:space="0" w:color="auto"/>
              <w:bottom w:val="single" w:sz="4" w:space="0" w:color="auto"/>
            </w:tcBorders>
            <w:noWrap/>
            <w:vAlign w:val="center"/>
            <w:hideMark/>
          </w:tcPr>
          <w:p w:rsidR="00DA35F3" w:rsidRPr="000B37DC" w:rsidRDefault="00DA35F3"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0B37DC">
              <w:rPr>
                <w:rFonts w:ascii="Times New Roman" w:eastAsiaTheme="minorEastAsia" w:hAnsi="Times New Roman" w:cs="Times New Roman"/>
                <w:sz w:val="20"/>
                <w:szCs w:val="20"/>
              </w:rPr>
              <w:t>n</w:t>
            </w:r>
          </w:p>
        </w:tc>
        <w:tc>
          <w:tcPr>
            <w:tcW w:w="567" w:type="dxa"/>
            <w:tcBorders>
              <w:top w:val="single" w:sz="4" w:space="0" w:color="auto"/>
              <w:bottom w:val="single" w:sz="4" w:space="0" w:color="auto"/>
            </w:tcBorders>
            <w:noWrap/>
            <w:vAlign w:val="center"/>
            <w:hideMark/>
          </w:tcPr>
          <w:p w:rsidR="00DA35F3" w:rsidRPr="000B37DC" w:rsidRDefault="00DA35F3"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0B37DC">
              <w:rPr>
                <w:rFonts w:ascii="Times New Roman" w:eastAsiaTheme="minorEastAsia" w:hAnsi="Times New Roman" w:cs="Times New Roman"/>
                <w:sz w:val="20"/>
                <w:szCs w:val="20"/>
              </w:rPr>
              <w:t>%</w:t>
            </w:r>
          </w:p>
        </w:tc>
        <w:tc>
          <w:tcPr>
            <w:tcW w:w="1275" w:type="dxa"/>
            <w:tcBorders>
              <w:top w:val="single" w:sz="4" w:space="0" w:color="auto"/>
              <w:bottom w:val="single" w:sz="4" w:space="0" w:color="auto"/>
              <w:right w:val="single" w:sz="4" w:space="0" w:color="auto"/>
            </w:tcBorders>
            <w:noWrap/>
            <w:vAlign w:val="center"/>
          </w:tcPr>
          <w:p w:rsidR="00DA35F3" w:rsidRPr="000B37DC" w:rsidRDefault="006878FC"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0B37DC">
              <w:rPr>
                <w:rFonts w:ascii="Times New Roman" w:eastAsiaTheme="minorEastAsia" w:hAnsi="Times New Roman" w:cs="Times New Roman"/>
                <w:sz w:val="20"/>
                <w:szCs w:val="20"/>
                <w:lang w:eastAsia="en-US"/>
              </w:rPr>
              <w:t>(</w:t>
            </w:r>
            <w:r w:rsidR="00DA35F3" w:rsidRPr="000B37DC">
              <w:rPr>
                <w:rFonts w:ascii="Times New Roman" w:eastAsiaTheme="minorEastAsia" w:hAnsi="Times New Roman" w:cs="Times New Roman"/>
                <w:sz w:val="20"/>
                <w:szCs w:val="20"/>
                <w:lang w:eastAsia="en-US"/>
              </w:rPr>
              <w:t>95% CI</w:t>
            </w:r>
            <w:r w:rsidRPr="000B37DC">
              <w:rPr>
                <w:rFonts w:ascii="Times New Roman" w:eastAsiaTheme="minorEastAsia" w:hAnsi="Times New Roman" w:cs="Times New Roman"/>
                <w:sz w:val="20"/>
                <w:szCs w:val="20"/>
                <w:lang w:eastAsia="en-US"/>
              </w:rPr>
              <w:t>)</w:t>
            </w:r>
          </w:p>
        </w:tc>
        <w:tc>
          <w:tcPr>
            <w:tcW w:w="851" w:type="dxa"/>
            <w:tcBorders>
              <w:top w:val="single" w:sz="4" w:space="0" w:color="auto"/>
              <w:left w:val="single" w:sz="4" w:space="0" w:color="auto"/>
              <w:bottom w:val="single" w:sz="4" w:space="0" w:color="auto"/>
            </w:tcBorders>
            <w:noWrap/>
            <w:vAlign w:val="center"/>
          </w:tcPr>
          <w:p w:rsidR="00DA35F3" w:rsidRPr="000B37DC" w:rsidRDefault="00DA35F3"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0B37DC">
              <w:rPr>
                <w:rFonts w:ascii="Times New Roman" w:eastAsiaTheme="minorEastAsia" w:hAnsi="Times New Roman" w:cs="Times New Roman"/>
                <w:sz w:val="20"/>
                <w:szCs w:val="20"/>
                <w:lang w:eastAsia="en-US"/>
              </w:rPr>
              <w:t>n</w:t>
            </w:r>
          </w:p>
        </w:tc>
        <w:tc>
          <w:tcPr>
            <w:tcW w:w="567" w:type="dxa"/>
            <w:tcBorders>
              <w:top w:val="single" w:sz="4" w:space="0" w:color="auto"/>
              <w:bottom w:val="single" w:sz="4" w:space="0" w:color="auto"/>
            </w:tcBorders>
            <w:noWrap/>
            <w:vAlign w:val="center"/>
          </w:tcPr>
          <w:p w:rsidR="00DA35F3" w:rsidRPr="000B37DC" w:rsidRDefault="00DA35F3"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0B37DC">
              <w:rPr>
                <w:rFonts w:ascii="Times New Roman" w:eastAsiaTheme="minorEastAsia" w:hAnsi="Times New Roman" w:cs="Times New Roman"/>
                <w:sz w:val="20"/>
                <w:szCs w:val="20"/>
                <w:lang w:eastAsia="en-US"/>
              </w:rPr>
              <w:t>%</w:t>
            </w:r>
          </w:p>
        </w:tc>
        <w:tc>
          <w:tcPr>
            <w:tcW w:w="1325" w:type="dxa"/>
            <w:tcBorders>
              <w:top w:val="single" w:sz="4" w:space="0" w:color="auto"/>
              <w:bottom w:val="single" w:sz="4" w:space="0" w:color="auto"/>
            </w:tcBorders>
            <w:shd w:val="clear" w:color="auto" w:fill="FFFFFF" w:themeFill="background1"/>
            <w:noWrap/>
            <w:vAlign w:val="center"/>
          </w:tcPr>
          <w:p w:rsidR="00DA35F3" w:rsidRPr="000B37DC" w:rsidRDefault="00B16D1B" w:rsidP="006878FC">
            <w:pPr>
              <w:keepNext/>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20"/>
                <w:lang w:eastAsia="en-US"/>
              </w:rPr>
            </w:pPr>
            <w:r w:rsidRPr="000B37DC">
              <w:rPr>
                <w:rFonts w:ascii="Times New Roman" w:eastAsiaTheme="minorEastAsia" w:hAnsi="Times New Roman" w:cs="Times New Roman"/>
                <w:sz w:val="20"/>
                <w:szCs w:val="20"/>
                <w:lang w:eastAsia="en-US"/>
              </w:rPr>
              <w:t>(</w:t>
            </w:r>
            <w:r w:rsidR="00DA35F3" w:rsidRPr="000B37DC">
              <w:rPr>
                <w:rFonts w:ascii="Times New Roman" w:eastAsiaTheme="minorEastAsia" w:hAnsi="Times New Roman" w:cs="Times New Roman"/>
                <w:sz w:val="20"/>
                <w:szCs w:val="20"/>
                <w:lang w:eastAsia="en-US"/>
              </w:rPr>
              <w:t>95% CI</w:t>
            </w:r>
            <w:r w:rsidRPr="000B37DC">
              <w:rPr>
                <w:rFonts w:ascii="Times New Roman" w:eastAsiaTheme="minorEastAsia" w:hAnsi="Times New Roman" w:cs="Times New Roman"/>
                <w:sz w:val="20"/>
                <w:szCs w:val="20"/>
                <w:lang w:eastAsia="en-US"/>
              </w:rPr>
              <w:t>)</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shd w:val="clear" w:color="auto" w:fill="D9D9D9" w:themeFill="background1" w:themeFillShade="D9"/>
          </w:tcPr>
          <w:p w:rsidR="008E5342" w:rsidRPr="000B37DC" w:rsidRDefault="008E5342" w:rsidP="008E5342">
            <w:pPr>
              <w:tabs>
                <w:tab w:val="left" w:pos="155"/>
              </w:tabs>
              <w:rPr>
                <w:rFonts w:ascii="Times New Roman" w:hAnsi="Times New Roman" w:cs="Times New Roman"/>
                <w:b w:val="0"/>
                <w:sz w:val="20"/>
                <w:szCs w:val="20"/>
              </w:rPr>
            </w:pPr>
            <w:r w:rsidRPr="000B37DC">
              <w:rPr>
                <w:rFonts w:ascii="Times New Roman" w:hAnsi="Times New Roman" w:cs="Times New Roman"/>
                <w:b w:val="0"/>
                <w:sz w:val="20"/>
                <w:szCs w:val="20"/>
              </w:rPr>
              <w:tab/>
              <w:t>0</w:t>
            </w:r>
          </w:p>
        </w:tc>
        <w:tc>
          <w:tcPr>
            <w:tcW w:w="616"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3540</w:t>
            </w:r>
          </w:p>
        </w:tc>
        <w:tc>
          <w:tcPr>
            <w:tcW w:w="567"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56.6</w:t>
            </w:r>
          </w:p>
        </w:tc>
        <w:tc>
          <w:tcPr>
            <w:tcW w:w="1275" w:type="dxa"/>
            <w:tcBorders>
              <w:top w:val="nil"/>
              <w:left w:val="nil"/>
              <w:bottom w:val="nil"/>
              <w:right w:val="single" w:sz="4" w:space="0" w:color="auto"/>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(55.2 - 58.1)</w:t>
            </w:r>
          </w:p>
        </w:tc>
        <w:tc>
          <w:tcPr>
            <w:tcW w:w="851" w:type="dxa"/>
            <w:tcBorders>
              <w:top w:val="nil"/>
              <w:left w:val="single" w:sz="4" w:space="0" w:color="auto"/>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2275</w:t>
            </w:r>
          </w:p>
        </w:tc>
        <w:tc>
          <w:tcPr>
            <w:tcW w:w="567"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60.8</w:t>
            </w:r>
          </w:p>
        </w:tc>
        <w:tc>
          <w:tcPr>
            <w:tcW w:w="1325" w:type="dxa"/>
            <w:tcBorders>
              <w:top w:val="nil"/>
              <w:left w:val="nil"/>
              <w:bottom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(58.9 - 62.6)</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shd w:val="clear" w:color="auto" w:fill="auto"/>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1</w:t>
            </w:r>
          </w:p>
        </w:tc>
        <w:tc>
          <w:tcPr>
            <w:tcW w:w="616"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1348</w:t>
            </w:r>
          </w:p>
        </w:tc>
        <w:tc>
          <w:tcPr>
            <w:tcW w:w="567"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21.6</w:t>
            </w:r>
          </w:p>
        </w:tc>
        <w:tc>
          <w:tcPr>
            <w:tcW w:w="1275" w:type="dxa"/>
            <w:tcBorders>
              <w:top w:val="nil"/>
              <w:left w:val="nil"/>
              <w:bottom w:val="nil"/>
              <w:right w:val="single" w:sz="4" w:space="0" w:color="auto"/>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(20.3 - 22.8)</w:t>
            </w:r>
          </w:p>
        </w:tc>
        <w:tc>
          <w:tcPr>
            <w:tcW w:w="851" w:type="dxa"/>
            <w:tcBorders>
              <w:top w:val="nil"/>
              <w:left w:val="single" w:sz="4" w:space="0" w:color="auto"/>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752</w:t>
            </w:r>
          </w:p>
        </w:tc>
        <w:tc>
          <w:tcPr>
            <w:tcW w:w="567"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20.1</w:t>
            </w:r>
          </w:p>
        </w:tc>
        <w:tc>
          <w:tcPr>
            <w:tcW w:w="1325" w:type="dxa"/>
            <w:tcBorders>
              <w:top w:val="nil"/>
              <w:left w:val="nil"/>
              <w:bottom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(18.5 - 21.7)</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2</w:t>
            </w:r>
          </w:p>
        </w:tc>
        <w:tc>
          <w:tcPr>
            <w:tcW w:w="616"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683</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10.9</w:t>
            </w:r>
          </w:p>
        </w:tc>
        <w:tc>
          <w:tcPr>
            <w:tcW w:w="1275" w:type="dxa"/>
            <w:tcBorders>
              <w:top w:val="nil"/>
              <w:left w:val="nil"/>
              <w:bottom w:val="nil"/>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(10.0 - 11.9)</w:t>
            </w:r>
          </w:p>
        </w:tc>
        <w:tc>
          <w:tcPr>
            <w:tcW w:w="851" w:type="dxa"/>
            <w:tcBorders>
              <w:top w:val="nil"/>
              <w:left w:val="single" w:sz="4" w:space="0" w:color="auto"/>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336</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9.0</w:t>
            </w:r>
          </w:p>
        </w:tc>
        <w:tc>
          <w:tcPr>
            <w:tcW w:w="1325" w:type="dxa"/>
            <w:tcBorders>
              <w:top w:val="nil"/>
              <w:left w:val="nil"/>
              <w:bottom w:val="nil"/>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(7.9 - 10.1)</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3</w:t>
            </w:r>
          </w:p>
        </w:tc>
        <w:tc>
          <w:tcPr>
            <w:tcW w:w="616"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271</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4.3</w:t>
            </w:r>
          </w:p>
        </w:tc>
        <w:tc>
          <w:tcPr>
            <w:tcW w:w="1275" w:type="dxa"/>
            <w:tcBorders>
              <w:top w:val="nil"/>
              <w:left w:val="nil"/>
              <w:bottom w:val="nil"/>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(3.8 - 4.9)</w:t>
            </w:r>
          </w:p>
        </w:tc>
        <w:tc>
          <w:tcPr>
            <w:tcW w:w="851" w:type="dxa"/>
            <w:tcBorders>
              <w:top w:val="nil"/>
              <w:left w:val="single" w:sz="4" w:space="0" w:color="auto"/>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184</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4.9</w:t>
            </w:r>
          </w:p>
        </w:tc>
        <w:tc>
          <w:tcPr>
            <w:tcW w:w="1325" w:type="dxa"/>
            <w:tcBorders>
              <w:top w:val="nil"/>
              <w:left w:val="nil"/>
              <w:bottom w:val="nil"/>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(4.1 - 5.8)</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shd w:val="clear" w:color="auto" w:fill="D9D9D9" w:themeFill="background1" w:themeFillShade="D9"/>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4</w:t>
            </w:r>
          </w:p>
        </w:tc>
        <w:tc>
          <w:tcPr>
            <w:tcW w:w="616"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201</w:t>
            </w:r>
          </w:p>
        </w:tc>
        <w:tc>
          <w:tcPr>
            <w:tcW w:w="567"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3.2</w:t>
            </w:r>
          </w:p>
        </w:tc>
        <w:tc>
          <w:tcPr>
            <w:tcW w:w="1275" w:type="dxa"/>
            <w:tcBorders>
              <w:top w:val="nil"/>
              <w:left w:val="nil"/>
              <w:bottom w:val="nil"/>
              <w:right w:val="single" w:sz="4" w:space="0" w:color="auto"/>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(2.7 - 3.7)</w:t>
            </w:r>
          </w:p>
        </w:tc>
        <w:tc>
          <w:tcPr>
            <w:tcW w:w="851" w:type="dxa"/>
            <w:tcBorders>
              <w:top w:val="nil"/>
              <w:left w:val="single" w:sz="4" w:space="0" w:color="auto"/>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74</w:t>
            </w:r>
          </w:p>
        </w:tc>
        <w:tc>
          <w:tcPr>
            <w:tcW w:w="567"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2.0</w:t>
            </w:r>
          </w:p>
        </w:tc>
        <w:tc>
          <w:tcPr>
            <w:tcW w:w="1325" w:type="dxa"/>
            <w:tcBorders>
              <w:top w:val="nil"/>
              <w:left w:val="nil"/>
              <w:bottom w:val="nil"/>
              <w:right w:val="nil"/>
            </w:tcBorders>
            <w:shd w:val="clear" w:color="auto" w:fill="D9D9D9" w:themeFill="background1" w:themeFillShade="D9"/>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(1.5 - 2.4)</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shd w:val="clear" w:color="auto" w:fill="auto"/>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5</w:t>
            </w:r>
          </w:p>
        </w:tc>
        <w:tc>
          <w:tcPr>
            <w:tcW w:w="616"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106</w:t>
            </w:r>
          </w:p>
        </w:tc>
        <w:tc>
          <w:tcPr>
            <w:tcW w:w="567"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1.7</w:t>
            </w:r>
          </w:p>
        </w:tc>
        <w:tc>
          <w:tcPr>
            <w:tcW w:w="1275" w:type="dxa"/>
            <w:tcBorders>
              <w:top w:val="nil"/>
              <w:left w:val="nil"/>
              <w:bottom w:val="nil"/>
              <w:right w:val="single" w:sz="4" w:space="0" w:color="auto"/>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(1.4 - 2.0)</w:t>
            </w:r>
          </w:p>
        </w:tc>
        <w:tc>
          <w:tcPr>
            <w:tcW w:w="851" w:type="dxa"/>
            <w:tcBorders>
              <w:top w:val="nil"/>
              <w:left w:val="single" w:sz="4" w:space="0" w:color="auto"/>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75</w:t>
            </w:r>
          </w:p>
        </w:tc>
        <w:tc>
          <w:tcPr>
            <w:tcW w:w="567"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2.0</w:t>
            </w:r>
          </w:p>
        </w:tc>
        <w:tc>
          <w:tcPr>
            <w:tcW w:w="1325" w:type="dxa"/>
            <w:tcBorders>
              <w:top w:val="nil"/>
              <w:left w:val="nil"/>
              <w:bottom w:val="nil"/>
              <w:right w:val="nil"/>
            </w:tcBorders>
            <w:shd w:val="clear" w:color="auto" w:fill="auto"/>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(1.3 - 2.7)</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6</w:t>
            </w:r>
          </w:p>
        </w:tc>
        <w:tc>
          <w:tcPr>
            <w:tcW w:w="616"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61</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1.0</w:t>
            </w:r>
          </w:p>
        </w:tc>
        <w:tc>
          <w:tcPr>
            <w:tcW w:w="1275" w:type="dxa"/>
            <w:tcBorders>
              <w:top w:val="nil"/>
              <w:left w:val="nil"/>
              <w:bottom w:val="nil"/>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(0.7 - 1.2)</w:t>
            </w:r>
          </w:p>
        </w:tc>
        <w:tc>
          <w:tcPr>
            <w:tcW w:w="851" w:type="dxa"/>
            <w:tcBorders>
              <w:top w:val="nil"/>
              <w:left w:val="single" w:sz="4" w:space="0" w:color="auto"/>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35</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0.9</w:t>
            </w:r>
          </w:p>
        </w:tc>
        <w:tc>
          <w:tcPr>
            <w:tcW w:w="1325" w:type="dxa"/>
            <w:tcBorders>
              <w:top w:val="nil"/>
              <w:left w:val="nil"/>
              <w:bottom w:val="nil"/>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(0.6 - 1.2)</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7</w:t>
            </w:r>
          </w:p>
        </w:tc>
        <w:tc>
          <w:tcPr>
            <w:tcW w:w="616"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30</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0.5</w:t>
            </w:r>
          </w:p>
        </w:tc>
        <w:tc>
          <w:tcPr>
            <w:tcW w:w="1275" w:type="dxa"/>
            <w:tcBorders>
              <w:top w:val="nil"/>
              <w:left w:val="nil"/>
              <w:bottom w:val="nil"/>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(0.3 - 0.6)</w:t>
            </w:r>
          </w:p>
        </w:tc>
        <w:tc>
          <w:tcPr>
            <w:tcW w:w="851" w:type="dxa"/>
            <w:tcBorders>
              <w:top w:val="nil"/>
              <w:left w:val="single" w:sz="4" w:space="0" w:color="auto"/>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9</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0.3</w:t>
            </w:r>
          </w:p>
        </w:tc>
        <w:tc>
          <w:tcPr>
            <w:tcW w:w="1325" w:type="dxa"/>
            <w:tcBorders>
              <w:top w:val="nil"/>
              <w:left w:val="nil"/>
              <w:bottom w:val="nil"/>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(0.1 - 0.4)</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nil"/>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8</w:t>
            </w:r>
          </w:p>
        </w:tc>
        <w:tc>
          <w:tcPr>
            <w:tcW w:w="616"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9</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0.1</w:t>
            </w:r>
          </w:p>
        </w:tc>
        <w:tc>
          <w:tcPr>
            <w:tcW w:w="1275" w:type="dxa"/>
            <w:tcBorders>
              <w:top w:val="nil"/>
              <w:left w:val="nil"/>
              <w:bottom w:val="nil"/>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(0.1 - 0.2)</w:t>
            </w:r>
          </w:p>
        </w:tc>
        <w:tc>
          <w:tcPr>
            <w:tcW w:w="851" w:type="dxa"/>
            <w:tcBorders>
              <w:top w:val="nil"/>
              <w:left w:val="single" w:sz="4" w:space="0" w:color="auto"/>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3</w:t>
            </w:r>
          </w:p>
        </w:tc>
        <w:tc>
          <w:tcPr>
            <w:tcW w:w="567" w:type="dxa"/>
            <w:tcBorders>
              <w:top w:val="nil"/>
              <w:left w:val="nil"/>
              <w:bottom w:val="nil"/>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0.1</w:t>
            </w:r>
          </w:p>
        </w:tc>
        <w:tc>
          <w:tcPr>
            <w:tcW w:w="1325" w:type="dxa"/>
            <w:tcBorders>
              <w:top w:val="nil"/>
              <w:left w:val="nil"/>
              <w:bottom w:val="nil"/>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(0.0 - 0.2)</w:t>
            </w:r>
          </w:p>
        </w:tc>
      </w:tr>
      <w:tr w:rsidR="008E5342" w:rsidRPr="000B37DC" w:rsidTr="00E05935">
        <w:tc>
          <w:tcPr>
            <w:cnfStyle w:val="001000000000" w:firstRow="0" w:lastRow="0" w:firstColumn="1" w:lastColumn="0" w:oddVBand="0" w:evenVBand="0" w:oddHBand="0" w:evenHBand="0" w:firstRowFirstColumn="0" w:firstRowLastColumn="0" w:lastRowFirstColumn="0" w:lastRowLastColumn="0"/>
            <w:tcW w:w="3105" w:type="dxa"/>
            <w:tcBorders>
              <w:top w:val="nil"/>
              <w:left w:val="nil"/>
              <w:bottom w:val="single" w:sz="8" w:space="0" w:color="000000" w:themeColor="text1"/>
              <w:right w:val="nil"/>
            </w:tcBorders>
          </w:tcPr>
          <w:p w:rsidR="008E5342" w:rsidRPr="000B37DC" w:rsidRDefault="008E5342" w:rsidP="008E5342">
            <w:pPr>
              <w:rPr>
                <w:rFonts w:ascii="Times New Roman" w:hAnsi="Times New Roman" w:cs="Times New Roman"/>
                <w:b w:val="0"/>
                <w:sz w:val="20"/>
                <w:szCs w:val="20"/>
              </w:rPr>
            </w:pPr>
            <w:r w:rsidRPr="000B37DC">
              <w:rPr>
                <w:rFonts w:ascii="Times New Roman" w:hAnsi="Times New Roman" w:cs="Times New Roman"/>
                <w:b w:val="0"/>
                <w:sz w:val="20"/>
                <w:szCs w:val="20"/>
              </w:rPr>
              <w:t xml:space="preserve">   Missing</w:t>
            </w:r>
          </w:p>
        </w:tc>
        <w:tc>
          <w:tcPr>
            <w:tcW w:w="616" w:type="dxa"/>
            <w:tcBorders>
              <w:top w:val="nil"/>
              <w:left w:val="nil"/>
              <w:bottom w:val="single" w:sz="8" w:space="0" w:color="000000" w:themeColor="text1"/>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w:t>
            </w:r>
          </w:p>
        </w:tc>
        <w:tc>
          <w:tcPr>
            <w:tcW w:w="567" w:type="dxa"/>
            <w:tcBorders>
              <w:top w:val="nil"/>
              <w:left w:val="nil"/>
              <w:bottom w:val="single" w:sz="8" w:space="0" w:color="000000" w:themeColor="text1"/>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w:t>
            </w:r>
          </w:p>
        </w:tc>
        <w:tc>
          <w:tcPr>
            <w:tcW w:w="1275" w:type="dxa"/>
            <w:tcBorders>
              <w:top w:val="nil"/>
              <w:left w:val="nil"/>
              <w:bottom w:val="single" w:sz="8" w:space="0" w:color="000000" w:themeColor="text1"/>
              <w:right w:val="single" w:sz="4" w:space="0" w:color="auto"/>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w:t>
            </w:r>
          </w:p>
        </w:tc>
        <w:tc>
          <w:tcPr>
            <w:tcW w:w="851" w:type="dxa"/>
            <w:tcBorders>
              <w:top w:val="nil"/>
              <w:left w:val="single" w:sz="4" w:space="0" w:color="auto"/>
              <w:bottom w:val="single" w:sz="8" w:space="0" w:color="000000" w:themeColor="text1"/>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1</w:t>
            </w:r>
          </w:p>
        </w:tc>
        <w:tc>
          <w:tcPr>
            <w:tcW w:w="567" w:type="dxa"/>
            <w:tcBorders>
              <w:top w:val="nil"/>
              <w:left w:val="nil"/>
              <w:bottom w:val="single" w:sz="8" w:space="0" w:color="000000" w:themeColor="text1"/>
              <w:right w:val="nil"/>
            </w:tcBorders>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w:t>
            </w:r>
          </w:p>
        </w:tc>
        <w:tc>
          <w:tcPr>
            <w:tcW w:w="1325" w:type="dxa"/>
            <w:tcBorders>
              <w:top w:val="nil"/>
              <w:left w:val="nil"/>
              <w:bottom w:val="single" w:sz="8" w:space="0" w:color="000000" w:themeColor="text1"/>
              <w:right w:val="nil"/>
            </w:tcBorders>
            <w:shd w:val="clear" w:color="auto" w:fill="FFFFFF" w:themeFill="background1"/>
            <w:noWrap/>
          </w:tcPr>
          <w:p w:rsidR="008E5342" w:rsidRPr="000B37DC"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0B37DC">
              <w:rPr>
                <w:rFonts w:ascii="Times New Roman" w:eastAsiaTheme="minorEastAsia" w:hAnsi="Times New Roman" w:cs="Times New Roman"/>
                <w:sz w:val="20"/>
                <w:szCs w:val="20"/>
                <w:lang w:eastAsia="en-US"/>
              </w:rPr>
              <w:t>-</w:t>
            </w:r>
          </w:p>
        </w:tc>
      </w:tr>
    </w:tbl>
    <w:p w:rsidR="00880ABA" w:rsidRPr="000B37DC" w:rsidRDefault="00880ABA" w:rsidP="00880ABA">
      <w:pPr>
        <w:rPr>
          <w:sz w:val="20"/>
        </w:rPr>
      </w:pPr>
      <w:r w:rsidRPr="000B37DC">
        <w:rPr>
          <w:sz w:val="20"/>
        </w:rPr>
        <w:t>Data weighted for 2013 Census data (both Waves) and attrition (Wave 2)</w:t>
      </w:r>
    </w:p>
    <w:p w:rsidR="00D33AE9" w:rsidRPr="000B37DC" w:rsidRDefault="00880ABA" w:rsidP="00880ABA">
      <w:pPr>
        <w:tabs>
          <w:tab w:val="left" w:pos="0"/>
        </w:tabs>
        <w:jc w:val="both"/>
        <w:rPr>
          <w:sz w:val="20"/>
        </w:rPr>
      </w:pPr>
      <w:r w:rsidRPr="000B37DC">
        <w:rPr>
          <w:sz w:val="20"/>
        </w:rPr>
        <w:t>Baseline N = 6,251; Wave 2 N = 3,745</w:t>
      </w:r>
    </w:p>
    <w:p w:rsidR="008603D1" w:rsidRDefault="008603D1" w:rsidP="008603D1"/>
    <w:p w:rsidR="008603D1" w:rsidRDefault="008603D1" w:rsidP="005636CC">
      <w:pPr>
        <w:pStyle w:val="Heading3b"/>
        <w:keepNext w:val="0"/>
        <w:numPr>
          <w:ilvl w:val="2"/>
          <w:numId w:val="39"/>
        </w:numPr>
        <w:tabs>
          <w:tab w:val="clear" w:pos="1146"/>
        </w:tabs>
        <w:ind w:left="709"/>
        <w:rPr>
          <w:rFonts w:ascii="Times New Roman" w:hAnsi="Times New Roman" w:cs="Times New Roman"/>
          <w:b/>
        </w:rPr>
      </w:pPr>
      <w:bookmarkStart w:id="168" w:name="_Toc420392608"/>
      <w:r>
        <w:rPr>
          <w:rFonts w:ascii="Times New Roman" w:hAnsi="Times New Roman" w:cs="Times New Roman"/>
          <w:b/>
        </w:rPr>
        <w:t>Gambling participation</w:t>
      </w:r>
      <w:bookmarkEnd w:id="168"/>
    </w:p>
    <w:p w:rsidR="008603D1" w:rsidRDefault="008603D1" w:rsidP="008603D1"/>
    <w:p w:rsidR="007A7D8F" w:rsidRPr="007A7D8F" w:rsidRDefault="007A7D8F" w:rsidP="008603D1">
      <w:pPr>
        <w:rPr>
          <w:b/>
        </w:rPr>
      </w:pPr>
      <w:r>
        <w:rPr>
          <w:b/>
        </w:rPr>
        <w:t>Past year and past month gambling</w:t>
      </w:r>
    </w:p>
    <w:p w:rsidR="007A7D8F" w:rsidRDefault="007A7D8F" w:rsidP="008603D1"/>
    <w:p w:rsidR="00C06A8E" w:rsidRDefault="008110D8" w:rsidP="00C06A8E">
      <w:pPr>
        <w:jc w:val="both"/>
      </w:pPr>
      <w:r>
        <w:t>Gambling participation was assessed in terms of gambling on a particular activity at least once in the past year or at least once in the past month</w:t>
      </w:r>
      <w:r w:rsidR="00AC730B">
        <w:t xml:space="preserve">.  </w:t>
      </w:r>
      <w:r w:rsidR="00C06A8E">
        <w:t xml:space="preserve">Data are presented in </w:t>
      </w:r>
      <w:r w:rsidR="00C06A8E" w:rsidRPr="005636CC">
        <w:fldChar w:fldCharType="begin"/>
      </w:r>
      <w:r w:rsidR="00C06A8E" w:rsidRPr="005636CC">
        <w:instrText xml:space="preserve"> REF _Ref404160094 \h  \* MERGEFORMAT </w:instrText>
      </w:r>
      <w:r w:rsidR="00C06A8E" w:rsidRPr="005636CC">
        <w:fldChar w:fldCharType="separate"/>
      </w:r>
      <w:r w:rsidR="00B2175B" w:rsidRPr="00B2175B">
        <w:t xml:space="preserve">Appendix </w:t>
      </w:r>
      <w:r w:rsidR="00B2175B" w:rsidRPr="00B2175B">
        <w:rPr>
          <w:noProof/>
        </w:rPr>
        <w:t>5</w:t>
      </w:r>
      <w:r w:rsidR="00C06A8E" w:rsidRPr="005636CC">
        <w:fldChar w:fldCharType="end"/>
      </w:r>
      <w:r w:rsidR="00C06A8E">
        <w:t>.</w:t>
      </w:r>
    </w:p>
    <w:p w:rsidR="00C40770" w:rsidRDefault="00C40770" w:rsidP="00C40770">
      <w:pPr>
        <w:jc w:val="both"/>
        <w:rPr>
          <w:u w:val="single"/>
        </w:rPr>
      </w:pPr>
    </w:p>
    <w:p w:rsidR="00C40770" w:rsidRPr="00C40770" w:rsidRDefault="00C40770" w:rsidP="00C40770">
      <w:pPr>
        <w:jc w:val="both"/>
        <w:rPr>
          <w:u w:val="single"/>
        </w:rPr>
      </w:pPr>
      <w:r>
        <w:rPr>
          <w:u w:val="single"/>
        </w:rPr>
        <w:t>Past year gambling</w:t>
      </w:r>
    </w:p>
    <w:p w:rsidR="00AC730B" w:rsidRDefault="00AC730B" w:rsidP="00AC730B">
      <w:pPr>
        <w:jc w:val="both"/>
      </w:pPr>
      <w:r>
        <w:t>For past year gambling participation, the profile was slightly different in Wave 2 compared with Wave 1</w:t>
      </w:r>
      <w:r w:rsidR="005636CC">
        <w:t xml:space="preserve"> for some gambling activities</w:t>
      </w:r>
      <w:r>
        <w:t>.  In Wave 2</w:t>
      </w:r>
      <w:r w:rsidR="005636CC">
        <w:t>,</w:t>
      </w:r>
      <w:r>
        <w:t xml:space="preserve"> a lower percentage had gambled at least once in the past year on: </w:t>
      </w:r>
    </w:p>
    <w:p w:rsidR="00AC730B" w:rsidRDefault="00AC730B" w:rsidP="005636CC">
      <w:pPr>
        <w:pStyle w:val="ListParagraph"/>
        <w:numPr>
          <w:ilvl w:val="0"/>
          <w:numId w:val="42"/>
        </w:numPr>
        <w:jc w:val="both"/>
      </w:pPr>
      <w:r>
        <w:t>Bets with friends or workmates (12.2% vs. 14.6%)</w:t>
      </w:r>
    </w:p>
    <w:p w:rsidR="00AC730B" w:rsidRDefault="00AC730B" w:rsidP="005636CC">
      <w:pPr>
        <w:pStyle w:val="ListParagraph"/>
        <w:numPr>
          <w:ilvl w:val="0"/>
          <w:numId w:val="42"/>
        </w:numPr>
        <w:jc w:val="both"/>
      </w:pPr>
      <w:r>
        <w:t>Sports betting (2.7% vs. 4.6%)</w:t>
      </w:r>
    </w:p>
    <w:p w:rsidR="00AC730B" w:rsidRDefault="00AC730B" w:rsidP="005636CC">
      <w:pPr>
        <w:pStyle w:val="ListParagraph"/>
        <w:numPr>
          <w:ilvl w:val="0"/>
          <w:numId w:val="42"/>
        </w:numPr>
        <w:jc w:val="both"/>
      </w:pPr>
      <w:r>
        <w:t>Casino gambling (table games and EGM</w:t>
      </w:r>
      <w:r w:rsidR="00EE58B5">
        <w:t>s</w:t>
      </w:r>
      <w:r>
        <w:t>) in New Zealand (7.2% vs. 9.4%)</w:t>
      </w:r>
    </w:p>
    <w:p w:rsidR="008110D8" w:rsidRDefault="00AC730B" w:rsidP="005636CC">
      <w:pPr>
        <w:pStyle w:val="ListParagraph"/>
        <w:numPr>
          <w:ilvl w:val="0"/>
          <w:numId w:val="42"/>
        </w:numPr>
        <w:jc w:val="both"/>
      </w:pPr>
      <w:r>
        <w:t>Casino EGMs (6.1% vs. 8.3%)</w:t>
      </w:r>
    </w:p>
    <w:p w:rsidR="00AC730B" w:rsidRDefault="00AC730B" w:rsidP="005636CC">
      <w:pPr>
        <w:pStyle w:val="ListParagraph"/>
        <w:numPr>
          <w:ilvl w:val="0"/>
          <w:numId w:val="42"/>
        </w:numPr>
        <w:jc w:val="both"/>
      </w:pPr>
      <w:r>
        <w:t>Pub EGMs (8.9% vs. 11.5%)</w:t>
      </w:r>
    </w:p>
    <w:p w:rsidR="00AC730B" w:rsidRDefault="00AC730B" w:rsidP="005636CC">
      <w:pPr>
        <w:pStyle w:val="ListParagraph"/>
        <w:numPr>
          <w:ilvl w:val="0"/>
          <w:numId w:val="42"/>
        </w:numPr>
        <w:jc w:val="both"/>
      </w:pPr>
      <w:r>
        <w:t>EGMs overall (14.1% vs. 17.6%).</w:t>
      </w:r>
    </w:p>
    <w:p w:rsidR="00DA2733" w:rsidRDefault="00DA2733" w:rsidP="00DA2733">
      <w:pPr>
        <w:jc w:val="both"/>
      </w:pPr>
    </w:p>
    <w:p w:rsidR="00DA2733" w:rsidRDefault="00DA2733" w:rsidP="00DA2733">
      <w:pPr>
        <w:jc w:val="both"/>
      </w:pPr>
      <w:r>
        <w:t>In Wave 2, the most popular gambling activity for past year participation was Lotto (60%), followed by raffles or lotteries (48%), Instant Kiwi or other scratch tickets (30%), EGMs overall (14%), bets with friends or workmates (12%), and horse and dog race betting (10.5%).  All other gambling activities were participated in by less than 10% of the participants.</w:t>
      </w:r>
    </w:p>
    <w:p w:rsidR="008603D1" w:rsidRDefault="008603D1" w:rsidP="00AC730B">
      <w:pPr>
        <w:jc w:val="both"/>
      </w:pPr>
    </w:p>
    <w:p w:rsidR="00C40770" w:rsidRPr="00C40770" w:rsidRDefault="00C40770" w:rsidP="00EE58B5">
      <w:pPr>
        <w:keepNext/>
        <w:jc w:val="both"/>
        <w:rPr>
          <w:u w:val="single"/>
        </w:rPr>
      </w:pPr>
      <w:r>
        <w:rPr>
          <w:u w:val="single"/>
        </w:rPr>
        <w:lastRenderedPageBreak/>
        <w:t>Past month gambling</w:t>
      </w:r>
    </w:p>
    <w:p w:rsidR="008603D1" w:rsidRDefault="005636CC" w:rsidP="00EE58B5">
      <w:pPr>
        <w:keepNext/>
        <w:jc w:val="both"/>
      </w:pPr>
      <w:r>
        <w:t>When past month gambling participation was assessed, Wave 2 findings were similar to Wave 1 with one exception.  A lower proportion of participants had gambled in the past month on EGMs overall in comparison to Wave 1 (3.4% vs. 4.9%).</w:t>
      </w:r>
    </w:p>
    <w:p w:rsidR="00EE58B5" w:rsidRDefault="00EE58B5" w:rsidP="00EE58B5">
      <w:pPr>
        <w:keepNext/>
        <w:jc w:val="both"/>
      </w:pPr>
    </w:p>
    <w:p w:rsidR="00DA2733" w:rsidRDefault="00DA2733" w:rsidP="00AC730B">
      <w:pPr>
        <w:jc w:val="both"/>
      </w:pPr>
      <w:r>
        <w:t>In Wave 2, the most popular gambling activity for past month participation was Lotto (33%), followed by raffles or lotteries (11%), and Instant Kiwi or other scratch tickets (11%).  All other gambling activities were participated in by less than three percent of the participants.</w:t>
      </w:r>
    </w:p>
    <w:p w:rsidR="008603D1" w:rsidRDefault="008603D1" w:rsidP="00AC730B">
      <w:pPr>
        <w:jc w:val="both"/>
      </w:pPr>
    </w:p>
    <w:p w:rsidR="009E225E" w:rsidRDefault="009E225E" w:rsidP="00AC730B">
      <w:pPr>
        <w:tabs>
          <w:tab w:val="left" w:pos="0"/>
        </w:tabs>
        <w:jc w:val="both"/>
        <w:rPr>
          <w:szCs w:val="22"/>
        </w:rPr>
      </w:pPr>
    </w:p>
    <w:p w:rsidR="00EC476C" w:rsidRDefault="00EC476C" w:rsidP="00DA2733">
      <w:pPr>
        <w:keepNext/>
        <w:tabs>
          <w:tab w:val="left" w:pos="0"/>
        </w:tabs>
        <w:jc w:val="both"/>
        <w:rPr>
          <w:szCs w:val="22"/>
        </w:rPr>
      </w:pPr>
      <w:r>
        <w:rPr>
          <w:b/>
          <w:szCs w:val="22"/>
        </w:rPr>
        <w:t>Gambling</w:t>
      </w:r>
      <w:r w:rsidR="00C4011B">
        <w:rPr>
          <w:b/>
          <w:szCs w:val="22"/>
        </w:rPr>
        <w:t xml:space="preserve"> behaviour</w:t>
      </w:r>
    </w:p>
    <w:p w:rsidR="00EC476C" w:rsidRDefault="00EC476C" w:rsidP="00DA2733">
      <w:pPr>
        <w:keepNext/>
        <w:tabs>
          <w:tab w:val="left" w:pos="0"/>
        </w:tabs>
        <w:jc w:val="both"/>
        <w:rPr>
          <w:szCs w:val="22"/>
        </w:rPr>
      </w:pPr>
    </w:p>
    <w:p w:rsidR="00F36F13" w:rsidRDefault="00F36F13" w:rsidP="00DA2733">
      <w:pPr>
        <w:keepNext/>
        <w:tabs>
          <w:tab w:val="left" w:pos="0"/>
        </w:tabs>
        <w:jc w:val="both"/>
        <w:rPr>
          <w:szCs w:val="22"/>
        </w:rPr>
      </w:pPr>
      <w:r>
        <w:rPr>
          <w:szCs w:val="22"/>
        </w:rPr>
        <w:t>In Waves 1</w:t>
      </w:r>
      <w:r w:rsidR="00EC476C">
        <w:rPr>
          <w:szCs w:val="22"/>
        </w:rPr>
        <w:t xml:space="preserve"> </w:t>
      </w:r>
      <w:r>
        <w:rPr>
          <w:szCs w:val="22"/>
        </w:rPr>
        <w:t>and</w:t>
      </w:r>
      <w:r w:rsidR="00EC476C">
        <w:rPr>
          <w:szCs w:val="22"/>
        </w:rPr>
        <w:t xml:space="preserve"> 2, </w:t>
      </w:r>
      <w:r>
        <w:rPr>
          <w:szCs w:val="22"/>
        </w:rPr>
        <w:t>t</w:t>
      </w:r>
      <w:r w:rsidR="00EC476C">
        <w:rPr>
          <w:szCs w:val="22"/>
        </w:rPr>
        <w:t xml:space="preserve">here were no major differences </w:t>
      </w:r>
      <w:r>
        <w:rPr>
          <w:szCs w:val="22"/>
        </w:rPr>
        <w:t>in relation to pattern of gambling participation (infrequent</w:t>
      </w:r>
      <w:r w:rsidR="00EE58B5">
        <w:rPr>
          <w:szCs w:val="22"/>
        </w:rPr>
        <w:t xml:space="preserve"> gambler</w:t>
      </w:r>
      <w:r>
        <w:rPr>
          <w:szCs w:val="22"/>
        </w:rPr>
        <w:t>,</w:t>
      </w:r>
      <w:r w:rsidR="00EE58B5">
        <w:rPr>
          <w:szCs w:val="22"/>
        </w:rPr>
        <w:t xml:space="preserve"> regular non-continuous gambler or</w:t>
      </w:r>
      <w:r>
        <w:rPr>
          <w:szCs w:val="22"/>
        </w:rPr>
        <w:t xml:space="preserve"> regular continuous gambler), frequency of gambling, expenditure on gambling, most preferred activity, who they gambled with, and knowing other people with a gambling problem (</w:t>
      </w:r>
      <w:r w:rsidRPr="00F36F13">
        <w:rPr>
          <w:szCs w:val="22"/>
        </w:rPr>
        <w:fldChar w:fldCharType="begin"/>
      </w:r>
      <w:r w:rsidRPr="00F36F13">
        <w:rPr>
          <w:szCs w:val="22"/>
        </w:rPr>
        <w:instrText xml:space="preserve"> REF _Ref404160725 \h  \* MERGEFORMAT </w:instrText>
      </w:r>
      <w:r w:rsidRPr="00F36F13">
        <w:rPr>
          <w:szCs w:val="22"/>
        </w:rPr>
      </w:r>
      <w:r w:rsidRPr="00F36F13">
        <w:rPr>
          <w:szCs w:val="22"/>
        </w:rPr>
        <w:fldChar w:fldCharType="separate"/>
      </w:r>
      <w:r w:rsidR="00B2175B" w:rsidRPr="00B2175B">
        <w:t xml:space="preserve">Appendix </w:t>
      </w:r>
      <w:r w:rsidR="00B2175B" w:rsidRPr="00B2175B">
        <w:rPr>
          <w:noProof/>
        </w:rPr>
        <w:t>6</w:t>
      </w:r>
      <w:r w:rsidRPr="00F36F13">
        <w:rPr>
          <w:szCs w:val="22"/>
        </w:rPr>
        <w:fldChar w:fldCharType="end"/>
      </w:r>
      <w:r>
        <w:rPr>
          <w:szCs w:val="22"/>
        </w:rPr>
        <w:t>).  However, a slightly lower percentage of participants who gambled on seven to ni</w:t>
      </w:r>
      <w:r w:rsidR="00C40770">
        <w:rPr>
          <w:szCs w:val="22"/>
        </w:rPr>
        <w:t>ne activities was noted in Wave </w:t>
      </w:r>
      <w:r>
        <w:rPr>
          <w:szCs w:val="22"/>
        </w:rPr>
        <w:t>2 in comparison with Wave 1 (2.0% vs. 3.3%) (</w:t>
      </w:r>
      <w:r>
        <w:rPr>
          <w:szCs w:val="22"/>
        </w:rPr>
        <w:fldChar w:fldCharType="begin"/>
      </w:r>
      <w:r>
        <w:rPr>
          <w:szCs w:val="22"/>
        </w:rPr>
        <w:instrText xml:space="preserve"> REF _Ref404160919 \h </w:instrText>
      </w:r>
      <w:r>
        <w:rPr>
          <w:szCs w:val="22"/>
        </w:rPr>
      </w:r>
      <w:r>
        <w:rPr>
          <w:szCs w:val="22"/>
        </w:rPr>
        <w:fldChar w:fldCharType="separate"/>
      </w:r>
      <w:r w:rsidR="00B2175B">
        <w:t xml:space="preserve">Table </w:t>
      </w:r>
      <w:r w:rsidR="00B2175B">
        <w:rPr>
          <w:noProof/>
        </w:rPr>
        <w:t>7</w:t>
      </w:r>
      <w:r>
        <w:rPr>
          <w:szCs w:val="22"/>
        </w:rPr>
        <w:fldChar w:fldCharType="end"/>
      </w:r>
      <w:r>
        <w:rPr>
          <w:szCs w:val="22"/>
        </w:rPr>
        <w:t>).</w:t>
      </w:r>
    </w:p>
    <w:p w:rsidR="00F36F13" w:rsidRDefault="00F36F13" w:rsidP="00EC476C">
      <w:pPr>
        <w:tabs>
          <w:tab w:val="left" w:pos="0"/>
        </w:tabs>
        <w:jc w:val="both"/>
        <w:rPr>
          <w:szCs w:val="22"/>
        </w:rPr>
      </w:pPr>
    </w:p>
    <w:p w:rsidR="00F36F13" w:rsidRDefault="00F36F13" w:rsidP="00F36F13">
      <w:pPr>
        <w:pStyle w:val="Caption"/>
        <w:keepNext/>
        <w:rPr>
          <w:szCs w:val="22"/>
        </w:rPr>
      </w:pPr>
      <w:bookmarkStart w:id="169" w:name="_Ref404160919"/>
      <w:bookmarkStart w:id="170" w:name="_Toc420393795"/>
      <w:r>
        <w:t xml:space="preserve">Table </w:t>
      </w:r>
      <w:fldSimple w:instr=" SEQ Table \* ARABIC ">
        <w:r w:rsidR="00B2175B">
          <w:rPr>
            <w:noProof/>
          </w:rPr>
          <w:t>7</w:t>
        </w:r>
      </w:fldSimple>
      <w:bookmarkEnd w:id="169"/>
      <w:r>
        <w:t xml:space="preserve">: Prevalence and 95% confidence intervals for number of gambling activities participated in </w:t>
      </w:r>
      <w:r w:rsidR="00EE58B5">
        <w:t>Wave 1</w:t>
      </w:r>
      <w:r>
        <w:t xml:space="preserve"> and Wave 2</w:t>
      </w:r>
      <w:bookmarkEnd w:id="170"/>
    </w:p>
    <w:tbl>
      <w:tblPr>
        <w:tblStyle w:val="LightShading4"/>
        <w:tblW w:w="0" w:type="auto"/>
        <w:tblLook w:val="06A0" w:firstRow="1" w:lastRow="0" w:firstColumn="1" w:lastColumn="0" w:noHBand="1" w:noVBand="1"/>
      </w:tblPr>
      <w:tblGrid>
        <w:gridCol w:w="3153"/>
        <w:gridCol w:w="709"/>
        <w:gridCol w:w="566"/>
        <w:gridCol w:w="1287"/>
        <w:gridCol w:w="709"/>
        <w:gridCol w:w="566"/>
        <w:gridCol w:w="1316"/>
      </w:tblGrid>
      <w:tr w:rsidR="00F36F13" w:rsidRPr="00EE58B5"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val="restart"/>
            <w:tcBorders>
              <w:bottom w:val="single" w:sz="4" w:space="0" w:color="auto"/>
            </w:tcBorders>
            <w:vAlign w:val="bottom"/>
            <w:hideMark/>
          </w:tcPr>
          <w:p w:rsidR="00F36F13" w:rsidRPr="00EE58B5" w:rsidRDefault="00F36F13" w:rsidP="00726075">
            <w:pPr>
              <w:spacing w:before="20" w:after="2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Number of gambling activities participated in</w:t>
            </w:r>
          </w:p>
        </w:tc>
        <w:tc>
          <w:tcPr>
            <w:tcW w:w="2562" w:type="dxa"/>
            <w:gridSpan w:val="3"/>
            <w:tcBorders>
              <w:bottom w:val="single" w:sz="4" w:space="0" w:color="auto"/>
              <w:right w:val="single" w:sz="4" w:space="0" w:color="auto"/>
            </w:tcBorders>
            <w:noWrap/>
            <w:vAlign w:val="center"/>
            <w:hideMark/>
          </w:tcPr>
          <w:p w:rsidR="00F36F13" w:rsidRPr="00EE58B5" w:rsidRDefault="00EE58B5" w:rsidP="00726075">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20"/>
                <w:lang w:eastAsia="en-US"/>
              </w:rPr>
            </w:pPr>
            <w:r w:rsidRPr="00EE58B5">
              <w:rPr>
                <w:rFonts w:ascii="Times New Roman" w:eastAsiaTheme="minorEastAsia" w:hAnsi="Times New Roman" w:cs="Times New Roman"/>
                <w:sz w:val="20"/>
                <w:szCs w:val="20"/>
              </w:rPr>
              <w:t>Wave 1</w:t>
            </w:r>
          </w:p>
        </w:tc>
        <w:tc>
          <w:tcPr>
            <w:tcW w:w="2591" w:type="dxa"/>
            <w:gridSpan w:val="3"/>
            <w:tcBorders>
              <w:left w:val="single" w:sz="4" w:space="0" w:color="auto"/>
              <w:bottom w:val="single" w:sz="4" w:space="0" w:color="auto"/>
            </w:tcBorders>
            <w:vAlign w:val="center"/>
          </w:tcPr>
          <w:p w:rsidR="00F36F13" w:rsidRPr="00EE58B5" w:rsidRDefault="00F36F13" w:rsidP="00726075">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Wave 2</w:t>
            </w:r>
          </w:p>
        </w:tc>
      </w:tr>
      <w:tr w:rsidR="00F36F13" w:rsidRPr="00EE58B5"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tcBorders>
              <w:bottom w:val="single" w:sz="4" w:space="0" w:color="auto"/>
            </w:tcBorders>
            <w:vAlign w:val="center"/>
            <w:hideMark/>
          </w:tcPr>
          <w:p w:rsidR="00F36F13" w:rsidRPr="00EE58B5" w:rsidRDefault="00F36F13" w:rsidP="00726075">
            <w:pPr>
              <w:spacing w:before="20" w:after="20"/>
              <w:rPr>
                <w:rFonts w:ascii="Times New Roman" w:eastAsiaTheme="minorEastAsia" w:hAnsi="Times New Roman" w:cs="Times New Roman"/>
                <w:sz w:val="20"/>
                <w:szCs w:val="20"/>
                <w:lang w:eastAsia="en-US"/>
              </w:rPr>
            </w:pPr>
          </w:p>
        </w:tc>
        <w:tc>
          <w:tcPr>
            <w:tcW w:w="709" w:type="dxa"/>
            <w:tcBorders>
              <w:top w:val="single" w:sz="4" w:space="0" w:color="auto"/>
              <w:bottom w:val="single" w:sz="4" w:space="0" w:color="auto"/>
            </w:tcBorders>
            <w:noWrap/>
            <w:vAlign w:val="center"/>
            <w:hideMark/>
          </w:tcPr>
          <w:p w:rsidR="00F36F13" w:rsidRPr="00EE58B5" w:rsidRDefault="00F36F13"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sz w:val="20"/>
                <w:szCs w:val="20"/>
              </w:rPr>
              <w:t>n</w:t>
            </w:r>
          </w:p>
        </w:tc>
        <w:tc>
          <w:tcPr>
            <w:tcW w:w="566" w:type="dxa"/>
            <w:tcBorders>
              <w:top w:val="single" w:sz="4" w:space="0" w:color="auto"/>
              <w:bottom w:val="single" w:sz="4" w:space="0" w:color="auto"/>
            </w:tcBorders>
            <w:noWrap/>
            <w:vAlign w:val="center"/>
            <w:hideMark/>
          </w:tcPr>
          <w:p w:rsidR="00F36F13" w:rsidRPr="00EE58B5" w:rsidRDefault="00F36F13"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sz w:val="20"/>
                <w:szCs w:val="20"/>
              </w:rPr>
              <w:t>%</w:t>
            </w:r>
          </w:p>
        </w:tc>
        <w:tc>
          <w:tcPr>
            <w:tcW w:w="1287" w:type="dxa"/>
            <w:tcBorders>
              <w:top w:val="single" w:sz="4" w:space="0" w:color="auto"/>
              <w:bottom w:val="single" w:sz="4" w:space="0" w:color="auto"/>
              <w:right w:val="single" w:sz="4" w:space="0" w:color="auto"/>
            </w:tcBorders>
            <w:noWrap/>
            <w:vAlign w:val="center"/>
          </w:tcPr>
          <w:p w:rsidR="00F36F13" w:rsidRPr="00EE58B5" w:rsidRDefault="006878FC"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sz w:val="20"/>
                <w:szCs w:val="20"/>
                <w:lang w:eastAsia="en-US"/>
              </w:rPr>
              <w:t>(</w:t>
            </w:r>
            <w:r w:rsidR="00F36F13" w:rsidRPr="00EE58B5">
              <w:rPr>
                <w:rFonts w:ascii="Times New Roman" w:eastAsiaTheme="minorEastAsia" w:hAnsi="Times New Roman" w:cs="Times New Roman"/>
                <w:sz w:val="20"/>
                <w:szCs w:val="20"/>
                <w:lang w:eastAsia="en-US"/>
              </w:rPr>
              <w:t>95% CI</w:t>
            </w:r>
            <w:r w:rsidRPr="00EE58B5">
              <w:rPr>
                <w:rFonts w:ascii="Times New Roman" w:eastAsiaTheme="minorEastAsia" w:hAnsi="Times New Roman" w:cs="Times New Roman"/>
                <w:sz w:val="20"/>
                <w:szCs w:val="20"/>
                <w:lang w:eastAsia="en-US"/>
              </w:rPr>
              <w:t>)</w:t>
            </w:r>
          </w:p>
        </w:tc>
        <w:tc>
          <w:tcPr>
            <w:tcW w:w="709" w:type="dxa"/>
            <w:tcBorders>
              <w:top w:val="single" w:sz="4" w:space="0" w:color="auto"/>
              <w:left w:val="single" w:sz="4" w:space="0" w:color="auto"/>
              <w:bottom w:val="single" w:sz="4" w:space="0" w:color="auto"/>
            </w:tcBorders>
            <w:noWrap/>
            <w:vAlign w:val="center"/>
          </w:tcPr>
          <w:p w:rsidR="00F36F13" w:rsidRPr="00EE58B5" w:rsidRDefault="00F36F13"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sz w:val="20"/>
                <w:szCs w:val="20"/>
                <w:lang w:eastAsia="en-US"/>
              </w:rPr>
              <w:t>n</w:t>
            </w:r>
          </w:p>
        </w:tc>
        <w:tc>
          <w:tcPr>
            <w:tcW w:w="566" w:type="dxa"/>
            <w:tcBorders>
              <w:top w:val="single" w:sz="4" w:space="0" w:color="auto"/>
              <w:bottom w:val="single" w:sz="4" w:space="0" w:color="auto"/>
            </w:tcBorders>
            <w:noWrap/>
            <w:vAlign w:val="center"/>
          </w:tcPr>
          <w:p w:rsidR="00F36F13" w:rsidRPr="00EE58B5" w:rsidRDefault="00F36F13"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sz w:val="20"/>
                <w:szCs w:val="20"/>
                <w:lang w:eastAsia="en-US"/>
              </w:rPr>
              <w:t>%</w:t>
            </w:r>
          </w:p>
        </w:tc>
        <w:tc>
          <w:tcPr>
            <w:tcW w:w="1316" w:type="dxa"/>
            <w:tcBorders>
              <w:top w:val="single" w:sz="4" w:space="0" w:color="auto"/>
              <w:bottom w:val="single" w:sz="4" w:space="0" w:color="auto"/>
            </w:tcBorders>
            <w:shd w:val="clear" w:color="auto" w:fill="FFFFFF" w:themeFill="background1"/>
            <w:noWrap/>
            <w:vAlign w:val="center"/>
          </w:tcPr>
          <w:p w:rsidR="00F36F13" w:rsidRPr="00EE58B5" w:rsidRDefault="006878FC" w:rsidP="006878FC">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20"/>
                <w:lang w:eastAsia="en-US"/>
              </w:rPr>
            </w:pPr>
            <w:r w:rsidRPr="00EE58B5">
              <w:rPr>
                <w:rFonts w:ascii="Times New Roman" w:eastAsiaTheme="minorEastAsia" w:hAnsi="Times New Roman" w:cs="Times New Roman"/>
                <w:sz w:val="20"/>
                <w:szCs w:val="20"/>
                <w:lang w:eastAsia="en-US"/>
              </w:rPr>
              <w:t>(</w:t>
            </w:r>
            <w:r w:rsidR="00F36F13" w:rsidRPr="00EE58B5">
              <w:rPr>
                <w:rFonts w:ascii="Times New Roman" w:eastAsiaTheme="minorEastAsia" w:hAnsi="Times New Roman" w:cs="Times New Roman"/>
                <w:sz w:val="20"/>
                <w:szCs w:val="20"/>
                <w:lang w:eastAsia="en-US"/>
              </w:rPr>
              <w:t>95% CI</w:t>
            </w:r>
            <w:r w:rsidRPr="00EE58B5">
              <w:rPr>
                <w:rFonts w:ascii="Times New Roman" w:eastAsiaTheme="minorEastAsia" w:hAnsi="Times New Roman" w:cs="Times New Roman"/>
                <w:sz w:val="20"/>
                <w:szCs w:val="20"/>
                <w:lang w:eastAsia="en-US"/>
              </w:rPr>
              <w:t>)</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0</w:t>
            </w:r>
          </w:p>
        </w:tc>
        <w:tc>
          <w:tcPr>
            <w:tcW w:w="709"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1261</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20.2</w:t>
            </w:r>
          </w:p>
        </w:tc>
        <w:tc>
          <w:tcPr>
            <w:tcW w:w="1287" w:type="dxa"/>
            <w:tcBorders>
              <w:top w:val="nil"/>
              <w:left w:val="nil"/>
              <w:bottom w:val="nil"/>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(19.0 - 21.4)</w:t>
            </w:r>
          </w:p>
        </w:tc>
        <w:tc>
          <w:tcPr>
            <w:tcW w:w="709" w:type="dxa"/>
            <w:tcBorders>
              <w:top w:val="nil"/>
              <w:left w:val="single" w:sz="4" w:space="0" w:color="auto"/>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828</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22.1</w:t>
            </w:r>
          </w:p>
        </w:tc>
        <w:tc>
          <w:tcPr>
            <w:tcW w:w="1316" w:type="dxa"/>
            <w:tcBorders>
              <w:top w:val="nil"/>
              <w:left w:val="nil"/>
              <w:bottom w:val="nil"/>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(20.5 - 23.7)</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1</w:t>
            </w:r>
          </w:p>
        </w:tc>
        <w:tc>
          <w:tcPr>
            <w:tcW w:w="709"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1376</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22.0</w:t>
            </w:r>
          </w:p>
        </w:tc>
        <w:tc>
          <w:tcPr>
            <w:tcW w:w="1287" w:type="dxa"/>
            <w:tcBorders>
              <w:top w:val="nil"/>
              <w:left w:val="nil"/>
              <w:bottom w:val="nil"/>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(20.8 - 23.2)</w:t>
            </w:r>
          </w:p>
        </w:tc>
        <w:tc>
          <w:tcPr>
            <w:tcW w:w="709" w:type="dxa"/>
            <w:tcBorders>
              <w:top w:val="nil"/>
              <w:left w:val="single" w:sz="4" w:space="0" w:color="auto"/>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805</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21.5</w:t>
            </w:r>
          </w:p>
        </w:tc>
        <w:tc>
          <w:tcPr>
            <w:tcW w:w="1316" w:type="dxa"/>
            <w:tcBorders>
              <w:top w:val="nil"/>
              <w:left w:val="nil"/>
              <w:bottom w:val="nil"/>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(19.9 - 23.0)</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2</w:t>
            </w:r>
          </w:p>
        </w:tc>
        <w:tc>
          <w:tcPr>
            <w:tcW w:w="709"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1318</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21.1</w:t>
            </w:r>
          </w:p>
        </w:tc>
        <w:tc>
          <w:tcPr>
            <w:tcW w:w="1287" w:type="dxa"/>
            <w:tcBorders>
              <w:top w:val="nil"/>
              <w:left w:val="nil"/>
              <w:bottom w:val="nil"/>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(19.9 - 22.7)</w:t>
            </w:r>
          </w:p>
        </w:tc>
        <w:tc>
          <w:tcPr>
            <w:tcW w:w="709" w:type="dxa"/>
            <w:tcBorders>
              <w:top w:val="nil"/>
              <w:left w:val="single" w:sz="4" w:space="0" w:color="auto"/>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828</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22.1</w:t>
            </w:r>
          </w:p>
        </w:tc>
        <w:tc>
          <w:tcPr>
            <w:tcW w:w="1316" w:type="dxa"/>
            <w:tcBorders>
              <w:top w:val="nil"/>
              <w:left w:val="nil"/>
              <w:bottom w:val="nil"/>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(20.5 - 23.7)</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3</w:t>
            </w:r>
          </w:p>
        </w:tc>
        <w:tc>
          <w:tcPr>
            <w:tcW w:w="709"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964</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15.4</w:t>
            </w:r>
          </w:p>
        </w:tc>
        <w:tc>
          <w:tcPr>
            <w:tcW w:w="1287" w:type="dxa"/>
            <w:tcBorders>
              <w:top w:val="nil"/>
              <w:left w:val="nil"/>
              <w:bottom w:val="nil"/>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(14.4 - 16.5)</w:t>
            </w:r>
          </w:p>
        </w:tc>
        <w:tc>
          <w:tcPr>
            <w:tcW w:w="709" w:type="dxa"/>
            <w:tcBorders>
              <w:top w:val="nil"/>
              <w:left w:val="single" w:sz="4" w:space="0" w:color="auto"/>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627</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16.7</w:t>
            </w:r>
          </w:p>
        </w:tc>
        <w:tc>
          <w:tcPr>
            <w:tcW w:w="1316" w:type="dxa"/>
            <w:tcBorders>
              <w:top w:val="nil"/>
              <w:left w:val="nil"/>
              <w:bottom w:val="nil"/>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(15.3 - 18.2)</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4 - 6</w:t>
            </w:r>
          </w:p>
        </w:tc>
        <w:tc>
          <w:tcPr>
            <w:tcW w:w="709"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1097</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17.6</w:t>
            </w:r>
          </w:p>
        </w:tc>
        <w:tc>
          <w:tcPr>
            <w:tcW w:w="1287" w:type="dxa"/>
            <w:tcBorders>
              <w:top w:val="nil"/>
              <w:left w:val="nil"/>
              <w:bottom w:val="nil"/>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(16.4 - 18.7)</w:t>
            </w:r>
          </w:p>
        </w:tc>
        <w:tc>
          <w:tcPr>
            <w:tcW w:w="709" w:type="dxa"/>
            <w:tcBorders>
              <w:top w:val="nil"/>
              <w:left w:val="single" w:sz="4" w:space="0" w:color="auto"/>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580</w:t>
            </w:r>
          </w:p>
        </w:tc>
        <w:tc>
          <w:tcPr>
            <w:tcW w:w="566" w:type="dxa"/>
            <w:tcBorders>
              <w:top w:val="nil"/>
              <w:left w:val="nil"/>
              <w:bottom w:val="nil"/>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15.5</w:t>
            </w:r>
          </w:p>
        </w:tc>
        <w:tc>
          <w:tcPr>
            <w:tcW w:w="1316" w:type="dxa"/>
            <w:tcBorders>
              <w:top w:val="nil"/>
              <w:left w:val="nil"/>
              <w:bottom w:val="nil"/>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(14.1 - 16.9)</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shd w:val="clear" w:color="auto" w:fill="D9D9D9" w:themeFill="background1" w:themeFillShade="D9"/>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7 - 9</w:t>
            </w:r>
          </w:p>
        </w:tc>
        <w:tc>
          <w:tcPr>
            <w:tcW w:w="709" w:type="dxa"/>
            <w:tcBorders>
              <w:top w:val="nil"/>
              <w:left w:val="nil"/>
              <w:bottom w:val="nil"/>
              <w:right w:val="nil"/>
            </w:tcBorders>
            <w:shd w:val="clear" w:color="auto" w:fill="D9D9D9" w:themeFill="background1" w:themeFillShade="D9"/>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206</w:t>
            </w:r>
          </w:p>
        </w:tc>
        <w:tc>
          <w:tcPr>
            <w:tcW w:w="566" w:type="dxa"/>
            <w:tcBorders>
              <w:top w:val="nil"/>
              <w:left w:val="nil"/>
              <w:bottom w:val="nil"/>
              <w:right w:val="nil"/>
            </w:tcBorders>
            <w:shd w:val="clear" w:color="auto" w:fill="D9D9D9" w:themeFill="background1" w:themeFillShade="D9"/>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3.3</w:t>
            </w:r>
          </w:p>
        </w:tc>
        <w:tc>
          <w:tcPr>
            <w:tcW w:w="1287" w:type="dxa"/>
            <w:tcBorders>
              <w:top w:val="nil"/>
              <w:left w:val="nil"/>
              <w:bottom w:val="nil"/>
              <w:right w:val="single" w:sz="4" w:space="0" w:color="auto"/>
            </w:tcBorders>
            <w:shd w:val="clear" w:color="auto" w:fill="D9D9D9" w:themeFill="background1" w:themeFillShade="D9"/>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(2.8 - 3.8)</w:t>
            </w:r>
          </w:p>
        </w:tc>
        <w:tc>
          <w:tcPr>
            <w:tcW w:w="709" w:type="dxa"/>
            <w:tcBorders>
              <w:top w:val="nil"/>
              <w:left w:val="single" w:sz="4" w:space="0" w:color="auto"/>
              <w:bottom w:val="nil"/>
              <w:right w:val="nil"/>
            </w:tcBorders>
            <w:shd w:val="clear" w:color="auto" w:fill="D9D9D9" w:themeFill="background1" w:themeFillShade="D9"/>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73</w:t>
            </w:r>
          </w:p>
        </w:tc>
        <w:tc>
          <w:tcPr>
            <w:tcW w:w="566" w:type="dxa"/>
            <w:tcBorders>
              <w:top w:val="nil"/>
              <w:left w:val="nil"/>
              <w:bottom w:val="nil"/>
              <w:right w:val="nil"/>
            </w:tcBorders>
            <w:shd w:val="clear" w:color="auto" w:fill="D9D9D9" w:themeFill="background1" w:themeFillShade="D9"/>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2.0</w:t>
            </w:r>
          </w:p>
        </w:tc>
        <w:tc>
          <w:tcPr>
            <w:tcW w:w="1316" w:type="dxa"/>
            <w:tcBorders>
              <w:top w:val="nil"/>
              <w:left w:val="nil"/>
              <w:bottom w:val="nil"/>
              <w:right w:val="nil"/>
            </w:tcBorders>
            <w:shd w:val="clear" w:color="auto" w:fill="D9D9D9" w:themeFill="background1" w:themeFillShade="D9"/>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(1.4 - 2.5)</w:t>
            </w:r>
          </w:p>
        </w:tc>
      </w:tr>
      <w:tr w:rsidR="006878FC" w:rsidRPr="00EE58B5"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single" w:sz="4" w:space="0" w:color="auto"/>
              <w:right w:val="nil"/>
            </w:tcBorders>
          </w:tcPr>
          <w:p w:rsidR="006878FC" w:rsidRPr="00EE58B5" w:rsidRDefault="006878FC" w:rsidP="00726075">
            <w:pPr>
              <w:tabs>
                <w:tab w:val="left" w:pos="176"/>
              </w:tabs>
              <w:spacing w:before="20" w:after="20"/>
              <w:rPr>
                <w:rFonts w:ascii="Times New Roman" w:eastAsiaTheme="minorEastAsia" w:hAnsi="Times New Roman" w:cs="Times New Roman"/>
                <w:b w:val="0"/>
                <w:sz w:val="20"/>
                <w:szCs w:val="20"/>
                <w:lang w:eastAsia="en-US"/>
              </w:rPr>
            </w:pPr>
            <w:r w:rsidRPr="00EE58B5">
              <w:rPr>
                <w:rFonts w:ascii="Times New Roman" w:eastAsiaTheme="minorEastAsia" w:hAnsi="Times New Roman" w:cs="Times New Roman"/>
                <w:b w:val="0"/>
                <w:sz w:val="20"/>
                <w:szCs w:val="20"/>
                <w:lang w:eastAsia="en-US"/>
              </w:rPr>
              <w:tab/>
              <w:t>10+</w:t>
            </w:r>
          </w:p>
        </w:tc>
        <w:tc>
          <w:tcPr>
            <w:tcW w:w="709" w:type="dxa"/>
            <w:tcBorders>
              <w:top w:val="nil"/>
              <w:left w:val="nil"/>
              <w:bottom w:val="single" w:sz="4" w:space="0" w:color="auto"/>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28</w:t>
            </w:r>
          </w:p>
        </w:tc>
        <w:tc>
          <w:tcPr>
            <w:tcW w:w="566" w:type="dxa"/>
            <w:tcBorders>
              <w:top w:val="nil"/>
              <w:left w:val="nil"/>
              <w:bottom w:val="single" w:sz="4" w:space="0" w:color="auto"/>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0.4</w:t>
            </w:r>
          </w:p>
        </w:tc>
        <w:tc>
          <w:tcPr>
            <w:tcW w:w="1287" w:type="dxa"/>
            <w:tcBorders>
              <w:top w:val="nil"/>
              <w:left w:val="nil"/>
              <w:bottom w:val="single" w:sz="4" w:space="0" w:color="auto"/>
              <w:right w:val="single" w:sz="4" w:space="0" w:color="auto"/>
            </w:tcBorders>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(0.2 - 0.7)</w:t>
            </w:r>
          </w:p>
        </w:tc>
        <w:tc>
          <w:tcPr>
            <w:tcW w:w="709" w:type="dxa"/>
            <w:tcBorders>
              <w:top w:val="nil"/>
              <w:left w:val="single" w:sz="4" w:space="0" w:color="auto"/>
              <w:bottom w:val="single" w:sz="4" w:space="0" w:color="auto"/>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5</w:t>
            </w:r>
          </w:p>
        </w:tc>
        <w:tc>
          <w:tcPr>
            <w:tcW w:w="566" w:type="dxa"/>
            <w:tcBorders>
              <w:top w:val="nil"/>
              <w:left w:val="nil"/>
              <w:bottom w:val="single" w:sz="4" w:space="0" w:color="auto"/>
              <w:right w:val="nil"/>
            </w:tcBorders>
            <w:noWrap/>
          </w:tcPr>
          <w:p w:rsidR="006878FC" w:rsidRPr="00EE58B5" w:rsidRDefault="006878F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0.1</w:t>
            </w:r>
          </w:p>
        </w:tc>
        <w:tc>
          <w:tcPr>
            <w:tcW w:w="1316" w:type="dxa"/>
            <w:tcBorders>
              <w:top w:val="nil"/>
              <w:left w:val="nil"/>
              <w:bottom w:val="single" w:sz="4" w:space="0" w:color="auto"/>
              <w:right w:val="nil"/>
            </w:tcBorders>
            <w:shd w:val="clear" w:color="auto" w:fill="FFFFFF" w:themeFill="background1"/>
            <w:noWrap/>
          </w:tcPr>
          <w:p w:rsidR="006878FC" w:rsidRPr="00EE58B5" w:rsidRDefault="006878FC" w:rsidP="006878F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EE58B5">
              <w:rPr>
                <w:rFonts w:ascii="Times New Roman" w:eastAsiaTheme="minorEastAsia" w:hAnsi="Times New Roman" w:cs="Times New Roman"/>
                <w:sz w:val="20"/>
                <w:szCs w:val="20"/>
                <w:lang w:eastAsia="en-US"/>
              </w:rPr>
              <w:t>(0.0 - 0.3)</w:t>
            </w:r>
          </w:p>
        </w:tc>
      </w:tr>
    </w:tbl>
    <w:p w:rsidR="00F36F13" w:rsidRPr="00EE58B5" w:rsidRDefault="00F36F13" w:rsidP="00F36F13">
      <w:pPr>
        <w:rPr>
          <w:sz w:val="20"/>
        </w:rPr>
      </w:pPr>
      <w:r w:rsidRPr="00EE58B5">
        <w:rPr>
          <w:sz w:val="20"/>
        </w:rPr>
        <w:t>Data weighted for 2013 Census data (both Waves) and attrition (Wave 2)</w:t>
      </w:r>
    </w:p>
    <w:p w:rsidR="00F36F13" w:rsidRPr="00EE58B5" w:rsidRDefault="00F36F13" w:rsidP="00F36F13">
      <w:pPr>
        <w:tabs>
          <w:tab w:val="left" w:pos="0"/>
        </w:tabs>
        <w:jc w:val="both"/>
        <w:rPr>
          <w:sz w:val="20"/>
        </w:rPr>
      </w:pPr>
      <w:r w:rsidRPr="00EE58B5">
        <w:rPr>
          <w:sz w:val="20"/>
        </w:rPr>
        <w:t>Baseline N = 6,251; Wave 2 N = 3,745</w:t>
      </w:r>
    </w:p>
    <w:p w:rsidR="00F36F13" w:rsidRDefault="00F36F13" w:rsidP="00EC476C">
      <w:pPr>
        <w:tabs>
          <w:tab w:val="left" w:pos="0"/>
        </w:tabs>
        <w:jc w:val="both"/>
        <w:rPr>
          <w:szCs w:val="22"/>
        </w:rPr>
      </w:pPr>
    </w:p>
    <w:p w:rsidR="009C115D" w:rsidRDefault="009C115D" w:rsidP="00EC476C">
      <w:pPr>
        <w:tabs>
          <w:tab w:val="left" w:pos="0"/>
        </w:tabs>
        <w:jc w:val="both"/>
        <w:rPr>
          <w:szCs w:val="22"/>
        </w:rPr>
      </w:pPr>
      <w:r>
        <w:rPr>
          <w:szCs w:val="22"/>
        </w:rPr>
        <w:t xml:space="preserve">In Wave 2, just over one-fifth (22%) of participants had not gambled and another one-fifth each had participated in only one or two activities (21.5% and 22% respectively).  Over half (57%) of the participants were infrequent gamblers.  Just over one-quarter (29%) had gambled at least once in the past six months and one-fifth had gambled either at least weekly or monthly (both 21%).  The greatest proportions spent between </w:t>
      </w:r>
      <w:r w:rsidR="001B76DC">
        <w:rPr>
          <w:szCs w:val="22"/>
        </w:rPr>
        <w:t>$1 to $10 or $11 to $20 on gambling in a typical month (17.5% and 16% respectively)</w:t>
      </w:r>
      <w:r w:rsidR="00835AA9">
        <w:rPr>
          <w:szCs w:val="22"/>
        </w:rPr>
        <w:t>.  The most preferred gambling activity was Lotto (16%).  Half of the participants usually gambled alone (51%) and one third (31%) reported that they knew someone with a gambling problem (</w:t>
      </w:r>
      <w:r w:rsidR="00835AA9" w:rsidRPr="00F36F13">
        <w:rPr>
          <w:szCs w:val="22"/>
        </w:rPr>
        <w:fldChar w:fldCharType="begin"/>
      </w:r>
      <w:r w:rsidR="00835AA9" w:rsidRPr="00F36F13">
        <w:rPr>
          <w:szCs w:val="22"/>
        </w:rPr>
        <w:instrText xml:space="preserve"> REF _Ref404160725 \h  \* MERGEFORMAT </w:instrText>
      </w:r>
      <w:r w:rsidR="00835AA9" w:rsidRPr="00F36F13">
        <w:rPr>
          <w:szCs w:val="22"/>
        </w:rPr>
      </w:r>
      <w:r w:rsidR="00835AA9" w:rsidRPr="00F36F13">
        <w:rPr>
          <w:szCs w:val="22"/>
        </w:rPr>
        <w:fldChar w:fldCharType="separate"/>
      </w:r>
      <w:r w:rsidR="00B2175B" w:rsidRPr="00B2175B">
        <w:t xml:space="preserve">Appendix </w:t>
      </w:r>
      <w:r w:rsidR="00B2175B" w:rsidRPr="00B2175B">
        <w:rPr>
          <w:noProof/>
        </w:rPr>
        <w:t>6</w:t>
      </w:r>
      <w:r w:rsidR="00835AA9" w:rsidRPr="00F36F13">
        <w:rPr>
          <w:szCs w:val="22"/>
        </w:rPr>
        <w:fldChar w:fldCharType="end"/>
      </w:r>
      <w:r w:rsidR="00835AA9">
        <w:rPr>
          <w:szCs w:val="22"/>
        </w:rPr>
        <w:t>).</w:t>
      </w:r>
    </w:p>
    <w:p w:rsidR="009C115D" w:rsidRDefault="009C115D" w:rsidP="00EC476C">
      <w:pPr>
        <w:tabs>
          <w:tab w:val="left" w:pos="0"/>
        </w:tabs>
        <w:jc w:val="both"/>
        <w:rPr>
          <w:szCs w:val="22"/>
        </w:rPr>
      </w:pPr>
    </w:p>
    <w:p w:rsidR="00F36F13" w:rsidRDefault="00F36F13" w:rsidP="00EC476C">
      <w:pPr>
        <w:tabs>
          <w:tab w:val="left" w:pos="0"/>
        </w:tabs>
        <w:jc w:val="both"/>
        <w:rPr>
          <w:szCs w:val="22"/>
        </w:rPr>
      </w:pPr>
    </w:p>
    <w:p w:rsidR="00EC476C" w:rsidRDefault="00F36F13" w:rsidP="00EC476C">
      <w:pPr>
        <w:tabs>
          <w:tab w:val="left" w:pos="0"/>
        </w:tabs>
        <w:jc w:val="both"/>
        <w:rPr>
          <w:szCs w:val="22"/>
        </w:rPr>
      </w:pPr>
      <w:r>
        <w:rPr>
          <w:b/>
          <w:szCs w:val="22"/>
        </w:rPr>
        <w:t>EGM gambling</w:t>
      </w:r>
    </w:p>
    <w:p w:rsidR="00F36F13" w:rsidRPr="00F36F13" w:rsidRDefault="00F36F13" w:rsidP="00EC476C">
      <w:pPr>
        <w:tabs>
          <w:tab w:val="left" w:pos="0"/>
        </w:tabs>
        <w:jc w:val="both"/>
        <w:rPr>
          <w:szCs w:val="22"/>
        </w:rPr>
      </w:pPr>
      <w:r>
        <w:rPr>
          <w:szCs w:val="22"/>
        </w:rPr>
        <w:t xml:space="preserve"> </w:t>
      </w:r>
    </w:p>
    <w:p w:rsidR="00EC476C" w:rsidRDefault="00DA2733" w:rsidP="00AC730B">
      <w:pPr>
        <w:tabs>
          <w:tab w:val="left" w:pos="0"/>
        </w:tabs>
        <w:jc w:val="both"/>
        <w:rPr>
          <w:szCs w:val="22"/>
        </w:rPr>
      </w:pPr>
      <w:r>
        <w:rPr>
          <w:szCs w:val="22"/>
        </w:rPr>
        <w:t xml:space="preserve">Time spent </w:t>
      </w:r>
      <w:r w:rsidR="00C40770">
        <w:rPr>
          <w:szCs w:val="22"/>
        </w:rPr>
        <w:t>gambling on</w:t>
      </w:r>
      <w:r>
        <w:rPr>
          <w:szCs w:val="22"/>
        </w:rPr>
        <w:t xml:space="preserve"> EGMs in an average day was assessed in Waves 1 and 2 by casino, pub and club venue.  There were no major differences between the Waves</w:t>
      </w:r>
      <w:r w:rsidR="00835AA9">
        <w:rPr>
          <w:szCs w:val="22"/>
        </w:rPr>
        <w:t>.  In Wave 2, a greater proportion of participants gambled for more than an hour in a typical session on casino EGMs (36.5%) than on pub or club EGMs (both 12%).  Less cas</w:t>
      </w:r>
      <w:r w:rsidR="00C40770">
        <w:rPr>
          <w:szCs w:val="22"/>
        </w:rPr>
        <w:t>ino participants gambled on EGMs</w:t>
      </w:r>
      <w:r w:rsidR="00835AA9">
        <w:rPr>
          <w:szCs w:val="22"/>
        </w:rPr>
        <w:t xml:space="preserve"> </w:t>
      </w:r>
      <w:r w:rsidR="00835AA9">
        <w:rPr>
          <w:szCs w:val="22"/>
        </w:rPr>
        <w:lastRenderedPageBreak/>
        <w:t>for up to 15 minutes in a typical session (19%) in comparison with those gambling on EGMs in pubs (36%) or clubs (38%) (</w:t>
      </w:r>
      <w:r w:rsidR="00835AA9" w:rsidRPr="00835AA9">
        <w:rPr>
          <w:szCs w:val="22"/>
        </w:rPr>
        <w:fldChar w:fldCharType="begin"/>
      </w:r>
      <w:r w:rsidR="00835AA9" w:rsidRPr="00835AA9">
        <w:rPr>
          <w:szCs w:val="22"/>
        </w:rPr>
        <w:instrText xml:space="preserve"> REF _Ref404162847 \h  \* MERGEFORMAT </w:instrText>
      </w:r>
      <w:r w:rsidR="00835AA9" w:rsidRPr="00835AA9">
        <w:rPr>
          <w:szCs w:val="22"/>
        </w:rPr>
      </w:r>
      <w:r w:rsidR="00835AA9" w:rsidRPr="00835AA9">
        <w:rPr>
          <w:szCs w:val="22"/>
        </w:rPr>
        <w:fldChar w:fldCharType="separate"/>
      </w:r>
      <w:r w:rsidR="00B2175B" w:rsidRPr="00B2175B">
        <w:t>Appendix 7</w:t>
      </w:r>
      <w:r w:rsidR="00835AA9" w:rsidRPr="00835AA9">
        <w:rPr>
          <w:szCs w:val="22"/>
        </w:rPr>
        <w:fldChar w:fldCharType="end"/>
      </w:r>
      <w:r w:rsidR="00835AA9">
        <w:rPr>
          <w:szCs w:val="22"/>
        </w:rPr>
        <w:t>).</w:t>
      </w:r>
    </w:p>
    <w:p w:rsidR="00EC476C" w:rsidRDefault="00EC476C" w:rsidP="00AC730B">
      <w:pPr>
        <w:tabs>
          <w:tab w:val="left" w:pos="0"/>
        </w:tabs>
        <w:jc w:val="both"/>
        <w:rPr>
          <w:szCs w:val="22"/>
        </w:rPr>
      </w:pPr>
    </w:p>
    <w:p w:rsidR="00835AA9" w:rsidRDefault="00835AA9" w:rsidP="00C06A8E">
      <w:pPr>
        <w:pStyle w:val="Heading3b"/>
        <w:numPr>
          <w:ilvl w:val="2"/>
          <w:numId w:val="39"/>
        </w:numPr>
        <w:tabs>
          <w:tab w:val="clear" w:pos="1146"/>
        </w:tabs>
        <w:ind w:left="709"/>
        <w:rPr>
          <w:rFonts w:ascii="Times New Roman" w:hAnsi="Times New Roman" w:cs="Times New Roman"/>
          <w:b/>
        </w:rPr>
      </w:pPr>
      <w:bookmarkStart w:id="171" w:name="_Toc420392609"/>
      <w:r>
        <w:rPr>
          <w:rFonts w:ascii="Times New Roman" w:hAnsi="Times New Roman" w:cs="Times New Roman"/>
          <w:b/>
        </w:rPr>
        <w:t>Problem gambling</w:t>
      </w:r>
      <w:bookmarkEnd w:id="171"/>
    </w:p>
    <w:p w:rsidR="00EC476C" w:rsidRPr="00B5790D" w:rsidRDefault="00EC476C" w:rsidP="00C06A8E">
      <w:pPr>
        <w:keepNext/>
        <w:tabs>
          <w:tab w:val="left" w:pos="0"/>
        </w:tabs>
        <w:jc w:val="both"/>
        <w:rPr>
          <w:sz w:val="18"/>
          <w:szCs w:val="22"/>
        </w:rPr>
      </w:pPr>
    </w:p>
    <w:p w:rsidR="00181CAF" w:rsidRPr="00181CAF" w:rsidRDefault="00181CAF" w:rsidP="00C06A8E">
      <w:pPr>
        <w:keepNext/>
        <w:tabs>
          <w:tab w:val="left" w:pos="0"/>
        </w:tabs>
        <w:jc w:val="both"/>
        <w:rPr>
          <w:b/>
          <w:szCs w:val="22"/>
        </w:rPr>
      </w:pPr>
      <w:r>
        <w:rPr>
          <w:b/>
          <w:szCs w:val="22"/>
        </w:rPr>
        <w:t>Problem gambling risk</w:t>
      </w:r>
    </w:p>
    <w:p w:rsidR="00181CAF" w:rsidRPr="00B5790D" w:rsidRDefault="00181CAF" w:rsidP="00AC730B">
      <w:pPr>
        <w:tabs>
          <w:tab w:val="left" w:pos="0"/>
        </w:tabs>
        <w:jc w:val="both"/>
        <w:rPr>
          <w:sz w:val="18"/>
          <w:szCs w:val="22"/>
        </w:rPr>
      </w:pPr>
    </w:p>
    <w:p w:rsidR="00726075" w:rsidRDefault="00D6327C" w:rsidP="00AC730B">
      <w:pPr>
        <w:tabs>
          <w:tab w:val="left" w:pos="0"/>
        </w:tabs>
        <w:jc w:val="both"/>
        <w:rPr>
          <w:szCs w:val="22"/>
        </w:rPr>
      </w:pPr>
      <w:r>
        <w:rPr>
          <w:szCs w:val="22"/>
        </w:rPr>
        <w:t xml:space="preserve">Problem gambling risk category, assessed via the Problem Gambling Severity Index (PGSI), </w:t>
      </w:r>
      <w:r w:rsidR="00181CAF">
        <w:rPr>
          <w:szCs w:val="22"/>
        </w:rPr>
        <w:t>was similar in Waves 1 and 2</w:t>
      </w:r>
      <w:r>
        <w:rPr>
          <w:szCs w:val="22"/>
        </w:rPr>
        <w:t>.  In Wave 2, 0.5% of the total adult population was clas</w:t>
      </w:r>
      <w:r w:rsidR="00036A40">
        <w:rPr>
          <w:szCs w:val="22"/>
        </w:rPr>
        <w:t>sified as a problem gambler, 1.5</w:t>
      </w:r>
      <w:r>
        <w:rPr>
          <w:szCs w:val="22"/>
        </w:rPr>
        <w:t xml:space="preserve">% as a moderate-risk gambler, </w:t>
      </w:r>
      <w:r w:rsidR="00036A40">
        <w:rPr>
          <w:szCs w:val="22"/>
        </w:rPr>
        <w:t>5.6</w:t>
      </w:r>
      <w:r>
        <w:rPr>
          <w:szCs w:val="22"/>
        </w:rPr>
        <w:t xml:space="preserve">% as a low risk gambler and </w:t>
      </w:r>
      <w:r w:rsidR="00036A40">
        <w:rPr>
          <w:szCs w:val="22"/>
        </w:rPr>
        <w:t>70.3</w:t>
      </w:r>
      <w:r w:rsidR="00181CAF">
        <w:rPr>
          <w:szCs w:val="22"/>
        </w:rPr>
        <w:t>% as a non-problem gambler (</w:t>
      </w:r>
      <w:r w:rsidR="00181CAF">
        <w:rPr>
          <w:szCs w:val="22"/>
        </w:rPr>
        <w:fldChar w:fldCharType="begin"/>
      </w:r>
      <w:r w:rsidR="00181CAF">
        <w:rPr>
          <w:szCs w:val="22"/>
        </w:rPr>
        <w:instrText xml:space="preserve"> REF _Ref404178338 \h </w:instrText>
      </w:r>
      <w:r w:rsidR="00181CAF">
        <w:rPr>
          <w:szCs w:val="22"/>
        </w:rPr>
      </w:r>
      <w:r w:rsidR="00181CAF">
        <w:rPr>
          <w:szCs w:val="22"/>
        </w:rPr>
        <w:fldChar w:fldCharType="separate"/>
      </w:r>
      <w:r w:rsidR="00B2175B">
        <w:t xml:space="preserve">Table </w:t>
      </w:r>
      <w:r w:rsidR="00B2175B">
        <w:rPr>
          <w:noProof/>
        </w:rPr>
        <w:t>8</w:t>
      </w:r>
      <w:r w:rsidR="00181CAF">
        <w:rPr>
          <w:szCs w:val="22"/>
        </w:rPr>
        <w:fldChar w:fldCharType="end"/>
      </w:r>
      <w:r w:rsidR="00181CAF">
        <w:rPr>
          <w:szCs w:val="22"/>
        </w:rPr>
        <w:t>).</w:t>
      </w:r>
    </w:p>
    <w:p w:rsidR="00726075" w:rsidRDefault="00726075" w:rsidP="00AC730B">
      <w:pPr>
        <w:tabs>
          <w:tab w:val="left" w:pos="0"/>
        </w:tabs>
        <w:jc w:val="both"/>
        <w:rPr>
          <w:szCs w:val="22"/>
        </w:rPr>
      </w:pPr>
    </w:p>
    <w:p w:rsidR="00726075" w:rsidRDefault="00726075" w:rsidP="00726075">
      <w:pPr>
        <w:pStyle w:val="Caption"/>
        <w:keepNext/>
        <w:rPr>
          <w:szCs w:val="22"/>
        </w:rPr>
      </w:pPr>
      <w:bookmarkStart w:id="172" w:name="_Ref404178338"/>
      <w:bookmarkStart w:id="173" w:name="_Toc420393796"/>
      <w:r>
        <w:t xml:space="preserve">Table </w:t>
      </w:r>
      <w:fldSimple w:instr=" SEQ Table \* ARABIC ">
        <w:r w:rsidR="00B2175B">
          <w:rPr>
            <w:noProof/>
          </w:rPr>
          <w:t>8</w:t>
        </w:r>
      </w:fldSimple>
      <w:bookmarkEnd w:id="172"/>
      <w:r>
        <w:t>: Prevalence and 95% confidence intervals for problem gambling</w:t>
      </w:r>
      <w:r w:rsidR="00D6327C">
        <w:t xml:space="preserve"> risk</w:t>
      </w:r>
      <w:r>
        <w:t xml:space="preserve"> category (PGSI) </w:t>
      </w:r>
      <w:r w:rsidR="004A5099">
        <w:t>in Wave 1</w:t>
      </w:r>
      <w:r>
        <w:t xml:space="preserve"> and Wave 2</w:t>
      </w:r>
      <w:bookmarkEnd w:id="173"/>
    </w:p>
    <w:tbl>
      <w:tblPr>
        <w:tblStyle w:val="LightShading4"/>
        <w:tblW w:w="0" w:type="auto"/>
        <w:tblLook w:val="06A0" w:firstRow="1" w:lastRow="0" w:firstColumn="1" w:lastColumn="0" w:noHBand="1" w:noVBand="1"/>
      </w:tblPr>
      <w:tblGrid>
        <w:gridCol w:w="3153"/>
        <w:gridCol w:w="709"/>
        <w:gridCol w:w="566"/>
        <w:gridCol w:w="1287"/>
        <w:gridCol w:w="709"/>
        <w:gridCol w:w="566"/>
        <w:gridCol w:w="1316"/>
      </w:tblGrid>
      <w:tr w:rsidR="00726075"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val="restart"/>
            <w:tcBorders>
              <w:bottom w:val="single" w:sz="4" w:space="0" w:color="auto"/>
            </w:tcBorders>
            <w:vAlign w:val="bottom"/>
            <w:hideMark/>
          </w:tcPr>
          <w:p w:rsidR="00726075" w:rsidRPr="004A5099" w:rsidRDefault="00726075" w:rsidP="00726075">
            <w:pPr>
              <w:spacing w:before="20" w:after="2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rPr>
              <w:t>PGSI</w:t>
            </w:r>
          </w:p>
        </w:tc>
        <w:tc>
          <w:tcPr>
            <w:tcW w:w="2562" w:type="dxa"/>
            <w:gridSpan w:val="3"/>
            <w:tcBorders>
              <w:bottom w:val="single" w:sz="4" w:space="0" w:color="auto"/>
              <w:right w:val="single" w:sz="4" w:space="0" w:color="auto"/>
            </w:tcBorders>
            <w:noWrap/>
            <w:vAlign w:val="center"/>
            <w:hideMark/>
          </w:tcPr>
          <w:p w:rsidR="00726075" w:rsidRPr="004A5099" w:rsidRDefault="004A5099" w:rsidP="00726075">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20"/>
                <w:lang w:eastAsia="en-US"/>
              </w:rPr>
            </w:pPr>
            <w:r>
              <w:rPr>
                <w:rFonts w:ascii="Times New Roman" w:eastAsiaTheme="minorEastAsia" w:hAnsi="Times New Roman" w:cs="Times New Roman"/>
                <w:sz w:val="20"/>
                <w:szCs w:val="20"/>
              </w:rPr>
              <w:t>Wave 1</w:t>
            </w:r>
          </w:p>
        </w:tc>
        <w:tc>
          <w:tcPr>
            <w:tcW w:w="2591" w:type="dxa"/>
            <w:gridSpan w:val="3"/>
            <w:tcBorders>
              <w:left w:val="single" w:sz="4" w:space="0" w:color="auto"/>
              <w:bottom w:val="single" w:sz="4" w:space="0" w:color="auto"/>
            </w:tcBorders>
            <w:vAlign w:val="center"/>
          </w:tcPr>
          <w:p w:rsidR="00726075" w:rsidRPr="004A5099" w:rsidRDefault="00726075" w:rsidP="00726075">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Wave 2</w:t>
            </w:r>
          </w:p>
        </w:tc>
      </w:tr>
      <w:tr w:rsidR="00726075"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tcBorders>
              <w:bottom w:val="single" w:sz="4" w:space="0" w:color="auto"/>
            </w:tcBorders>
            <w:vAlign w:val="center"/>
            <w:hideMark/>
          </w:tcPr>
          <w:p w:rsidR="00726075" w:rsidRPr="004A5099" w:rsidRDefault="00726075" w:rsidP="00726075">
            <w:pPr>
              <w:spacing w:before="20" w:after="20"/>
              <w:rPr>
                <w:rFonts w:ascii="Times New Roman" w:eastAsiaTheme="minorEastAsia" w:hAnsi="Times New Roman" w:cs="Times New Roman"/>
                <w:sz w:val="20"/>
                <w:szCs w:val="20"/>
                <w:lang w:eastAsia="en-US"/>
              </w:rPr>
            </w:pPr>
          </w:p>
        </w:tc>
        <w:tc>
          <w:tcPr>
            <w:tcW w:w="709" w:type="dxa"/>
            <w:tcBorders>
              <w:top w:val="single" w:sz="4" w:space="0" w:color="auto"/>
              <w:bottom w:val="single" w:sz="4" w:space="0" w:color="auto"/>
            </w:tcBorders>
            <w:noWrap/>
            <w:vAlign w:val="center"/>
            <w:hideMark/>
          </w:tcPr>
          <w:p w:rsidR="00726075" w:rsidRPr="004A5099" w:rsidRDefault="0072607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n</w:t>
            </w:r>
          </w:p>
        </w:tc>
        <w:tc>
          <w:tcPr>
            <w:tcW w:w="566" w:type="dxa"/>
            <w:tcBorders>
              <w:top w:val="single" w:sz="4" w:space="0" w:color="auto"/>
              <w:bottom w:val="single" w:sz="4" w:space="0" w:color="auto"/>
            </w:tcBorders>
            <w:noWrap/>
            <w:vAlign w:val="center"/>
            <w:hideMark/>
          </w:tcPr>
          <w:p w:rsidR="00726075" w:rsidRPr="004A5099" w:rsidRDefault="0072607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w:t>
            </w:r>
          </w:p>
        </w:tc>
        <w:tc>
          <w:tcPr>
            <w:tcW w:w="1287" w:type="dxa"/>
            <w:tcBorders>
              <w:top w:val="single" w:sz="4" w:space="0" w:color="auto"/>
              <w:bottom w:val="single" w:sz="4" w:space="0" w:color="auto"/>
              <w:right w:val="single" w:sz="4" w:space="0" w:color="auto"/>
            </w:tcBorders>
            <w:noWrap/>
            <w:vAlign w:val="center"/>
          </w:tcPr>
          <w:p w:rsidR="00726075" w:rsidRPr="004A5099" w:rsidRDefault="008627B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r w:rsidR="00726075"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c>
          <w:tcPr>
            <w:tcW w:w="709" w:type="dxa"/>
            <w:tcBorders>
              <w:top w:val="single" w:sz="4" w:space="0" w:color="auto"/>
              <w:left w:val="single" w:sz="4" w:space="0" w:color="auto"/>
              <w:bottom w:val="single" w:sz="4" w:space="0" w:color="auto"/>
            </w:tcBorders>
            <w:noWrap/>
            <w:vAlign w:val="center"/>
          </w:tcPr>
          <w:p w:rsidR="00726075" w:rsidRPr="004A5099" w:rsidRDefault="0072607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n</w:t>
            </w:r>
          </w:p>
        </w:tc>
        <w:tc>
          <w:tcPr>
            <w:tcW w:w="566" w:type="dxa"/>
            <w:tcBorders>
              <w:top w:val="single" w:sz="4" w:space="0" w:color="auto"/>
              <w:bottom w:val="single" w:sz="4" w:space="0" w:color="auto"/>
            </w:tcBorders>
            <w:noWrap/>
            <w:vAlign w:val="center"/>
          </w:tcPr>
          <w:p w:rsidR="00726075" w:rsidRPr="004A5099" w:rsidRDefault="0072607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p>
        </w:tc>
        <w:tc>
          <w:tcPr>
            <w:tcW w:w="1316" w:type="dxa"/>
            <w:tcBorders>
              <w:top w:val="single" w:sz="4" w:space="0" w:color="auto"/>
              <w:bottom w:val="single" w:sz="4" w:space="0" w:color="auto"/>
            </w:tcBorders>
            <w:shd w:val="clear" w:color="auto" w:fill="FFFFFF" w:themeFill="background1"/>
            <w:noWrap/>
            <w:vAlign w:val="center"/>
          </w:tcPr>
          <w:p w:rsidR="00726075" w:rsidRPr="004A5099" w:rsidRDefault="008627B5" w:rsidP="008627B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20"/>
                <w:lang w:eastAsia="en-US"/>
              </w:rPr>
            </w:pPr>
            <w:r w:rsidRPr="004A5099">
              <w:rPr>
                <w:rFonts w:ascii="Times New Roman" w:eastAsiaTheme="minorEastAsia" w:hAnsi="Times New Roman" w:cs="Times New Roman"/>
                <w:sz w:val="20"/>
                <w:szCs w:val="20"/>
                <w:lang w:eastAsia="en-US"/>
              </w:rPr>
              <w:t>(</w:t>
            </w:r>
            <w:r w:rsidR="00726075"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r>
      <w:tr w:rsidR="008627B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8627B5" w:rsidRPr="004A5099" w:rsidRDefault="008627B5" w:rsidP="0072607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Non-problem gambler</w:t>
            </w:r>
          </w:p>
        </w:tc>
        <w:tc>
          <w:tcPr>
            <w:tcW w:w="709"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4535</w:t>
            </w:r>
          </w:p>
        </w:tc>
        <w:tc>
          <w:tcPr>
            <w:tcW w:w="566"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72.5</w:t>
            </w:r>
          </w:p>
        </w:tc>
        <w:tc>
          <w:tcPr>
            <w:tcW w:w="1287" w:type="dxa"/>
            <w:tcBorders>
              <w:top w:val="nil"/>
              <w:left w:val="nil"/>
              <w:bottom w:val="nil"/>
              <w:right w:val="single" w:sz="4" w:space="0" w:color="auto"/>
            </w:tcBorders>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8627B5" w:rsidRPr="004A5099">
              <w:rPr>
                <w:rFonts w:ascii="Times New Roman" w:eastAsiaTheme="minorEastAsia" w:hAnsi="Times New Roman" w:cs="Times New Roman"/>
                <w:sz w:val="20"/>
                <w:szCs w:val="20"/>
                <w:lang w:eastAsia="en-US"/>
              </w:rPr>
              <w:t>71.2 - 73.9</w:t>
            </w: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2633</w:t>
            </w:r>
          </w:p>
        </w:tc>
        <w:tc>
          <w:tcPr>
            <w:tcW w:w="566" w:type="dxa"/>
            <w:tcBorders>
              <w:top w:val="nil"/>
              <w:left w:val="nil"/>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70.3</w:t>
            </w:r>
          </w:p>
        </w:tc>
        <w:tc>
          <w:tcPr>
            <w:tcW w:w="1316" w:type="dxa"/>
            <w:tcBorders>
              <w:top w:val="nil"/>
              <w:left w:val="nil"/>
              <w:bottom w:val="nil"/>
              <w:right w:val="nil"/>
            </w:tcBorders>
            <w:shd w:val="clear" w:color="auto" w:fill="FFFFFF" w:themeFill="background1"/>
            <w:noWrap/>
          </w:tcPr>
          <w:p w:rsidR="008627B5" w:rsidRPr="004A5099" w:rsidRDefault="00AC1241" w:rsidP="00036A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036A40">
              <w:rPr>
                <w:rFonts w:ascii="Times New Roman" w:eastAsiaTheme="minorEastAsia" w:hAnsi="Times New Roman" w:cs="Times New Roman"/>
                <w:sz w:val="20"/>
                <w:szCs w:val="20"/>
                <w:lang w:eastAsia="en-US"/>
              </w:rPr>
              <w:t>68.6</w:t>
            </w:r>
            <w:r w:rsidR="008627B5" w:rsidRPr="004A5099">
              <w:rPr>
                <w:rFonts w:ascii="Times New Roman" w:eastAsiaTheme="minorEastAsia" w:hAnsi="Times New Roman" w:cs="Times New Roman"/>
                <w:sz w:val="20"/>
                <w:szCs w:val="20"/>
                <w:lang w:eastAsia="en-US"/>
              </w:rPr>
              <w:t xml:space="preserve"> - 7</w:t>
            </w:r>
            <w:r w:rsidR="00036A40">
              <w:rPr>
                <w:rFonts w:ascii="Times New Roman" w:eastAsiaTheme="minorEastAsia" w:hAnsi="Times New Roman" w:cs="Times New Roman"/>
                <w:sz w:val="20"/>
                <w:szCs w:val="20"/>
                <w:lang w:eastAsia="en-US"/>
              </w:rPr>
              <w:t>2.0</w:t>
            </w:r>
            <w:r w:rsidRPr="004A5099">
              <w:rPr>
                <w:rFonts w:ascii="Times New Roman" w:eastAsiaTheme="minorEastAsia" w:hAnsi="Times New Roman" w:cs="Times New Roman"/>
                <w:sz w:val="20"/>
                <w:szCs w:val="20"/>
                <w:lang w:eastAsia="en-US"/>
              </w:rPr>
              <w:t>)</w:t>
            </w:r>
          </w:p>
        </w:tc>
      </w:tr>
      <w:tr w:rsidR="008627B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8627B5" w:rsidRPr="004A5099" w:rsidRDefault="008627B5" w:rsidP="0072607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Low-risk gambler</w:t>
            </w:r>
          </w:p>
        </w:tc>
        <w:tc>
          <w:tcPr>
            <w:tcW w:w="709"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307</w:t>
            </w:r>
          </w:p>
        </w:tc>
        <w:tc>
          <w:tcPr>
            <w:tcW w:w="566"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4.9</w:t>
            </w:r>
          </w:p>
        </w:tc>
        <w:tc>
          <w:tcPr>
            <w:tcW w:w="1287" w:type="dxa"/>
            <w:tcBorders>
              <w:top w:val="nil"/>
              <w:left w:val="nil"/>
              <w:bottom w:val="nil"/>
              <w:right w:val="single" w:sz="4" w:space="0" w:color="auto"/>
            </w:tcBorders>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8627B5" w:rsidRPr="004A5099">
              <w:rPr>
                <w:rFonts w:ascii="Times New Roman" w:eastAsiaTheme="minorEastAsia" w:hAnsi="Times New Roman" w:cs="Times New Roman"/>
                <w:sz w:val="20"/>
                <w:szCs w:val="20"/>
                <w:lang w:eastAsia="en-US"/>
              </w:rPr>
              <w:t>4.3 - 5.6</w:t>
            </w: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210</w:t>
            </w:r>
          </w:p>
        </w:tc>
        <w:tc>
          <w:tcPr>
            <w:tcW w:w="566" w:type="dxa"/>
            <w:tcBorders>
              <w:top w:val="nil"/>
              <w:left w:val="nil"/>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5.6</w:t>
            </w:r>
          </w:p>
        </w:tc>
        <w:tc>
          <w:tcPr>
            <w:tcW w:w="1316" w:type="dxa"/>
            <w:tcBorders>
              <w:top w:val="nil"/>
              <w:left w:val="nil"/>
              <w:bottom w:val="nil"/>
              <w:right w:val="nil"/>
            </w:tcBorders>
            <w:shd w:val="clear" w:color="auto" w:fill="FFFFFF" w:themeFill="background1"/>
            <w:noWrap/>
          </w:tcPr>
          <w:p w:rsidR="008627B5" w:rsidRPr="004A5099" w:rsidRDefault="00AC1241" w:rsidP="00036A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036A40">
              <w:rPr>
                <w:rFonts w:ascii="Times New Roman" w:eastAsiaTheme="minorEastAsia" w:hAnsi="Times New Roman" w:cs="Times New Roman"/>
                <w:sz w:val="20"/>
                <w:szCs w:val="20"/>
                <w:lang w:eastAsia="en-US"/>
              </w:rPr>
              <w:t>4.8</w:t>
            </w:r>
            <w:r w:rsidR="008627B5" w:rsidRPr="004A5099">
              <w:rPr>
                <w:rFonts w:ascii="Times New Roman" w:eastAsiaTheme="minorEastAsia" w:hAnsi="Times New Roman" w:cs="Times New Roman"/>
                <w:sz w:val="20"/>
                <w:szCs w:val="20"/>
                <w:lang w:eastAsia="en-US"/>
              </w:rPr>
              <w:t xml:space="preserve"> - </w:t>
            </w:r>
            <w:r w:rsidR="00036A40">
              <w:rPr>
                <w:rFonts w:ascii="Times New Roman" w:eastAsiaTheme="minorEastAsia" w:hAnsi="Times New Roman" w:cs="Times New Roman"/>
                <w:sz w:val="20"/>
                <w:szCs w:val="20"/>
                <w:lang w:eastAsia="en-US"/>
              </w:rPr>
              <w:t>6.5</w:t>
            </w:r>
            <w:r w:rsidRPr="004A5099">
              <w:rPr>
                <w:rFonts w:ascii="Times New Roman" w:eastAsiaTheme="minorEastAsia" w:hAnsi="Times New Roman" w:cs="Times New Roman"/>
                <w:sz w:val="20"/>
                <w:szCs w:val="20"/>
                <w:lang w:eastAsia="en-US"/>
              </w:rPr>
              <w:t>)</w:t>
            </w:r>
          </w:p>
        </w:tc>
      </w:tr>
      <w:tr w:rsidR="008627B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8627B5" w:rsidRPr="004A5099" w:rsidRDefault="008627B5" w:rsidP="0072607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Moderate-risk gambler</w:t>
            </w:r>
          </w:p>
        </w:tc>
        <w:tc>
          <w:tcPr>
            <w:tcW w:w="709"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108</w:t>
            </w:r>
          </w:p>
        </w:tc>
        <w:tc>
          <w:tcPr>
            <w:tcW w:w="566"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w:t>
            </w:r>
          </w:p>
        </w:tc>
        <w:tc>
          <w:tcPr>
            <w:tcW w:w="1287" w:type="dxa"/>
            <w:tcBorders>
              <w:top w:val="nil"/>
              <w:left w:val="nil"/>
              <w:bottom w:val="nil"/>
              <w:right w:val="single" w:sz="4" w:space="0" w:color="auto"/>
            </w:tcBorders>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8627B5" w:rsidRPr="004A5099">
              <w:rPr>
                <w:rFonts w:ascii="Times New Roman" w:eastAsiaTheme="minorEastAsia" w:hAnsi="Times New Roman" w:cs="Times New Roman"/>
                <w:sz w:val="20"/>
                <w:szCs w:val="20"/>
                <w:lang w:eastAsia="en-US"/>
              </w:rPr>
              <w:t>1.4 - 2.1</w:t>
            </w: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57</w:t>
            </w:r>
          </w:p>
        </w:tc>
        <w:tc>
          <w:tcPr>
            <w:tcW w:w="566" w:type="dxa"/>
            <w:tcBorders>
              <w:top w:val="nil"/>
              <w:left w:val="nil"/>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1.5</w:t>
            </w:r>
          </w:p>
        </w:tc>
        <w:tc>
          <w:tcPr>
            <w:tcW w:w="1316" w:type="dxa"/>
            <w:tcBorders>
              <w:top w:val="nil"/>
              <w:left w:val="nil"/>
              <w:bottom w:val="nil"/>
              <w:right w:val="nil"/>
            </w:tcBorders>
            <w:shd w:val="clear" w:color="auto" w:fill="FFFFFF" w:themeFill="background1"/>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036A40">
              <w:rPr>
                <w:rFonts w:ascii="Times New Roman" w:eastAsiaTheme="minorEastAsia" w:hAnsi="Times New Roman" w:cs="Times New Roman"/>
                <w:sz w:val="20"/>
                <w:szCs w:val="20"/>
                <w:lang w:eastAsia="en-US"/>
              </w:rPr>
              <w:t>1.1</w:t>
            </w:r>
            <w:r w:rsidR="008627B5" w:rsidRPr="004A5099">
              <w:rPr>
                <w:rFonts w:ascii="Times New Roman" w:eastAsiaTheme="minorEastAsia" w:hAnsi="Times New Roman" w:cs="Times New Roman"/>
                <w:sz w:val="20"/>
                <w:szCs w:val="20"/>
                <w:lang w:eastAsia="en-US"/>
              </w:rPr>
              <w:t xml:space="preserve"> - 1.9</w:t>
            </w:r>
            <w:r w:rsidRPr="004A5099">
              <w:rPr>
                <w:rFonts w:ascii="Times New Roman" w:eastAsiaTheme="minorEastAsia" w:hAnsi="Times New Roman" w:cs="Times New Roman"/>
                <w:sz w:val="20"/>
                <w:szCs w:val="20"/>
                <w:lang w:eastAsia="en-US"/>
              </w:rPr>
              <w:t>)</w:t>
            </w:r>
          </w:p>
        </w:tc>
      </w:tr>
      <w:tr w:rsidR="008627B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8627B5" w:rsidRPr="004A5099" w:rsidRDefault="008627B5" w:rsidP="0072607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Problem gambler</w:t>
            </w:r>
          </w:p>
        </w:tc>
        <w:tc>
          <w:tcPr>
            <w:tcW w:w="709"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40</w:t>
            </w:r>
          </w:p>
        </w:tc>
        <w:tc>
          <w:tcPr>
            <w:tcW w:w="566"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0.6</w:t>
            </w:r>
          </w:p>
        </w:tc>
        <w:tc>
          <w:tcPr>
            <w:tcW w:w="1287" w:type="dxa"/>
            <w:tcBorders>
              <w:top w:val="nil"/>
              <w:left w:val="nil"/>
              <w:bottom w:val="nil"/>
              <w:right w:val="single" w:sz="4" w:space="0" w:color="auto"/>
            </w:tcBorders>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8627B5" w:rsidRPr="004A5099">
              <w:rPr>
                <w:rFonts w:ascii="Times New Roman" w:eastAsiaTheme="minorEastAsia" w:hAnsi="Times New Roman" w:cs="Times New Roman"/>
                <w:sz w:val="20"/>
                <w:szCs w:val="20"/>
                <w:lang w:eastAsia="en-US"/>
              </w:rPr>
              <w:t>0.4 - 0.9</w:t>
            </w: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nil"/>
              <w:right w:val="nil"/>
            </w:tcBorders>
            <w:noWrap/>
          </w:tcPr>
          <w:p w:rsidR="008627B5" w:rsidRPr="004A5099" w:rsidRDefault="00036A40"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Pr>
                <w:rFonts w:ascii="Times New Roman" w:eastAsiaTheme="minorEastAsia" w:hAnsi="Times New Roman" w:cs="Times New Roman"/>
                <w:sz w:val="20"/>
                <w:szCs w:val="20"/>
                <w:lang w:eastAsia="en-US"/>
              </w:rPr>
              <w:t>18</w:t>
            </w:r>
          </w:p>
        </w:tc>
        <w:tc>
          <w:tcPr>
            <w:tcW w:w="566" w:type="dxa"/>
            <w:tcBorders>
              <w:top w:val="nil"/>
              <w:left w:val="nil"/>
              <w:bottom w:val="nil"/>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0.5</w:t>
            </w:r>
          </w:p>
        </w:tc>
        <w:tc>
          <w:tcPr>
            <w:tcW w:w="1316" w:type="dxa"/>
            <w:tcBorders>
              <w:top w:val="nil"/>
              <w:left w:val="nil"/>
              <w:bottom w:val="nil"/>
              <w:right w:val="nil"/>
            </w:tcBorders>
            <w:shd w:val="clear" w:color="auto" w:fill="FFFFFF" w:themeFill="background1"/>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036A40">
              <w:rPr>
                <w:rFonts w:ascii="Times New Roman" w:eastAsiaTheme="minorEastAsia" w:hAnsi="Times New Roman" w:cs="Times New Roman"/>
                <w:sz w:val="20"/>
                <w:szCs w:val="20"/>
                <w:lang w:eastAsia="en-US"/>
              </w:rPr>
              <w:t>0.3</w:t>
            </w:r>
            <w:r w:rsidR="008627B5" w:rsidRPr="004A5099">
              <w:rPr>
                <w:rFonts w:ascii="Times New Roman" w:eastAsiaTheme="minorEastAsia" w:hAnsi="Times New Roman" w:cs="Times New Roman"/>
                <w:sz w:val="20"/>
                <w:szCs w:val="20"/>
                <w:lang w:eastAsia="en-US"/>
              </w:rPr>
              <w:t xml:space="preserve"> - 0.7</w:t>
            </w:r>
            <w:r w:rsidRPr="004A5099">
              <w:rPr>
                <w:rFonts w:ascii="Times New Roman" w:eastAsiaTheme="minorEastAsia" w:hAnsi="Times New Roman" w:cs="Times New Roman"/>
                <w:sz w:val="20"/>
                <w:szCs w:val="20"/>
                <w:lang w:eastAsia="en-US"/>
              </w:rPr>
              <w:t>)</w:t>
            </w:r>
          </w:p>
        </w:tc>
      </w:tr>
      <w:tr w:rsidR="008627B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single" w:sz="4" w:space="0" w:color="auto"/>
              <w:right w:val="nil"/>
            </w:tcBorders>
          </w:tcPr>
          <w:p w:rsidR="008627B5" w:rsidRPr="004A5099" w:rsidRDefault="008627B5" w:rsidP="00726075">
            <w:pPr>
              <w:spacing w:before="20" w:after="20"/>
              <w:ind w:left="176"/>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b w:val="0"/>
                <w:sz w:val="20"/>
                <w:szCs w:val="20"/>
                <w:lang w:eastAsia="en-US"/>
              </w:rPr>
              <w:t>No gambling in past year</w:t>
            </w:r>
          </w:p>
        </w:tc>
        <w:tc>
          <w:tcPr>
            <w:tcW w:w="709" w:type="dxa"/>
            <w:tcBorders>
              <w:top w:val="nil"/>
              <w:left w:val="nil"/>
              <w:bottom w:val="single" w:sz="4" w:space="0" w:color="auto"/>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1261</w:t>
            </w:r>
          </w:p>
        </w:tc>
        <w:tc>
          <w:tcPr>
            <w:tcW w:w="566" w:type="dxa"/>
            <w:tcBorders>
              <w:top w:val="nil"/>
              <w:left w:val="nil"/>
              <w:bottom w:val="single" w:sz="4" w:space="0" w:color="auto"/>
              <w:right w:val="nil"/>
            </w:tcBorders>
            <w:noWrap/>
          </w:tcPr>
          <w:p w:rsidR="008627B5" w:rsidRPr="004A5099" w:rsidRDefault="008627B5"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20.2</w:t>
            </w:r>
          </w:p>
        </w:tc>
        <w:tc>
          <w:tcPr>
            <w:tcW w:w="1287" w:type="dxa"/>
            <w:tcBorders>
              <w:top w:val="nil"/>
              <w:left w:val="nil"/>
              <w:bottom w:val="single" w:sz="4" w:space="0" w:color="auto"/>
              <w:right w:val="single" w:sz="4" w:space="0" w:color="auto"/>
            </w:tcBorders>
            <w:noWrap/>
          </w:tcPr>
          <w:p w:rsidR="008627B5" w:rsidRPr="004A5099" w:rsidRDefault="00AC1241"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8627B5" w:rsidRPr="004A5099">
              <w:rPr>
                <w:rFonts w:ascii="Times New Roman" w:eastAsiaTheme="minorEastAsia" w:hAnsi="Times New Roman" w:cs="Times New Roman"/>
                <w:sz w:val="20"/>
                <w:szCs w:val="20"/>
                <w:lang w:eastAsia="en-US"/>
              </w:rPr>
              <w:t>19.0 - 21.4</w:t>
            </w: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single" w:sz="4" w:space="0" w:color="auto"/>
              <w:right w:val="nil"/>
            </w:tcBorders>
            <w:noWrap/>
          </w:tcPr>
          <w:p w:rsidR="008627B5" w:rsidRPr="004A5099" w:rsidRDefault="00EB6BD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82</w:t>
            </w:r>
            <w:r w:rsidR="008627B5" w:rsidRPr="004A5099">
              <w:rPr>
                <w:rFonts w:ascii="Times New Roman" w:eastAsiaTheme="minorEastAsia" w:hAnsi="Times New Roman" w:cs="Times New Roman"/>
                <w:sz w:val="20"/>
                <w:szCs w:val="20"/>
                <w:lang w:eastAsia="en-US"/>
              </w:rPr>
              <w:t>8</w:t>
            </w:r>
          </w:p>
        </w:tc>
        <w:tc>
          <w:tcPr>
            <w:tcW w:w="566" w:type="dxa"/>
            <w:tcBorders>
              <w:top w:val="nil"/>
              <w:left w:val="nil"/>
              <w:bottom w:val="single" w:sz="4" w:space="0" w:color="auto"/>
              <w:right w:val="nil"/>
            </w:tcBorders>
            <w:noWrap/>
          </w:tcPr>
          <w:p w:rsidR="008627B5" w:rsidRPr="004A5099" w:rsidRDefault="00EB6BDC" w:rsidP="0072607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22.1</w:t>
            </w:r>
          </w:p>
        </w:tc>
        <w:tc>
          <w:tcPr>
            <w:tcW w:w="1316" w:type="dxa"/>
            <w:tcBorders>
              <w:top w:val="nil"/>
              <w:left w:val="nil"/>
              <w:bottom w:val="single" w:sz="4" w:space="0" w:color="auto"/>
              <w:right w:val="nil"/>
            </w:tcBorders>
            <w:shd w:val="clear" w:color="auto" w:fill="FFFFFF" w:themeFill="background1"/>
            <w:noWrap/>
          </w:tcPr>
          <w:p w:rsidR="008627B5" w:rsidRPr="004A5099" w:rsidRDefault="00AC1241" w:rsidP="00EB6BD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r w:rsidR="00EB6BDC" w:rsidRPr="004A5099">
              <w:rPr>
                <w:rFonts w:ascii="Times New Roman" w:eastAsiaTheme="minorEastAsia" w:hAnsi="Times New Roman" w:cs="Times New Roman"/>
                <w:sz w:val="20"/>
                <w:szCs w:val="20"/>
                <w:lang w:eastAsia="en-US"/>
              </w:rPr>
              <w:t>20.5</w:t>
            </w:r>
            <w:r w:rsidR="008627B5" w:rsidRPr="004A5099">
              <w:rPr>
                <w:rFonts w:ascii="Times New Roman" w:eastAsiaTheme="minorEastAsia" w:hAnsi="Times New Roman" w:cs="Times New Roman"/>
                <w:sz w:val="20"/>
                <w:szCs w:val="20"/>
                <w:lang w:eastAsia="en-US"/>
              </w:rPr>
              <w:t xml:space="preserve"> - 2</w:t>
            </w:r>
            <w:r w:rsidR="00EB6BDC" w:rsidRPr="004A5099">
              <w:rPr>
                <w:rFonts w:ascii="Times New Roman" w:eastAsiaTheme="minorEastAsia" w:hAnsi="Times New Roman" w:cs="Times New Roman"/>
                <w:sz w:val="20"/>
                <w:szCs w:val="20"/>
                <w:lang w:eastAsia="en-US"/>
              </w:rPr>
              <w:t>3.7</w:t>
            </w:r>
            <w:r w:rsidRPr="004A5099">
              <w:rPr>
                <w:rFonts w:ascii="Times New Roman" w:eastAsiaTheme="minorEastAsia" w:hAnsi="Times New Roman" w:cs="Times New Roman"/>
                <w:sz w:val="20"/>
                <w:szCs w:val="20"/>
                <w:lang w:eastAsia="en-US"/>
              </w:rPr>
              <w:t>)</w:t>
            </w:r>
          </w:p>
        </w:tc>
      </w:tr>
    </w:tbl>
    <w:p w:rsidR="00726075" w:rsidRPr="004A5099" w:rsidRDefault="00726075" w:rsidP="00726075">
      <w:pPr>
        <w:rPr>
          <w:sz w:val="20"/>
        </w:rPr>
      </w:pPr>
      <w:r w:rsidRPr="004A5099">
        <w:rPr>
          <w:sz w:val="20"/>
        </w:rPr>
        <w:t>Data weighted for 2013 Census data (both Waves) and attrition (Wave 2)</w:t>
      </w:r>
    </w:p>
    <w:p w:rsidR="00726075" w:rsidRPr="004A5099" w:rsidRDefault="00726075" w:rsidP="00726075">
      <w:pPr>
        <w:rPr>
          <w:sz w:val="20"/>
        </w:rPr>
      </w:pPr>
      <w:r w:rsidRPr="004A5099">
        <w:rPr>
          <w:sz w:val="20"/>
        </w:rPr>
        <w:t>Baseline N = 6,251; Wave 2 N = 3,745</w:t>
      </w:r>
    </w:p>
    <w:p w:rsidR="00EC476C" w:rsidRDefault="00EC476C" w:rsidP="00AC730B">
      <w:pPr>
        <w:tabs>
          <w:tab w:val="left" w:pos="0"/>
        </w:tabs>
        <w:jc w:val="both"/>
        <w:rPr>
          <w:szCs w:val="22"/>
        </w:rPr>
      </w:pPr>
    </w:p>
    <w:p w:rsidR="008C292E" w:rsidRDefault="008C292E" w:rsidP="00AC730B">
      <w:pPr>
        <w:tabs>
          <w:tab w:val="left" w:pos="0"/>
        </w:tabs>
        <w:jc w:val="both"/>
        <w:rPr>
          <w:szCs w:val="22"/>
        </w:rPr>
      </w:pPr>
      <w:r w:rsidRPr="00D0779B">
        <w:rPr>
          <w:szCs w:val="22"/>
        </w:rPr>
        <w:t xml:space="preserve">When examined by ethnicity, </w:t>
      </w:r>
      <w:r w:rsidR="00495B56" w:rsidRPr="00D0779B">
        <w:rPr>
          <w:szCs w:val="22"/>
        </w:rPr>
        <w:t>problem gambling risk category remained similar between Wave 1 and Wave 2, and Māori and Pacific people continued to have a higher prevalence of moderate-risk and problem gambling combined than European/Other (</w:t>
      </w:r>
      <w:r w:rsidR="00495B56" w:rsidRPr="00D0779B">
        <w:rPr>
          <w:szCs w:val="22"/>
        </w:rPr>
        <w:fldChar w:fldCharType="begin"/>
      </w:r>
      <w:r w:rsidR="00495B56" w:rsidRPr="00D0779B">
        <w:rPr>
          <w:szCs w:val="22"/>
        </w:rPr>
        <w:instrText xml:space="preserve"> REF _Ref420332156 \h </w:instrText>
      </w:r>
      <w:r w:rsidR="00C22F81" w:rsidRPr="00D0779B">
        <w:rPr>
          <w:szCs w:val="22"/>
        </w:rPr>
        <w:instrText xml:space="preserve"> \* MERGEFORMAT </w:instrText>
      </w:r>
      <w:r w:rsidR="00495B56" w:rsidRPr="00D0779B">
        <w:rPr>
          <w:szCs w:val="22"/>
        </w:rPr>
      </w:r>
      <w:r w:rsidR="00495B56" w:rsidRPr="00D0779B">
        <w:rPr>
          <w:szCs w:val="22"/>
        </w:rPr>
        <w:fldChar w:fldCharType="separate"/>
      </w:r>
      <w:r w:rsidR="00B2175B">
        <w:t xml:space="preserve">Table </w:t>
      </w:r>
      <w:r w:rsidR="00B2175B">
        <w:rPr>
          <w:noProof/>
        </w:rPr>
        <w:t>9</w:t>
      </w:r>
      <w:r w:rsidR="00495B56" w:rsidRPr="00D0779B">
        <w:rPr>
          <w:szCs w:val="22"/>
        </w:rPr>
        <w:fldChar w:fldCharType="end"/>
      </w:r>
      <w:r w:rsidR="00495B56" w:rsidRPr="00D0779B">
        <w:rPr>
          <w:szCs w:val="22"/>
        </w:rPr>
        <w:t>).</w:t>
      </w:r>
      <w:r w:rsidR="00495B56">
        <w:rPr>
          <w:szCs w:val="22"/>
        </w:rPr>
        <w:t xml:space="preserve">   </w:t>
      </w:r>
    </w:p>
    <w:p w:rsidR="00495B56" w:rsidRDefault="00495B56" w:rsidP="00AC730B">
      <w:pPr>
        <w:tabs>
          <w:tab w:val="left" w:pos="0"/>
        </w:tabs>
        <w:jc w:val="both"/>
        <w:rPr>
          <w:szCs w:val="22"/>
        </w:rPr>
      </w:pPr>
    </w:p>
    <w:p w:rsidR="00495B56" w:rsidRDefault="00495B56" w:rsidP="00495B56">
      <w:pPr>
        <w:pStyle w:val="Caption"/>
        <w:keepNext/>
        <w:rPr>
          <w:szCs w:val="22"/>
        </w:rPr>
      </w:pPr>
      <w:bookmarkStart w:id="174" w:name="_Ref420332156"/>
      <w:bookmarkStart w:id="175" w:name="_Toc420393797"/>
      <w:r>
        <w:t xml:space="preserve">Table </w:t>
      </w:r>
      <w:fldSimple w:instr=" SEQ Table \* ARABIC ">
        <w:r w:rsidR="00B2175B">
          <w:rPr>
            <w:noProof/>
          </w:rPr>
          <w:t>9</w:t>
        </w:r>
      </w:fldSimple>
      <w:bookmarkEnd w:id="174"/>
      <w:r>
        <w:t>: Prevalence and 95% confidence intervals for problem gambling risk category (PGSI) in Wave 1 and Wave 2 by ethnicity</w:t>
      </w:r>
      <w:bookmarkEnd w:id="175"/>
    </w:p>
    <w:tbl>
      <w:tblPr>
        <w:tblStyle w:val="LightShading4"/>
        <w:tblW w:w="0" w:type="auto"/>
        <w:tblLook w:val="06A0" w:firstRow="1" w:lastRow="0" w:firstColumn="1" w:lastColumn="0" w:noHBand="1" w:noVBand="1"/>
      </w:tblPr>
      <w:tblGrid>
        <w:gridCol w:w="1174"/>
        <w:gridCol w:w="2146"/>
        <w:gridCol w:w="576"/>
        <w:gridCol w:w="621"/>
        <w:gridCol w:w="1296"/>
        <w:gridCol w:w="576"/>
        <w:gridCol w:w="621"/>
        <w:gridCol w:w="1296"/>
      </w:tblGrid>
      <w:tr w:rsidR="00AB78C6" w:rsidRPr="00495B56" w:rsidTr="006F6D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vAlign w:val="bottom"/>
          </w:tcPr>
          <w:p w:rsidR="00495B56" w:rsidRPr="00495B56" w:rsidRDefault="00495B56" w:rsidP="00D0779B">
            <w:pPr>
              <w:spacing w:before="20" w:after="20"/>
              <w:rPr>
                <w:rFonts w:ascii="Times New Roman" w:eastAsiaTheme="minorEastAsia" w:hAnsi="Times New Roman" w:cs="Times New Roman"/>
                <w:sz w:val="18"/>
                <w:szCs w:val="18"/>
              </w:rPr>
            </w:pPr>
            <w:r w:rsidRPr="00495B56">
              <w:rPr>
                <w:rFonts w:ascii="Times New Roman" w:eastAsiaTheme="minorEastAsia" w:hAnsi="Times New Roman" w:cs="Times New Roman"/>
                <w:sz w:val="18"/>
                <w:szCs w:val="18"/>
              </w:rPr>
              <w:t>Ethnic group</w:t>
            </w:r>
          </w:p>
        </w:tc>
        <w:tc>
          <w:tcPr>
            <w:tcW w:w="0" w:type="auto"/>
            <w:vMerge w:val="restart"/>
            <w:tcBorders>
              <w:bottom w:val="single" w:sz="4" w:space="0" w:color="auto"/>
            </w:tcBorders>
            <w:vAlign w:val="bottom"/>
            <w:hideMark/>
          </w:tcPr>
          <w:p w:rsidR="00495B56" w:rsidRPr="00495B56" w:rsidRDefault="00495B56" w:rsidP="00D0779B">
            <w:pPr>
              <w:spacing w:before="20" w:after="2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rPr>
              <w:t>PGSI</w:t>
            </w:r>
          </w:p>
        </w:tc>
        <w:tc>
          <w:tcPr>
            <w:tcW w:w="0" w:type="auto"/>
            <w:gridSpan w:val="3"/>
            <w:tcBorders>
              <w:bottom w:val="single" w:sz="4" w:space="0" w:color="auto"/>
              <w:right w:val="single" w:sz="4" w:space="0" w:color="auto"/>
            </w:tcBorders>
            <w:noWrap/>
            <w:vAlign w:val="center"/>
            <w:hideMark/>
          </w:tcPr>
          <w:p w:rsidR="00495B56" w:rsidRPr="00495B56" w:rsidRDefault="00495B56" w:rsidP="00D0779B">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i/>
                <w:sz w:val="18"/>
                <w:szCs w:val="18"/>
                <w:lang w:eastAsia="en-US"/>
              </w:rPr>
            </w:pPr>
            <w:r w:rsidRPr="00495B56">
              <w:rPr>
                <w:rFonts w:ascii="Times New Roman" w:eastAsiaTheme="minorEastAsia" w:hAnsi="Times New Roman" w:cs="Times New Roman"/>
                <w:sz w:val="18"/>
                <w:szCs w:val="18"/>
              </w:rPr>
              <w:t>Wave 1</w:t>
            </w:r>
          </w:p>
        </w:tc>
        <w:tc>
          <w:tcPr>
            <w:tcW w:w="0" w:type="auto"/>
            <w:gridSpan w:val="3"/>
            <w:tcBorders>
              <w:left w:val="single" w:sz="4" w:space="0" w:color="auto"/>
              <w:bottom w:val="single" w:sz="4" w:space="0" w:color="auto"/>
            </w:tcBorders>
            <w:vAlign w:val="center"/>
          </w:tcPr>
          <w:p w:rsidR="00495B56" w:rsidRPr="00495B56" w:rsidRDefault="00495B56" w:rsidP="00D0779B">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Wave 2</w:t>
            </w:r>
          </w:p>
        </w:tc>
      </w:tr>
      <w:tr w:rsidR="006F6DFC" w:rsidRPr="00495B56" w:rsidTr="006F6D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rsidR="00495B56" w:rsidRPr="00495B56" w:rsidRDefault="00495B56" w:rsidP="00D0779B">
            <w:pPr>
              <w:spacing w:before="20" w:after="20"/>
              <w:rPr>
                <w:rFonts w:ascii="Times New Roman" w:eastAsiaTheme="minorEastAsia" w:hAnsi="Times New Roman" w:cs="Times New Roman"/>
                <w:sz w:val="18"/>
                <w:szCs w:val="18"/>
                <w:lang w:eastAsia="en-US"/>
              </w:rPr>
            </w:pPr>
          </w:p>
        </w:tc>
        <w:tc>
          <w:tcPr>
            <w:tcW w:w="0" w:type="auto"/>
            <w:vMerge/>
            <w:tcBorders>
              <w:bottom w:val="single" w:sz="4" w:space="0" w:color="auto"/>
            </w:tcBorders>
            <w:vAlign w:val="center"/>
            <w:hideMark/>
          </w:tcPr>
          <w:p w:rsidR="00495B56" w:rsidRPr="00495B56" w:rsidRDefault="00495B56" w:rsidP="00D0779B">
            <w:pPr>
              <w:spacing w:before="20" w:after="2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tcBorders>
              <w:top w:val="single" w:sz="4" w:space="0" w:color="auto"/>
              <w:bottom w:val="single" w:sz="4" w:space="0" w:color="auto"/>
            </w:tcBorders>
            <w:noWrap/>
            <w:vAlign w:val="center"/>
            <w:hideMark/>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sidRPr="00495B56">
              <w:rPr>
                <w:rFonts w:ascii="Times New Roman" w:eastAsiaTheme="minorEastAsia" w:hAnsi="Times New Roman" w:cs="Times New Roman"/>
                <w:sz w:val="18"/>
                <w:szCs w:val="18"/>
              </w:rPr>
              <w:t>n</w:t>
            </w:r>
          </w:p>
        </w:tc>
        <w:tc>
          <w:tcPr>
            <w:tcW w:w="0" w:type="auto"/>
            <w:tcBorders>
              <w:top w:val="single" w:sz="4" w:space="0" w:color="auto"/>
              <w:bottom w:val="single" w:sz="4" w:space="0" w:color="auto"/>
            </w:tcBorders>
            <w:noWrap/>
            <w:vAlign w:val="center"/>
            <w:hideMark/>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sidRPr="00495B56">
              <w:rPr>
                <w:rFonts w:ascii="Times New Roman" w:eastAsiaTheme="minorEastAsia" w:hAnsi="Times New Roman" w:cs="Times New Roman"/>
                <w:sz w:val="18"/>
                <w:szCs w:val="18"/>
              </w:rPr>
              <w:t>%</w:t>
            </w:r>
          </w:p>
        </w:tc>
        <w:tc>
          <w:tcPr>
            <w:tcW w:w="0" w:type="auto"/>
            <w:tcBorders>
              <w:top w:val="single" w:sz="4" w:space="0" w:color="auto"/>
              <w:bottom w:val="single" w:sz="4" w:space="0" w:color="auto"/>
              <w:right w:val="single" w:sz="4" w:space="0" w:color="auto"/>
            </w:tcBorders>
            <w:noWrap/>
            <w:vAlign w:val="center"/>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sidRPr="00495B56">
              <w:rPr>
                <w:rFonts w:ascii="Times New Roman" w:eastAsiaTheme="minorEastAsia" w:hAnsi="Times New Roman" w:cs="Times New Roman"/>
                <w:sz w:val="18"/>
                <w:szCs w:val="18"/>
                <w:lang w:eastAsia="en-US"/>
              </w:rPr>
              <w:t>(95% CI)</w:t>
            </w:r>
          </w:p>
        </w:tc>
        <w:tc>
          <w:tcPr>
            <w:tcW w:w="0" w:type="auto"/>
            <w:tcBorders>
              <w:top w:val="single" w:sz="4" w:space="0" w:color="auto"/>
              <w:left w:val="single" w:sz="4" w:space="0" w:color="auto"/>
              <w:bottom w:val="single" w:sz="4" w:space="0" w:color="auto"/>
            </w:tcBorders>
            <w:noWrap/>
            <w:vAlign w:val="center"/>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sidRPr="00495B56">
              <w:rPr>
                <w:rFonts w:ascii="Times New Roman" w:eastAsiaTheme="minorEastAsia" w:hAnsi="Times New Roman" w:cs="Times New Roman"/>
                <w:sz w:val="18"/>
                <w:szCs w:val="18"/>
                <w:lang w:eastAsia="en-US"/>
              </w:rPr>
              <w:t>n</w:t>
            </w:r>
          </w:p>
        </w:tc>
        <w:tc>
          <w:tcPr>
            <w:tcW w:w="0" w:type="auto"/>
            <w:tcBorders>
              <w:top w:val="single" w:sz="4" w:space="0" w:color="auto"/>
              <w:bottom w:val="single" w:sz="4" w:space="0" w:color="auto"/>
            </w:tcBorders>
            <w:noWrap/>
            <w:vAlign w:val="center"/>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sidRPr="00495B56">
              <w:rPr>
                <w:rFonts w:ascii="Times New Roman" w:eastAsiaTheme="minorEastAsia" w:hAnsi="Times New Roman" w:cs="Times New Roman"/>
                <w:sz w:val="18"/>
                <w:szCs w:val="18"/>
                <w:lang w:eastAsia="en-US"/>
              </w:rPr>
              <w:t>%</w:t>
            </w:r>
          </w:p>
        </w:tc>
        <w:tc>
          <w:tcPr>
            <w:tcW w:w="0" w:type="auto"/>
            <w:tcBorders>
              <w:top w:val="single" w:sz="4" w:space="0" w:color="auto"/>
              <w:bottom w:val="single" w:sz="4" w:space="0" w:color="auto"/>
            </w:tcBorders>
            <w:shd w:val="clear" w:color="auto" w:fill="FFFFFF" w:themeFill="background1"/>
            <w:noWrap/>
            <w:vAlign w:val="center"/>
          </w:tcPr>
          <w:p w:rsidR="00495B56" w:rsidRPr="00495B56" w:rsidRDefault="00495B56" w:rsidP="00D0779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sidRPr="00495B56">
              <w:rPr>
                <w:rFonts w:ascii="Times New Roman" w:eastAsiaTheme="minorEastAsia" w:hAnsi="Times New Roman" w:cs="Times New Roman"/>
                <w:sz w:val="18"/>
                <w:szCs w:val="18"/>
                <w:lang w:eastAsia="en-US"/>
              </w:rPr>
              <w:t>(95% CI)</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6F6DFC" w:rsidP="00D0779B">
            <w:pPr>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Māori</w:t>
            </w: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Non-problem gambler</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rPr>
            </w:pPr>
            <w:r w:rsidRPr="00495B56">
              <w:rPr>
                <w:rFonts w:ascii="Times New Roman" w:hAnsi="Times New Roman" w:cs="Times New Roman"/>
                <w:color w:val="000000"/>
                <w:sz w:val="18"/>
              </w:rPr>
              <w:t>466</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71.57</w:t>
            </w:r>
          </w:p>
        </w:tc>
        <w:tc>
          <w:tcPr>
            <w:tcW w:w="0" w:type="auto"/>
            <w:tcBorders>
              <w:top w:val="nil"/>
              <w:left w:val="nil"/>
              <w:bottom w:val="nil"/>
              <w:right w:val="single" w:sz="4" w:space="0" w:color="auto"/>
            </w:tcBorders>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(68.64 - 74.51)</w:t>
            </w:r>
          </w:p>
        </w:tc>
        <w:tc>
          <w:tcPr>
            <w:tcW w:w="0" w:type="auto"/>
            <w:tcBorders>
              <w:top w:val="nil"/>
              <w:left w:val="single" w:sz="4" w:space="0" w:color="auto"/>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rPr>
            </w:pPr>
            <w:r w:rsidRPr="00495B56">
              <w:rPr>
                <w:rFonts w:ascii="Times New Roman" w:hAnsi="Times New Roman" w:cs="Times New Roman"/>
                <w:color w:val="000000"/>
                <w:sz w:val="18"/>
              </w:rPr>
              <w:t>254</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65.72</w:t>
            </w:r>
          </w:p>
        </w:tc>
        <w:tc>
          <w:tcPr>
            <w:tcW w:w="0" w:type="auto"/>
            <w:tcBorders>
              <w:top w:val="nil"/>
              <w:left w:val="nil"/>
              <w:bottom w:val="nil"/>
              <w:right w:val="nil"/>
            </w:tcBorders>
            <w:shd w:val="clear" w:color="auto" w:fill="FFFFFF" w:themeFill="background1"/>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(61.33 - 70.12)</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495B56"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Low-risk gambler</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51</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7.80</w:t>
            </w:r>
          </w:p>
        </w:tc>
        <w:tc>
          <w:tcPr>
            <w:tcW w:w="0" w:type="auto"/>
            <w:tcBorders>
              <w:top w:val="nil"/>
              <w:left w:val="nil"/>
              <w:bottom w:val="nil"/>
              <w:right w:val="single" w:sz="4" w:space="0" w:color="auto"/>
            </w:tcBorders>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(6.02 - 9.58)</w:t>
            </w:r>
          </w:p>
        </w:tc>
        <w:tc>
          <w:tcPr>
            <w:tcW w:w="0" w:type="auto"/>
            <w:tcBorders>
              <w:top w:val="nil"/>
              <w:left w:val="single" w:sz="4" w:space="0" w:color="auto"/>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46</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11.92</w:t>
            </w:r>
          </w:p>
        </w:tc>
        <w:tc>
          <w:tcPr>
            <w:tcW w:w="0" w:type="auto"/>
            <w:tcBorders>
              <w:top w:val="nil"/>
              <w:left w:val="nil"/>
              <w:bottom w:val="nil"/>
              <w:right w:val="nil"/>
            </w:tcBorders>
            <w:shd w:val="clear" w:color="auto" w:fill="FFFFFF" w:themeFill="background1"/>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(8.95 - 14.88)</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495B56"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 gambler</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24</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3.71</w:t>
            </w:r>
          </w:p>
        </w:tc>
        <w:tc>
          <w:tcPr>
            <w:tcW w:w="0" w:type="auto"/>
            <w:tcBorders>
              <w:top w:val="nil"/>
              <w:left w:val="nil"/>
              <w:bottom w:val="nil"/>
              <w:right w:val="single" w:sz="4" w:space="0" w:color="auto"/>
            </w:tcBorders>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(2.52 - 4.89)</w:t>
            </w:r>
          </w:p>
        </w:tc>
        <w:tc>
          <w:tcPr>
            <w:tcW w:w="0" w:type="auto"/>
            <w:tcBorders>
              <w:top w:val="nil"/>
              <w:left w:val="single" w:sz="4" w:space="0" w:color="auto"/>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17</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4.42</w:t>
            </w:r>
          </w:p>
        </w:tc>
        <w:tc>
          <w:tcPr>
            <w:tcW w:w="0" w:type="auto"/>
            <w:tcBorders>
              <w:top w:val="nil"/>
              <w:left w:val="nil"/>
              <w:bottom w:val="nil"/>
              <w:right w:val="nil"/>
            </w:tcBorders>
            <w:shd w:val="clear" w:color="auto" w:fill="FFFFFF" w:themeFill="background1"/>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(2.37 - 6.47)</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495B56"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Problem gambler</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15</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2.29</w:t>
            </w:r>
          </w:p>
        </w:tc>
        <w:tc>
          <w:tcPr>
            <w:tcW w:w="0" w:type="auto"/>
            <w:tcBorders>
              <w:top w:val="nil"/>
              <w:left w:val="nil"/>
              <w:bottom w:val="nil"/>
              <w:right w:val="single" w:sz="4" w:space="0" w:color="auto"/>
            </w:tcBorders>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(1.29 - 3.29)</w:t>
            </w:r>
          </w:p>
        </w:tc>
        <w:tc>
          <w:tcPr>
            <w:tcW w:w="0" w:type="auto"/>
            <w:tcBorders>
              <w:top w:val="nil"/>
              <w:left w:val="single" w:sz="4" w:space="0" w:color="auto"/>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1.62</w:t>
            </w:r>
          </w:p>
        </w:tc>
        <w:tc>
          <w:tcPr>
            <w:tcW w:w="0" w:type="auto"/>
            <w:tcBorders>
              <w:top w:val="nil"/>
              <w:left w:val="nil"/>
              <w:bottom w:val="nil"/>
              <w:right w:val="nil"/>
            </w:tcBorders>
            <w:shd w:val="clear" w:color="auto" w:fill="FFFFFF" w:themeFill="background1"/>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(0.72 - 2.51)</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495B56" w:rsidP="00D0779B">
            <w:pPr>
              <w:spacing w:before="20" w:after="20"/>
              <w:ind w:left="176"/>
              <w:rPr>
                <w:rFonts w:ascii="Times New Roman" w:eastAsiaTheme="minorEastAsia" w:hAnsi="Times New Roman" w:cs="Times New Roman"/>
                <w:b w:val="0"/>
                <w:sz w:val="18"/>
                <w:szCs w:val="18"/>
                <w:lang w:eastAsia="en-US"/>
              </w:rPr>
            </w:pP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 gambling in past year</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95</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14.63</w:t>
            </w:r>
          </w:p>
        </w:tc>
        <w:tc>
          <w:tcPr>
            <w:tcW w:w="0" w:type="auto"/>
            <w:tcBorders>
              <w:top w:val="nil"/>
              <w:left w:val="nil"/>
              <w:bottom w:val="nil"/>
              <w:right w:val="single" w:sz="4" w:space="0" w:color="auto"/>
            </w:tcBorders>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(12.31 - 16.95)</w:t>
            </w:r>
          </w:p>
        </w:tc>
        <w:tc>
          <w:tcPr>
            <w:tcW w:w="0" w:type="auto"/>
            <w:tcBorders>
              <w:top w:val="nil"/>
              <w:left w:val="single" w:sz="4" w:space="0" w:color="auto"/>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63</w:t>
            </w:r>
          </w:p>
        </w:tc>
        <w:tc>
          <w:tcPr>
            <w:tcW w:w="0" w:type="auto"/>
            <w:tcBorders>
              <w:top w:val="nil"/>
              <w:left w:val="nil"/>
              <w:bottom w:val="nil"/>
              <w:right w:val="nil"/>
            </w:tcBorders>
            <w:noWrap/>
            <w:vAlign w:val="bottom"/>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16.33</w:t>
            </w:r>
          </w:p>
        </w:tc>
        <w:tc>
          <w:tcPr>
            <w:tcW w:w="0" w:type="auto"/>
            <w:tcBorders>
              <w:top w:val="nil"/>
              <w:left w:val="nil"/>
              <w:bottom w:val="nil"/>
              <w:right w:val="nil"/>
            </w:tcBorders>
            <w:shd w:val="clear" w:color="auto" w:fill="FFFFFF" w:themeFill="background1"/>
            <w:noWrap/>
            <w:vAlign w:val="bottom"/>
          </w:tcPr>
          <w:p w:rsidR="00495B56" w:rsidRPr="00495B56" w:rsidRDefault="00495B56" w:rsidP="00D0779B">
            <w:pPr>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495B56">
              <w:rPr>
                <w:rFonts w:ascii="Times New Roman" w:hAnsi="Times New Roman" w:cs="Times New Roman"/>
                <w:color w:val="000000"/>
                <w:sz w:val="18"/>
              </w:rPr>
              <w:t>(12.82 - 19.84)</w:t>
            </w:r>
          </w:p>
        </w:tc>
      </w:tr>
      <w:tr w:rsidR="006F6DFC" w:rsidRPr="00495B56" w:rsidTr="006F6DFC">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495B56" w:rsidRPr="00495B56" w:rsidRDefault="00495B56" w:rsidP="00D0779B">
            <w:pPr>
              <w:spacing w:before="20" w:after="20"/>
              <w:ind w:left="176"/>
              <w:rPr>
                <w:rFonts w:ascii="Times New Roman" w:eastAsiaTheme="minorEastAsia" w:hAnsi="Times New Roman" w:cs="Times New Roman"/>
                <w:b w:val="0"/>
                <w:sz w:val="18"/>
                <w:szCs w:val="18"/>
                <w:lang w:eastAsia="en-US"/>
              </w:rPr>
            </w:pPr>
          </w:p>
        </w:tc>
        <w:tc>
          <w:tcPr>
            <w:tcW w:w="0" w:type="auto"/>
            <w:tcBorders>
              <w:top w:val="nil"/>
              <w:left w:val="nil"/>
              <w:bottom w:val="nil"/>
              <w:right w:val="nil"/>
            </w:tcBorders>
          </w:tcPr>
          <w:p w:rsidR="00495B56" w:rsidRPr="00495B56" w:rsidRDefault="00495B56"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Moderate-risk/problem gambler combined</w:t>
            </w:r>
          </w:p>
        </w:tc>
        <w:tc>
          <w:tcPr>
            <w:tcW w:w="0" w:type="auto"/>
            <w:tcBorders>
              <w:top w:val="nil"/>
              <w:left w:val="nil"/>
              <w:bottom w:val="nil"/>
              <w:right w:val="nil"/>
            </w:tcBorders>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tcBorders>
              <w:top w:val="nil"/>
              <w:left w:val="nil"/>
              <w:bottom w:val="nil"/>
              <w:right w:val="nil"/>
            </w:tcBorders>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6.00</w:t>
            </w:r>
          </w:p>
        </w:tc>
        <w:tc>
          <w:tcPr>
            <w:tcW w:w="0" w:type="auto"/>
            <w:tcBorders>
              <w:top w:val="nil"/>
              <w:left w:val="nil"/>
              <w:bottom w:val="nil"/>
              <w:right w:val="single" w:sz="4" w:space="0" w:color="auto"/>
            </w:tcBorders>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(4.47 - 7.53)</w:t>
            </w:r>
          </w:p>
        </w:tc>
        <w:tc>
          <w:tcPr>
            <w:tcW w:w="0" w:type="auto"/>
            <w:tcBorders>
              <w:top w:val="nil"/>
              <w:left w:val="single" w:sz="4" w:space="0" w:color="auto"/>
              <w:bottom w:val="nil"/>
              <w:right w:val="nil"/>
            </w:tcBorders>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tcBorders>
              <w:top w:val="nil"/>
              <w:left w:val="nil"/>
              <w:bottom w:val="nil"/>
              <w:right w:val="nil"/>
            </w:tcBorders>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6.03</w:t>
            </w:r>
          </w:p>
        </w:tc>
        <w:tc>
          <w:tcPr>
            <w:tcW w:w="0" w:type="auto"/>
            <w:tcBorders>
              <w:top w:val="nil"/>
              <w:left w:val="nil"/>
              <w:bottom w:val="nil"/>
              <w:right w:val="nil"/>
            </w:tcBorders>
            <w:shd w:val="clear" w:color="auto" w:fill="FFFFFF" w:themeFill="background1"/>
            <w:noWrap/>
            <w:vAlign w:val="center"/>
          </w:tcPr>
          <w:p w:rsidR="00495B56" w:rsidRPr="00495B56" w:rsidRDefault="00495B5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(3.82 - 8.25)</w:t>
            </w:r>
          </w:p>
        </w:tc>
      </w:tr>
      <w:tr w:rsidR="009C044E" w:rsidRPr="00495B56" w:rsidTr="006F6DF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6F6DFC" w:rsidRPr="00495B56" w:rsidRDefault="006F6DFC" w:rsidP="00D0779B">
            <w:pPr>
              <w:spacing w:before="6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Pacific</w:t>
            </w:r>
          </w:p>
        </w:tc>
        <w:tc>
          <w:tcPr>
            <w:tcW w:w="0" w:type="auto"/>
            <w:tcBorders>
              <w:top w:val="nil"/>
              <w:bottom w:val="nil"/>
            </w:tcBorders>
            <w:shd w:val="clear" w:color="auto" w:fill="auto"/>
          </w:tcPr>
          <w:p w:rsidR="006F6DFC" w:rsidRPr="00495B56" w:rsidRDefault="006F6DFC" w:rsidP="00D0779B">
            <w:pPr>
              <w:spacing w:before="6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Non-problem gambler</w:t>
            </w:r>
          </w:p>
        </w:tc>
        <w:tc>
          <w:tcPr>
            <w:tcW w:w="0" w:type="auto"/>
            <w:tcBorders>
              <w:top w:val="nil"/>
              <w:bottom w:val="nil"/>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178</w:t>
            </w:r>
          </w:p>
        </w:tc>
        <w:tc>
          <w:tcPr>
            <w:tcW w:w="0" w:type="auto"/>
            <w:tcBorders>
              <w:top w:val="nil"/>
              <w:bottom w:val="nil"/>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57.54</w:t>
            </w:r>
          </w:p>
        </w:tc>
        <w:tc>
          <w:tcPr>
            <w:tcW w:w="0" w:type="auto"/>
            <w:tcBorders>
              <w:top w:val="nil"/>
              <w:bottom w:val="nil"/>
              <w:right w:val="single" w:sz="4" w:space="0" w:color="auto"/>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(53.39 - 61.69)</w:t>
            </w:r>
          </w:p>
        </w:tc>
        <w:tc>
          <w:tcPr>
            <w:tcW w:w="0" w:type="auto"/>
            <w:tcBorders>
              <w:top w:val="nil"/>
              <w:left w:val="single" w:sz="4" w:space="0" w:color="auto"/>
              <w:bottom w:val="nil"/>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103</w:t>
            </w:r>
          </w:p>
        </w:tc>
        <w:tc>
          <w:tcPr>
            <w:tcW w:w="0" w:type="auto"/>
            <w:tcBorders>
              <w:top w:val="nil"/>
              <w:bottom w:val="nil"/>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55.40</w:t>
            </w:r>
          </w:p>
        </w:tc>
        <w:tc>
          <w:tcPr>
            <w:tcW w:w="0" w:type="auto"/>
            <w:tcBorders>
              <w:top w:val="nil"/>
              <w:bottom w:val="nil"/>
            </w:tcBorders>
            <w:shd w:val="clear" w:color="auto" w:fill="auto"/>
            <w:noWrap/>
          </w:tcPr>
          <w:p w:rsidR="006F6DFC" w:rsidRPr="006F6DFC" w:rsidRDefault="006F6DFC"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(49.97 - 60.83)</w:t>
            </w:r>
          </w:p>
        </w:tc>
      </w:tr>
      <w:tr w:rsidR="00AB78C6" w:rsidRPr="00495B56" w:rsidTr="006F6DF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6F6DFC" w:rsidRPr="00495B56" w:rsidRDefault="006F6DFC"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tcBorders>
            <w:shd w:val="clear" w:color="auto" w:fill="auto"/>
          </w:tcPr>
          <w:p w:rsidR="006F6DFC" w:rsidRPr="00495B56" w:rsidRDefault="006F6DFC"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Low-risk gambler</w:t>
            </w:r>
          </w:p>
        </w:tc>
        <w:tc>
          <w:tcPr>
            <w:tcW w:w="0" w:type="auto"/>
            <w:tcBorders>
              <w:top w:val="nil"/>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29</w:t>
            </w:r>
          </w:p>
        </w:tc>
        <w:tc>
          <w:tcPr>
            <w:tcW w:w="0" w:type="auto"/>
            <w:tcBorders>
              <w:top w:val="nil"/>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9.37</w:t>
            </w:r>
          </w:p>
        </w:tc>
        <w:tc>
          <w:tcPr>
            <w:tcW w:w="0" w:type="auto"/>
            <w:tcBorders>
              <w:top w:val="nil"/>
              <w:bottom w:val="nil"/>
              <w:right w:val="single" w:sz="4" w:space="0" w:color="auto"/>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(6.88 - 11.87)</w:t>
            </w:r>
          </w:p>
        </w:tc>
        <w:tc>
          <w:tcPr>
            <w:tcW w:w="0" w:type="auto"/>
            <w:tcBorders>
              <w:top w:val="nil"/>
              <w:left w:val="single" w:sz="4" w:space="0" w:color="auto"/>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17</w:t>
            </w:r>
          </w:p>
        </w:tc>
        <w:tc>
          <w:tcPr>
            <w:tcW w:w="0" w:type="auto"/>
            <w:tcBorders>
              <w:top w:val="nil"/>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8.99</w:t>
            </w:r>
          </w:p>
        </w:tc>
        <w:tc>
          <w:tcPr>
            <w:tcW w:w="0" w:type="auto"/>
            <w:tcBorders>
              <w:top w:val="nil"/>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(6.1</w:t>
            </w:r>
            <w:r w:rsidR="00AB78C6">
              <w:rPr>
                <w:rFonts w:ascii="Times New Roman" w:eastAsiaTheme="minorEastAsia" w:hAnsi="Times New Roman" w:cs="Times New Roman"/>
                <w:sz w:val="18"/>
                <w:szCs w:val="18"/>
                <w:lang w:eastAsia="en-US"/>
              </w:rPr>
              <w:t>0</w:t>
            </w:r>
            <w:r w:rsidRPr="006F6DFC">
              <w:rPr>
                <w:rFonts w:ascii="Times New Roman" w:eastAsiaTheme="minorEastAsia" w:hAnsi="Times New Roman" w:cs="Times New Roman"/>
                <w:sz w:val="18"/>
                <w:szCs w:val="18"/>
                <w:lang w:eastAsia="en-US"/>
              </w:rPr>
              <w:t xml:space="preserve"> - 11.89)</w:t>
            </w:r>
          </w:p>
        </w:tc>
      </w:tr>
      <w:tr w:rsidR="009C044E" w:rsidRPr="00495B56" w:rsidTr="006F6DF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 gambler</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18</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5.90</w:t>
            </w:r>
          </w:p>
        </w:tc>
        <w:tc>
          <w:tcPr>
            <w:tcW w:w="0" w:type="auto"/>
            <w:tcBorders>
              <w:top w:val="nil"/>
              <w:bottom w:val="nil"/>
              <w:right w:val="single" w:sz="4" w:space="0" w:color="auto"/>
            </w:tcBorders>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(3.49 - 8.31)</w:t>
            </w:r>
          </w:p>
        </w:tc>
        <w:tc>
          <w:tcPr>
            <w:tcW w:w="0" w:type="auto"/>
            <w:tcBorders>
              <w:left w:val="single" w:sz="4" w:space="0" w:color="auto"/>
            </w:tcBorders>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12</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6.26</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(3.79 - 8.74)</w:t>
            </w:r>
          </w:p>
        </w:tc>
      </w:tr>
      <w:tr w:rsidR="006F6DFC" w:rsidRPr="00495B56" w:rsidTr="006F6DF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Problem gambler</w:t>
            </w:r>
          </w:p>
        </w:tc>
        <w:tc>
          <w:tcPr>
            <w:tcW w:w="0" w:type="auto"/>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w:t>
            </w:r>
          </w:p>
        </w:tc>
        <w:tc>
          <w:tcPr>
            <w:tcW w:w="0" w:type="auto"/>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1.51</w:t>
            </w:r>
          </w:p>
        </w:tc>
        <w:tc>
          <w:tcPr>
            <w:tcW w:w="0" w:type="auto"/>
            <w:tcBorders>
              <w:top w:val="nil"/>
              <w:bottom w:val="nil"/>
              <w:right w:val="single" w:sz="4" w:space="0" w:color="auto"/>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(0.66 - 2.36)</w:t>
            </w:r>
          </w:p>
        </w:tc>
        <w:tc>
          <w:tcPr>
            <w:tcW w:w="0" w:type="auto"/>
            <w:tcBorders>
              <w:left w:val="single" w:sz="4" w:space="0" w:color="auto"/>
            </w:tcBorders>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1</w:t>
            </w:r>
          </w:p>
        </w:tc>
        <w:tc>
          <w:tcPr>
            <w:tcW w:w="0" w:type="auto"/>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0.63</w:t>
            </w:r>
          </w:p>
        </w:tc>
        <w:tc>
          <w:tcPr>
            <w:tcW w:w="0" w:type="auto"/>
            <w:shd w:val="clear" w:color="auto" w:fill="auto"/>
            <w:noWrap/>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(0</w:t>
            </w:r>
            <w:r>
              <w:rPr>
                <w:rFonts w:ascii="Times New Roman" w:eastAsiaTheme="minorEastAsia" w:hAnsi="Times New Roman" w:cs="Times New Roman"/>
                <w:sz w:val="18"/>
                <w:szCs w:val="18"/>
                <w:lang w:eastAsia="en-US"/>
              </w:rPr>
              <w:t>.00</w:t>
            </w:r>
            <w:r w:rsidRPr="006F6DFC">
              <w:rPr>
                <w:rFonts w:ascii="Times New Roman" w:eastAsiaTheme="minorEastAsia" w:hAnsi="Times New Roman" w:cs="Times New Roman"/>
                <w:sz w:val="18"/>
                <w:szCs w:val="18"/>
                <w:lang w:eastAsia="en-US"/>
              </w:rPr>
              <w:t xml:space="preserve"> - 1.31)</w:t>
            </w:r>
          </w:p>
        </w:tc>
      </w:tr>
      <w:tr w:rsidR="009C044E" w:rsidRPr="00495B56" w:rsidTr="006F6DF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 gambling in past year</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79</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25.68</w:t>
            </w:r>
          </w:p>
        </w:tc>
        <w:tc>
          <w:tcPr>
            <w:tcW w:w="0" w:type="auto"/>
            <w:tcBorders>
              <w:top w:val="nil"/>
              <w:bottom w:val="nil"/>
              <w:right w:val="single" w:sz="4" w:space="0" w:color="auto"/>
            </w:tcBorders>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(22.07 - 29.29)</w:t>
            </w:r>
          </w:p>
        </w:tc>
        <w:tc>
          <w:tcPr>
            <w:tcW w:w="0" w:type="auto"/>
            <w:tcBorders>
              <w:left w:val="single" w:sz="4" w:space="0" w:color="auto"/>
            </w:tcBorders>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53</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28.72</w:t>
            </w:r>
          </w:p>
        </w:tc>
        <w:tc>
          <w:tcPr>
            <w:tcW w:w="0" w:type="auto"/>
            <w:shd w:val="clear" w:color="auto" w:fill="auto"/>
            <w:noWrap/>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6F6DFC">
              <w:rPr>
                <w:rFonts w:ascii="Times New Roman" w:eastAsiaTheme="minorEastAsia" w:hAnsi="Times New Roman" w:cs="Times New Roman"/>
                <w:sz w:val="18"/>
                <w:szCs w:val="18"/>
                <w:lang w:eastAsia="en-US"/>
              </w:rPr>
              <w:t>(23.6 - 33.83)</w:t>
            </w:r>
          </w:p>
        </w:tc>
      </w:tr>
      <w:tr w:rsidR="006F6DFC" w:rsidRPr="00495B56" w:rsidTr="006F6DF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Pr>
          <w:p w:rsidR="006F6DFC" w:rsidRPr="00495B56" w:rsidRDefault="006F6DFC" w:rsidP="00D0779B">
            <w:pPr>
              <w:spacing w:before="20" w:after="20"/>
              <w:ind w:left="176"/>
              <w:rPr>
                <w:rFonts w:ascii="Times New Roman" w:eastAsiaTheme="minorEastAsia" w:hAnsi="Times New Roman" w:cs="Times New Roman"/>
                <w:b w:val="0"/>
                <w:sz w:val="18"/>
                <w:szCs w:val="18"/>
                <w:lang w:eastAsia="en-US"/>
              </w:rPr>
            </w:pPr>
          </w:p>
        </w:tc>
        <w:tc>
          <w:tcPr>
            <w:tcW w:w="0" w:type="auto"/>
          </w:tcPr>
          <w:p w:rsidR="006F6DFC" w:rsidRPr="00495B56" w:rsidRDefault="006F6DFC"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Moderate-risk/problem gambler combined</w:t>
            </w:r>
          </w:p>
        </w:tc>
        <w:tc>
          <w:tcPr>
            <w:tcW w:w="0" w:type="auto"/>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7.41</w:t>
            </w:r>
          </w:p>
        </w:tc>
        <w:tc>
          <w:tcPr>
            <w:tcW w:w="0" w:type="auto"/>
            <w:tcBorders>
              <w:top w:val="nil"/>
              <w:bottom w:val="single" w:sz="4" w:space="0" w:color="auto"/>
              <w:right w:val="single" w:sz="4" w:space="0" w:color="auto"/>
            </w:tcBorders>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(4.90 - 9.93)</w:t>
            </w:r>
          </w:p>
        </w:tc>
        <w:tc>
          <w:tcPr>
            <w:tcW w:w="0" w:type="auto"/>
            <w:tcBorders>
              <w:left w:val="single" w:sz="4" w:space="0" w:color="auto"/>
            </w:tcBorders>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6.89</w:t>
            </w:r>
          </w:p>
        </w:tc>
        <w:tc>
          <w:tcPr>
            <w:tcW w:w="0" w:type="auto"/>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(4.33 - 9.45)</w:t>
            </w:r>
          </w:p>
        </w:tc>
      </w:tr>
      <w:tr w:rsidR="006F6DFC" w:rsidRPr="00495B56" w:rsidTr="006F6DF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6F6DFC" w:rsidRPr="00495B56" w:rsidRDefault="006F6DFC" w:rsidP="00D0779B">
            <w:pPr>
              <w:keepNext/>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lastRenderedPageBreak/>
              <w:t>Asian</w:t>
            </w:r>
          </w:p>
        </w:tc>
        <w:tc>
          <w:tcPr>
            <w:tcW w:w="0" w:type="auto"/>
            <w:tcBorders>
              <w:top w:val="nil"/>
              <w:bottom w:val="nil"/>
            </w:tcBorders>
            <w:shd w:val="clear" w:color="auto" w:fill="auto"/>
          </w:tcPr>
          <w:p w:rsidR="006F6DFC" w:rsidRPr="00495B56" w:rsidRDefault="006F6DFC" w:rsidP="00D0779B">
            <w:pPr>
              <w:keepNext/>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Non-problem gambler</w:t>
            </w:r>
          </w:p>
        </w:tc>
        <w:tc>
          <w:tcPr>
            <w:tcW w:w="0" w:type="auto"/>
            <w:tcBorders>
              <w:top w:val="nil"/>
              <w:bottom w:val="nil"/>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329</w:t>
            </w:r>
          </w:p>
        </w:tc>
        <w:tc>
          <w:tcPr>
            <w:tcW w:w="0" w:type="auto"/>
            <w:tcBorders>
              <w:top w:val="nil"/>
              <w:bottom w:val="nil"/>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51.59</w:t>
            </w:r>
          </w:p>
        </w:tc>
        <w:tc>
          <w:tcPr>
            <w:tcW w:w="0" w:type="auto"/>
            <w:tcBorders>
              <w:top w:val="single" w:sz="4" w:space="0" w:color="auto"/>
              <w:bottom w:val="nil"/>
              <w:right w:val="single" w:sz="4" w:space="0" w:color="auto"/>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(47.69 - 55.49)</w:t>
            </w:r>
          </w:p>
        </w:tc>
        <w:tc>
          <w:tcPr>
            <w:tcW w:w="0" w:type="auto"/>
            <w:tcBorders>
              <w:top w:val="nil"/>
              <w:left w:val="single" w:sz="4" w:space="0" w:color="auto"/>
              <w:bottom w:val="nil"/>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182</w:t>
            </w:r>
          </w:p>
        </w:tc>
        <w:tc>
          <w:tcPr>
            <w:tcW w:w="0" w:type="auto"/>
            <w:tcBorders>
              <w:top w:val="nil"/>
              <w:bottom w:val="nil"/>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49.36</w:t>
            </w:r>
          </w:p>
        </w:tc>
        <w:tc>
          <w:tcPr>
            <w:tcW w:w="0" w:type="auto"/>
            <w:tcBorders>
              <w:top w:val="nil"/>
              <w:bottom w:val="nil"/>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(43.97 - 54.76)</w:t>
            </w:r>
          </w:p>
        </w:tc>
      </w:tr>
      <w:tr w:rsidR="006F6DFC" w:rsidRPr="00495B56" w:rsidTr="006F6DF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6F6DFC" w:rsidRPr="00495B56" w:rsidRDefault="006F6DFC"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tcBorders>
            <w:shd w:val="clear" w:color="auto" w:fill="auto"/>
          </w:tcPr>
          <w:p w:rsidR="006F6DFC" w:rsidRPr="00495B56" w:rsidRDefault="006F6DFC" w:rsidP="00D0779B">
            <w:pPr>
              <w:keepNext/>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Low-risk gambler</w:t>
            </w:r>
          </w:p>
        </w:tc>
        <w:tc>
          <w:tcPr>
            <w:tcW w:w="0" w:type="auto"/>
            <w:tcBorders>
              <w:top w:val="nil"/>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37</w:t>
            </w:r>
          </w:p>
        </w:tc>
        <w:tc>
          <w:tcPr>
            <w:tcW w:w="0" w:type="auto"/>
            <w:tcBorders>
              <w:top w:val="nil"/>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5.81</w:t>
            </w:r>
          </w:p>
        </w:tc>
        <w:tc>
          <w:tcPr>
            <w:tcW w:w="0" w:type="auto"/>
            <w:tcBorders>
              <w:top w:val="nil"/>
              <w:bottom w:val="nil"/>
              <w:right w:val="single" w:sz="4" w:space="0" w:color="auto"/>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(3.8</w:t>
            </w:r>
            <w:r w:rsidR="00AB78C6">
              <w:rPr>
                <w:rFonts w:ascii="Times New Roman" w:hAnsi="Times New Roman" w:cs="Times New Roman"/>
                <w:color w:val="000000"/>
                <w:sz w:val="18"/>
              </w:rPr>
              <w:t>0</w:t>
            </w:r>
            <w:r w:rsidRPr="006F6DFC">
              <w:rPr>
                <w:rFonts w:ascii="Times New Roman" w:hAnsi="Times New Roman" w:cs="Times New Roman"/>
                <w:color w:val="000000"/>
                <w:sz w:val="18"/>
              </w:rPr>
              <w:t xml:space="preserve"> - 7.82)</w:t>
            </w:r>
          </w:p>
        </w:tc>
        <w:tc>
          <w:tcPr>
            <w:tcW w:w="0" w:type="auto"/>
            <w:tcBorders>
              <w:top w:val="nil"/>
              <w:left w:val="single" w:sz="4" w:space="0" w:color="auto"/>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19</w:t>
            </w:r>
          </w:p>
        </w:tc>
        <w:tc>
          <w:tcPr>
            <w:tcW w:w="0" w:type="auto"/>
            <w:tcBorders>
              <w:top w:val="nil"/>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5.11</w:t>
            </w:r>
          </w:p>
        </w:tc>
        <w:tc>
          <w:tcPr>
            <w:tcW w:w="0" w:type="auto"/>
            <w:tcBorders>
              <w:top w:val="nil"/>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(2.8</w:t>
            </w:r>
            <w:r w:rsidR="00AB78C6">
              <w:rPr>
                <w:rFonts w:ascii="Times New Roman" w:hAnsi="Times New Roman" w:cs="Times New Roman"/>
                <w:color w:val="000000"/>
                <w:sz w:val="18"/>
              </w:rPr>
              <w:t>0</w:t>
            </w:r>
            <w:r w:rsidRPr="006F6DFC">
              <w:rPr>
                <w:rFonts w:ascii="Times New Roman" w:hAnsi="Times New Roman" w:cs="Times New Roman"/>
                <w:color w:val="000000"/>
                <w:sz w:val="18"/>
              </w:rPr>
              <w:t xml:space="preserve"> - 7.42)</w:t>
            </w:r>
          </w:p>
        </w:tc>
      </w:tr>
      <w:tr w:rsidR="006F6DFC" w:rsidRPr="00495B56" w:rsidTr="006F6DF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keepNext/>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 gambler</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14</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2.15</w:t>
            </w:r>
          </w:p>
        </w:tc>
        <w:tc>
          <w:tcPr>
            <w:tcW w:w="0" w:type="auto"/>
            <w:tcBorders>
              <w:top w:val="nil"/>
              <w:bottom w:val="nil"/>
              <w:right w:val="single" w:sz="4" w:space="0" w:color="auto"/>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(0.91 - 3.39)</w:t>
            </w:r>
          </w:p>
        </w:tc>
        <w:tc>
          <w:tcPr>
            <w:tcW w:w="0" w:type="auto"/>
            <w:tcBorders>
              <w:left w:val="single" w:sz="4" w:space="0" w:color="auto"/>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5</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1.30</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(0.19 - 2.41)</w:t>
            </w:r>
          </w:p>
        </w:tc>
      </w:tr>
      <w:tr w:rsidR="006F6DFC" w:rsidRPr="00495B56" w:rsidTr="006F6DFC">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keepNext/>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Problem gambler</w:t>
            </w:r>
          </w:p>
        </w:tc>
        <w:tc>
          <w:tcPr>
            <w:tcW w:w="0" w:type="auto"/>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4</w:t>
            </w:r>
          </w:p>
        </w:tc>
        <w:tc>
          <w:tcPr>
            <w:tcW w:w="0" w:type="auto"/>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0.65</w:t>
            </w:r>
          </w:p>
        </w:tc>
        <w:tc>
          <w:tcPr>
            <w:tcW w:w="0" w:type="auto"/>
            <w:tcBorders>
              <w:top w:val="nil"/>
              <w:bottom w:val="nil"/>
              <w:right w:val="single" w:sz="4" w:space="0" w:color="auto"/>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(0.01 - 1.29)</w:t>
            </w:r>
          </w:p>
        </w:tc>
        <w:tc>
          <w:tcPr>
            <w:tcW w:w="0" w:type="auto"/>
            <w:tcBorders>
              <w:left w:val="single" w:sz="4" w:space="0" w:color="auto"/>
            </w:tcBorders>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w:t>
            </w:r>
          </w:p>
        </w:tc>
        <w:tc>
          <w:tcPr>
            <w:tcW w:w="0" w:type="auto"/>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0.37</w:t>
            </w:r>
          </w:p>
        </w:tc>
        <w:tc>
          <w:tcPr>
            <w:tcW w:w="0" w:type="auto"/>
            <w:shd w:val="clear" w:color="auto" w:fill="auto"/>
            <w:noWrap/>
            <w:vAlign w:val="center"/>
          </w:tcPr>
          <w:p w:rsidR="006F6DFC" w:rsidRPr="006F6DFC"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(0</w:t>
            </w:r>
            <w:r w:rsidR="009C044E">
              <w:rPr>
                <w:rFonts w:ascii="Times New Roman" w:hAnsi="Times New Roman" w:cs="Times New Roman"/>
                <w:color w:val="000000"/>
                <w:sz w:val="18"/>
              </w:rPr>
              <w:t>.00</w:t>
            </w:r>
            <w:r w:rsidRPr="006F6DFC">
              <w:rPr>
                <w:rFonts w:ascii="Times New Roman" w:hAnsi="Times New Roman" w:cs="Times New Roman"/>
                <w:color w:val="000000"/>
                <w:sz w:val="18"/>
              </w:rPr>
              <w:t xml:space="preserve"> - 1.08)</w:t>
            </w:r>
          </w:p>
        </w:tc>
      </w:tr>
      <w:tr w:rsidR="006F6DFC" w:rsidRPr="00495B56" w:rsidTr="009C044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6F6DFC" w:rsidRPr="00495B56" w:rsidRDefault="006F6DFC" w:rsidP="00D0779B">
            <w:pPr>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6F6DFC" w:rsidRPr="00495B56" w:rsidRDefault="006F6DFC" w:rsidP="00D0779B">
            <w:pPr>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No gambling in past year</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254</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39.80</w:t>
            </w:r>
          </w:p>
        </w:tc>
        <w:tc>
          <w:tcPr>
            <w:tcW w:w="0" w:type="auto"/>
            <w:tcBorders>
              <w:top w:val="nil"/>
              <w:bottom w:val="nil"/>
              <w:right w:val="single" w:sz="4" w:space="0" w:color="auto"/>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(35.95 - 43.64)</w:t>
            </w:r>
          </w:p>
        </w:tc>
        <w:tc>
          <w:tcPr>
            <w:tcW w:w="0" w:type="auto"/>
            <w:tcBorders>
              <w:left w:val="single" w:sz="4" w:space="0" w:color="auto"/>
            </w:tcBorders>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162</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43.86</w:t>
            </w:r>
          </w:p>
        </w:tc>
        <w:tc>
          <w:tcPr>
            <w:tcW w:w="0" w:type="auto"/>
            <w:shd w:val="clear" w:color="auto" w:fill="auto"/>
            <w:noWrap/>
            <w:vAlign w:val="center"/>
          </w:tcPr>
          <w:p w:rsidR="006F6DFC" w:rsidRPr="006F6DFC" w:rsidRDefault="006F6DFC"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6F6DFC">
              <w:rPr>
                <w:rFonts w:ascii="Times New Roman" w:hAnsi="Times New Roman" w:cs="Times New Roman"/>
                <w:color w:val="000000"/>
                <w:sz w:val="18"/>
              </w:rPr>
              <w:t>(38.37 - 49.35)</w:t>
            </w:r>
          </w:p>
        </w:tc>
      </w:tr>
      <w:tr w:rsidR="006F6DFC" w:rsidRPr="00495B56" w:rsidTr="009C044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Pr>
          <w:p w:rsidR="006F6DFC" w:rsidRPr="00495B56" w:rsidRDefault="006F6DFC" w:rsidP="00D0779B">
            <w:pPr>
              <w:spacing w:before="20" w:after="20"/>
              <w:ind w:left="176"/>
              <w:rPr>
                <w:rFonts w:ascii="Times New Roman" w:eastAsiaTheme="minorEastAsia" w:hAnsi="Times New Roman" w:cs="Times New Roman"/>
                <w:b w:val="0"/>
                <w:sz w:val="18"/>
                <w:szCs w:val="18"/>
                <w:lang w:eastAsia="en-US"/>
              </w:rPr>
            </w:pPr>
          </w:p>
        </w:tc>
        <w:tc>
          <w:tcPr>
            <w:tcW w:w="0" w:type="auto"/>
          </w:tcPr>
          <w:p w:rsidR="006F6DFC" w:rsidRPr="00495B56" w:rsidRDefault="006F6DFC"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95B56">
              <w:rPr>
                <w:rFonts w:ascii="Times New Roman" w:eastAsiaTheme="minorEastAsia" w:hAnsi="Times New Roman" w:cs="Times New Roman"/>
                <w:sz w:val="18"/>
                <w:szCs w:val="18"/>
                <w:lang w:eastAsia="en-US"/>
              </w:rPr>
              <w:t>Moderate-risk/problem gambler combined</w:t>
            </w:r>
          </w:p>
        </w:tc>
        <w:tc>
          <w:tcPr>
            <w:tcW w:w="0" w:type="auto"/>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6F6DFC"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2.80</w:t>
            </w:r>
          </w:p>
        </w:tc>
        <w:tc>
          <w:tcPr>
            <w:tcW w:w="0" w:type="auto"/>
            <w:tcBorders>
              <w:top w:val="nil"/>
              <w:bottom w:val="nil"/>
              <w:right w:val="single" w:sz="4" w:space="0" w:color="auto"/>
            </w:tcBorders>
            <w:noWrap/>
            <w:vAlign w:val="center"/>
          </w:tcPr>
          <w:p w:rsidR="006F6DFC"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(1.41 - 4.19)</w:t>
            </w:r>
          </w:p>
        </w:tc>
        <w:tc>
          <w:tcPr>
            <w:tcW w:w="0" w:type="auto"/>
            <w:tcBorders>
              <w:left w:val="single" w:sz="4" w:space="0" w:color="auto"/>
            </w:tcBorders>
            <w:noWrap/>
            <w:vAlign w:val="center"/>
          </w:tcPr>
          <w:p w:rsidR="006F6DFC" w:rsidRPr="00495B56" w:rsidRDefault="006F6DFC"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6F6DFC"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1.66</w:t>
            </w:r>
          </w:p>
        </w:tc>
        <w:tc>
          <w:tcPr>
            <w:tcW w:w="0" w:type="auto"/>
            <w:noWrap/>
            <w:vAlign w:val="center"/>
          </w:tcPr>
          <w:p w:rsidR="006F6DFC"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(0.34 - 2.99)</w:t>
            </w:r>
          </w:p>
        </w:tc>
      </w:tr>
      <w:tr w:rsidR="00F03BD2" w:rsidRPr="006F6DFC" w:rsidTr="007B0B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shd w:val="clear" w:color="auto" w:fill="auto"/>
          </w:tcPr>
          <w:p w:rsidR="00F03BD2" w:rsidRPr="00AB78C6" w:rsidRDefault="00F03BD2" w:rsidP="00D0779B">
            <w:pPr>
              <w:keepNext/>
              <w:spacing w:before="60" w:after="20"/>
              <w:rPr>
                <w:rFonts w:ascii="Times New Roman" w:eastAsiaTheme="minorEastAsia" w:hAnsi="Times New Roman" w:cs="Times New Roman"/>
                <w:b w:val="0"/>
                <w:sz w:val="18"/>
                <w:szCs w:val="18"/>
                <w:lang w:eastAsia="en-US"/>
              </w:rPr>
            </w:pPr>
            <w:r w:rsidRPr="00AB78C6">
              <w:rPr>
                <w:rFonts w:ascii="Times New Roman" w:eastAsiaTheme="minorEastAsia" w:hAnsi="Times New Roman" w:cs="Times New Roman"/>
                <w:b w:val="0"/>
                <w:sz w:val="18"/>
                <w:szCs w:val="18"/>
                <w:lang w:eastAsia="en-US"/>
              </w:rPr>
              <w:t>European/</w:t>
            </w:r>
            <w:r>
              <w:rPr>
                <w:rFonts w:ascii="Times New Roman" w:eastAsiaTheme="minorEastAsia" w:hAnsi="Times New Roman" w:cs="Times New Roman"/>
                <w:b w:val="0"/>
                <w:sz w:val="18"/>
                <w:szCs w:val="18"/>
                <w:lang w:eastAsia="en-US"/>
              </w:rPr>
              <w:t xml:space="preserve"> </w:t>
            </w:r>
            <w:r w:rsidRPr="00AB78C6">
              <w:rPr>
                <w:rFonts w:ascii="Times New Roman" w:eastAsiaTheme="minorEastAsia" w:hAnsi="Times New Roman" w:cs="Times New Roman"/>
                <w:b w:val="0"/>
                <w:sz w:val="18"/>
                <w:szCs w:val="18"/>
                <w:lang w:eastAsia="en-US"/>
              </w:rPr>
              <w:t>Other</w:t>
            </w:r>
          </w:p>
        </w:tc>
        <w:tc>
          <w:tcPr>
            <w:tcW w:w="0" w:type="auto"/>
            <w:tcBorders>
              <w:top w:val="nil"/>
              <w:bottom w:val="nil"/>
            </w:tcBorders>
            <w:shd w:val="clear" w:color="auto" w:fill="auto"/>
          </w:tcPr>
          <w:p w:rsidR="00F03BD2" w:rsidRPr="00AB78C6" w:rsidRDefault="00F03BD2" w:rsidP="00D0779B">
            <w:pPr>
              <w:keepNext/>
              <w:spacing w:before="6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Non-problem gambler</w:t>
            </w:r>
          </w:p>
        </w:tc>
        <w:tc>
          <w:tcPr>
            <w:tcW w:w="0" w:type="auto"/>
            <w:tcBorders>
              <w:top w:val="nil"/>
              <w:bottom w:val="nil"/>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3499</w:t>
            </w:r>
          </w:p>
        </w:tc>
        <w:tc>
          <w:tcPr>
            <w:tcW w:w="0" w:type="auto"/>
            <w:tcBorders>
              <w:top w:val="nil"/>
              <w:bottom w:val="nil"/>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76.70</w:t>
            </w:r>
          </w:p>
        </w:tc>
        <w:tc>
          <w:tcPr>
            <w:tcW w:w="0" w:type="auto"/>
            <w:tcBorders>
              <w:top w:val="nil"/>
              <w:bottom w:val="nil"/>
              <w:right w:val="single" w:sz="4" w:space="0" w:color="auto"/>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(75.11 - 78.29)</w:t>
            </w:r>
          </w:p>
        </w:tc>
        <w:tc>
          <w:tcPr>
            <w:tcW w:w="0" w:type="auto"/>
            <w:tcBorders>
              <w:top w:val="nil"/>
              <w:left w:val="single" w:sz="4" w:space="0" w:color="auto"/>
              <w:bottom w:val="nil"/>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2062</w:t>
            </w:r>
          </w:p>
        </w:tc>
        <w:tc>
          <w:tcPr>
            <w:tcW w:w="0" w:type="auto"/>
            <w:tcBorders>
              <w:top w:val="nil"/>
              <w:bottom w:val="nil"/>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74.55</w:t>
            </w:r>
          </w:p>
        </w:tc>
        <w:tc>
          <w:tcPr>
            <w:tcW w:w="0" w:type="auto"/>
            <w:tcBorders>
              <w:top w:val="nil"/>
              <w:bottom w:val="nil"/>
            </w:tcBorders>
            <w:shd w:val="clear" w:color="auto" w:fill="auto"/>
            <w:noWrap/>
            <w:vAlign w:val="center"/>
          </w:tcPr>
          <w:p w:rsidR="00F03BD2" w:rsidRPr="006F6DFC" w:rsidRDefault="00F03BD2" w:rsidP="00D0779B">
            <w:pPr>
              <w:spacing w:before="6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(72.46 - 76.65)</w:t>
            </w:r>
          </w:p>
        </w:tc>
      </w:tr>
      <w:tr w:rsidR="00F03BD2" w:rsidRPr="006F6DFC" w:rsidTr="007B0B9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F03BD2" w:rsidRPr="00AB78C6" w:rsidRDefault="00F03BD2"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tcBorders>
              <w:top w:val="nil"/>
            </w:tcBorders>
            <w:shd w:val="clear" w:color="auto" w:fill="auto"/>
          </w:tcPr>
          <w:p w:rsidR="00F03BD2" w:rsidRPr="00AB78C6" w:rsidRDefault="00F03BD2" w:rsidP="00D0779B">
            <w:pPr>
              <w:keepNext/>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Low-risk gambler</w:t>
            </w:r>
          </w:p>
        </w:tc>
        <w:tc>
          <w:tcPr>
            <w:tcW w:w="0" w:type="auto"/>
            <w:tcBorders>
              <w:top w:val="nil"/>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189</w:t>
            </w:r>
          </w:p>
        </w:tc>
        <w:tc>
          <w:tcPr>
            <w:tcW w:w="0" w:type="auto"/>
            <w:tcBorders>
              <w:top w:val="nil"/>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4.13</w:t>
            </w:r>
          </w:p>
        </w:tc>
        <w:tc>
          <w:tcPr>
            <w:tcW w:w="0" w:type="auto"/>
            <w:tcBorders>
              <w:top w:val="nil"/>
              <w:bottom w:val="nil"/>
              <w:right w:val="single" w:sz="4" w:space="0" w:color="auto"/>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(3.33 - 4.93)</w:t>
            </w:r>
          </w:p>
        </w:tc>
        <w:tc>
          <w:tcPr>
            <w:tcW w:w="0" w:type="auto"/>
            <w:tcBorders>
              <w:top w:val="nil"/>
              <w:left w:val="single" w:sz="4" w:space="0" w:color="auto"/>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129</w:t>
            </w:r>
          </w:p>
        </w:tc>
        <w:tc>
          <w:tcPr>
            <w:tcW w:w="0" w:type="auto"/>
            <w:tcBorders>
              <w:top w:val="nil"/>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4.65</w:t>
            </w:r>
          </w:p>
        </w:tc>
        <w:tc>
          <w:tcPr>
            <w:tcW w:w="0" w:type="auto"/>
            <w:tcBorders>
              <w:top w:val="nil"/>
            </w:tcBorders>
            <w:shd w:val="clear" w:color="auto" w:fill="auto"/>
            <w:noWrap/>
            <w:vAlign w:val="center"/>
          </w:tcPr>
          <w:p w:rsidR="00F03BD2" w:rsidRPr="006F6DFC" w:rsidRDefault="00F03BD2"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(3.65 - 5.64)</w:t>
            </w:r>
          </w:p>
        </w:tc>
      </w:tr>
      <w:tr w:rsidR="009C044E" w:rsidRPr="006F6DFC" w:rsidTr="007B0B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044E" w:rsidRPr="00AB78C6" w:rsidRDefault="009C044E"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9C044E" w:rsidRPr="00AB78C6" w:rsidRDefault="009C044E" w:rsidP="00D0779B">
            <w:pPr>
              <w:keepNext/>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Moderate-risk gambler</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51</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1.13</w:t>
            </w:r>
          </w:p>
        </w:tc>
        <w:tc>
          <w:tcPr>
            <w:tcW w:w="0" w:type="auto"/>
            <w:tcBorders>
              <w:top w:val="nil"/>
              <w:bottom w:val="nil"/>
              <w:right w:val="single" w:sz="4" w:space="0" w:color="auto"/>
            </w:tcBorders>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(0.73 - 1.53)</w:t>
            </w:r>
          </w:p>
        </w:tc>
        <w:tc>
          <w:tcPr>
            <w:tcW w:w="0" w:type="auto"/>
            <w:tcBorders>
              <w:left w:val="single" w:sz="4" w:space="0" w:color="auto"/>
            </w:tcBorders>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23</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0.85</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(0.41 - 1.28)</w:t>
            </w:r>
          </w:p>
        </w:tc>
      </w:tr>
      <w:tr w:rsidR="009C044E" w:rsidRPr="006F6DFC" w:rsidTr="007B0B9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044E" w:rsidRPr="00AB78C6" w:rsidRDefault="009C044E" w:rsidP="00D0779B">
            <w:pPr>
              <w:keepNext/>
              <w:tabs>
                <w:tab w:val="left" w:pos="176"/>
              </w:tabs>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9C044E" w:rsidRPr="00AB78C6" w:rsidRDefault="009C044E" w:rsidP="00D0779B">
            <w:pPr>
              <w:keepNext/>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Problem gambler</w:t>
            </w:r>
          </w:p>
        </w:tc>
        <w:tc>
          <w:tcPr>
            <w:tcW w:w="0" w:type="auto"/>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17</w:t>
            </w:r>
          </w:p>
        </w:tc>
        <w:tc>
          <w:tcPr>
            <w:tcW w:w="0" w:type="auto"/>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0.36</w:t>
            </w:r>
          </w:p>
        </w:tc>
        <w:tc>
          <w:tcPr>
            <w:tcW w:w="0" w:type="auto"/>
            <w:tcBorders>
              <w:top w:val="nil"/>
              <w:bottom w:val="nil"/>
              <w:right w:val="single" w:sz="4" w:space="0" w:color="auto"/>
            </w:tcBorders>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(0.13 - 0.59)</w:t>
            </w:r>
          </w:p>
        </w:tc>
        <w:tc>
          <w:tcPr>
            <w:tcW w:w="0" w:type="auto"/>
            <w:tcBorders>
              <w:left w:val="single" w:sz="4" w:space="0" w:color="auto"/>
            </w:tcBorders>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9</w:t>
            </w:r>
          </w:p>
        </w:tc>
        <w:tc>
          <w:tcPr>
            <w:tcW w:w="0" w:type="auto"/>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0.32</w:t>
            </w:r>
          </w:p>
        </w:tc>
        <w:tc>
          <w:tcPr>
            <w:tcW w:w="0" w:type="auto"/>
            <w:shd w:val="clear" w:color="auto" w:fill="auto"/>
            <w:noWrap/>
            <w:vAlign w:val="center"/>
          </w:tcPr>
          <w:p w:rsidR="009C044E" w:rsidRPr="006F6DFC"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(0.07 - 0.58)</w:t>
            </w:r>
          </w:p>
        </w:tc>
      </w:tr>
      <w:tr w:rsidR="009C044E" w:rsidRPr="006F6DFC" w:rsidTr="007B0B9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C044E" w:rsidRPr="00AB78C6" w:rsidRDefault="009C044E" w:rsidP="00D0779B">
            <w:pPr>
              <w:spacing w:before="20" w:after="20"/>
              <w:ind w:left="176"/>
              <w:rPr>
                <w:rFonts w:ascii="Times New Roman" w:eastAsiaTheme="minorEastAsia" w:hAnsi="Times New Roman" w:cs="Times New Roman"/>
                <w:b w:val="0"/>
                <w:sz w:val="18"/>
                <w:szCs w:val="18"/>
                <w:lang w:eastAsia="en-US"/>
              </w:rPr>
            </w:pPr>
          </w:p>
        </w:tc>
        <w:tc>
          <w:tcPr>
            <w:tcW w:w="0" w:type="auto"/>
            <w:shd w:val="clear" w:color="auto" w:fill="auto"/>
          </w:tcPr>
          <w:p w:rsidR="009C044E" w:rsidRPr="00AB78C6" w:rsidRDefault="009C044E" w:rsidP="00D0779B">
            <w:pPr>
              <w:spacing w:before="20" w:after="20"/>
              <w:ind w:left="-56"/>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No gambling in past year</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806</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17.68</w:t>
            </w:r>
          </w:p>
        </w:tc>
        <w:tc>
          <w:tcPr>
            <w:tcW w:w="0" w:type="auto"/>
            <w:tcBorders>
              <w:top w:val="nil"/>
              <w:bottom w:val="nil"/>
              <w:right w:val="single" w:sz="4" w:space="0" w:color="auto"/>
            </w:tcBorders>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(16.25 - 19.10)</w:t>
            </w:r>
          </w:p>
        </w:tc>
        <w:tc>
          <w:tcPr>
            <w:tcW w:w="0" w:type="auto"/>
            <w:tcBorders>
              <w:left w:val="single" w:sz="4" w:space="0" w:color="auto"/>
            </w:tcBorders>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543</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19.63</w:t>
            </w:r>
          </w:p>
        </w:tc>
        <w:tc>
          <w:tcPr>
            <w:tcW w:w="0" w:type="auto"/>
            <w:shd w:val="clear" w:color="auto" w:fill="auto"/>
            <w:noWrap/>
            <w:vAlign w:val="center"/>
          </w:tcPr>
          <w:p w:rsidR="009C044E" w:rsidRPr="006F6DFC" w:rsidRDefault="00AB78C6" w:rsidP="00D0779B">
            <w:pPr>
              <w:spacing w:before="20" w:after="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Pr>
                <w:rFonts w:ascii="Times New Roman" w:hAnsi="Times New Roman" w:cs="Times New Roman"/>
                <w:color w:val="000000"/>
                <w:sz w:val="18"/>
              </w:rPr>
              <w:t>(17.71 - 21.55)</w:t>
            </w:r>
          </w:p>
        </w:tc>
      </w:tr>
      <w:tr w:rsidR="009C044E" w:rsidRPr="00495B56" w:rsidTr="007B0B9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Pr>
          <w:p w:rsidR="009C044E" w:rsidRPr="00AB78C6" w:rsidRDefault="009C044E" w:rsidP="00D0779B">
            <w:pPr>
              <w:spacing w:before="20" w:after="20"/>
              <w:ind w:left="176"/>
              <w:rPr>
                <w:rFonts w:ascii="Times New Roman" w:eastAsiaTheme="minorEastAsia" w:hAnsi="Times New Roman" w:cs="Times New Roman"/>
                <w:b w:val="0"/>
                <w:sz w:val="18"/>
                <w:szCs w:val="18"/>
                <w:lang w:eastAsia="en-US"/>
              </w:rPr>
            </w:pPr>
          </w:p>
        </w:tc>
        <w:tc>
          <w:tcPr>
            <w:tcW w:w="0" w:type="auto"/>
          </w:tcPr>
          <w:p w:rsidR="009C044E" w:rsidRPr="00AB78C6" w:rsidRDefault="009C044E" w:rsidP="00D0779B">
            <w:pPr>
              <w:spacing w:before="20" w:after="20"/>
              <w:ind w:left="-56"/>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B78C6">
              <w:rPr>
                <w:rFonts w:ascii="Times New Roman" w:eastAsiaTheme="minorEastAsia" w:hAnsi="Times New Roman" w:cs="Times New Roman"/>
                <w:sz w:val="18"/>
                <w:szCs w:val="18"/>
                <w:lang w:eastAsia="en-US"/>
              </w:rPr>
              <w:t>Moderate-risk/problem gambler combined</w:t>
            </w:r>
          </w:p>
        </w:tc>
        <w:tc>
          <w:tcPr>
            <w:tcW w:w="0" w:type="auto"/>
            <w:noWrap/>
            <w:vAlign w:val="center"/>
          </w:tcPr>
          <w:p w:rsidR="009C044E"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9C044E" w:rsidRPr="00495B56"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1.49</w:t>
            </w:r>
          </w:p>
        </w:tc>
        <w:tc>
          <w:tcPr>
            <w:tcW w:w="0" w:type="auto"/>
            <w:tcBorders>
              <w:top w:val="nil"/>
              <w:bottom w:val="single" w:sz="8" w:space="0" w:color="000000" w:themeColor="text1"/>
              <w:right w:val="single" w:sz="4" w:space="0" w:color="auto"/>
            </w:tcBorders>
            <w:noWrap/>
            <w:vAlign w:val="center"/>
          </w:tcPr>
          <w:p w:rsidR="009C044E" w:rsidRPr="00495B56"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(1.03 - 1.95)</w:t>
            </w:r>
          </w:p>
        </w:tc>
        <w:tc>
          <w:tcPr>
            <w:tcW w:w="0" w:type="auto"/>
            <w:tcBorders>
              <w:left w:val="single" w:sz="4" w:space="0" w:color="auto"/>
            </w:tcBorders>
            <w:noWrap/>
            <w:vAlign w:val="center"/>
          </w:tcPr>
          <w:p w:rsidR="009C044E" w:rsidRPr="00495B56" w:rsidRDefault="009C044E"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0" w:type="auto"/>
            <w:noWrap/>
            <w:vAlign w:val="center"/>
          </w:tcPr>
          <w:p w:rsidR="009C044E" w:rsidRPr="00495B56"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 xml:space="preserve">1.17 </w:t>
            </w:r>
          </w:p>
        </w:tc>
        <w:tc>
          <w:tcPr>
            <w:tcW w:w="0" w:type="auto"/>
            <w:noWrap/>
            <w:vAlign w:val="center"/>
          </w:tcPr>
          <w:p w:rsidR="009C044E" w:rsidRPr="00495B56" w:rsidRDefault="00AB78C6" w:rsidP="00D0779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(0.67 - 1.68)</w:t>
            </w:r>
          </w:p>
        </w:tc>
      </w:tr>
    </w:tbl>
    <w:p w:rsidR="00495B56" w:rsidRPr="00D0779B" w:rsidRDefault="00495B56" w:rsidP="00495B56">
      <w:pPr>
        <w:rPr>
          <w:sz w:val="18"/>
        </w:rPr>
      </w:pPr>
      <w:r w:rsidRPr="00D0779B">
        <w:rPr>
          <w:sz w:val="18"/>
        </w:rPr>
        <w:t>Data weighted for 2013 Census data (both Waves) and attrition (Wave 2)</w:t>
      </w:r>
    </w:p>
    <w:p w:rsidR="00495B56" w:rsidRPr="008C292E" w:rsidRDefault="00495B56" w:rsidP="00AC730B">
      <w:pPr>
        <w:tabs>
          <w:tab w:val="left" w:pos="0"/>
        </w:tabs>
        <w:jc w:val="both"/>
        <w:rPr>
          <w:szCs w:val="22"/>
        </w:rPr>
      </w:pPr>
    </w:p>
    <w:p w:rsidR="00EC476C" w:rsidRPr="008C292E" w:rsidRDefault="00EC476C" w:rsidP="00AC730B">
      <w:pPr>
        <w:tabs>
          <w:tab w:val="left" w:pos="0"/>
        </w:tabs>
        <w:jc w:val="both"/>
        <w:rPr>
          <w:szCs w:val="22"/>
        </w:rPr>
      </w:pPr>
    </w:p>
    <w:p w:rsidR="00EC476C" w:rsidRPr="00181CAF" w:rsidRDefault="00181CAF" w:rsidP="00AC730B">
      <w:pPr>
        <w:tabs>
          <w:tab w:val="left" w:pos="0"/>
        </w:tabs>
        <w:jc w:val="both"/>
        <w:rPr>
          <w:b/>
          <w:szCs w:val="22"/>
        </w:rPr>
      </w:pPr>
      <w:r>
        <w:rPr>
          <w:b/>
          <w:szCs w:val="22"/>
        </w:rPr>
        <w:t>Methods used to stop gambling too much and help-seeking behaviour</w:t>
      </w:r>
    </w:p>
    <w:p w:rsidR="00EC476C" w:rsidRPr="00B5790D" w:rsidRDefault="00EC476C" w:rsidP="00AC730B">
      <w:pPr>
        <w:tabs>
          <w:tab w:val="left" w:pos="0"/>
        </w:tabs>
        <w:jc w:val="both"/>
        <w:rPr>
          <w:sz w:val="18"/>
          <w:szCs w:val="22"/>
        </w:rPr>
      </w:pPr>
    </w:p>
    <w:p w:rsidR="00181CAF" w:rsidRDefault="000A0943" w:rsidP="00AC730B">
      <w:pPr>
        <w:tabs>
          <w:tab w:val="left" w:pos="0"/>
        </w:tabs>
        <w:jc w:val="both"/>
        <w:rPr>
          <w:szCs w:val="22"/>
        </w:rPr>
      </w:pPr>
      <w:r>
        <w:rPr>
          <w:szCs w:val="22"/>
        </w:rPr>
        <w:t xml:space="preserve">Participants were asked if they use any methods to stop gambling too much.  Percentages were similar in Waves 1 and 2 for a trusted person managing the money, leaving </w:t>
      </w:r>
      <w:r w:rsidR="004A5099">
        <w:rPr>
          <w:szCs w:val="22"/>
        </w:rPr>
        <w:t>Automated Teller Machine (</w:t>
      </w:r>
      <w:r>
        <w:rPr>
          <w:szCs w:val="22"/>
        </w:rPr>
        <w:t>ATM</w:t>
      </w:r>
      <w:r w:rsidR="004A5099">
        <w:rPr>
          <w:szCs w:val="22"/>
        </w:rPr>
        <w:t>)</w:t>
      </w:r>
      <w:r>
        <w:rPr>
          <w:szCs w:val="22"/>
        </w:rPr>
        <w:t>/credit cards at home, setting a time limit for gambling, and avoiding betting/gambling places.  However, a lower percentage of participants reported setting a money limit for gambling in Wave 2 in comparison with Wave 1 (13% vs.16%), or separating betting money and stopping gambling when it is used (2% vs. 3.5%).</w:t>
      </w:r>
    </w:p>
    <w:p w:rsidR="000A0943" w:rsidRDefault="000A0943" w:rsidP="00AC730B">
      <w:pPr>
        <w:tabs>
          <w:tab w:val="left" w:pos="0"/>
        </w:tabs>
        <w:jc w:val="both"/>
        <w:rPr>
          <w:szCs w:val="22"/>
        </w:rPr>
      </w:pPr>
    </w:p>
    <w:p w:rsidR="000A0943" w:rsidRDefault="000A0943" w:rsidP="00AC730B">
      <w:pPr>
        <w:tabs>
          <w:tab w:val="left" w:pos="0"/>
        </w:tabs>
        <w:jc w:val="both"/>
        <w:rPr>
          <w:szCs w:val="22"/>
        </w:rPr>
      </w:pPr>
      <w:r>
        <w:rPr>
          <w:szCs w:val="22"/>
        </w:rPr>
        <w:t xml:space="preserve">There was no difference between the Waves for the percentage of participants who had sought help </w:t>
      </w:r>
      <w:r w:rsidR="00FA7721" w:rsidRPr="009F5E09">
        <w:rPr>
          <w:szCs w:val="22"/>
        </w:rPr>
        <w:t xml:space="preserve">(from formal and informal sources) </w:t>
      </w:r>
      <w:r>
        <w:rPr>
          <w:szCs w:val="22"/>
        </w:rPr>
        <w:t>in the past year (Wave 2, 0.4%; Wave 1, 0.3%).</w:t>
      </w:r>
    </w:p>
    <w:p w:rsidR="000A0943" w:rsidRDefault="000A0943" w:rsidP="00AC730B">
      <w:pPr>
        <w:tabs>
          <w:tab w:val="left" w:pos="0"/>
        </w:tabs>
        <w:jc w:val="both"/>
        <w:rPr>
          <w:szCs w:val="22"/>
        </w:rPr>
      </w:pPr>
    </w:p>
    <w:p w:rsidR="000A0943" w:rsidRDefault="000A0943" w:rsidP="00AC730B">
      <w:pPr>
        <w:tabs>
          <w:tab w:val="left" w:pos="0"/>
        </w:tabs>
        <w:jc w:val="both"/>
        <w:rPr>
          <w:szCs w:val="22"/>
        </w:rPr>
      </w:pPr>
      <w:r>
        <w:rPr>
          <w:szCs w:val="22"/>
        </w:rPr>
        <w:t xml:space="preserve">Data are presented in </w:t>
      </w:r>
      <w:r>
        <w:rPr>
          <w:szCs w:val="22"/>
        </w:rPr>
        <w:fldChar w:fldCharType="begin"/>
      </w:r>
      <w:r>
        <w:rPr>
          <w:szCs w:val="22"/>
        </w:rPr>
        <w:instrText xml:space="preserve"> REF _Ref404179227 \h </w:instrText>
      </w:r>
      <w:r>
        <w:rPr>
          <w:szCs w:val="22"/>
        </w:rPr>
      </w:r>
      <w:r>
        <w:rPr>
          <w:szCs w:val="22"/>
        </w:rPr>
        <w:fldChar w:fldCharType="separate"/>
      </w:r>
      <w:r w:rsidR="00B2175B">
        <w:t xml:space="preserve">Table </w:t>
      </w:r>
      <w:r w:rsidR="00B2175B">
        <w:rPr>
          <w:noProof/>
        </w:rPr>
        <w:t>10</w:t>
      </w:r>
      <w:r>
        <w:rPr>
          <w:szCs w:val="22"/>
        </w:rPr>
        <w:fldChar w:fldCharType="end"/>
      </w:r>
      <w:r>
        <w:rPr>
          <w:szCs w:val="22"/>
        </w:rPr>
        <w:t>.</w:t>
      </w:r>
    </w:p>
    <w:p w:rsidR="00181CAF" w:rsidRDefault="00181CAF" w:rsidP="00AC730B">
      <w:pPr>
        <w:tabs>
          <w:tab w:val="left" w:pos="0"/>
        </w:tabs>
        <w:jc w:val="both"/>
        <w:rPr>
          <w:szCs w:val="22"/>
        </w:rPr>
      </w:pPr>
    </w:p>
    <w:p w:rsidR="0061106B" w:rsidRDefault="0061106B" w:rsidP="00FA7721">
      <w:pPr>
        <w:pStyle w:val="Caption"/>
        <w:keepNext/>
        <w:keepLines/>
        <w:jc w:val="both"/>
        <w:rPr>
          <w:szCs w:val="22"/>
        </w:rPr>
      </w:pPr>
      <w:bookmarkStart w:id="176" w:name="_Ref404179227"/>
      <w:bookmarkStart w:id="177" w:name="_Toc420393798"/>
      <w:r>
        <w:t xml:space="preserve">Table </w:t>
      </w:r>
      <w:fldSimple w:instr=" SEQ Table \* ARABIC ">
        <w:r w:rsidR="00B2175B">
          <w:rPr>
            <w:noProof/>
          </w:rPr>
          <w:t>10</w:t>
        </w:r>
      </w:fldSimple>
      <w:bookmarkEnd w:id="176"/>
      <w:r>
        <w:t xml:space="preserve">: Prevalence and 95% confidence intervals for methods used to stop gambling too much and help-seeking behaviour </w:t>
      </w:r>
      <w:r w:rsidR="004A5099">
        <w:t>in Wave 1</w:t>
      </w:r>
      <w:r>
        <w:t xml:space="preserve"> and Wave 2</w:t>
      </w:r>
      <w:bookmarkEnd w:id="177"/>
    </w:p>
    <w:tbl>
      <w:tblPr>
        <w:tblStyle w:val="LightShading4"/>
        <w:tblW w:w="8512" w:type="dxa"/>
        <w:tblLayout w:type="fixed"/>
        <w:tblLook w:val="06A0" w:firstRow="1" w:lastRow="0" w:firstColumn="1" w:lastColumn="0" w:noHBand="1" w:noVBand="1"/>
      </w:tblPr>
      <w:tblGrid>
        <w:gridCol w:w="3652"/>
        <w:gridCol w:w="567"/>
        <w:gridCol w:w="567"/>
        <w:gridCol w:w="992"/>
        <w:gridCol w:w="284"/>
        <w:gridCol w:w="567"/>
        <w:gridCol w:w="567"/>
        <w:gridCol w:w="992"/>
        <w:gridCol w:w="324"/>
      </w:tblGrid>
      <w:tr w:rsidR="00181CAF"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vMerge w:val="restart"/>
            <w:tcBorders>
              <w:bottom w:val="single" w:sz="4" w:space="0" w:color="auto"/>
            </w:tcBorders>
            <w:vAlign w:val="bottom"/>
            <w:hideMark/>
          </w:tcPr>
          <w:p w:rsidR="00181CAF" w:rsidRPr="004A5099" w:rsidRDefault="00181CAF" w:rsidP="004A5099">
            <w:pPr>
              <w:keepNext/>
              <w:keepLines/>
              <w:spacing w:before="20" w:after="2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Variable</w:t>
            </w:r>
          </w:p>
        </w:tc>
        <w:tc>
          <w:tcPr>
            <w:tcW w:w="2410" w:type="dxa"/>
            <w:gridSpan w:val="4"/>
            <w:tcBorders>
              <w:bottom w:val="single" w:sz="4" w:space="0" w:color="auto"/>
              <w:right w:val="single" w:sz="4" w:space="0" w:color="auto"/>
            </w:tcBorders>
            <w:noWrap/>
            <w:vAlign w:val="center"/>
            <w:hideMark/>
          </w:tcPr>
          <w:p w:rsidR="00181CAF" w:rsidRPr="004A5099" w:rsidRDefault="004A5099" w:rsidP="004A5099">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20"/>
                <w:lang w:eastAsia="en-US"/>
              </w:rPr>
            </w:pPr>
            <w:r>
              <w:rPr>
                <w:rFonts w:ascii="Times New Roman" w:eastAsiaTheme="minorEastAsia" w:hAnsi="Times New Roman" w:cs="Times New Roman"/>
                <w:sz w:val="20"/>
                <w:szCs w:val="20"/>
              </w:rPr>
              <w:t>Wave 1</w:t>
            </w:r>
          </w:p>
        </w:tc>
        <w:tc>
          <w:tcPr>
            <w:tcW w:w="2450" w:type="dxa"/>
            <w:gridSpan w:val="4"/>
            <w:tcBorders>
              <w:left w:val="single" w:sz="4" w:space="0" w:color="auto"/>
              <w:bottom w:val="single" w:sz="4" w:space="0" w:color="auto"/>
            </w:tcBorders>
            <w:vAlign w:val="center"/>
          </w:tcPr>
          <w:p w:rsidR="00181CAF" w:rsidRPr="004A5099" w:rsidRDefault="00181CAF" w:rsidP="004A5099">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Wave 2</w:t>
            </w:r>
          </w:p>
        </w:tc>
      </w:tr>
      <w:tr w:rsidR="00181CAF"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vMerge/>
            <w:tcBorders>
              <w:bottom w:val="single" w:sz="4" w:space="0" w:color="auto"/>
            </w:tcBorders>
            <w:vAlign w:val="center"/>
            <w:hideMark/>
          </w:tcPr>
          <w:p w:rsidR="00181CAF" w:rsidRPr="004A5099" w:rsidRDefault="00181CAF" w:rsidP="004A5099">
            <w:pPr>
              <w:keepNext/>
              <w:keepLines/>
              <w:spacing w:before="20" w:after="20"/>
              <w:rPr>
                <w:rFonts w:ascii="Times New Roman" w:eastAsiaTheme="minorEastAsia" w:hAnsi="Times New Roman" w:cs="Times New Roman"/>
                <w:sz w:val="20"/>
                <w:szCs w:val="20"/>
                <w:lang w:eastAsia="en-US"/>
              </w:rPr>
            </w:pPr>
          </w:p>
        </w:tc>
        <w:tc>
          <w:tcPr>
            <w:tcW w:w="567" w:type="dxa"/>
            <w:tcBorders>
              <w:top w:val="single" w:sz="4" w:space="0" w:color="auto"/>
              <w:bottom w:val="single" w:sz="4" w:space="0" w:color="auto"/>
            </w:tcBorders>
            <w:noWrap/>
            <w:vAlign w:val="center"/>
            <w:hideMark/>
          </w:tcPr>
          <w:p w:rsidR="00181CAF" w:rsidRPr="004A5099" w:rsidRDefault="00181CAF"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n</w:t>
            </w:r>
          </w:p>
        </w:tc>
        <w:tc>
          <w:tcPr>
            <w:tcW w:w="567" w:type="dxa"/>
            <w:tcBorders>
              <w:top w:val="single" w:sz="4" w:space="0" w:color="auto"/>
              <w:bottom w:val="single" w:sz="4" w:space="0" w:color="auto"/>
            </w:tcBorders>
            <w:noWrap/>
            <w:vAlign w:val="center"/>
            <w:hideMark/>
          </w:tcPr>
          <w:p w:rsidR="00181CAF" w:rsidRPr="004A5099" w:rsidRDefault="00181CAF"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w:t>
            </w:r>
          </w:p>
        </w:tc>
        <w:tc>
          <w:tcPr>
            <w:tcW w:w="1276" w:type="dxa"/>
            <w:gridSpan w:val="2"/>
            <w:tcBorders>
              <w:top w:val="single" w:sz="4" w:space="0" w:color="auto"/>
              <w:bottom w:val="single" w:sz="4" w:space="0" w:color="auto"/>
              <w:right w:val="single" w:sz="4" w:space="0" w:color="auto"/>
            </w:tcBorders>
            <w:noWrap/>
            <w:vAlign w:val="center"/>
          </w:tcPr>
          <w:p w:rsidR="00181CAF" w:rsidRPr="004A5099" w:rsidRDefault="00701DBE"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r w:rsidR="00181CAF"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c>
          <w:tcPr>
            <w:tcW w:w="567" w:type="dxa"/>
            <w:tcBorders>
              <w:top w:val="single" w:sz="4" w:space="0" w:color="auto"/>
              <w:left w:val="single" w:sz="4" w:space="0" w:color="auto"/>
              <w:bottom w:val="single" w:sz="4" w:space="0" w:color="auto"/>
            </w:tcBorders>
            <w:noWrap/>
            <w:vAlign w:val="center"/>
          </w:tcPr>
          <w:p w:rsidR="00181CAF" w:rsidRPr="004A5099" w:rsidRDefault="00181CAF"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n</w:t>
            </w:r>
          </w:p>
        </w:tc>
        <w:tc>
          <w:tcPr>
            <w:tcW w:w="567" w:type="dxa"/>
            <w:tcBorders>
              <w:top w:val="single" w:sz="4" w:space="0" w:color="auto"/>
              <w:bottom w:val="single" w:sz="4" w:space="0" w:color="auto"/>
            </w:tcBorders>
            <w:noWrap/>
            <w:vAlign w:val="center"/>
          </w:tcPr>
          <w:p w:rsidR="00181CAF" w:rsidRPr="004A5099" w:rsidRDefault="00181CAF"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p>
        </w:tc>
        <w:tc>
          <w:tcPr>
            <w:tcW w:w="1316" w:type="dxa"/>
            <w:gridSpan w:val="2"/>
            <w:tcBorders>
              <w:top w:val="single" w:sz="4" w:space="0" w:color="auto"/>
              <w:bottom w:val="single" w:sz="4" w:space="0" w:color="auto"/>
            </w:tcBorders>
            <w:shd w:val="clear" w:color="auto" w:fill="FFFFFF" w:themeFill="background1"/>
            <w:noWrap/>
            <w:vAlign w:val="center"/>
          </w:tcPr>
          <w:p w:rsidR="00181CAF" w:rsidRPr="004A5099" w:rsidRDefault="00701DBE" w:rsidP="004A5099">
            <w:pPr>
              <w:keepNext/>
              <w:keepLines/>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20"/>
                <w:lang w:eastAsia="en-US"/>
              </w:rPr>
            </w:pPr>
            <w:r w:rsidRPr="004A5099">
              <w:rPr>
                <w:rFonts w:ascii="Times New Roman" w:eastAsiaTheme="minorEastAsia" w:hAnsi="Times New Roman" w:cs="Times New Roman"/>
                <w:sz w:val="20"/>
                <w:szCs w:val="20"/>
                <w:lang w:eastAsia="en-US"/>
              </w:rPr>
              <w:t>(</w:t>
            </w:r>
            <w:r w:rsidR="00181CAF"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r>
      <w:tr w:rsidR="00181CAF" w:rsidRPr="004A5099" w:rsidTr="00E05935">
        <w:tc>
          <w:tcPr>
            <w:cnfStyle w:val="001000000000" w:firstRow="0" w:lastRow="0" w:firstColumn="1" w:lastColumn="0" w:oddVBand="0" w:evenVBand="0" w:oddHBand="0" w:evenHBand="0" w:firstRowFirstColumn="0" w:firstRowLastColumn="0" w:lastRowFirstColumn="0" w:lastRowLastColumn="0"/>
            <w:tcW w:w="4786" w:type="dxa"/>
            <w:gridSpan w:val="3"/>
            <w:tcBorders>
              <w:top w:val="nil"/>
              <w:left w:val="nil"/>
              <w:bottom w:val="nil"/>
              <w:right w:val="nil"/>
            </w:tcBorders>
            <w:vAlign w:val="center"/>
          </w:tcPr>
          <w:p w:rsidR="00181CAF" w:rsidRPr="004A5099" w:rsidRDefault="00181CAF" w:rsidP="004A5099">
            <w:pPr>
              <w:keepNext/>
              <w:keepLines/>
              <w:spacing w:before="20" w:after="20"/>
              <w:ind w:left="-108"/>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Methods used to stop gambling too much</w:t>
            </w:r>
          </w:p>
        </w:tc>
        <w:tc>
          <w:tcPr>
            <w:tcW w:w="992" w:type="dxa"/>
            <w:tcBorders>
              <w:top w:val="nil"/>
              <w:left w:val="nil"/>
              <w:bottom w:val="nil"/>
              <w:right w:val="nil"/>
            </w:tcBorders>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284" w:type="dxa"/>
            <w:tcBorders>
              <w:top w:val="nil"/>
              <w:left w:val="nil"/>
              <w:bottom w:val="nil"/>
              <w:right w:val="single" w:sz="4" w:space="0" w:color="auto"/>
            </w:tcBorders>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567" w:type="dxa"/>
            <w:tcBorders>
              <w:top w:val="nil"/>
              <w:left w:val="single" w:sz="4" w:space="0" w:color="auto"/>
              <w:bottom w:val="nil"/>
              <w:right w:val="nil"/>
            </w:tcBorders>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567" w:type="dxa"/>
            <w:tcBorders>
              <w:top w:val="nil"/>
              <w:left w:val="nil"/>
              <w:bottom w:val="nil"/>
              <w:right w:val="nil"/>
            </w:tcBorders>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992" w:type="dxa"/>
            <w:tcBorders>
              <w:top w:val="nil"/>
              <w:left w:val="nil"/>
              <w:bottom w:val="nil"/>
              <w:right w:val="nil"/>
            </w:tcBorders>
            <w:shd w:val="clear" w:color="auto" w:fill="FFFFFF" w:themeFill="background1"/>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20"/>
                <w:szCs w:val="20"/>
                <w:lang w:eastAsia="en-US"/>
              </w:rPr>
            </w:pPr>
          </w:p>
        </w:tc>
        <w:tc>
          <w:tcPr>
            <w:tcW w:w="324" w:type="dxa"/>
            <w:tcBorders>
              <w:top w:val="nil"/>
              <w:left w:val="nil"/>
              <w:bottom w:val="nil"/>
              <w:right w:val="nil"/>
            </w:tcBorders>
            <w:noWrap/>
            <w:vAlign w:val="center"/>
          </w:tcPr>
          <w:p w:rsidR="00181CAF" w:rsidRPr="004A5099" w:rsidRDefault="00181CAF"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20"/>
                <w:szCs w:val="20"/>
                <w:lang w:eastAsia="en-US"/>
              </w:rPr>
            </w:pPr>
          </w:p>
        </w:tc>
      </w:tr>
      <w:tr w:rsidR="00A430E7"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shd w:val="clear" w:color="auto" w:fill="D9D9D9" w:themeFill="background1" w:themeFillShade="D9"/>
          </w:tcPr>
          <w:p w:rsidR="00701DBE" w:rsidRPr="004A5099" w:rsidRDefault="00701DBE" w:rsidP="004A5099">
            <w:pPr>
              <w:keepNext/>
              <w:keepLines/>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Set a money limit</w:t>
            </w:r>
          </w:p>
        </w:tc>
        <w:tc>
          <w:tcPr>
            <w:tcW w:w="567" w:type="dxa"/>
            <w:tcBorders>
              <w:top w:val="nil"/>
              <w:left w:val="nil"/>
              <w:bottom w:val="nil"/>
              <w:right w:val="nil"/>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992</w:t>
            </w:r>
          </w:p>
        </w:tc>
        <w:tc>
          <w:tcPr>
            <w:tcW w:w="567" w:type="dxa"/>
            <w:tcBorders>
              <w:top w:val="nil"/>
              <w:left w:val="nil"/>
              <w:bottom w:val="nil"/>
              <w:right w:val="nil"/>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16.0</w:t>
            </w:r>
          </w:p>
        </w:tc>
        <w:tc>
          <w:tcPr>
            <w:tcW w:w="1276" w:type="dxa"/>
            <w:gridSpan w:val="2"/>
            <w:tcBorders>
              <w:top w:val="nil"/>
              <w:left w:val="nil"/>
              <w:bottom w:val="nil"/>
              <w:right w:val="single" w:sz="4" w:space="0" w:color="auto"/>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(14.8 - 17.1)</w:t>
            </w:r>
          </w:p>
        </w:tc>
        <w:tc>
          <w:tcPr>
            <w:tcW w:w="567" w:type="dxa"/>
            <w:tcBorders>
              <w:top w:val="nil"/>
              <w:left w:val="single" w:sz="4" w:space="0" w:color="auto"/>
              <w:bottom w:val="nil"/>
              <w:right w:val="nil"/>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497</w:t>
            </w:r>
          </w:p>
        </w:tc>
        <w:tc>
          <w:tcPr>
            <w:tcW w:w="567" w:type="dxa"/>
            <w:tcBorders>
              <w:top w:val="nil"/>
              <w:left w:val="nil"/>
              <w:bottom w:val="nil"/>
              <w:right w:val="nil"/>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13.4</w:t>
            </w:r>
          </w:p>
        </w:tc>
        <w:tc>
          <w:tcPr>
            <w:tcW w:w="1316" w:type="dxa"/>
            <w:gridSpan w:val="2"/>
            <w:tcBorders>
              <w:top w:val="nil"/>
              <w:left w:val="nil"/>
              <w:bottom w:val="nil"/>
              <w:right w:val="nil"/>
            </w:tcBorders>
            <w:shd w:val="clear" w:color="auto" w:fill="D9D9D9" w:themeFill="background1" w:themeFillShade="D9"/>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(12.0 - 14.7)</w:t>
            </w:r>
          </w:p>
        </w:tc>
      </w:tr>
      <w:tr w:rsidR="00701DBE"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tcPr>
          <w:p w:rsidR="00701DBE" w:rsidRPr="004A5099" w:rsidRDefault="00701DBE" w:rsidP="004A5099">
            <w:pPr>
              <w:keepNext/>
              <w:keepLines/>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Trusted person manages the money</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33</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0.5</w:t>
            </w:r>
          </w:p>
        </w:tc>
        <w:tc>
          <w:tcPr>
            <w:tcW w:w="1276" w:type="dxa"/>
            <w:gridSpan w:val="2"/>
            <w:tcBorders>
              <w:top w:val="nil"/>
              <w:left w:val="nil"/>
              <w:bottom w:val="nil"/>
              <w:right w:val="single" w:sz="4" w:space="0" w:color="auto"/>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(0.3 - 0.7)</w:t>
            </w:r>
          </w:p>
        </w:tc>
        <w:tc>
          <w:tcPr>
            <w:tcW w:w="567" w:type="dxa"/>
            <w:tcBorders>
              <w:top w:val="nil"/>
              <w:left w:val="single" w:sz="4" w:space="0" w:color="auto"/>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0.4</w:t>
            </w:r>
          </w:p>
        </w:tc>
        <w:tc>
          <w:tcPr>
            <w:tcW w:w="1316" w:type="dxa"/>
            <w:gridSpan w:val="2"/>
            <w:tcBorders>
              <w:top w:val="nil"/>
              <w:left w:val="nil"/>
              <w:bottom w:val="nil"/>
              <w:right w:val="nil"/>
            </w:tcBorders>
            <w:shd w:val="clear" w:color="auto" w:fill="FFFFFF" w:themeFill="background1"/>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(0.2 - 0.7)</w:t>
            </w:r>
          </w:p>
        </w:tc>
      </w:tr>
      <w:tr w:rsidR="00A430E7"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shd w:val="clear" w:color="auto" w:fill="D9D9D9" w:themeFill="background1" w:themeFillShade="D9"/>
          </w:tcPr>
          <w:p w:rsidR="00701DBE" w:rsidRPr="004A5099" w:rsidRDefault="00701DBE" w:rsidP="004A5099">
            <w:pPr>
              <w:keepNext/>
              <w:keepLines/>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Separate betting money and stopping when used</w:t>
            </w:r>
          </w:p>
        </w:tc>
        <w:tc>
          <w:tcPr>
            <w:tcW w:w="567" w:type="dxa"/>
            <w:tcBorders>
              <w:top w:val="nil"/>
              <w:left w:val="nil"/>
              <w:bottom w:val="nil"/>
              <w:right w:val="nil"/>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215</w:t>
            </w:r>
          </w:p>
        </w:tc>
        <w:tc>
          <w:tcPr>
            <w:tcW w:w="567" w:type="dxa"/>
            <w:tcBorders>
              <w:top w:val="nil"/>
              <w:left w:val="nil"/>
              <w:bottom w:val="nil"/>
              <w:right w:val="nil"/>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3.5</w:t>
            </w:r>
          </w:p>
        </w:tc>
        <w:tc>
          <w:tcPr>
            <w:tcW w:w="1276" w:type="dxa"/>
            <w:gridSpan w:val="2"/>
            <w:tcBorders>
              <w:top w:val="nil"/>
              <w:left w:val="nil"/>
              <w:bottom w:val="nil"/>
              <w:right w:val="single" w:sz="4" w:space="0" w:color="auto"/>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(2.9 - 4.0)</w:t>
            </w:r>
          </w:p>
        </w:tc>
        <w:tc>
          <w:tcPr>
            <w:tcW w:w="567" w:type="dxa"/>
            <w:tcBorders>
              <w:top w:val="nil"/>
              <w:left w:val="single" w:sz="4" w:space="0" w:color="auto"/>
              <w:bottom w:val="nil"/>
              <w:right w:val="nil"/>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83</w:t>
            </w:r>
          </w:p>
        </w:tc>
        <w:tc>
          <w:tcPr>
            <w:tcW w:w="567" w:type="dxa"/>
            <w:tcBorders>
              <w:top w:val="nil"/>
              <w:left w:val="nil"/>
              <w:bottom w:val="nil"/>
              <w:right w:val="nil"/>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2.2</w:t>
            </w:r>
          </w:p>
        </w:tc>
        <w:tc>
          <w:tcPr>
            <w:tcW w:w="1316" w:type="dxa"/>
            <w:gridSpan w:val="2"/>
            <w:tcBorders>
              <w:top w:val="nil"/>
              <w:left w:val="nil"/>
              <w:bottom w:val="nil"/>
              <w:right w:val="nil"/>
            </w:tcBorders>
            <w:shd w:val="clear" w:color="auto" w:fill="D9D9D9" w:themeFill="background1" w:themeFillShade="D9"/>
            <w:noWrap/>
            <w:vAlign w:val="center"/>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(1.7 - 2.8)</w:t>
            </w:r>
          </w:p>
        </w:tc>
      </w:tr>
      <w:tr w:rsidR="00701DBE"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tcPr>
          <w:p w:rsidR="00701DBE" w:rsidRPr="004A5099" w:rsidRDefault="00701DBE" w:rsidP="004A5099">
            <w:pPr>
              <w:keepNext/>
              <w:keepLines/>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Leave ATM/credit cards at home</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72</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1.2</w:t>
            </w:r>
          </w:p>
        </w:tc>
        <w:tc>
          <w:tcPr>
            <w:tcW w:w="1276" w:type="dxa"/>
            <w:gridSpan w:val="2"/>
            <w:tcBorders>
              <w:top w:val="nil"/>
              <w:left w:val="nil"/>
              <w:bottom w:val="nil"/>
              <w:right w:val="single" w:sz="4" w:space="0" w:color="auto"/>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(0.8 - 1.5)</w:t>
            </w:r>
          </w:p>
        </w:tc>
        <w:tc>
          <w:tcPr>
            <w:tcW w:w="567" w:type="dxa"/>
            <w:tcBorders>
              <w:top w:val="nil"/>
              <w:left w:val="single" w:sz="4" w:space="0" w:color="auto"/>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42</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w:t>
            </w:r>
          </w:p>
        </w:tc>
        <w:tc>
          <w:tcPr>
            <w:tcW w:w="1316" w:type="dxa"/>
            <w:gridSpan w:val="2"/>
            <w:tcBorders>
              <w:top w:val="nil"/>
              <w:left w:val="nil"/>
              <w:bottom w:val="nil"/>
              <w:right w:val="nil"/>
            </w:tcBorders>
            <w:shd w:val="clear" w:color="auto" w:fill="FFFFFF" w:themeFill="background1"/>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(0.7 - 1.5)</w:t>
            </w:r>
          </w:p>
        </w:tc>
      </w:tr>
      <w:tr w:rsidR="00701DBE"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tcPr>
          <w:p w:rsidR="00701DBE" w:rsidRPr="004A5099" w:rsidRDefault="00701DBE" w:rsidP="004A5099">
            <w:pPr>
              <w:keepNext/>
              <w:keepLines/>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Set a time limit</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93</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1.5</w:t>
            </w:r>
          </w:p>
        </w:tc>
        <w:tc>
          <w:tcPr>
            <w:tcW w:w="1276" w:type="dxa"/>
            <w:gridSpan w:val="2"/>
            <w:tcBorders>
              <w:top w:val="nil"/>
              <w:left w:val="nil"/>
              <w:bottom w:val="nil"/>
              <w:right w:val="single" w:sz="4" w:space="0" w:color="auto"/>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(1.1 - 1.9)</w:t>
            </w:r>
          </w:p>
        </w:tc>
        <w:tc>
          <w:tcPr>
            <w:tcW w:w="567" w:type="dxa"/>
            <w:tcBorders>
              <w:top w:val="nil"/>
              <w:left w:val="single" w:sz="4" w:space="0" w:color="auto"/>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46</w:t>
            </w:r>
          </w:p>
        </w:tc>
        <w:tc>
          <w:tcPr>
            <w:tcW w:w="567" w:type="dxa"/>
            <w:tcBorders>
              <w:top w:val="nil"/>
              <w:left w:val="nil"/>
              <w:bottom w:val="nil"/>
              <w:right w:val="nil"/>
            </w:tcBorders>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1.2</w:t>
            </w:r>
          </w:p>
        </w:tc>
        <w:tc>
          <w:tcPr>
            <w:tcW w:w="1316" w:type="dxa"/>
            <w:gridSpan w:val="2"/>
            <w:tcBorders>
              <w:top w:val="nil"/>
              <w:left w:val="nil"/>
              <w:bottom w:val="nil"/>
              <w:right w:val="nil"/>
            </w:tcBorders>
            <w:shd w:val="clear" w:color="auto" w:fill="FFFFFF" w:themeFill="background1"/>
            <w:noWrap/>
          </w:tcPr>
          <w:p w:rsidR="00701DBE" w:rsidRPr="004A5099" w:rsidRDefault="00701DBE" w:rsidP="004A5099">
            <w:pPr>
              <w:keepNext/>
              <w:keepLine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(0.8 - 1.7)</w:t>
            </w:r>
          </w:p>
        </w:tc>
      </w:tr>
      <w:tr w:rsidR="00701DBE"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nil"/>
              <w:right w:val="nil"/>
            </w:tcBorders>
          </w:tcPr>
          <w:p w:rsidR="00701DBE" w:rsidRPr="004A5099" w:rsidRDefault="00701DBE" w:rsidP="00A430E7">
            <w:pPr>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Avoid betting/gambling places</w:t>
            </w:r>
          </w:p>
        </w:tc>
        <w:tc>
          <w:tcPr>
            <w:tcW w:w="567" w:type="dxa"/>
            <w:tcBorders>
              <w:top w:val="nil"/>
              <w:left w:val="nil"/>
              <w:bottom w:val="nil"/>
              <w:right w:val="nil"/>
            </w:tcBorders>
            <w:noWrap/>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116</w:t>
            </w:r>
          </w:p>
        </w:tc>
        <w:tc>
          <w:tcPr>
            <w:tcW w:w="567" w:type="dxa"/>
            <w:tcBorders>
              <w:top w:val="nil"/>
              <w:left w:val="nil"/>
              <w:bottom w:val="nil"/>
              <w:right w:val="nil"/>
            </w:tcBorders>
            <w:noWrap/>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1.9</w:t>
            </w:r>
          </w:p>
        </w:tc>
        <w:tc>
          <w:tcPr>
            <w:tcW w:w="1276" w:type="dxa"/>
            <w:gridSpan w:val="2"/>
            <w:tcBorders>
              <w:top w:val="nil"/>
              <w:left w:val="nil"/>
              <w:bottom w:val="nil"/>
              <w:right w:val="single" w:sz="4" w:space="0" w:color="auto"/>
            </w:tcBorders>
            <w:noWrap/>
          </w:tcPr>
          <w:p w:rsidR="00701DBE" w:rsidRPr="004A5099" w:rsidRDefault="00701DBE" w:rsidP="00701DB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(1.5 - 2.2)</w:t>
            </w:r>
          </w:p>
        </w:tc>
        <w:tc>
          <w:tcPr>
            <w:tcW w:w="567" w:type="dxa"/>
            <w:tcBorders>
              <w:top w:val="nil"/>
              <w:left w:val="single" w:sz="4" w:space="0" w:color="auto"/>
              <w:bottom w:val="nil"/>
              <w:right w:val="nil"/>
            </w:tcBorders>
            <w:noWrap/>
            <w:vAlign w:val="center"/>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57</w:t>
            </w:r>
          </w:p>
        </w:tc>
        <w:tc>
          <w:tcPr>
            <w:tcW w:w="567" w:type="dxa"/>
            <w:tcBorders>
              <w:top w:val="nil"/>
              <w:left w:val="nil"/>
              <w:bottom w:val="nil"/>
              <w:right w:val="nil"/>
            </w:tcBorders>
            <w:noWrap/>
            <w:vAlign w:val="center"/>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1.5</w:t>
            </w:r>
          </w:p>
        </w:tc>
        <w:tc>
          <w:tcPr>
            <w:tcW w:w="1316" w:type="dxa"/>
            <w:gridSpan w:val="2"/>
            <w:tcBorders>
              <w:top w:val="nil"/>
              <w:left w:val="nil"/>
              <w:bottom w:val="nil"/>
              <w:right w:val="nil"/>
            </w:tcBorders>
            <w:shd w:val="clear" w:color="auto" w:fill="FFFFFF" w:themeFill="background1"/>
            <w:noWrap/>
            <w:vAlign w:val="center"/>
          </w:tcPr>
          <w:p w:rsidR="00701DBE" w:rsidRPr="004A5099" w:rsidRDefault="00701DBE" w:rsidP="00701DB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(1.1 - 2.0)</w:t>
            </w:r>
          </w:p>
        </w:tc>
      </w:tr>
      <w:tr w:rsidR="00FA7721" w:rsidRPr="004A5099" w:rsidTr="00FA7721">
        <w:tc>
          <w:tcPr>
            <w:cnfStyle w:val="001000000000" w:firstRow="0" w:lastRow="0" w:firstColumn="1" w:lastColumn="0" w:oddVBand="0" w:evenVBand="0" w:oddHBand="0" w:evenHBand="0" w:firstRowFirstColumn="0" w:firstRowLastColumn="0" w:lastRowFirstColumn="0" w:lastRowLastColumn="0"/>
            <w:tcW w:w="6062" w:type="dxa"/>
            <w:gridSpan w:val="5"/>
            <w:tcBorders>
              <w:top w:val="nil"/>
              <w:left w:val="nil"/>
              <w:bottom w:val="nil"/>
              <w:right w:val="single" w:sz="4" w:space="0" w:color="auto"/>
            </w:tcBorders>
          </w:tcPr>
          <w:p w:rsidR="00FA7721" w:rsidRPr="004A5099" w:rsidRDefault="00FA7721" w:rsidP="00FA7721">
            <w:pPr>
              <w:spacing w:before="20" w:after="2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 xml:space="preserve">Sought help </w:t>
            </w:r>
            <w:r w:rsidRPr="00FA7721">
              <w:rPr>
                <w:rFonts w:ascii="Times New Roman" w:eastAsiaTheme="minorEastAsia" w:hAnsi="Times New Roman" w:cs="Times New Roman"/>
                <w:sz w:val="20"/>
                <w:szCs w:val="20"/>
                <w:lang w:eastAsia="en-US"/>
              </w:rPr>
              <w:t xml:space="preserve">(from formal and informal sources) </w:t>
            </w:r>
            <w:r w:rsidRPr="004A5099">
              <w:rPr>
                <w:rFonts w:ascii="Times New Roman" w:eastAsiaTheme="minorEastAsia" w:hAnsi="Times New Roman" w:cs="Times New Roman"/>
                <w:sz w:val="20"/>
                <w:szCs w:val="20"/>
                <w:lang w:eastAsia="en-US"/>
              </w:rPr>
              <w:t>in past year</w:t>
            </w:r>
          </w:p>
        </w:tc>
        <w:tc>
          <w:tcPr>
            <w:tcW w:w="567" w:type="dxa"/>
            <w:tcBorders>
              <w:top w:val="nil"/>
              <w:left w:val="single" w:sz="4" w:space="0" w:color="auto"/>
              <w:bottom w:val="nil"/>
              <w:right w:val="nil"/>
            </w:tcBorders>
            <w:noWrap/>
            <w:vAlign w:val="center"/>
          </w:tcPr>
          <w:p w:rsidR="00FA7721" w:rsidRPr="004A5099" w:rsidRDefault="00FA7721"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567" w:type="dxa"/>
            <w:tcBorders>
              <w:top w:val="nil"/>
              <w:left w:val="nil"/>
              <w:bottom w:val="nil"/>
              <w:right w:val="nil"/>
            </w:tcBorders>
            <w:noWrap/>
            <w:vAlign w:val="center"/>
          </w:tcPr>
          <w:p w:rsidR="00FA7721" w:rsidRPr="004A5099" w:rsidRDefault="00FA7721"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992" w:type="dxa"/>
            <w:tcBorders>
              <w:top w:val="nil"/>
              <w:left w:val="nil"/>
              <w:bottom w:val="nil"/>
              <w:right w:val="nil"/>
            </w:tcBorders>
            <w:shd w:val="clear" w:color="auto" w:fill="FFFFFF" w:themeFill="background1"/>
            <w:noWrap/>
            <w:vAlign w:val="center"/>
          </w:tcPr>
          <w:p w:rsidR="00FA7721" w:rsidRPr="004A5099" w:rsidRDefault="00FA7721"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c>
          <w:tcPr>
            <w:tcW w:w="324" w:type="dxa"/>
            <w:tcBorders>
              <w:top w:val="nil"/>
              <w:left w:val="nil"/>
              <w:bottom w:val="nil"/>
              <w:right w:val="nil"/>
            </w:tcBorders>
            <w:noWrap/>
            <w:vAlign w:val="center"/>
          </w:tcPr>
          <w:p w:rsidR="00FA7721" w:rsidRPr="004A5099" w:rsidRDefault="00FA7721"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p>
        </w:tc>
      </w:tr>
      <w:tr w:rsidR="00701DBE" w:rsidRPr="004A5099" w:rsidTr="00E05935">
        <w:tc>
          <w:tcPr>
            <w:cnfStyle w:val="001000000000" w:firstRow="0" w:lastRow="0" w:firstColumn="1" w:lastColumn="0" w:oddVBand="0" w:evenVBand="0" w:oddHBand="0" w:evenHBand="0" w:firstRowFirstColumn="0" w:firstRowLastColumn="0" w:lastRowFirstColumn="0" w:lastRowLastColumn="0"/>
            <w:tcW w:w="3652" w:type="dxa"/>
            <w:tcBorders>
              <w:top w:val="nil"/>
              <w:left w:val="nil"/>
              <w:bottom w:val="single" w:sz="4" w:space="0" w:color="auto"/>
              <w:right w:val="nil"/>
            </w:tcBorders>
          </w:tcPr>
          <w:p w:rsidR="00701DBE" w:rsidRPr="004A5099" w:rsidRDefault="00701DBE" w:rsidP="00A430E7">
            <w:pPr>
              <w:spacing w:before="20" w:after="20"/>
              <w:ind w:left="34"/>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Yes</w:t>
            </w:r>
          </w:p>
        </w:tc>
        <w:tc>
          <w:tcPr>
            <w:tcW w:w="567" w:type="dxa"/>
            <w:tcBorders>
              <w:top w:val="nil"/>
              <w:left w:val="nil"/>
              <w:bottom w:val="single" w:sz="4" w:space="0" w:color="auto"/>
              <w:right w:val="nil"/>
            </w:tcBorders>
            <w:noWrap/>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w:t>
            </w:r>
          </w:p>
        </w:tc>
        <w:tc>
          <w:tcPr>
            <w:tcW w:w="567" w:type="dxa"/>
            <w:tcBorders>
              <w:top w:val="nil"/>
              <w:left w:val="nil"/>
              <w:bottom w:val="single" w:sz="4" w:space="0" w:color="auto"/>
              <w:right w:val="nil"/>
            </w:tcBorders>
            <w:noWrap/>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0.3</w:t>
            </w:r>
          </w:p>
        </w:tc>
        <w:tc>
          <w:tcPr>
            <w:tcW w:w="1276" w:type="dxa"/>
            <w:gridSpan w:val="2"/>
            <w:tcBorders>
              <w:top w:val="nil"/>
              <w:left w:val="nil"/>
              <w:bottom w:val="single" w:sz="4" w:space="0" w:color="auto"/>
              <w:right w:val="single" w:sz="4" w:space="0" w:color="auto"/>
            </w:tcBorders>
            <w:noWrap/>
          </w:tcPr>
          <w:p w:rsidR="00701DBE" w:rsidRPr="004A5099" w:rsidRDefault="00701DBE" w:rsidP="00701DB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(0.2 - 0.5)</w:t>
            </w:r>
          </w:p>
        </w:tc>
        <w:tc>
          <w:tcPr>
            <w:tcW w:w="567" w:type="dxa"/>
            <w:tcBorders>
              <w:top w:val="nil"/>
              <w:left w:val="single" w:sz="4" w:space="0" w:color="auto"/>
              <w:bottom w:val="single" w:sz="4" w:space="0" w:color="auto"/>
              <w:right w:val="nil"/>
            </w:tcBorders>
            <w:noWrap/>
            <w:vAlign w:val="center"/>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14</w:t>
            </w:r>
          </w:p>
        </w:tc>
        <w:tc>
          <w:tcPr>
            <w:tcW w:w="567" w:type="dxa"/>
            <w:tcBorders>
              <w:top w:val="nil"/>
              <w:left w:val="nil"/>
              <w:bottom w:val="single" w:sz="4" w:space="0" w:color="auto"/>
              <w:right w:val="nil"/>
            </w:tcBorders>
            <w:noWrap/>
            <w:vAlign w:val="center"/>
          </w:tcPr>
          <w:p w:rsidR="00701DBE" w:rsidRPr="004A5099" w:rsidRDefault="00701DBE" w:rsidP="00AE53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0.4</w:t>
            </w:r>
          </w:p>
        </w:tc>
        <w:tc>
          <w:tcPr>
            <w:tcW w:w="1316" w:type="dxa"/>
            <w:gridSpan w:val="2"/>
            <w:tcBorders>
              <w:top w:val="nil"/>
              <w:left w:val="nil"/>
              <w:bottom w:val="single" w:sz="4" w:space="0" w:color="auto"/>
              <w:right w:val="nil"/>
            </w:tcBorders>
            <w:shd w:val="clear" w:color="auto" w:fill="FFFFFF" w:themeFill="background1"/>
            <w:noWrap/>
            <w:vAlign w:val="center"/>
          </w:tcPr>
          <w:p w:rsidR="00701DBE" w:rsidRPr="004A5099" w:rsidRDefault="00701DBE" w:rsidP="00701DB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(0.2 - 0.6)</w:t>
            </w:r>
          </w:p>
        </w:tc>
      </w:tr>
    </w:tbl>
    <w:p w:rsidR="00181CAF" w:rsidRDefault="00181CAF" w:rsidP="00181CAF">
      <w:pPr>
        <w:rPr>
          <w:sz w:val="20"/>
        </w:rPr>
      </w:pPr>
      <w:r w:rsidRPr="004A5099">
        <w:rPr>
          <w:sz w:val="20"/>
        </w:rPr>
        <w:t>Data weighted for 2013 Census data (both Waves) and attrition (Wave 2)</w:t>
      </w:r>
    </w:p>
    <w:p w:rsidR="004A5099" w:rsidRPr="004A5099" w:rsidRDefault="004A5099" w:rsidP="00181CAF">
      <w:pPr>
        <w:rPr>
          <w:sz w:val="18"/>
        </w:rPr>
      </w:pPr>
    </w:p>
    <w:p w:rsidR="000A0943" w:rsidRPr="00AE538E" w:rsidRDefault="000A2F0E" w:rsidP="00AE538E">
      <w:pPr>
        <w:pStyle w:val="Heading3b"/>
        <w:numPr>
          <w:ilvl w:val="2"/>
          <w:numId w:val="39"/>
        </w:numPr>
        <w:tabs>
          <w:tab w:val="clear" w:pos="1146"/>
        </w:tabs>
        <w:ind w:left="709"/>
        <w:rPr>
          <w:rFonts w:ascii="Times New Roman" w:hAnsi="Times New Roman" w:cs="Times New Roman"/>
          <w:b/>
        </w:rPr>
      </w:pPr>
      <w:bookmarkStart w:id="178" w:name="_Toc420392610"/>
      <w:r>
        <w:rPr>
          <w:rFonts w:ascii="Times New Roman" w:hAnsi="Times New Roman" w:cs="Times New Roman"/>
          <w:b/>
        </w:rPr>
        <w:lastRenderedPageBreak/>
        <w:t>Health</w:t>
      </w:r>
      <w:r w:rsidR="000A0943" w:rsidRPr="00AE538E">
        <w:rPr>
          <w:rFonts w:ascii="Times New Roman" w:hAnsi="Times New Roman" w:cs="Times New Roman"/>
          <w:b/>
        </w:rPr>
        <w:t xml:space="preserve"> </w:t>
      </w:r>
      <w:r>
        <w:rPr>
          <w:rFonts w:ascii="Times New Roman" w:hAnsi="Times New Roman" w:cs="Times New Roman"/>
          <w:b/>
        </w:rPr>
        <w:t>status</w:t>
      </w:r>
      <w:bookmarkEnd w:id="178"/>
    </w:p>
    <w:p w:rsidR="00AE538E" w:rsidRPr="004A5099" w:rsidRDefault="00AE538E" w:rsidP="00AE538E">
      <w:pPr>
        <w:keepNext/>
        <w:tabs>
          <w:tab w:val="left" w:pos="0"/>
        </w:tabs>
        <w:jc w:val="both"/>
        <w:rPr>
          <w:sz w:val="18"/>
          <w:szCs w:val="22"/>
        </w:rPr>
      </w:pPr>
    </w:p>
    <w:p w:rsidR="00E65179" w:rsidRDefault="00AE538E" w:rsidP="00AE538E">
      <w:pPr>
        <w:keepNext/>
        <w:tabs>
          <w:tab w:val="left" w:pos="0"/>
        </w:tabs>
        <w:jc w:val="both"/>
        <w:rPr>
          <w:szCs w:val="22"/>
        </w:rPr>
      </w:pPr>
      <w:r>
        <w:rPr>
          <w:szCs w:val="22"/>
        </w:rPr>
        <w:t xml:space="preserve">In Wave 2, participants were re-asked about issues which could </w:t>
      </w:r>
      <w:r w:rsidR="000A2F0E">
        <w:rPr>
          <w:szCs w:val="22"/>
        </w:rPr>
        <w:t>affect their health</w:t>
      </w:r>
      <w:r>
        <w:rPr>
          <w:szCs w:val="22"/>
        </w:rPr>
        <w:t xml:space="preserve">.  These included occurrence of </w:t>
      </w:r>
      <w:r w:rsidR="004A5099">
        <w:rPr>
          <w:szCs w:val="22"/>
        </w:rPr>
        <w:t>major</w:t>
      </w:r>
      <w:r>
        <w:rPr>
          <w:szCs w:val="22"/>
        </w:rPr>
        <w:t xml:space="preserve"> life events in the past year, quality of life in the past two weeks, psychological distress in the past four weeks, hazardous alcohol consumption</w:t>
      </w:r>
      <w:r w:rsidR="00E65179">
        <w:rPr>
          <w:szCs w:val="22"/>
        </w:rPr>
        <w:t xml:space="preserve"> and other drug use in the past year, and tobacco use</w:t>
      </w:r>
      <w:r>
        <w:rPr>
          <w:szCs w:val="22"/>
        </w:rPr>
        <w:t>.</w:t>
      </w:r>
      <w:r w:rsidR="00E65179">
        <w:rPr>
          <w:szCs w:val="22"/>
        </w:rPr>
        <w:t xml:space="preserve">  Data are presented in </w:t>
      </w:r>
      <w:r w:rsidR="00E65179" w:rsidRPr="00E65179">
        <w:rPr>
          <w:szCs w:val="22"/>
        </w:rPr>
        <w:fldChar w:fldCharType="begin"/>
      </w:r>
      <w:r w:rsidR="00E65179" w:rsidRPr="00E65179">
        <w:rPr>
          <w:szCs w:val="22"/>
        </w:rPr>
        <w:instrText xml:space="preserve"> REF _Ref404240898 \h  \* MERGEFORMAT </w:instrText>
      </w:r>
      <w:r w:rsidR="00E65179" w:rsidRPr="00E65179">
        <w:rPr>
          <w:szCs w:val="22"/>
        </w:rPr>
      </w:r>
      <w:r w:rsidR="00E65179" w:rsidRPr="00E65179">
        <w:rPr>
          <w:szCs w:val="22"/>
        </w:rPr>
        <w:fldChar w:fldCharType="separate"/>
      </w:r>
      <w:r w:rsidR="00B2175B" w:rsidRPr="00B2175B">
        <w:t xml:space="preserve">Appendix </w:t>
      </w:r>
      <w:r w:rsidR="00B2175B" w:rsidRPr="00B2175B">
        <w:rPr>
          <w:noProof/>
        </w:rPr>
        <w:t>8</w:t>
      </w:r>
      <w:r w:rsidR="00E65179" w:rsidRPr="00E65179">
        <w:rPr>
          <w:szCs w:val="22"/>
        </w:rPr>
        <w:fldChar w:fldCharType="end"/>
      </w:r>
      <w:r w:rsidR="00E65179">
        <w:rPr>
          <w:szCs w:val="22"/>
        </w:rPr>
        <w:t>.</w:t>
      </w:r>
    </w:p>
    <w:p w:rsidR="000A0943" w:rsidRPr="004A5099" w:rsidRDefault="000A0943" w:rsidP="00AC730B">
      <w:pPr>
        <w:tabs>
          <w:tab w:val="left" w:pos="0"/>
        </w:tabs>
        <w:jc w:val="both"/>
        <w:rPr>
          <w:sz w:val="18"/>
          <w:szCs w:val="22"/>
        </w:rPr>
      </w:pPr>
    </w:p>
    <w:p w:rsidR="00E65179" w:rsidRPr="004A5099" w:rsidRDefault="00E65179" w:rsidP="00AC730B">
      <w:pPr>
        <w:tabs>
          <w:tab w:val="left" w:pos="0"/>
        </w:tabs>
        <w:jc w:val="both"/>
        <w:rPr>
          <w:sz w:val="18"/>
          <w:szCs w:val="22"/>
        </w:rPr>
      </w:pPr>
    </w:p>
    <w:p w:rsidR="00EC476C" w:rsidRDefault="00E65179" w:rsidP="00AC730B">
      <w:pPr>
        <w:tabs>
          <w:tab w:val="left" w:pos="0"/>
        </w:tabs>
        <w:jc w:val="both"/>
        <w:rPr>
          <w:szCs w:val="22"/>
        </w:rPr>
      </w:pPr>
      <w:r>
        <w:rPr>
          <w:b/>
          <w:szCs w:val="22"/>
        </w:rPr>
        <w:t>Significant life events</w:t>
      </w:r>
    </w:p>
    <w:p w:rsidR="00E65179" w:rsidRPr="004A5099" w:rsidRDefault="00E65179" w:rsidP="00AC730B">
      <w:pPr>
        <w:tabs>
          <w:tab w:val="left" w:pos="0"/>
        </w:tabs>
        <w:jc w:val="both"/>
        <w:rPr>
          <w:sz w:val="18"/>
          <w:szCs w:val="22"/>
        </w:rPr>
      </w:pPr>
    </w:p>
    <w:p w:rsidR="00E65179" w:rsidRDefault="00E65179" w:rsidP="00AC730B">
      <w:pPr>
        <w:tabs>
          <w:tab w:val="left" w:pos="0"/>
        </w:tabs>
        <w:jc w:val="both"/>
        <w:rPr>
          <w:szCs w:val="22"/>
        </w:rPr>
      </w:pPr>
      <w:r>
        <w:rPr>
          <w:szCs w:val="22"/>
        </w:rPr>
        <w:t>In Wave 2, a greater proportion of participants had experienced one major life event in the past year, compared with Wave 1 (30% vs. 26%).  A lower percentage of participants in Wave 2 had experienced four, or five or more major life events in comparison with Wave 1 (6%, 5% vs. 8%, 9% respectively).</w:t>
      </w:r>
    </w:p>
    <w:p w:rsidR="00CF0372" w:rsidRPr="004A5099" w:rsidRDefault="00CF0372" w:rsidP="00AC730B">
      <w:pPr>
        <w:tabs>
          <w:tab w:val="left" w:pos="0"/>
        </w:tabs>
        <w:jc w:val="both"/>
        <w:rPr>
          <w:sz w:val="18"/>
          <w:szCs w:val="22"/>
        </w:rPr>
      </w:pPr>
    </w:p>
    <w:p w:rsidR="00CF0372" w:rsidRDefault="000A2F0E" w:rsidP="00AC730B">
      <w:pPr>
        <w:tabs>
          <w:tab w:val="left" w:pos="0"/>
        </w:tabs>
        <w:jc w:val="both"/>
        <w:rPr>
          <w:szCs w:val="22"/>
        </w:rPr>
      </w:pPr>
      <w:r>
        <w:rPr>
          <w:szCs w:val="22"/>
        </w:rPr>
        <w:t>One-third (29%) of participants in Wave 2 had not experienced any major life events in the past year.  Another third (30%) had experienced one life event.  Eleven percent of participants experience</w:t>
      </w:r>
      <w:r w:rsidR="00FF75B2">
        <w:rPr>
          <w:szCs w:val="22"/>
        </w:rPr>
        <w:t>d</w:t>
      </w:r>
      <w:r>
        <w:rPr>
          <w:szCs w:val="22"/>
        </w:rPr>
        <w:t xml:space="preserve"> four or more events.</w:t>
      </w:r>
    </w:p>
    <w:p w:rsidR="000A2F0E" w:rsidRPr="004A5099" w:rsidRDefault="000A2F0E" w:rsidP="00AC730B">
      <w:pPr>
        <w:tabs>
          <w:tab w:val="left" w:pos="0"/>
        </w:tabs>
        <w:jc w:val="both"/>
        <w:rPr>
          <w:sz w:val="20"/>
          <w:szCs w:val="22"/>
        </w:rPr>
      </w:pPr>
    </w:p>
    <w:p w:rsidR="000A2F0E" w:rsidRDefault="000A2F0E" w:rsidP="00AC730B">
      <w:pPr>
        <w:tabs>
          <w:tab w:val="left" w:pos="0"/>
        </w:tabs>
        <w:jc w:val="both"/>
        <w:rPr>
          <w:szCs w:val="22"/>
        </w:rPr>
      </w:pPr>
      <w:r>
        <w:rPr>
          <w:szCs w:val="22"/>
        </w:rPr>
        <w:t xml:space="preserve">Data are presented in </w:t>
      </w:r>
      <w:r>
        <w:rPr>
          <w:szCs w:val="22"/>
        </w:rPr>
        <w:fldChar w:fldCharType="begin"/>
      </w:r>
      <w:r>
        <w:rPr>
          <w:szCs w:val="22"/>
        </w:rPr>
        <w:instrText xml:space="preserve"> REF _Ref404241696 \h </w:instrText>
      </w:r>
      <w:r>
        <w:rPr>
          <w:szCs w:val="22"/>
        </w:rPr>
      </w:r>
      <w:r>
        <w:rPr>
          <w:szCs w:val="22"/>
        </w:rPr>
        <w:fldChar w:fldCharType="separate"/>
      </w:r>
      <w:r w:rsidR="00B2175B">
        <w:t xml:space="preserve">Table </w:t>
      </w:r>
      <w:r w:rsidR="00B2175B">
        <w:rPr>
          <w:noProof/>
        </w:rPr>
        <w:t>11</w:t>
      </w:r>
      <w:r>
        <w:rPr>
          <w:szCs w:val="22"/>
        </w:rPr>
        <w:fldChar w:fldCharType="end"/>
      </w:r>
      <w:r w:rsidR="00230499">
        <w:rPr>
          <w:szCs w:val="22"/>
        </w:rPr>
        <w:t>.</w:t>
      </w:r>
    </w:p>
    <w:p w:rsidR="00E65179" w:rsidRPr="004A5099" w:rsidRDefault="00E65179" w:rsidP="00AC730B">
      <w:pPr>
        <w:tabs>
          <w:tab w:val="left" w:pos="0"/>
        </w:tabs>
        <w:jc w:val="both"/>
        <w:rPr>
          <w:sz w:val="20"/>
          <w:szCs w:val="22"/>
        </w:rPr>
      </w:pPr>
    </w:p>
    <w:p w:rsidR="000A2F0E" w:rsidRDefault="000A2F0E" w:rsidP="000A2F0E">
      <w:pPr>
        <w:pStyle w:val="Caption"/>
        <w:keepNext/>
        <w:rPr>
          <w:szCs w:val="22"/>
        </w:rPr>
      </w:pPr>
      <w:bookmarkStart w:id="179" w:name="_Ref404241696"/>
      <w:bookmarkStart w:id="180" w:name="_Toc420393799"/>
      <w:r>
        <w:t xml:space="preserve">Table </w:t>
      </w:r>
      <w:fldSimple w:instr=" SEQ Table \* ARABIC ">
        <w:r w:rsidR="00B2175B">
          <w:rPr>
            <w:noProof/>
          </w:rPr>
          <w:t>11</w:t>
        </w:r>
      </w:fldSimple>
      <w:bookmarkEnd w:id="179"/>
      <w:r>
        <w:t xml:space="preserve">: Prevalence and 95% confidence intervals for </w:t>
      </w:r>
      <w:r w:rsidR="00FA2407">
        <w:t>major</w:t>
      </w:r>
      <w:r>
        <w:t xml:space="preserve"> life events at baseline and Wave 2</w:t>
      </w:r>
      <w:bookmarkEnd w:id="180"/>
    </w:p>
    <w:tbl>
      <w:tblPr>
        <w:tblStyle w:val="LightShading4"/>
        <w:tblW w:w="0" w:type="auto"/>
        <w:tblLook w:val="06A0" w:firstRow="1" w:lastRow="0" w:firstColumn="1" w:lastColumn="0" w:noHBand="1" w:noVBand="1"/>
      </w:tblPr>
      <w:tblGrid>
        <w:gridCol w:w="3153"/>
        <w:gridCol w:w="709"/>
        <w:gridCol w:w="566"/>
        <w:gridCol w:w="1277"/>
        <w:gridCol w:w="709"/>
        <w:gridCol w:w="566"/>
        <w:gridCol w:w="1326"/>
      </w:tblGrid>
      <w:tr w:rsidR="000A2F0E"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val="restart"/>
            <w:tcBorders>
              <w:bottom w:val="single" w:sz="4" w:space="0" w:color="auto"/>
            </w:tcBorders>
            <w:vAlign w:val="bottom"/>
            <w:hideMark/>
          </w:tcPr>
          <w:p w:rsidR="000A2F0E" w:rsidRPr="004A5099" w:rsidRDefault="000A2F0E" w:rsidP="008627B5">
            <w:pPr>
              <w:spacing w:before="20" w:after="2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Number of significant life events</w:t>
            </w:r>
          </w:p>
        </w:tc>
        <w:tc>
          <w:tcPr>
            <w:tcW w:w="2552" w:type="dxa"/>
            <w:gridSpan w:val="3"/>
            <w:tcBorders>
              <w:bottom w:val="single" w:sz="4" w:space="0" w:color="auto"/>
              <w:right w:val="single" w:sz="4" w:space="0" w:color="auto"/>
            </w:tcBorders>
            <w:noWrap/>
            <w:vAlign w:val="center"/>
            <w:hideMark/>
          </w:tcPr>
          <w:p w:rsidR="000A2F0E" w:rsidRPr="004A5099" w:rsidRDefault="004A5099" w:rsidP="008627B5">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20"/>
                <w:lang w:eastAsia="en-US"/>
              </w:rPr>
            </w:pPr>
            <w:r>
              <w:rPr>
                <w:rFonts w:ascii="Times New Roman" w:eastAsiaTheme="minorEastAsia" w:hAnsi="Times New Roman" w:cs="Times New Roman"/>
                <w:sz w:val="20"/>
                <w:szCs w:val="20"/>
              </w:rPr>
              <w:t>Wave 1</w:t>
            </w:r>
          </w:p>
        </w:tc>
        <w:tc>
          <w:tcPr>
            <w:tcW w:w="2601" w:type="dxa"/>
            <w:gridSpan w:val="3"/>
            <w:tcBorders>
              <w:left w:val="single" w:sz="4" w:space="0" w:color="auto"/>
              <w:bottom w:val="single" w:sz="4" w:space="0" w:color="auto"/>
            </w:tcBorders>
            <w:vAlign w:val="center"/>
          </w:tcPr>
          <w:p w:rsidR="000A2F0E" w:rsidRPr="004A5099" w:rsidRDefault="000A2F0E" w:rsidP="008627B5">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Wave 2</w:t>
            </w:r>
          </w:p>
        </w:tc>
      </w:tr>
      <w:tr w:rsidR="000A2F0E"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3" w:type="dxa"/>
            <w:vMerge/>
            <w:tcBorders>
              <w:bottom w:val="single" w:sz="4" w:space="0" w:color="auto"/>
            </w:tcBorders>
            <w:vAlign w:val="center"/>
            <w:hideMark/>
          </w:tcPr>
          <w:p w:rsidR="000A2F0E" w:rsidRPr="004A5099" w:rsidRDefault="000A2F0E" w:rsidP="008627B5">
            <w:pPr>
              <w:spacing w:before="20" w:after="20"/>
              <w:rPr>
                <w:rFonts w:ascii="Times New Roman" w:eastAsiaTheme="minorEastAsia" w:hAnsi="Times New Roman" w:cs="Times New Roman"/>
                <w:sz w:val="20"/>
                <w:szCs w:val="20"/>
                <w:lang w:eastAsia="en-US"/>
              </w:rPr>
            </w:pPr>
          </w:p>
        </w:tc>
        <w:tc>
          <w:tcPr>
            <w:tcW w:w="709" w:type="dxa"/>
            <w:tcBorders>
              <w:top w:val="single" w:sz="4" w:space="0" w:color="auto"/>
              <w:bottom w:val="single" w:sz="4" w:space="0" w:color="auto"/>
            </w:tcBorders>
            <w:noWrap/>
            <w:vAlign w:val="center"/>
            <w:hideMark/>
          </w:tcPr>
          <w:p w:rsidR="000A2F0E" w:rsidRPr="004A5099" w:rsidRDefault="000A2F0E"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n</w:t>
            </w:r>
          </w:p>
        </w:tc>
        <w:tc>
          <w:tcPr>
            <w:tcW w:w="566" w:type="dxa"/>
            <w:tcBorders>
              <w:top w:val="single" w:sz="4" w:space="0" w:color="auto"/>
              <w:bottom w:val="single" w:sz="4" w:space="0" w:color="auto"/>
            </w:tcBorders>
            <w:noWrap/>
            <w:vAlign w:val="center"/>
            <w:hideMark/>
          </w:tcPr>
          <w:p w:rsidR="000A2F0E" w:rsidRPr="004A5099" w:rsidRDefault="000A2F0E"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rPr>
              <w:t>%</w:t>
            </w:r>
          </w:p>
        </w:tc>
        <w:tc>
          <w:tcPr>
            <w:tcW w:w="1277" w:type="dxa"/>
            <w:tcBorders>
              <w:top w:val="single" w:sz="4" w:space="0" w:color="auto"/>
              <w:bottom w:val="single" w:sz="4" w:space="0" w:color="auto"/>
              <w:right w:val="single" w:sz="4" w:space="0" w:color="auto"/>
            </w:tcBorders>
            <w:noWrap/>
            <w:vAlign w:val="center"/>
          </w:tcPr>
          <w:p w:rsidR="000A2F0E" w:rsidRPr="004A5099" w:rsidRDefault="00A92B55"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r w:rsidR="000A2F0E"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c>
          <w:tcPr>
            <w:tcW w:w="709" w:type="dxa"/>
            <w:tcBorders>
              <w:top w:val="single" w:sz="4" w:space="0" w:color="auto"/>
              <w:left w:val="single" w:sz="4" w:space="0" w:color="auto"/>
              <w:bottom w:val="single" w:sz="4" w:space="0" w:color="auto"/>
            </w:tcBorders>
            <w:noWrap/>
            <w:vAlign w:val="center"/>
          </w:tcPr>
          <w:p w:rsidR="000A2F0E" w:rsidRPr="004A5099" w:rsidRDefault="000A2F0E"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n</w:t>
            </w:r>
          </w:p>
        </w:tc>
        <w:tc>
          <w:tcPr>
            <w:tcW w:w="566" w:type="dxa"/>
            <w:tcBorders>
              <w:top w:val="single" w:sz="4" w:space="0" w:color="auto"/>
              <w:bottom w:val="single" w:sz="4" w:space="0" w:color="auto"/>
            </w:tcBorders>
            <w:noWrap/>
            <w:vAlign w:val="center"/>
          </w:tcPr>
          <w:p w:rsidR="000A2F0E" w:rsidRPr="004A5099" w:rsidRDefault="000A2F0E"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sz w:val="20"/>
                <w:szCs w:val="20"/>
                <w:lang w:eastAsia="en-US"/>
              </w:rPr>
              <w:t>%</w:t>
            </w:r>
          </w:p>
        </w:tc>
        <w:tc>
          <w:tcPr>
            <w:tcW w:w="1326" w:type="dxa"/>
            <w:tcBorders>
              <w:top w:val="single" w:sz="4" w:space="0" w:color="auto"/>
              <w:bottom w:val="single" w:sz="4" w:space="0" w:color="auto"/>
            </w:tcBorders>
            <w:shd w:val="clear" w:color="auto" w:fill="FFFFFF" w:themeFill="background1"/>
            <w:noWrap/>
            <w:vAlign w:val="center"/>
          </w:tcPr>
          <w:p w:rsidR="000A2F0E" w:rsidRPr="004A5099" w:rsidRDefault="00A92B55" w:rsidP="00A92B55">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20"/>
                <w:lang w:eastAsia="en-US"/>
              </w:rPr>
            </w:pPr>
            <w:r w:rsidRPr="004A5099">
              <w:rPr>
                <w:rFonts w:ascii="Times New Roman" w:eastAsiaTheme="minorEastAsia" w:hAnsi="Times New Roman" w:cs="Times New Roman"/>
                <w:sz w:val="20"/>
                <w:szCs w:val="20"/>
                <w:lang w:eastAsia="en-US"/>
              </w:rPr>
              <w:t>(</w:t>
            </w:r>
            <w:r w:rsidR="000A2F0E" w:rsidRPr="004A5099">
              <w:rPr>
                <w:rFonts w:ascii="Times New Roman" w:eastAsiaTheme="minorEastAsia" w:hAnsi="Times New Roman" w:cs="Times New Roman"/>
                <w:sz w:val="20"/>
                <w:szCs w:val="20"/>
                <w:lang w:eastAsia="en-US"/>
              </w:rPr>
              <w:t>95% CI</w:t>
            </w:r>
            <w:r w:rsidRPr="004A5099">
              <w:rPr>
                <w:rFonts w:ascii="Times New Roman" w:eastAsiaTheme="minorEastAsia" w:hAnsi="Times New Roman" w:cs="Times New Roman"/>
                <w:sz w:val="20"/>
                <w:szCs w:val="20"/>
                <w:lang w:eastAsia="en-US"/>
              </w:rPr>
              <w:t>)</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A92B55" w:rsidRPr="004A5099" w:rsidRDefault="00A92B55" w:rsidP="008627B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0</w:t>
            </w:r>
          </w:p>
        </w:tc>
        <w:tc>
          <w:tcPr>
            <w:tcW w:w="709"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1711</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27.4</w:t>
            </w:r>
          </w:p>
        </w:tc>
        <w:tc>
          <w:tcPr>
            <w:tcW w:w="1277" w:type="dxa"/>
            <w:tcBorders>
              <w:top w:val="nil"/>
              <w:left w:val="nil"/>
              <w:bottom w:val="nil"/>
              <w:right w:val="single" w:sz="4" w:space="0" w:color="auto"/>
            </w:tcBorders>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(26.1 -28.6)</w:t>
            </w:r>
          </w:p>
        </w:tc>
        <w:tc>
          <w:tcPr>
            <w:tcW w:w="709" w:type="dxa"/>
            <w:tcBorders>
              <w:top w:val="nil"/>
              <w:left w:val="single" w:sz="4" w:space="0" w:color="auto"/>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1081</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28.9</w:t>
            </w:r>
          </w:p>
        </w:tc>
        <w:tc>
          <w:tcPr>
            <w:tcW w:w="1326" w:type="dxa"/>
            <w:tcBorders>
              <w:top w:val="nil"/>
              <w:left w:val="nil"/>
              <w:bottom w:val="nil"/>
              <w:right w:val="nil"/>
            </w:tcBorders>
            <w:shd w:val="clear" w:color="auto" w:fill="FFFFFF" w:themeFill="background1"/>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(27.2 - 30.5)</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shd w:val="clear" w:color="auto" w:fill="D9D9D9" w:themeFill="background1" w:themeFillShade="D9"/>
          </w:tcPr>
          <w:p w:rsidR="00A92B55" w:rsidRPr="004A5099" w:rsidRDefault="00A92B55" w:rsidP="008627B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1</w:t>
            </w:r>
          </w:p>
        </w:tc>
        <w:tc>
          <w:tcPr>
            <w:tcW w:w="709"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1645</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26.3</w:t>
            </w:r>
          </w:p>
        </w:tc>
        <w:tc>
          <w:tcPr>
            <w:tcW w:w="1277" w:type="dxa"/>
            <w:tcBorders>
              <w:top w:val="nil"/>
              <w:left w:val="nil"/>
              <w:bottom w:val="nil"/>
              <w:right w:val="single" w:sz="4" w:space="0" w:color="auto"/>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(25.0 - 27.6)</w:t>
            </w:r>
          </w:p>
        </w:tc>
        <w:tc>
          <w:tcPr>
            <w:tcW w:w="709" w:type="dxa"/>
            <w:tcBorders>
              <w:top w:val="nil"/>
              <w:left w:val="single" w:sz="4" w:space="0" w:color="auto"/>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1125</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30.0</w:t>
            </w:r>
          </w:p>
        </w:tc>
        <w:tc>
          <w:tcPr>
            <w:tcW w:w="1326" w:type="dxa"/>
            <w:tcBorders>
              <w:top w:val="nil"/>
              <w:left w:val="nil"/>
              <w:bottom w:val="nil"/>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(28.2 - 31.8)</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A92B55" w:rsidRPr="004A5099" w:rsidRDefault="00A92B55" w:rsidP="008627B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2</w:t>
            </w:r>
          </w:p>
        </w:tc>
        <w:tc>
          <w:tcPr>
            <w:tcW w:w="709"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1151</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18.4</w:t>
            </w:r>
          </w:p>
        </w:tc>
        <w:tc>
          <w:tcPr>
            <w:tcW w:w="1277" w:type="dxa"/>
            <w:tcBorders>
              <w:top w:val="nil"/>
              <w:left w:val="nil"/>
              <w:bottom w:val="nil"/>
              <w:right w:val="single" w:sz="4" w:space="0" w:color="auto"/>
            </w:tcBorders>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(17.3 - 19.6)</w:t>
            </w:r>
          </w:p>
        </w:tc>
        <w:tc>
          <w:tcPr>
            <w:tcW w:w="709" w:type="dxa"/>
            <w:tcBorders>
              <w:top w:val="nil"/>
              <w:left w:val="single" w:sz="4" w:space="0" w:color="auto"/>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701</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18.7</w:t>
            </w:r>
          </w:p>
        </w:tc>
        <w:tc>
          <w:tcPr>
            <w:tcW w:w="1326" w:type="dxa"/>
            <w:tcBorders>
              <w:top w:val="nil"/>
              <w:left w:val="nil"/>
              <w:bottom w:val="nil"/>
              <w:right w:val="nil"/>
            </w:tcBorders>
            <w:shd w:val="clear" w:color="auto" w:fill="FFFFFF" w:themeFill="background1"/>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(17.2 - 20.2)</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tcPr>
          <w:p w:rsidR="00A92B55" w:rsidRPr="004A5099" w:rsidRDefault="00A92B55" w:rsidP="008627B5">
            <w:pPr>
              <w:tabs>
                <w:tab w:val="left" w:pos="176"/>
              </w:tabs>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3</w:t>
            </w:r>
          </w:p>
        </w:tc>
        <w:tc>
          <w:tcPr>
            <w:tcW w:w="709"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727</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11.6</w:t>
            </w:r>
          </w:p>
        </w:tc>
        <w:tc>
          <w:tcPr>
            <w:tcW w:w="1277" w:type="dxa"/>
            <w:tcBorders>
              <w:top w:val="nil"/>
              <w:left w:val="nil"/>
              <w:bottom w:val="nil"/>
              <w:right w:val="single" w:sz="4" w:space="0" w:color="auto"/>
            </w:tcBorders>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(10.7 - 12.6)</w:t>
            </w:r>
          </w:p>
        </w:tc>
        <w:tc>
          <w:tcPr>
            <w:tcW w:w="709" w:type="dxa"/>
            <w:tcBorders>
              <w:top w:val="nil"/>
              <w:left w:val="single" w:sz="4" w:space="0" w:color="auto"/>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433</w:t>
            </w:r>
          </w:p>
        </w:tc>
        <w:tc>
          <w:tcPr>
            <w:tcW w:w="566" w:type="dxa"/>
            <w:tcBorders>
              <w:top w:val="nil"/>
              <w:left w:val="nil"/>
              <w:bottom w:val="nil"/>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11.6</w:t>
            </w:r>
          </w:p>
        </w:tc>
        <w:tc>
          <w:tcPr>
            <w:tcW w:w="1326" w:type="dxa"/>
            <w:tcBorders>
              <w:top w:val="nil"/>
              <w:left w:val="nil"/>
              <w:bottom w:val="nil"/>
              <w:right w:val="nil"/>
            </w:tcBorders>
            <w:shd w:val="clear" w:color="auto" w:fill="FFFFFF" w:themeFill="background1"/>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(10.3 - 12.8)</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shd w:val="clear" w:color="auto" w:fill="D9D9D9" w:themeFill="background1" w:themeFillShade="D9"/>
          </w:tcPr>
          <w:p w:rsidR="00A92B55" w:rsidRPr="004A5099" w:rsidRDefault="00A92B55" w:rsidP="008627B5">
            <w:pPr>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4</w:t>
            </w:r>
          </w:p>
        </w:tc>
        <w:tc>
          <w:tcPr>
            <w:tcW w:w="709"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479</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7.7</w:t>
            </w:r>
          </w:p>
        </w:tc>
        <w:tc>
          <w:tcPr>
            <w:tcW w:w="1277" w:type="dxa"/>
            <w:tcBorders>
              <w:top w:val="nil"/>
              <w:left w:val="nil"/>
              <w:bottom w:val="nil"/>
              <w:right w:val="single" w:sz="4" w:space="0" w:color="auto"/>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(6.8 - 8.5)</w:t>
            </w:r>
          </w:p>
        </w:tc>
        <w:tc>
          <w:tcPr>
            <w:tcW w:w="709" w:type="dxa"/>
            <w:tcBorders>
              <w:top w:val="nil"/>
              <w:left w:val="single" w:sz="4" w:space="0" w:color="auto"/>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215</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5.7</w:t>
            </w:r>
          </w:p>
        </w:tc>
        <w:tc>
          <w:tcPr>
            <w:tcW w:w="1326" w:type="dxa"/>
            <w:tcBorders>
              <w:top w:val="nil"/>
              <w:left w:val="nil"/>
              <w:bottom w:val="nil"/>
              <w:right w:val="nil"/>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(4.8 - 6.6)</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nil"/>
              <w:right w:val="nil"/>
            </w:tcBorders>
            <w:shd w:val="clear" w:color="auto" w:fill="D9D9D9" w:themeFill="background1" w:themeFillShade="D9"/>
          </w:tcPr>
          <w:p w:rsidR="00A92B55" w:rsidRPr="004A5099" w:rsidRDefault="00A92B55" w:rsidP="008627B5">
            <w:pPr>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5+</w:t>
            </w:r>
          </w:p>
        </w:tc>
        <w:tc>
          <w:tcPr>
            <w:tcW w:w="709"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536</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8.6</w:t>
            </w:r>
          </w:p>
        </w:tc>
        <w:tc>
          <w:tcPr>
            <w:tcW w:w="1277" w:type="dxa"/>
            <w:tcBorders>
              <w:top w:val="nil"/>
              <w:left w:val="nil"/>
              <w:bottom w:val="nil"/>
              <w:right w:val="single" w:sz="4" w:space="0" w:color="auto"/>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(7.7 - 9.4)</w:t>
            </w:r>
          </w:p>
        </w:tc>
        <w:tc>
          <w:tcPr>
            <w:tcW w:w="709" w:type="dxa"/>
            <w:tcBorders>
              <w:top w:val="nil"/>
              <w:left w:val="single" w:sz="4" w:space="0" w:color="auto"/>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190</w:t>
            </w:r>
          </w:p>
        </w:tc>
        <w:tc>
          <w:tcPr>
            <w:tcW w:w="566" w:type="dxa"/>
            <w:tcBorders>
              <w:top w:val="nil"/>
              <w:left w:val="nil"/>
              <w:bottom w:val="nil"/>
              <w:right w:val="nil"/>
            </w:tcBorders>
            <w:shd w:val="clear" w:color="auto" w:fill="D9D9D9" w:themeFill="background1" w:themeFillShade="D9"/>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5.1</w:t>
            </w:r>
          </w:p>
        </w:tc>
        <w:tc>
          <w:tcPr>
            <w:tcW w:w="1326" w:type="dxa"/>
            <w:tcBorders>
              <w:top w:val="nil"/>
              <w:left w:val="nil"/>
              <w:bottom w:val="nil"/>
              <w:right w:val="nil"/>
            </w:tcBorders>
            <w:shd w:val="clear" w:color="auto" w:fill="D9D9D9" w:themeFill="background1" w:themeFillShade="D9"/>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(4.2 - 5.9)</w:t>
            </w:r>
          </w:p>
        </w:tc>
      </w:tr>
      <w:tr w:rsidR="00A92B55" w:rsidRPr="004A5099" w:rsidTr="00E05935">
        <w:tc>
          <w:tcPr>
            <w:cnfStyle w:val="001000000000" w:firstRow="0" w:lastRow="0" w:firstColumn="1" w:lastColumn="0" w:oddVBand="0" w:evenVBand="0" w:oddHBand="0" w:evenHBand="0" w:firstRowFirstColumn="0" w:firstRowLastColumn="0" w:lastRowFirstColumn="0" w:lastRowLastColumn="0"/>
            <w:tcW w:w="3153" w:type="dxa"/>
            <w:tcBorders>
              <w:top w:val="nil"/>
              <w:left w:val="nil"/>
              <w:bottom w:val="single" w:sz="4" w:space="0" w:color="auto"/>
              <w:right w:val="nil"/>
            </w:tcBorders>
          </w:tcPr>
          <w:p w:rsidR="00A92B55" w:rsidRPr="004A5099" w:rsidRDefault="00A92B55" w:rsidP="008627B5">
            <w:pPr>
              <w:spacing w:before="20" w:after="20"/>
              <w:ind w:left="176"/>
              <w:rPr>
                <w:rFonts w:ascii="Times New Roman" w:eastAsiaTheme="minorEastAsia" w:hAnsi="Times New Roman" w:cs="Times New Roman"/>
                <w:b w:val="0"/>
                <w:sz w:val="20"/>
                <w:szCs w:val="20"/>
                <w:lang w:eastAsia="en-US"/>
              </w:rPr>
            </w:pPr>
            <w:r w:rsidRPr="004A5099">
              <w:rPr>
                <w:rFonts w:ascii="Times New Roman" w:eastAsiaTheme="minorEastAsia" w:hAnsi="Times New Roman" w:cs="Times New Roman"/>
                <w:b w:val="0"/>
                <w:sz w:val="20"/>
                <w:szCs w:val="20"/>
                <w:lang w:eastAsia="en-US"/>
              </w:rPr>
              <w:t>Missing</w:t>
            </w:r>
          </w:p>
        </w:tc>
        <w:tc>
          <w:tcPr>
            <w:tcW w:w="709" w:type="dxa"/>
            <w:tcBorders>
              <w:top w:val="nil"/>
              <w:left w:val="nil"/>
              <w:bottom w:val="single" w:sz="4" w:space="0" w:color="auto"/>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2</w:t>
            </w:r>
          </w:p>
        </w:tc>
        <w:tc>
          <w:tcPr>
            <w:tcW w:w="566" w:type="dxa"/>
            <w:tcBorders>
              <w:top w:val="nil"/>
              <w:left w:val="nil"/>
              <w:bottom w:val="single" w:sz="4" w:space="0" w:color="auto"/>
              <w:right w:val="nil"/>
            </w:tcBorders>
            <w:noWrap/>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p>
        </w:tc>
        <w:tc>
          <w:tcPr>
            <w:tcW w:w="1277" w:type="dxa"/>
            <w:tcBorders>
              <w:top w:val="nil"/>
              <w:left w:val="nil"/>
              <w:bottom w:val="single" w:sz="4" w:space="0" w:color="auto"/>
              <w:right w:val="single" w:sz="4" w:space="0" w:color="auto"/>
            </w:tcBorders>
            <w:noWrap/>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p>
        </w:tc>
        <w:tc>
          <w:tcPr>
            <w:tcW w:w="709" w:type="dxa"/>
            <w:tcBorders>
              <w:top w:val="nil"/>
              <w:left w:val="single" w:sz="4" w:space="0" w:color="auto"/>
              <w:bottom w:val="single" w:sz="4" w:space="0" w:color="auto"/>
              <w:right w:val="nil"/>
            </w:tcBorders>
            <w:noWrap/>
            <w:vAlign w:val="center"/>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p>
        </w:tc>
        <w:tc>
          <w:tcPr>
            <w:tcW w:w="566" w:type="dxa"/>
            <w:tcBorders>
              <w:top w:val="nil"/>
              <w:left w:val="nil"/>
              <w:bottom w:val="single" w:sz="4" w:space="0" w:color="auto"/>
              <w:right w:val="nil"/>
            </w:tcBorders>
            <w:noWrap/>
            <w:vAlign w:val="center"/>
          </w:tcPr>
          <w:p w:rsidR="00A92B55" w:rsidRPr="004A5099" w:rsidRDefault="00A92B55" w:rsidP="008627B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p>
        </w:tc>
        <w:tc>
          <w:tcPr>
            <w:tcW w:w="1326" w:type="dxa"/>
            <w:tcBorders>
              <w:top w:val="nil"/>
              <w:left w:val="nil"/>
              <w:bottom w:val="single" w:sz="4" w:space="0" w:color="auto"/>
              <w:right w:val="nil"/>
            </w:tcBorders>
            <w:shd w:val="clear" w:color="auto" w:fill="FFFFFF" w:themeFill="background1"/>
            <w:noWrap/>
            <w:vAlign w:val="center"/>
          </w:tcPr>
          <w:p w:rsidR="00A92B55" w:rsidRPr="004A5099" w:rsidRDefault="00A92B55" w:rsidP="00A92B5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4A5099">
              <w:rPr>
                <w:rFonts w:ascii="Times New Roman" w:eastAsiaTheme="minorEastAsia" w:hAnsi="Times New Roman" w:cs="Times New Roman"/>
                <w:sz w:val="20"/>
                <w:szCs w:val="20"/>
                <w:lang w:eastAsia="en-US"/>
              </w:rPr>
              <w:t>-</w:t>
            </w:r>
          </w:p>
        </w:tc>
      </w:tr>
    </w:tbl>
    <w:p w:rsidR="000A2F0E" w:rsidRPr="004A5099" w:rsidRDefault="000A2F0E" w:rsidP="000A2F0E">
      <w:pPr>
        <w:rPr>
          <w:sz w:val="20"/>
        </w:rPr>
      </w:pPr>
      <w:r w:rsidRPr="004A5099">
        <w:rPr>
          <w:sz w:val="20"/>
        </w:rPr>
        <w:t>Data weighted for 2013 Census data (both Waves) and attrition (Wave 2)</w:t>
      </w:r>
    </w:p>
    <w:p w:rsidR="000A2F0E" w:rsidRPr="004A5099" w:rsidRDefault="000A2F0E" w:rsidP="000A2F0E">
      <w:pPr>
        <w:rPr>
          <w:sz w:val="20"/>
        </w:rPr>
      </w:pPr>
      <w:r w:rsidRPr="004A5099">
        <w:rPr>
          <w:sz w:val="20"/>
        </w:rPr>
        <w:t>Baseline N = 6,251; Wave 2 N = 3,745</w:t>
      </w:r>
    </w:p>
    <w:p w:rsidR="00A07AA7" w:rsidRDefault="00A07AA7" w:rsidP="00AC730B">
      <w:pPr>
        <w:tabs>
          <w:tab w:val="left" w:pos="0"/>
        </w:tabs>
        <w:jc w:val="both"/>
        <w:rPr>
          <w:b/>
          <w:szCs w:val="22"/>
        </w:rPr>
      </w:pPr>
    </w:p>
    <w:p w:rsidR="00A07AA7" w:rsidRDefault="00A07AA7" w:rsidP="00AC730B">
      <w:pPr>
        <w:tabs>
          <w:tab w:val="left" w:pos="0"/>
        </w:tabs>
        <w:jc w:val="both"/>
        <w:rPr>
          <w:b/>
          <w:szCs w:val="22"/>
        </w:rPr>
      </w:pPr>
    </w:p>
    <w:p w:rsidR="000A2F0E" w:rsidRPr="000A2F0E" w:rsidRDefault="000A2F0E" w:rsidP="00AC730B">
      <w:pPr>
        <w:tabs>
          <w:tab w:val="left" w:pos="0"/>
        </w:tabs>
        <w:jc w:val="both"/>
        <w:rPr>
          <w:b/>
          <w:szCs w:val="22"/>
        </w:rPr>
      </w:pPr>
      <w:r>
        <w:rPr>
          <w:b/>
          <w:szCs w:val="22"/>
        </w:rPr>
        <w:t>Quality of life</w:t>
      </w:r>
    </w:p>
    <w:p w:rsidR="000A2F0E" w:rsidRDefault="000A2F0E" w:rsidP="00AC730B">
      <w:pPr>
        <w:tabs>
          <w:tab w:val="left" w:pos="0"/>
        </w:tabs>
        <w:jc w:val="both"/>
        <w:rPr>
          <w:szCs w:val="22"/>
        </w:rPr>
      </w:pPr>
    </w:p>
    <w:p w:rsidR="000A2F0E" w:rsidRDefault="000A2F0E" w:rsidP="00AC730B">
      <w:pPr>
        <w:tabs>
          <w:tab w:val="left" w:pos="0"/>
        </w:tabs>
        <w:jc w:val="both"/>
        <w:rPr>
          <w:szCs w:val="22"/>
        </w:rPr>
      </w:pPr>
      <w:r>
        <w:rPr>
          <w:szCs w:val="22"/>
        </w:rPr>
        <w:t xml:space="preserve">The quality of life experienced by participants was similar in Waves 1 and 2.  </w:t>
      </w:r>
      <w:r w:rsidR="0095457C">
        <w:rPr>
          <w:szCs w:val="22"/>
        </w:rPr>
        <w:t>Ten percent</w:t>
      </w:r>
      <w:r>
        <w:rPr>
          <w:szCs w:val="22"/>
        </w:rPr>
        <w:t xml:space="preserve"> of the participants in Wave 2 scored the median</w:t>
      </w:r>
      <w:r w:rsidR="00C82D88">
        <w:rPr>
          <w:szCs w:val="22"/>
        </w:rPr>
        <w:t xml:space="preserve">; </w:t>
      </w:r>
      <w:r w:rsidR="001500CD">
        <w:rPr>
          <w:szCs w:val="22"/>
        </w:rPr>
        <w:t>j</w:t>
      </w:r>
      <w:bookmarkStart w:id="181" w:name="_GoBack"/>
      <w:bookmarkEnd w:id="181"/>
      <w:r w:rsidR="0095457C">
        <w:rPr>
          <w:szCs w:val="22"/>
        </w:rPr>
        <w:t>ust less than half</w:t>
      </w:r>
      <w:r w:rsidR="00C82D88">
        <w:rPr>
          <w:szCs w:val="22"/>
        </w:rPr>
        <w:t xml:space="preserve"> (4</w:t>
      </w:r>
      <w:r w:rsidR="0095457C">
        <w:rPr>
          <w:szCs w:val="22"/>
        </w:rPr>
        <w:t>9</w:t>
      </w:r>
      <w:r w:rsidR="00C82D88">
        <w:rPr>
          <w:szCs w:val="22"/>
        </w:rPr>
        <w:t xml:space="preserve">%) were above the median level, and </w:t>
      </w:r>
      <w:r w:rsidR="0095457C">
        <w:rPr>
          <w:szCs w:val="22"/>
        </w:rPr>
        <w:t>two-fifths (41%)</w:t>
      </w:r>
      <w:r w:rsidR="00C82D88">
        <w:rPr>
          <w:szCs w:val="22"/>
        </w:rPr>
        <w:t xml:space="preserve"> had a quality of life below the median (</w:t>
      </w:r>
      <w:r w:rsidR="00C82D88" w:rsidRPr="00E65179">
        <w:rPr>
          <w:szCs w:val="22"/>
        </w:rPr>
        <w:fldChar w:fldCharType="begin"/>
      </w:r>
      <w:r w:rsidR="00C82D88" w:rsidRPr="00E65179">
        <w:rPr>
          <w:szCs w:val="22"/>
        </w:rPr>
        <w:instrText xml:space="preserve"> REF _Ref404240898 \h  \* MERGEFORMAT </w:instrText>
      </w:r>
      <w:r w:rsidR="00C82D88" w:rsidRPr="00E65179">
        <w:rPr>
          <w:szCs w:val="22"/>
        </w:rPr>
      </w:r>
      <w:r w:rsidR="00C82D88" w:rsidRPr="00E65179">
        <w:rPr>
          <w:szCs w:val="22"/>
        </w:rPr>
        <w:fldChar w:fldCharType="separate"/>
      </w:r>
      <w:r w:rsidR="00B2175B" w:rsidRPr="00B2175B">
        <w:t xml:space="preserve">Appendix </w:t>
      </w:r>
      <w:r w:rsidR="00B2175B" w:rsidRPr="00B2175B">
        <w:rPr>
          <w:noProof/>
        </w:rPr>
        <w:t>8</w:t>
      </w:r>
      <w:r w:rsidR="00C82D88" w:rsidRPr="00E65179">
        <w:rPr>
          <w:szCs w:val="22"/>
        </w:rPr>
        <w:fldChar w:fldCharType="end"/>
      </w:r>
      <w:r w:rsidR="00C82D88">
        <w:rPr>
          <w:szCs w:val="22"/>
        </w:rPr>
        <w:t>)</w:t>
      </w:r>
      <w:r>
        <w:rPr>
          <w:szCs w:val="22"/>
        </w:rPr>
        <w:t>.</w:t>
      </w:r>
    </w:p>
    <w:p w:rsidR="000A2F0E" w:rsidRDefault="000A2F0E" w:rsidP="00AC730B">
      <w:pPr>
        <w:tabs>
          <w:tab w:val="left" w:pos="0"/>
        </w:tabs>
        <w:jc w:val="both"/>
        <w:rPr>
          <w:szCs w:val="22"/>
        </w:rPr>
      </w:pPr>
    </w:p>
    <w:p w:rsidR="000A2F0E" w:rsidRDefault="000A2F0E" w:rsidP="00AC730B">
      <w:pPr>
        <w:tabs>
          <w:tab w:val="left" w:pos="0"/>
        </w:tabs>
        <w:jc w:val="both"/>
        <w:rPr>
          <w:szCs w:val="22"/>
        </w:rPr>
      </w:pPr>
    </w:p>
    <w:p w:rsidR="000A2F0E" w:rsidRDefault="00DA2B77" w:rsidP="00AC730B">
      <w:pPr>
        <w:tabs>
          <w:tab w:val="left" w:pos="0"/>
        </w:tabs>
        <w:jc w:val="both"/>
        <w:rPr>
          <w:szCs w:val="22"/>
        </w:rPr>
      </w:pPr>
      <w:r>
        <w:rPr>
          <w:b/>
          <w:szCs w:val="22"/>
        </w:rPr>
        <w:t>Psychological distress</w:t>
      </w:r>
    </w:p>
    <w:p w:rsidR="00DA2B77" w:rsidRDefault="00DA2B77" w:rsidP="00AC730B">
      <w:pPr>
        <w:tabs>
          <w:tab w:val="left" w:pos="0"/>
        </w:tabs>
        <w:jc w:val="both"/>
        <w:rPr>
          <w:szCs w:val="22"/>
        </w:rPr>
      </w:pPr>
    </w:p>
    <w:p w:rsidR="00DA2B77" w:rsidRDefault="00DA2B77" w:rsidP="00DA2B77">
      <w:pPr>
        <w:tabs>
          <w:tab w:val="left" w:pos="0"/>
        </w:tabs>
        <w:jc w:val="both"/>
        <w:rPr>
          <w:szCs w:val="22"/>
        </w:rPr>
      </w:pPr>
      <w:r>
        <w:rPr>
          <w:szCs w:val="22"/>
        </w:rPr>
        <w:t xml:space="preserve">The level of general psychological distress </w:t>
      </w:r>
      <w:r w:rsidR="00FF75B2">
        <w:rPr>
          <w:szCs w:val="22"/>
        </w:rPr>
        <w:t>reported</w:t>
      </w:r>
      <w:r>
        <w:rPr>
          <w:szCs w:val="22"/>
        </w:rPr>
        <w:t xml:space="preserve"> by pa</w:t>
      </w:r>
      <w:r w:rsidR="00FF75B2">
        <w:rPr>
          <w:szCs w:val="22"/>
        </w:rPr>
        <w:t xml:space="preserve">rticipants was similar in Waves </w:t>
      </w:r>
      <w:r>
        <w:rPr>
          <w:szCs w:val="22"/>
        </w:rPr>
        <w:t>1 and 2.  Three-quarters (76%) of the participants in Wave 2 had a low level of distress and jus</w:t>
      </w:r>
      <w:r w:rsidR="00FF75B2">
        <w:rPr>
          <w:szCs w:val="22"/>
        </w:rPr>
        <w:t>t less than one-fif</w:t>
      </w:r>
      <w:r>
        <w:rPr>
          <w:szCs w:val="22"/>
        </w:rPr>
        <w:t>th (18%) reported a low-moderate level.  Only one percent of participants scored in the highest level of psychological distress (</w:t>
      </w:r>
      <w:r w:rsidRPr="00E65179">
        <w:rPr>
          <w:szCs w:val="22"/>
        </w:rPr>
        <w:fldChar w:fldCharType="begin"/>
      </w:r>
      <w:r w:rsidRPr="00E65179">
        <w:rPr>
          <w:szCs w:val="22"/>
        </w:rPr>
        <w:instrText xml:space="preserve"> REF _Ref404240898 \h  \* MERGEFORMAT </w:instrText>
      </w:r>
      <w:r w:rsidRPr="00E65179">
        <w:rPr>
          <w:szCs w:val="22"/>
        </w:rPr>
      </w:r>
      <w:r w:rsidRPr="00E65179">
        <w:rPr>
          <w:szCs w:val="22"/>
        </w:rPr>
        <w:fldChar w:fldCharType="separate"/>
      </w:r>
      <w:r w:rsidR="00B2175B" w:rsidRPr="00B2175B">
        <w:t xml:space="preserve">Appendix </w:t>
      </w:r>
      <w:r w:rsidR="00B2175B" w:rsidRPr="00B2175B">
        <w:rPr>
          <w:noProof/>
        </w:rPr>
        <w:t>8</w:t>
      </w:r>
      <w:r w:rsidRPr="00E65179">
        <w:rPr>
          <w:szCs w:val="22"/>
        </w:rPr>
        <w:fldChar w:fldCharType="end"/>
      </w:r>
      <w:r>
        <w:rPr>
          <w:szCs w:val="22"/>
        </w:rPr>
        <w:t>).</w:t>
      </w:r>
    </w:p>
    <w:p w:rsidR="00230499" w:rsidRDefault="00230499" w:rsidP="00DA2B77">
      <w:pPr>
        <w:tabs>
          <w:tab w:val="left" w:pos="0"/>
        </w:tabs>
        <w:jc w:val="both"/>
        <w:rPr>
          <w:szCs w:val="22"/>
        </w:rPr>
      </w:pPr>
    </w:p>
    <w:p w:rsidR="00B5790D" w:rsidRDefault="00B5790D" w:rsidP="00DA2B77">
      <w:pPr>
        <w:tabs>
          <w:tab w:val="left" w:pos="0"/>
        </w:tabs>
        <w:jc w:val="both"/>
        <w:rPr>
          <w:szCs w:val="22"/>
        </w:rPr>
      </w:pPr>
    </w:p>
    <w:p w:rsidR="00230499" w:rsidRPr="007E675F" w:rsidRDefault="00230499" w:rsidP="00DA2B77">
      <w:pPr>
        <w:tabs>
          <w:tab w:val="left" w:pos="0"/>
        </w:tabs>
        <w:jc w:val="both"/>
        <w:rPr>
          <w:szCs w:val="22"/>
        </w:rPr>
      </w:pPr>
      <w:r w:rsidRPr="007E675F">
        <w:rPr>
          <w:b/>
          <w:szCs w:val="22"/>
        </w:rPr>
        <w:lastRenderedPageBreak/>
        <w:t>Hazardous alcohol consumption</w:t>
      </w:r>
    </w:p>
    <w:p w:rsidR="00230499" w:rsidRPr="00230499" w:rsidRDefault="00230499" w:rsidP="00DA2B77">
      <w:pPr>
        <w:tabs>
          <w:tab w:val="left" w:pos="0"/>
        </w:tabs>
        <w:jc w:val="both"/>
        <w:rPr>
          <w:szCs w:val="22"/>
          <w:highlight w:val="yellow"/>
        </w:rPr>
      </w:pPr>
    </w:p>
    <w:p w:rsidR="00230499" w:rsidRPr="00230499" w:rsidRDefault="007E675F" w:rsidP="00DA2B77">
      <w:pPr>
        <w:tabs>
          <w:tab w:val="left" w:pos="0"/>
        </w:tabs>
        <w:jc w:val="both"/>
        <w:rPr>
          <w:szCs w:val="22"/>
        </w:rPr>
      </w:pPr>
      <w:r>
        <w:rPr>
          <w:szCs w:val="22"/>
        </w:rPr>
        <w:t>The percentage of participants reporting levels of hazardous alcohol consumption was similar in Waves 1 and 2 with just over a third of the respondents meeting the criteria in each Wave (37% and 35% respectively)</w:t>
      </w:r>
      <w:r w:rsidR="00B87EE5">
        <w:rPr>
          <w:szCs w:val="22"/>
        </w:rPr>
        <w:t xml:space="preserve"> (</w:t>
      </w:r>
      <w:r w:rsidR="00B87EE5" w:rsidRPr="00E65179">
        <w:rPr>
          <w:szCs w:val="22"/>
        </w:rPr>
        <w:fldChar w:fldCharType="begin"/>
      </w:r>
      <w:r w:rsidR="00B87EE5" w:rsidRPr="00E65179">
        <w:rPr>
          <w:szCs w:val="22"/>
        </w:rPr>
        <w:instrText xml:space="preserve"> REF _Ref404240898 \h  \* MERGEFORMAT </w:instrText>
      </w:r>
      <w:r w:rsidR="00B87EE5" w:rsidRPr="00E65179">
        <w:rPr>
          <w:szCs w:val="22"/>
        </w:rPr>
      </w:r>
      <w:r w:rsidR="00B87EE5" w:rsidRPr="00E65179">
        <w:rPr>
          <w:szCs w:val="22"/>
        </w:rPr>
        <w:fldChar w:fldCharType="separate"/>
      </w:r>
      <w:r w:rsidR="00B2175B" w:rsidRPr="00B2175B">
        <w:t xml:space="preserve">Appendix </w:t>
      </w:r>
      <w:r w:rsidR="00B2175B" w:rsidRPr="00B2175B">
        <w:rPr>
          <w:noProof/>
        </w:rPr>
        <w:t>8</w:t>
      </w:r>
      <w:r w:rsidR="00B87EE5" w:rsidRPr="00E65179">
        <w:rPr>
          <w:szCs w:val="22"/>
        </w:rPr>
        <w:fldChar w:fldCharType="end"/>
      </w:r>
      <w:r w:rsidR="00B87EE5">
        <w:rPr>
          <w:szCs w:val="22"/>
        </w:rPr>
        <w:t>)</w:t>
      </w:r>
      <w:r>
        <w:rPr>
          <w:szCs w:val="22"/>
        </w:rPr>
        <w:t>.</w:t>
      </w:r>
    </w:p>
    <w:p w:rsidR="00DA2B77" w:rsidRPr="00DA2B77" w:rsidRDefault="00DA2B77" w:rsidP="00AC730B">
      <w:pPr>
        <w:tabs>
          <w:tab w:val="left" w:pos="0"/>
        </w:tabs>
        <w:jc w:val="both"/>
        <w:rPr>
          <w:szCs w:val="22"/>
        </w:rPr>
      </w:pPr>
    </w:p>
    <w:p w:rsidR="000A2F0E" w:rsidRDefault="000A2F0E" w:rsidP="00AC730B">
      <w:pPr>
        <w:tabs>
          <w:tab w:val="left" w:pos="0"/>
        </w:tabs>
        <w:jc w:val="both"/>
        <w:rPr>
          <w:szCs w:val="22"/>
        </w:rPr>
      </w:pPr>
    </w:p>
    <w:p w:rsidR="000E36A0" w:rsidRDefault="000E36A0" w:rsidP="00AC730B">
      <w:pPr>
        <w:tabs>
          <w:tab w:val="left" w:pos="0"/>
        </w:tabs>
        <w:jc w:val="both"/>
        <w:rPr>
          <w:szCs w:val="22"/>
        </w:rPr>
      </w:pPr>
      <w:r>
        <w:rPr>
          <w:b/>
          <w:szCs w:val="22"/>
        </w:rPr>
        <w:t>Tobacco use</w:t>
      </w:r>
    </w:p>
    <w:p w:rsidR="000E36A0" w:rsidRDefault="000E36A0" w:rsidP="00AC730B">
      <w:pPr>
        <w:tabs>
          <w:tab w:val="left" w:pos="0"/>
        </w:tabs>
        <w:jc w:val="both"/>
        <w:rPr>
          <w:szCs w:val="22"/>
        </w:rPr>
      </w:pPr>
    </w:p>
    <w:p w:rsidR="000E36A0" w:rsidRDefault="000E36A0" w:rsidP="000E36A0">
      <w:pPr>
        <w:tabs>
          <w:tab w:val="left" w:pos="0"/>
        </w:tabs>
        <w:jc w:val="both"/>
        <w:rPr>
          <w:szCs w:val="22"/>
        </w:rPr>
      </w:pPr>
      <w:r>
        <w:rPr>
          <w:szCs w:val="22"/>
        </w:rPr>
        <w:t>Tobacco use by participants was similar in Waves 1 and 2.  Slightly more than half (55%) of the participants in Wave 2 had never smoked and slightly more than one-quarter (27%) had quit smoking.  Fifteen percent of participants currently smoked at least once a day.  Two-thirds of participants had ever smoked in their lifetime (65%) and two-fifths (42%) had ever smoked daily (</w:t>
      </w:r>
      <w:r w:rsidRPr="00E65179">
        <w:rPr>
          <w:szCs w:val="22"/>
        </w:rPr>
        <w:fldChar w:fldCharType="begin"/>
      </w:r>
      <w:r w:rsidRPr="00E65179">
        <w:rPr>
          <w:szCs w:val="22"/>
        </w:rPr>
        <w:instrText xml:space="preserve"> REF _Ref404240898 \h  \* MERGEFORMAT </w:instrText>
      </w:r>
      <w:r w:rsidRPr="00E65179">
        <w:rPr>
          <w:szCs w:val="22"/>
        </w:rPr>
      </w:r>
      <w:r w:rsidRPr="00E65179">
        <w:rPr>
          <w:szCs w:val="22"/>
        </w:rPr>
        <w:fldChar w:fldCharType="separate"/>
      </w:r>
      <w:r w:rsidR="00B2175B" w:rsidRPr="00B2175B">
        <w:t xml:space="preserve">Appendix </w:t>
      </w:r>
      <w:r w:rsidR="00B2175B" w:rsidRPr="00B2175B">
        <w:rPr>
          <w:noProof/>
        </w:rPr>
        <w:t>8</w:t>
      </w:r>
      <w:r w:rsidRPr="00E65179">
        <w:rPr>
          <w:szCs w:val="22"/>
        </w:rPr>
        <w:fldChar w:fldCharType="end"/>
      </w:r>
      <w:r>
        <w:rPr>
          <w:szCs w:val="22"/>
        </w:rPr>
        <w:t>).</w:t>
      </w:r>
    </w:p>
    <w:p w:rsidR="000E36A0" w:rsidRPr="000E36A0" w:rsidRDefault="000E36A0" w:rsidP="00AC730B">
      <w:pPr>
        <w:tabs>
          <w:tab w:val="left" w:pos="0"/>
        </w:tabs>
        <w:jc w:val="both"/>
        <w:rPr>
          <w:szCs w:val="22"/>
        </w:rPr>
      </w:pPr>
    </w:p>
    <w:p w:rsidR="000E36A0" w:rsidRDefault="000E36A0" w:rsidP="00AC730B">
      <w:pPr>
        <w:tabs>
          <w:tab w:val="left" w:pos="0"/>
        </w:tabs>
        <w:jc w:val="both"/>
        <w:rPr>
          <w:szCs w:val="22"/>
        </w:rPr>
      </w:pPr>
    </w:p>
    <w:p w:rsidR="000A2F0E" w:rsidRDefault="00230499" w:rsidP="00AC730B">
      <w:pPr>
        <w:tabs>
          <w:tab w:val="left" w:pos="0"/>
        </w:tabs>
        <w:jc w:val="both"/>
        <w:rPr>
          <w:szCs w:val="22"/>
        </w:rPr>
      </w:pPr>
      <w:r>
        <w:rPr>
          <w:b/>
          <w:szCs w:val="22"/>
        </w:rPr>
        <w:t>Other drug use</w:t>
      </w:r>
    </w:p>
    <w:p w:rsidR="00230499" w:rsidRDefault="00230499" w:rsidP="00AC730B">
      <w:pPr>
        <w:tabs>
          <w:tab w:val="left" w:pos="0"/>
        </w:tabs>
        <w:jc w:val="both"/>
        <w:rPr>
          <w:szCs w:val="22"/>
        </w:rPr>
      </w:pPr>
    </w:p>
    <w:p w:rsidR="00230499" w:rsidRDefault="00230499" w:rsidP="00230499">
      <w:pPr>
        <w:tabs>
          <w:tab w:val="left" w:pos="0"/>
        </w:tabs>
        <w:jc w:val="both"/>
        <w:rPr>
          <w:szCs w:val="22"/>
        </w:rPr>
      </w:pPr>
      <w:r>
        <w:rPr>
          <w:szCs w:val="22"/>
        </w:rPr>
        <w:t xml:space="preserve">In Wave 2, a lower proportion of participants had used </w:t>
      </w:r>
      <w:r w:rsidR="000E36A0">
        <w:rPr>
          <w:szCs w:val="22"/>
        </w:rPr>
        <w:t xml:space="preserve">recreational </w:t>
      </w:r>
      <w:r w:rsidR="004A5099">
        <w:rPr>
          <w:szCs w:val="22"/>
        </w:rPr>
        <w:t xml:space="preserve">drugs </w:t>
      </w:r>
      <w:r w:rsidR="000E36A0">
        <w:rPr>
          <w:szCs w:val="22"/>
        </w:rPr>
        <w:t xml:space="preserve">(excluding alcohol and tobacco) or illegal </w:t>
      </w:r>
      <w:r>
        <w:rPr>
          <w:szCs w:val="22"/>
        </w:rPr>
        <w:t>drugs in the past year, compared with Wave 1 (</w:t>
      </w:r>
      <w:r w:rsidR="000E36A0">
        <w:rPr>
          <w:szCs w:val="22"/>
        </w:rPr>
        <w:t>11%</w:t>
      </w:r>
      <w:r>
        <w:rPr>
          <w:szCs w:val="22"/>
        </w:rPr>
        <w:t xml:space="preserve"> vs. </w:t>
      </w:r>
      <w:r w:rsidR="000E36A0">
        <w:rPr>
          <w:szCs w:val="22"/>
        </w:rPr>
        <w:t>15</w:t>
      </w:r>
      <w:r>
        <w:rPr>
          <w:szCs w:val="22"/>
        </w:rPr>
        <w:t xml:space="preserve">%).  </w:t>
      </w:r>
      <w:r w:rsidR="000E36A0">
        <w:rPr>
          <w:szCs w:val="22"/>
        </w:rPr>
        <w:t>This was mainly due to a lower percentage using cannabis (9% vs. 12%)</w:t>
      </w:r>
      <w:r>
        <w:rPr>
          <w:szCs w:val="22"/>
        </w:rPr>
        <w:t>.</w:t>
      </w:r>
      <w:r w:rsidR="000E36A0">
        <w:rPr>
          <w:szCs w:val="22"/>
        </w:rPr>
        <w:t xml:space="preserve">  A majority (89%) of participants in Wave 2 had not used any drugs in the past year (</w:t>
      </w:r>
      <w:r w:rsidR="000E36A0">
        <w:rPr>
          <w:szCs w:val="22"/>
        </w:rPr>
        <w:fldChar w:fldCharType="begin"/>
      </w:r>
      <w:r w:rsidR="000E36A0">
        <w:rPr>
          <w:szCs w:val="22"/>
        </w:rPr>
        <w:instrText xml:space="preserve"> REF _Ref404242797 \h </w:instrText>
      </w:r>
      <w:r w:rsidR="000E36A0">
        <w:rPr>
          <w:szCs w:val="22"/>
        </w:rPr>
      </w:r>
      <w:r w:rsidR="000E36A0">
        <w:rPr>
          <w:szCs w:val="22"/>
        </w:rPr>
        <w:fldChar w:fldCharType="separate"/>
      </w:r>
      <w:r w:rsidR="00B2175B">
        <w:t xml:space="preserve">Table </w:t>
      </w:r>
      <w:r w:rsidR="00B2175B">
        <w:rPr>
          <w:noProof/>
        </w:rPr>
        <w:t>12</w:t>
      </w:r>
      <w:r w:rsidR="000E36A0">
        <w:rPr>
          <w:szCs w:val="22"/>
        </w:rPr>
        <w:fldChar w:fldCharType="end"/>
      </w:r>
      <w:r w:rsidR="000E36A0">
        <w:rPr>
          <w:szCs w:val="22"/>
        </w:rPr>
        <w:t>).</w:t>
      </w:r>
    </w:p>
    <w:p w:rsidR="00230499" w:rsidRDefault="00230499" w:rsidP="00230499">
      <w:pPr>
        <w:tabs>
          <w:tab w:val="left" w:pos="0"/>
        </w:tabs>
        <w:jc w:val="both"/>
        <w:rPr>
          <w:szCs w:val="22"/>
        </w:rPr>
      </w:pPr>
    </w:p>
    <w:p w:rsidR="00230499" w:rsidRDefault="00230499" w:rsidP="00230499">
      <w:pPr>
        <w:pStyle w:val="Caption"/>
        <w:keepNext/>
        <w:rPr>
          <w:szCs w:val="22"/>
        </w:rPr>
      </w:pPr>
      <w:bookmarkStart w:id="182" w:name="_Ref404242797"/>
      <w:bookmarkStart w:id="183" w:name="_Toc420393800"/>
      <w:r>
        <w:t xml:space="preserve">Table </w:t>
      </w:r>
      <w:fldSimple w:instr=" SEQ Table \* ARABIC ">
        <w:r w:rsidR="00B2175B">
          <w:rPr>
            <w:noProof/>
          </w:rPr>
          <w:t>12</w:t>
        </w:r>
      </w:fldSimple>
      <w:bookmarkEnd w:id="182"/>
      <w:r>
        <w:t xml:space="preserve">: Prevalence and 95% confidence intervals for </w:t>
      </w:r>
      <w:r w:rsidR="000E36A0">
        <w:t>other drug use</w:t>
      </w:r>
      <w:r>
        <w:t xml:space="preserve"> </w:t>
      </w:r>
      <w:r w:rsidR="004A5099">
        <w:t>in Wave 1</w:t>
      </w:r>
      <w:r>
        <w:t xml:space="preserve"> and Wave 2</w:t>
      </w:r>
      <w:bookmarkEnd w:id="183"/>
    </w:p>
    <w:tbl>
      <w:tblPr>
        <w:tblStyle w:val="LightShading4"/>
        <w:tblW w:w="0" w:type="auto"/>
        <w:tblLook w:val="06A0" w:firstRow="1" w:lastRow="0" w:firstColumn="1" w:lastColumn="0" w:noHBand="1" w:noVBand="1"/>
      </w:tblPr>
      <w:tblGrid>
        <w:gridCol w:w="2390"/>
        <w:gridCol w:w="793"/>
        <w:gridCol w:w="743"/>
        <w:gridCol w:w="1426"/>
        <w:gridCol w:w="793"/>
        <w:gridCol w:w="743"/>
        <w:gridCol w:w="1418"/>
      </w:tblGrid>
      <w:tr w:rsidR="000E36A0"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0" w:type="dxa"/>
            <w:vMerge w:val="restart"/>
            <w:tcBorders>
              <w:bottom w:val="single" w:sz="4" w:space="0" w:color="auto"/>
            </w:tcBorders>
            <w:vAlign w:val="bottom"/>
            <w:hideMark/>
          </w:tcPr>
          <w:p w:rsidR="000E36A0" w:rsidRPr="004A5099" w:rsidRDefault="000E36A0" w:rsidP="008627B5">
            <w:pPr>
              <w:spacing w:before="20" w:after="20"/>
              <w:rPr>
                <w:rFonts w:ascii="Times New Roman" w:eastAsiaTheme="minorEastAsia" w:hAnsi="Times New Roman" w:cs="Times New Roman"/>
                <w:sz w:val="20"/>
                <w:szCs w:val="18"/>
                <w:lang w:eastAsia="en-US"/>
              </w:rPr>
            </w:pPr>
            <w:r w:rsidRPr="004A5099">
              <w:rPr>
                <w:rFonts w:ascii="Times New Roman" w:eastAsiaTheme="minorEastAsia" w:hAnsi="Times New Roman" w:cs="Times New Roman"/>
                <w:sz w:val="20"/>
                <w:szCs w:val="18"/>
                <w:lang w:eastAsia="en-US"/>
              </w:rPr>
              <w:t>Other drug use</w:t>
            </w:r>
          </w:p>
        </w:tc>
        <w:tc>
          <w:tcPr>
            <w:tcW w:w="2962" w:type="dxa"/>
            <w:gridSpan w:val="3"/>
            <w:tcBorders>
              <w:bottom w:val="single" w:sz="4" w:space="0" w:color="auto"/>
              <w:right w:val="single" w:sz="4" w:space="0" w:color="auto"/>
            </w:tcBorders>
            <w:noWrap/>
            <w:vAlign w:val="center"/>
            <w:hideMark/>
          </w:tcPr>
          <w:p w:rsidR="000E36A0" w:rsidRPr="004A5099" w:rsidRDefault="000E36A0" w:rsidP="008627B5">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20"/>
                <w:szCs w:val="18"/>
                <w:lang w:eastAsia="en-US"/>
              </w:rPr>
            </w:pPr>
            <w:r w:rsidRPr="004A5099">
              <w:rPr>
                <w:rFonts w:ascii="Times New Roman" w:eastAsiaTheme="minorEastAsia" w:hAnsi="Times New Roman" w:cs="Times New Roman"/>
                <w:sz w:val="20"/>
                <w:szCs w:val="18"/>
              </w:rPr>
              <w:t>Baseline</w:t>
            </w:r>
          </w:p>
        </w:tc>
        <w:tc>
          <w:tcPr>
            <w:tcW w:w="2954" w:type="dxa"/>
            <w:gridSpan w:val="3"/>
            <w:tcBorders>
              <w:left w:val="single" w:sz="4" w:space="0" w:color="auto"/>
              <w:bottom w:val="single" w:sz="4" w:space="0" w:color="auto"/>
            </w:tcBorders>
            <w:vAlign w:val="center"/>
          </w:tcPr>
          <w:p w:rsidR="000E36A0" w:rsidRPr="004A5099" w:rsidRDefault="000E36A0" w:rsidP="008627B5">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18"/>
                <w:lang w:eastAsia="en-US"/>
              </w:rPr>
            </w:pPr>
            <w:r w:rsidRPr="004A5099">
              <w:rPr>
                <w:rFonts w:ascii="Times New Roman" w:eastAsiaTheme="minorEastAsia" w:hAnsi="Times New Roman" w:cs="Times New Roman"/>
                <w:sz w:val="20"/>
                <w:szCs w:val="18"/>
                <w:lang w:eastAsia="en-US"/>
              </w:rPr>
              <w:t>Wave 2</w:t>
            </w:r>
          </w:p>
        </w:tc>
      </w:tr>
      <w:tr w:rsidR="00815B8D" w:rsidRPr="004A5099" w:rsidTr="00E059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0" w:type="dxa"/>
            <w:vMerge/>
            <w:tcBorders>
              <w:bottom w:val="single" w:sz="4" w:space="0" w:color="auto"/>
            </w:tcBorders>
            <w:vAlign w:val="center"/>
            <w:hideMark/>
          </w:tcPr>
          <w:p w:rsidR="000E36A0" w:rsidRPr="004A5099" w:rsidRDefault="000E36A0" w:rsidP="008627B5">
            <w:pPr>
              <w:spacing w:before="20" w:after="20"/>
              <w:rPr>
                <w:rFonts w:ascii="Times New Roman" w:eastAsiaTheme="minorEastAsia" w:hAnsi="Times New Roman" w:cs="Times New Roman"/>
                <w:sz w:val="20"/>
                <w:szCs w:val="18"/>
                <w:lang w:eastAsia="en-US"/>
              </w:rPr>
            </w:pPr>
          </w:p>
        </w:tc>
        <w:tc>
          <w:tcPr>
            <w:tcW w:w="793" w:type="dxa"/>
            <w:tcBorders>
              <w:top w:val="single" w:sz="4" w:space="0" w:color="auto"/>
              <w:bottom w:val="single" w:sz="4" w:space="0" w:color="auto"/>
            </w:tcBorders>
            <w:noWrap/>
            <w:vAlign w:val="center"/>
            <w:hideMark/>
          </w:tcPr>
          <w:p w:rsidR="000E36A0" w:rsidRPr="004A5099" w:rsidRDefault="000E36A0"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sz w:val="20"/>
                <w:szCs w:val="18"/>
              </w:rPr>
              <w:t>n</w:t>
            </w:r>
          </w:p>
        </w:tc>
        <w:tc>
          <w:tcPr>
            <w:tcW w:w="743" w:type="dxa"/>
            <w:tcBorders>
              <w:top w:val="single" w:sz="4" w:space="0" w:color="auto"/>
              <w:bottom w:val="single" w:sz="4" w:space="0" w:color="auto"/>
            </w:tcBorders>
            <w:noWrap/>
            <w:vAlign w:val="center"/>
            <w:hideMark/>
          </w:tcPr>
          <w:p w:rsidR="000E36A0" w:rsidRPr="004A5099" w:rsidRDefault="000E36A0"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sz w:val="20"/>
                <w:szCs w:val="18"/>
              </w:rPr>
              <w:t>%</w:t>
            </w:r>
          </w:p>
        </w:tc>
        <w:tc>
          <w:tcPr>
            <w:tcW w:w="1426" w:type="dxa"/>
            <w:tcBorders>
              <w:top w:val="single" w:sz="4" w:space="0" w:color="auto"/>
              <w:bottom w:val="single" w:sz="4" w:space="0" w:color="auto"/>
              <w:right w:val="single" w:sz="4" w:space="0" w:color="auto"/>
            </w:tcBorders>
            <w:noWrap/>
            <w:vAlign w:val="center"/>
          </w:tcPr>
          <w:p w:rsidR="000E36A0" w:rsidRPr="004A5099" w:rsidRDefault="007D49BD"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sz w:val="20"/>
                <w:szCs w:val="18"/>
                <w:lang w:eastAsia="en-US"/>
              </w:rPr>
              <w:t>(</w:t>
            </w:r>
            <w:r w:rsidR="000E36A0" w:rsidRPr="004A5099">
              <w:rPr>
                <w:rFonts w:ascii="Times New Roman" w:eastAsiaTheme="minorEastAsia" w:hAnsi="Times New Roman" w:cs="Times New Roman"/>
                <w:sz w:val="20"/>
                <w:szCs w:val="18"/>
                <w:lang w:eastAsia="en-US"/>
              </w:rPr>
              <w:t>95% CI</w:t>
            </w:r>
            <w:r w:rsidRPr="004A5099">
              <w:rPr>
                <w:rFonts w:ascii="Times New Roman" w:eastAsiaTheme="minorEastAsia" w:hAnsi="Times New Roman" w:cs="Times New Roman"/>
                <w:sz w:val="20"/>
                <w:szCs w:val="18"/>
                <w:lang w:eastAsia="en-US"/>
              </w:rPr>
              <w:t>)</w:t>
            </w:r>
          </w:p>
        </w:tc>
        <w:tc>
          <w:tcPr>
            <w:tcW w:w="793" w:type="dxa"/>
            <w:tcBorders>
              <w:top w:val="single" w:sz="4" w:space="0" w:color="auto"/>
              <w:left w:val="single" w:sz="4" w:space="0" w:color="auto"/>
              <w:bottom w:val="single" w:sz="4" w:space="0" w:color="auto"/>
            </w:tcBorders>
            <w:noWrap/>
            <w:vAlign w:val="center"/>
          </w:tcPr>
          <w:p w:rsidR="000E36A0" w:rsidRPr="004A5099" w:rsidRDefault="000E36A0"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sz w:val="20"/>
                <w:szCs w:val="18"/>
                <w:lang w:eastAsia="en-US"/>
              </w:rPr>
              <w:t>n</w:t>
            </w:r>
          </w:p>
        </w:tc>
        <w:tc>
          <w:tcPr>
            <w:tcW w:w="743" w:type="dxa"/>
            <w:tcBorders>
              <w:top w:val="single" w:sz="4" w:space="0" w:color="auto"/>
              <w:bottom w:val="single" w:sz="4" w:space="0" w:color="auto"/>
            </w:tcBorders>
            <w:noWrap/>
            <w:vAlign w:val="center"/>
          </w:tcPr>
          <w:p w:rsidR="000E36A0" w:rsidRPr="004A5099" w:rsidRDefault="000E36A0"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sz w:val="20"/>
                <w:szCs w:val="18"/>
                <w:lang w:eastAsia="en-US"/>
              </w:rPr>
              <w:t>%</w:t>
            </w:r>
          </w:p>
        </w:tc>
        <w:tc>
          <w:tcPr>
            <w:tcW w:w="1418" w:type="dxa"/>
            <w:tcBorders>
              <w:top w:val="single" w:sz="4" w:space="0" w:color="auto"/>
              <w:bottom w:val="single" w:sz="4" w:space="0" w:color="auto"/>
            </w:tcBorders>
            <w:shd w:val="clear" w:color="auto" w:fill="FFFFFF" w:themeFill="background1"/>
            <w:noWrap/>
            <w:vAlign w:val="center"/>
          </w:tcPr>
          <w:p w:rsidR="000E36A0" w:rsidRPr="004A5099" w:rsidRDefault="007D49BD" w:rsidP="007D49BD">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20"/>
                <w:szCs w:val="18"/>
                <w:lang w:eastAsia="en-US"/>
              </w:rPr>
            </w:pPr>
            <w:r w:rsidRPr="004A5099">
              <w:rPr>
                <w:rFonts w:ascii="Times New Roman" w:eastAsiaTheme="minorEastAsia" w:hAnsi="Times New Roman" w:cs="Times New Roman"/>
                <w:sz w:val="20"/>
                <w:szCs w:val="18"/>
                <w:lang w:eastAsia="en-US"/>
              </w:rPr>
              <w:t>(</w:t>
            </w:r>
            <w:r w:rsidR="000E36A0" w:rsidRPr="004A5099">
              <w:rPr>
                <w:rFonts w:ascii="Times New Roman" w:eastAsiaTheme="minorEastAsia" w:hAnsi="Times New Roman" w:cs="Times New Roman"/>
                <w:sz w:val="20"/>
                <w:szCs w:val="18"/>
                <w:lang w:eastAsia="en-US"/>
              </w:rPr>
              <w:t>95% CI</w:t>
            </w:r>
            <w:r w:rsidRPr="004A5099">
              <w:rPr>
                <w:rFonts w:ascii="Times New Roman" w:eastAsiaTheme="minorEastAsia" w:hAnsi="Times New Roman" w:cs="Times New Roman"/>
                <w:sz w:val="20"/>
                <w:szCs w:val="18"/>
                <w:lang w:eastAsia="en-US"/>
              </w:rPr>
              <w:t>)</w:t>
            </w:r>
          </w:p>
        </w:tc>
      </w:tr>
      <w:tr w:rsidR="00815B8D" w:rsidRPr="004A5099" w:rsidTr="00E05935">
        <w:tc>
          <w:tcPr>
            <w:cnfStyle w:val="001000000000" w:firstRow="0" w:lastRow="0" w:firstColumn="1" w:lastColumn="0" w:oddVBand="0" w:evenVBand="0" w:oddHBand="0" w:evenHBand="0" w:firstRowFirstColumn="0" w:firstRowLastColumn="0" w:lastRowFirstColumn="0" w:lastRowLastColumn="0"/>
            <w:tcW w:w="2390" w:type="dxa"/>
            <w:tcBorders>
              <w:top w:val="nil"/>
              <w:left w:val="nil"/>
              <w:bottom w:val="nil"/>
              <w:right w:val="nil"/>
            </w:tcBorders>
            <w:shd w:val="clear" w:color="auto" w:fill="D9D9D9" w:themeFill="background1" w:themeFillShade="D9"/>
          </w:tcPr>
          <w:p w:rsidR="007D49BD" w:rsidRPr="004A5099" w:rsidRDefault="007D49BD" w:rsidP="00815B8D">
            <w:pPr>
              <w:spacing w:before="20" w:after="20"/>
              <w:ind w:left="34"/>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b w:val="0"/>
                <w:sz w:val="20"/>
                <w:szCs w:val="18"/>
                <w:lang w:eastAsia="en-US"/>
              </w:rPr>
              <w:t>Yes</w:t>
            </w:r>
          </w:p>
        </w:tc>
        <w:tc>
          <w:tcPr>
            <w:tcW w:w="79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916</w:t>
            </w:r>
          </w:p>
        </w:tc>
        <w:tc>
          <w:tcPr>
            <w:tcW w:w="74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14.7</w:t>
            </w:r>
          </w:p>
        </w:tc>
        <w:tc>
          <w:tcPr>
            <w:tcW w:w="1426" w:type="dxa"/>
            <w:tcBorders>
              <w:top w:val="nil"/>
              <w:left w:val="nil"/>
              <w:bottom w:val="nil"/>
              <w:right w:val="single" w:sz="4" w:space="0" w:color="auto"/>
            </w:tcBorders>
            <w:shd w:val="clear" w:color="auto" w:fill="D9D9D9" w:themeFill="background1" w:themeFillShade="D9"/>
            <w:noWrap/>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(13.5 - 15.8)</w:t>
            </w:r>
          </w:p>
        </w:tc>
        <w:tc>
          <w:tcPr>
            <w:tcW w:w="793" w:type="dxa"/>
            <w:tcBorders>
              <w:top w:val="nil"/>
              <w:left w:val="single" w:sz="4" w:space="0" w:color="auto"/>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427</w:t>
            </w:r>
          </w:p>
        </w:tc>
        <w:tc>
          <w:tcPr>
            <w:tcW w:w="74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11.4</w:t>
            </w:r>
          </w:p>
        </w:tc>
        <w:tc>
          <w:tcPr>
            <w:tcW w:w="1418" w:type="dxa"/>
            <w:tcBorders>
              <w:top w:val="nil"/>
              <w:left w:val="nil"/>
              <w:bottom w:val="nil"/>
              <w:right w:val="nil"/>
            </w:tcBorders>
            <w:shd w:val="clear" w:color="auto" w:fill="D9D9D9" w:themeFill="background1" w:themeFillShade="D9"/>
            <w:noWrap/>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(10.0 - 12.8)</w:t>
            </w:r>
          </w:p>
        </w:tc>
      </w:tr>
      <w:tr w:rsidR="00815B8D" w:rsidRPr="004A5099" w:rsidTr="00E05935">
        <w:tc>
          <w:tcPr>
            <w:cnfStyle w:val="001000000000" w:firstRow="0" w:lastRow="0" w:firstColumn="1" w:lastColumn="0" w:oddVBand="0" w:evenVBand="0" w:oddHBand="0" w:evenHBand="0" w:firstRowFirstColumn="0" w:firstRowLastColumn="0" w:lastRowFirstColumn="0" w:lastRowLastColumn="0"/>
            <w:tcW w:w="2390" w:type="dxa"/>
            <w:tcBorders>
              <w:top w:val="nil"/>
              <w:left w:val="nil"/>
              <w:bottom w:val="nil"/>
              <w:right w:val="nil"/>
            </w:tcBorders>
            <w:shd w:val="clear" w:color="auto" w:fill="D9D9D9" w:themeFill="background1" w:themeFillShade="D9"/>
          </w:tcPr>
          <w:p w:rsidR="007D49BD" w:rsidRPr="004A5099" w:rsidRDefault="007D49BD" w:rsidP="00815B8D">
            <w:pPr>
              <w:spacing w:before="20" w:after="20"/>
              <w:ind w:left="34"/>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b w:val="0"/>
                <w:sz w:val="20"/>
                <w:szCs w:val="18"/>
                <w:lang w:eastAsia="en-US"/>
              </w:rPr>
              <w:t>No</w:t>
            </w:r>
          </w:p>
        </w:tc>
        <w:tc>
          <w:tcPr>
            <w:tcW w:w="79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5334</w:t>
            </w:r>
          </w:p>
        </w:tc>
        <w:tc>
          <w:tcPr>
            <w:tcW w:w="74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85.3</w:t>
            </w:r>
          </w:p>
        </w:tc>
        <w:tc>
          <w:tcPr>
            <w:tcW w:w="1426" w:type="dxa"/>
            <w:tcBorders>
              <w:top w:val="nil"/>
              <w:left w:val="nil"/>
              <w:bottom w:val="nil"/>
              <w:right w:val="single" w:sz="4" w:space="0" w:color="auto"/>
            </w:tcBorders>
            <w:shd w:val="clear" w:color="auto" w:fill="D9D9D9" w:themeFill="background1" w:themeFillShade="D9"/>
            <w:noWrap/>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(84.2 - 86.5)</w:t>
            </w:r>
          </w:p>
        </w:tc>
        <w:tc>
          <w:tcPr>
            <w:tcW w:w="793" w:type="dxa"/>
            <w:tcBorders>
              <w:top w:val="nil"/>
              <w:left w:val="single" w:sz="4" w:space="0" w:color="auto"/>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3319</w:t>
            </w:r>
          </w:p>
        </w:tc>
        <w:tc>
          <w:tcPr>
            <w:tcW w:w="743" w:type="dxa"/>
            <w:tcBorders>
              <w:top w:val="nil"/>
              <w:left w:val="nil"/>
              <w:bottom w:val="nil"/>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88.6</w:t>
            </w:r>
          </w:p>
        </w:tc>
        <w:tc>
          <w:tcPr>
            <w:tcW w:w="1418" w:type="dxa"/>
            <w:tcBorders>
              <w:top w:val="nil"/>
              <w:left w:val="nil"/>
              <w:bottom w:val="nil"/>
              <w:right w:val="nil"/>
            </w:tcBorders>
            <w:shd w:val="clear" w:color="auto" w:fill="D9D9D9" w:themeFill="background1" w:themeFillShade="D9"/>
            <w:noWrap/>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(87.2 - 90.0)</w:t>
            </w:r>
          </w:p>
        </w:tc>
      </w:tr>
      <w:tr w:rsidR="00815B8D" w:rsidRPr="004A5099" w:rsidTr="00E05935">
        <w:tc>
          <w:tcPr>
            <w:cnfStyle w:val="001000000000" w:firstRow="0" w:lastRow="0" w:firstColumn="1" w:lastColumn="0" w:oddVBand="0" w:evenVBand="0" w:oddHBand="0" w:evenHBand="0" w:firstRowFirstColumn="0" w:firstRowLastColumn="0" w:lastRowFirstColumn="0" w:lastRowLastColumn="0"/>
            <w:tcW w:w="2390" w:type="dxa"/>
            <w:tcBorders>
              <w:top w:val="nil"/>
              <w:left w:val="nil"/>
              <w:bottom w:val="single" w:sz="4" w:space="0" w:color="auto"/>
              <w:right w:val="nil"/>
            </w:tcBorders>
            <w:shd w:val="clear" w:color="auto" w:fill="D9D9D9" w:themeFill="background1" w:themeFillShade="D9"/>
          </w:tcPr>
          <w:p w:rsidR="007D49BD" w:rsidRPr="004A5099" w:rsidRDefault="007D49BD" w:rsidP="00815B8D">
            <w:pPr>
              <w:spacing w:before="20" w:after="20"/>
              <w:ind w:left="34"/>
              <w:rPr>
                <w:rFonts w:ascii="Times New Roman" w:eastAsiaTheme="minorEastAsia" w:hAnsi="Times New Roman" w:cs="Times New Roman"/>
                <w:b w:val="0"/>
                <w:sz w:val="20"/>
                <w:szCs w:val="18"/>
                <w:lang w:eastAsia="en-US"/>
              </w:rPr>
            </w:pPr>
            <w:r w:rsidRPr="004A5099">
              <w:rPr>
                <w:rFonts w:ascii="Times New Roman" w:eastAsiaTheme="minorEastAsia" w:hAnsi="Times New Roman" w:cs="Times New Roman"/>
                <w:b w:val="0"/>
                <w:sz w:val="20"/>
                <w:szCs w:val="18"/>
                <w:lang w:eastAsia="en-US"/>
              </w:rPr>
              <w:t>Cannabis</w:t>
            </w:r>
          </w:p>
        </w:tc>
        <w:tc>
          <w:tcPr>
            <w:tcW w:w="793" w:type="dxa"/>
            <w:tcBorders>
              <w:top w:val="nil"/>
              <w:left w:val="nil"/>
              <w:bottom w:val="single" w:sz="4" w:space="0" w:color="auto"/>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757</w:t>
            </w:r>
          </w:p>
        </w:tc>
        <w:tc>
          <w:tcPr>
            <w:tcW w:w="743" w:type="dxa"/>
            <w:tcBorders>
              <w:top w:val="nil"/>
              <w:left w:val="nil"/>
              <w:bottom w:val="single" w:sz="4" w:space="0" w:color="auto"/>
              <w:right w:val="nil"/>
            </w:tcBorders>
            <w:shd w:val="clear" w:color="auto" w:fill="D9D9D9" w:themeFill="background1" w:themeFillShade="D9"/>
            <w:noWrap/>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12.1</w:t>
            </w:r>
          </w:p>
        </w:tc>
        <w:tc>
          <w:tcPr>
            <w:tcW w:w="1426" w:type="dxa"/>
            <w:tcBorders>
              <w:top w:val="nil"/>
              <w:left w:val="nil"/>
              <w:bottom w:val="single" w:sz="4" w:space="0" w:color="auto"/>
              <w:right w:val="single" w:sz="4" w:space="0" w:color="auto"/>
            </w:tcBorders>
            <w:shd w:val="clear" w:color="auto" w:fill="D9D9D9" w:themeFill="background1" w:themeFillShade="D9"/>
            <w:noWrap/>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(11.1 - 13.2)</w:t>
            </w:r>
          </w:p>
        </w:tc>
        <w:tc>
          <w:tcPr>
            <w:tcW w:w="793" w:type="dxa"/>
            <w:tcBorders>
              <w:top w:val="nil"/>
              <w:left w:val="single" w:sz="4" w:space="0" w:color="auto"/>
              <w:bottom w:val="single" w:sz="4" w:space="0" w:color="auto"/>
              <w:right w:val="nil"/>
            </w:tcBorders>
            <w:shd w:val="clear" w:color="auto" w:fill="D9D9D9" w:themeFill="background1" w:themeFillShade="D9"/>
            <w:noWrap/>
            <w:vAlign w:val="center"/>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342</w:t>
            </w:r>
          </w:p>
        </w:tc>
        <w:tc>
          <w:tcPr>
            <w:tcW w:w="743" w:type="dxa"/>
            <w:tcBorders>
              <w:top w:val="nil"/>
              <w:left w:val="nil"/>
              <w:bottom w:val="single" w:sz="4" w:space="0" w:color="auto"/>
              <w:right w:val="nil"/>
            </w:tcBorders>
            <w:shd w:val="clear" w:color="auto" w:fill="D9D9D9" w:themeFill="background1" w:themeFillShade="D9"/>
            <w:noWrap/>
            <w:vAlign w:val="center"/>
          </w:tcPr>
          <w:p w:rsidR="007D49BD" w:rsidRPr="004A5099" w:rsidRDefault="007D49BD" w:rsidP="008627B5">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9.1</w:t>
            </w:r>
          </w:p>
        </w:tc>
        <w:tc>
          <w:tcPr>
            <w:tcW w:w="1418" w:type="dxa"/>
            <w:tcBorders>
              <w:top w:val="nil"/>
              <w:left w:val="nil"/>
              <w:bottom w:val="single" w:sz="4" w:space="0" w:color="auto"/>
              <w:right w:val="nil"/>
            </w:tcBorders>
            <w:shd w:val="clear" w:color="auto" w:fill="D9D9D9" w:themeFill="background1" w:themeFillShade="D9"/>
            <w:noWrap/>
            <w:vAlign w:val="center"/>
          </w:tcPr>
          <w:p w:rsidR="007D49BD" w:rsidRPr="004A5099" w:rsidRDefault="007D49BD" w:rsidP="007D49BD">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18"/>
                <w:lang w:eastAsia="en-US"/>
              </w:rPr>
            </w:pPr>
            <w:r w:rsidRPr="004A5099">
              <w:rPr>
                <w:rFonts w:ascii="Times New Roman" w:eastAsiaTheme="minorEastAsia" w:hAnsi="Times New Roman" w:cs="Times New Roman"/>
                <w:bCs/>
                <w:sz w:val="20"/>
                <w:szCs w:val="18"/>
                <w:lang w:eastAsia="en-US"/>
              </w:rPr>
              <w:t>(7.8 - 10.4)</w:t>
            </w:r>
          </w:p>
        </w:tc>
      </w:tr>
    </w:tbl>
    <w:p w:rsidR="000E36A0" w:rsidRPr="004A5099" w:rsidRDefault="000E36A0" w:rsidP="000E36A0">
      <w:pPr>
        <w:rPr>
          <w:sz w:val="20"/>
        </w:rPr>
      </w:pPr>
      <w:r w:rsidRPr="004A5099">
        <w:rPr>
          <w:sz w:val="20"/>
        </w:rPr>
        <w:t>Data weighted for 2013 Census data (both Waves) and attrition (Wave 2)</w:t>
      </w:r>
    </w:p>
    <w:p w:rsidR="000E36A0" w:rsidRPr="004A5099" w:rsidRDefault="000E36A0" w:rsidP="000E36A0">
      <w:pPr>
        <w:rPr>
          <w:sz w:val="20"/>
        </w:rPr>
      </w:pPr>
      <w:r w:rsidRPr="004A5099">
        <w:rPr>
          <w:sz w:val="20"/>
        </w:rPr>
        <w:t>Baseline N = 6,251; Wave 2 N = 3,745</w:t>
      </w:r>
    </w:p>
    <w:p w:rsidR="000A2F0E" w:rsidRDefault="000A2F0E" w:rsidP="00AC730B">
      <w:pPr>
        <w:tabs>
          <w:tab w:val="left" w:pos="0"/>
        </w:tabs>
        <w:jc w:val="both"/>
        <w:rPr>
          <w:szCs w:val="22"/>
        </w:rPr>
      </w:pPr>
    </w:p>
    <w:p w:rsidR="00353618" w:rsidRPr="00004F3C" w:rsidRDefault="00353618" w:rsidP="004A5099">
      <w:pPr>
        <w:pStyle w:val="heading2a"/>
        <w:numPr>
          <w:ilvl w:val="1"/>
          <w:numId w:val="28"/>
        </w:numPr>
        <w:pBdr>
          <w:top w:val="single" w:sz="4" w:space="1" w:color="auto"/>
          <w:left w:val="single" w:sz="4" w:space="4" w:color="auto"/>
          <w:bottom w:val="single" w:sz="4" w:space="1" w:color="auto"/>
          <w:right w:val="single" w:sz="4" w:space="4" w:color="auto"/>
        </w:pBdr>
        <w:ind w:left="426" w:hanging="426"/>
        <w:rPr>
          <w:rFonts w:cs="Times New Roman"/>
          <w:sz w:val="22"/>
          <w:szCs w:val="22"/>
        </w:rPr>
      </w:pPr>
      <w:bookmarkStart w:id="184" w:name="_Toc420392611"/>
      <w:r>
        <w:rPr>
          <w:rFonts w:cs="Times New Roman"/>
          <w:sz w:val="22"/>
          <w:szCs w:val="22"/>
        </w:rPr>
        <w:t>Transitions</w:t>
      </w:r>
      <w:r w:rsidR="009B3741">
        <w:rPr>
          <w:rFonts w:cs="Times New Roman"/>
          <w:sz w:val="22"/>
          <w:szCs w:val="22"/>
        </w:rPr>
        <w:t>, incidence and relapse</w:t>
      </w:r>
      <w:bookmarkEnd w:id="184"/>
    </w:p>
    <w:p w:rsidR="0034037A" w:rsidRDefault="0034037A" w:rsidP="004A5099">
      <w:pPr>
        <w:keepNext/>
      </w:pPr>
    </w:p>
    <w:p w:rsidR="0034037A" w:rsidRDefault="00B5790D" w:rsidP="004A5099">
      <w:pPr>
        <w:keepNext/>
      </w:pPr>
      <w:r>
        <w:t>This section details transitions, incidence and relapse.</w:t>
      </w:r>
    </w:p>
    <w:p w:rsidR="00B5790D" w:rsidRDefault="00B5790D" w:rsidP="0034037A"/>
    <w:p w:rsidR="00B5790D" w:rsidRDefault="00B5790D" w:rsidP="00B5790D">
      <w:pPr>
        <w:jc w:val="both"/>
      </w:pPr>
      <w:r w:rsidRPr="001A2F73">
        <w:t xml:space="preserve">Transitions relates to movements into and out of the different PGSI categories in Wave 2 compared to Wave 1.  Increased risk status indicates movement into a higher PGSI category </w:t>
      </w:r>
      <w:r w:rsidR="001A2F73">
        <w:t>in</w:t>
      </w:r>
      <w:r w:rsidRPr="001A2F73">
        <w:t xml:space="preserve"> Wave 2 compared to Wave 1</w:t>
      </w:r>
      <w:r w:rsidR="0072306E">
        <w:t>,</w:t>
      </w:r>
      <w:r w:rsidRPr="001A2F73">
        <w:t xml:space="preserve"> </w:t>
      </w:r>
      <w:r w:rsidR="001A2F73">
        <w:t xml:space="preserve">whilst decreased risk status indicates movement into a lower PGSI category in Wave 2 compared to Wave 1.  Stability relates to maintaining risk category in both Waves (section </w:t>
      </w:r>
      <w:r w:rsidR="001A2F73">
        <w:fldChar w:fldCharType="begin"/>
      </w:r>
      <w:r w:rsidR="001A2F73">
        <w:instrText xml:space="preserve"> REF _Ref405906602 \n \h </w:instrText>
      </w:r>
      <w:r w:rsidR="001A2F73">
        <w:fldChar w:fldCharType="separate"/>
      </w:r>
      <w:r w:rsidR="00B2175B">
        <w:t>4.3.1</w:t>
      </w:r>
      <w:r w:rsidR="001A2F73">
        <w:fldChar w:fldCharType="end"/>
      </w:r>
      <w:r w:rsidR="001A2F73">
        <w:t>).</w:t>
      </w:r>
    </w:p>
    <w:p w:rsidR="001A2F73" w:rsidRDefault="001A2F73" w:rsidP="00B5790D">
      <w:pPr>
        <w:jc w:val="both"/>
      </w:pPr>
    </w:p>
    <w:p w:rsidR="001A2F73" w:rsidRDefault="001A2F73" w:rsidP="001A2F73">
      <w:pPr>
        <w:jc w:val="both"/>
        <w:rPr>
          <w:szCs w:val="22"/>
        </w:rPr>
      </w:pPr>
      <w:r w:rsidRPr="001A2F73">
        <w:rPr>
          <w:szCs w:val="22"/>
        </w:rPr>
        <w:t>Incidence</w:t>
      </w:r>
      <w:r w:rsidRPr="00D33AE9">
        <w:rPr>
          <w:szCs w:val="22"/>
        </w:rPr>
        <w:t xml:space="preserve"> refers to the number of new cases of </w:t>
      </w:r>
      <w:r w:rsidR="0072306E">
        <w:rPr>
          <w:szCs w:val="22"/>
        </w:rPr>
        <w:t xml:space="preserve">problem gambling </w:t>
      </w:r>
      <w:r w:rsidRPr="00D33AE9">
        <w:rPr>
          <w:szCs w:val="22"/>
        </w:rPr>
        <w:t xml:space="preserve">occurring in a population in a given time period.  This is different from </w:t>
      </w:r>
      <w:r w:rsidRPr="00D33AE9">
        <w:rPr>
          <w:i/>
          <w:szCs w:val="22"/>
        </w:rPr>
        <w:t>prevalence</w:t>
      </w:r>
      <w:r w:rsidRPr="00D33AE9">
        <w:rPr>
          <w:szCs w:val="22"/>
        </w:rPr>
        <w:t xml:space="preserve"> which refers to the percentage of the population with </w:t>
      </w:r>
      <w:r w:rsidR="0072306E">
        <w:rPr>
          <w:szCs w:val="22"/>
        </w:rPr>
        <w:t>problem gambling</w:t>
      </w:r>
      <w:r w:rsidRPr="00D33AE9">
        <w:rPr>
          <w:szCs w:val="22"/>
        </w:rPr>
        <w:t xml:space="preserve"> at any given point in time</w:t>
      </w:r>
      <w:r>
        <w:rPr>
          <w:szCs w:val="22"/>
        </w:rPr>
        <w:t xml:space="preserve"> (section</w:t>
      </w:r>
      <w:r w:rsidR="007630DD">
        <w:rPr>
          <w:szCs w:val="22"/>
        </w:rPr>
        <w:t xml:space="preserve"> </w:t>
      </w:r>
      <w:r w:rsidR="007630DD">
        <w:rPr>
          <w:szCs w:val="22"/>
        </w:rPr>
        <w:fldChar w:fldCharType="begin"/>
      </w:r>
      <w:r w:rsidR="007630DD">
        <w:rPr>
          <w:szCs w:val="22"/>
        </w:rPr>
        <w:instrText xml:space="preserve"> REF _Ref408406979 \n \h </w:instrText>
      </w:r>
      <w:r w:rsidR="007630DD">
        <w:rPr>
          <w:szCs w:val="22"/>
        </w:rPr>
      </w:r>
      <w:r w:rsidR="007630DD">
        <w:rPr>
          <w:szCs w:val="22"/>
        </w:rPr>
        <w:fldChar w:fldCharType="separate"/>
      </w:r>
      <w:r w:rsidR="00B2175B">
        <w:rPr>
          <w:szCs w:val="22"/>
        </w:rPr>
        <w:t>4.3.2</w:t>
      </w:r>
      <w:r w:rsidR="007630DD">
        <w:rPr>
          <w:szCs w:val="22"/>
        </w:rPr>
        <w:fldChar w:fldCharType="end"/>
      </w:r>
      <w:r>
        <w:rPr>
          <w:szCs w:val="22"/>
        </w:rPr>
        <w:t>)</w:t>
      </w:r>
      <w:r w:rsidRPr="00D33AE9">
        <w:rPr>
          <w:szCs w:val="22"/>
        </w:rPr>
        <w:t>.</w:t>
      </w:r>
    </w:p>
    <w:p w:rsidR="001A2F73" w:rsidRDefault="001A2F73" w:rsidP="001A2F73">
      <w:pPr>
        <w:jc w:val="both"/>
        <w:rPr>
          <w:szCs w:val="22"/>
        </w:rPr>
      </w:pPr>
    </w:p>
    <w:p w:rsidR="001A2F73" w:rsidRDefault="001A2F73" w:rsidP="001A2F73">
      <w:pPr>
        <w:jc w:val="both"/>
      </w:pPr>
      <w:r>
        <w:lastRenderedPageBreak/>
        <w:t xml:space="preserve">Relapse relates to participants who at some time in the past had problematic gambling, who were non-gamblers, non-problem gamblers or low-risk gamblers in Wave 1 and </w:t>
      </w:r>
      <w:r w:rsidR="007630DD">
        <w:t xml:space="preserve">who </w:t>
      </w:r>
      <w:r>
        <w:t>then became moderate-risk or problem gamblers in Wave 2 (section</w:t>
      </w:r>
      <w:r w:rsidR="001619AA">
        <w:t xml:space="preserve"> 4.3.2</w:t>
      </w:r>
      <w:r>
        <w:t xml:space="preserve">).  </w:t>
      </w:r>
    </w:p>
    <w:p w:rsidR="0072306E" w:rsidRDefault="0072306E" w:rsidP="001A2F73">
      <w:pPr>
        <w:jc w:val="both"/>
      </w:pPr>
    </w:p>
    <w:p w:rsidR="00D33AE9" w:rsidRDefault="00D33AE9" w:rsidP="005636CC">
      <w:pPr>
        <w:pStyle w:val="Heading3b"/>
        <w:keepNext w:val="0"/>
        <w:numPr>
          <w:ilvl w:val="2"/>
          <w:numId w:val="41"/>
        </w:numPr>
        <w:ind w:left="709"/>
        <w:rPr>
          <w:rFonts w:ascii="Times New Roman" w:hAnsi="Times New Roman" w:cs="Times New Roman"/>
          <w:b/>
        </w:rPr>
      </w:pPr>
      <w:bookmarkStart w:id="185" w:name="_Ref405906602"/>
      <w:bookmarkStart w:id="186" w:name="_Toc420392612"/>
      <w:r>
        <w:rPr>
          <w:rFonts w:ascii="Times New Roman" w:hAnsi="Times New Roman" w:cs="Times New Roman"/>
          <w:b/>
        </w:rPr>
        <w:t>Transition</w:t>
      </w:r>
      <w:r w:rsidR="001A09DB">
        <w:rPr>
          <w:rFonts w:ascii="Times New Roman" w:hAnsi="Times New Roman" w:cs="Times New Roman"/>
          <w:b/>
        </w:rPr>
        <w:t>s</w:t>
      </w:r>
      <w:bookmarkEnd w:id="185"/>
      <w:bookmarkEnd w:id="186"/>
    </w:p>
    <w:p w:rsidR="00D33AE9" w:rsidRDefault="00D33AE9" w:rsidP="00D33AE9"/>
    <w:p w:rsidR="00815B8D" w:rsidRDefault="00815B8D" w:rsidP="00815B8D">
      <w:pPr>
        <w:jc w:val="both"/>
      </w:pPr>
      <w:r>
        <w:t xml:space="preserve">Current (past 12 month) problem gambling status was measured </w:t>
      </w:r>
      <w:r w:rsidR="00A40777">
        <w:t xml:space="preserve">using the PGSI </w:t>
      </w:r>
      <w:r w:rsidR="00DA6CDA">
        <w:t>in Wave 1</w:t>
      </w:r>
      <w:r>
        <w:t xml:space="preserve"> and again in Wave 2.  </w:t>
      </w:r>
      <w:r>
        <w:fldChar w:fldCharType="begin"/>
      </w:r>
      <w:r>
        <w:instrText xml:space="preserve"> REF _Ref404250377 \h </w:instrText>
      </w:r>
      <w:r>
        <w:fldChar w:fldCharType="separate"/>
      </w:r>
      <w:r w:rsidR="00B2175B">
        <w:t xml:space="preserve">Table </w:t>
      </w:r>
      <w:r w:rsidR="00B2175B">
        <w:rPr>
          <w:noProof/>
        </w:rPr>
        <w:t>13</w:t>
      </w:r>
      <w:r>
        <w:fldChar w:fldCharType="end"/>
      </w:r>
      <w:r>
        <w:t xml:space="preserve"> shows transitions between the groups over time.</w:t>
      </w:r>
      <w:r w:rsidR="00A62330">
        <w:t xml:space="preserve">  </w:t>
      </w:r>
      <w:r w:rsidR="00A62330" w:rsidRPr="00672B00">
        <w:rPr>
          <w:i/>
        </w:rPr>
        <w:t>As the sample size is very small for some cells, the following data should be interpreted with caution and should be considered to be indicative rather than absolute.</w:t>
      </w:r>
      <w:r w:rsidR="00EB6BDC">
        <w:t xml:space="preserve"> </w:t>
      </w:r>
    </w:p>
    <w:p w:rsidR="00A40777" w:rsidRDefault="00A40777" w:rsidP="00815B8D">
      <w:pPr>
        <w:jc w:val="both"/>
      </w:pPr>
    </w:p>
    <w:p w:rsidR="006C5D8B" w:rsidRDefault="006C5D8B" w:rsidP="006C5D8B">
      <w:pPr>
        <w:pStyle w:val="Caption"/>
        <w:keepNext/>
        <w:keepLines/>
        <w:rPr>
          <w:szCs w:val="22"/>
        </w:rPr>
      </w:pPr>
      <w:bookmarkStart w:id="187" w:name="_Ref404250377"/>
      <w:bookmarkStart w:id="188" w:name="_Toc420393801"/>
      <w:r>
        <w:t xml:space="preserve">Table </w:t>
      </w:r>
      <w:fldSimple w:instr=" SEQ Table \* ARABIC ">
        <w:r w:rsidR="00B2175B">
          <w:rPr>
            <w:noProof/>
          </w:rPr>
          <w:t>13</w:t>
        </w:r>
      </w:fldSimple>
      <w:bookmarkEnd w:id="187"/>
      <w:r>
        <w:t>: Transitions between PGSI groups from Wave 1 to Wave 2</w:t>
      </w:r>
      <w:bookmarkEnd w:id="18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516"/>
        <w:gridCol w:w="566"/>
        <w:gridCol w:w="693"/>
        <w:gridCol w:w="566"/>
        <w:gridCol w:w="558"/>
        <w:gridCol w:w="566"/>
        <w:gridCol w:w="682"/>
        <w:gridCol w:w="566"/>
        <w:gridCol w:w="429"/>
        <w:gridCol w:w="666"/>
        <w:gridCol w:w="650"/>
      </w:tblGrid>
      <w:tr w:rsidR="006C5D8B" w:rsidRPr="00672B00" w:rsidTr="00DB0666">
        <w:trPr>
          <w:jc w:val="center"/>
        </w:trPr>
        <w:tc>
          <w:tcPr>
            <w:tcW w:w="1949" w:type="dxa"/>
            <w:vMerge w:val="restart"/>
            <w:tcBorders>
              <w:top w:val="single" w:sz="4" w:space="0" w:color="auto"/>
            </w:tcBorders>
            <w:vAlign w:val="bottom"/>
          </w:tcPr>
          <w:p w:rsidR="006C5D8B" w:rsidRPr="00672B00" w:rsidRDefault="006C5D8B" w:rsidP="00DB0666">
            <w:pPr>
              <w:keepNext/>
              <w:keepLines/>
              <w:spacing w:before="20" w:after="20"/>
              <w:rPr>
                <w:b/>
                <w:sz w:val="20"/>
                <w:szCs w:val="20"/>
              </w:rPr>
            </w:pPr>
            <w:r w:rsidRPr="00672B00">
              <w:rPr>
                <w:b/>
                <w:sz w:val="20"/>
                <w:szCs w:val="20"/>
              </w:rPr>
              <w:t>Wave 1</w:t>
            </w:r>
          </w:p>
        </w:tc>
        <w:tc>
          <w:tcPr>
            <w:tcW w:w="5805" w:type="dxa"/>
            <w:gridSpan w:val="10"/>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Wave 2</w:t>
            </w:r>
          </w:p>
        </w:tc>
        <w:tc>
          <w:tcPr>
            <w:tcW w:w="0" w:type="auto"/>
            <w:vMerge w:val="restart"/>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i/>
                <w:sz w:val="20"/>
                <w:szCs w:val="20"/>
              </w:rPr>
            </w:pPr>
            <w:r w:rsidRPr="00672B00">
              <w:rPr>
                <w:b/>
                <w:i/>
                <w:sz w:val="20"/>
                <w:szCs w:val="20"/>
              </w:rPr>
              <w:t>Total</w:t>
            </w:r>
          </w:p>
        </w:tc>
      </w:tr>
      <w:tr w:rsidR="006C5D8B" w:rsidRPr="00672B00" w:rsidTr="00DB0666">
        <w:trPr>
          <w:jc w:val="center"/>
        </w:trPr>
        <w:tc>
          <w:tcPr>
            <w:tcW w:w="1949" w:type="dxa"/>
            <w:vMerge/>
          </w:tcPr>
          <w:p w:rsidR="006C5D8B" w:rsidRPr="00672B00" w:rsidRDefault="006C5D8B" w:rsidP="00DB0666">
            <w:pPr>
              <w:keepNext/>
              <w:keepLines/>
              <w:spacing w:before="20" w:after="20"/>
              <w:rPr>
                <w:b/>
                <w:sz w:val="20"/>
                <w:szCs w:val="20"/>
              </w:rPr>
            </w:pPr>
          </w:p>
        </w:tc>
        <w:tc>
          <w:tcPr>
            <w:tcW w:w="1052" w:type="dxa"/>
            <w:gridSpan w:val="2"/>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Non-gambler</w:t>
            </w:r>
          </w:p>
        </w:tc>
        <w:tc>
          <w:tcPr>
            <w:tcW w:w="1270" w:type="dxa"/>
            <w:gridSpan w:val="2"/>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Non-problem gambler</w:t>
            </w:r>
          </w:p>
        </w:tc>
        <w:tc>
          <w:tcPr>
            <w:tcW w:w="1130" w:type="dxa"/>
            <w:gridSpan w:val="2"/>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Low-risk gambler</w:t>
            </w:r>
          </w:p>
        </w:tc>
        <w:tc>
          <w:tcPr>
            <w:tcW w:w="1265" w:type="dxa"/>
            <w:gridSpan w:val="2"/>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Moderate-risk gambler</w:t>
            </w:r>
          </w:p>
        </w:tc>
        <w:tc>
          <w:tcPr>
            <w:tcW w:w="1088" w:type="dxa"/>
            <w:gridSpan w:val="2"/>
            <w:tcBorders>
              <w:top w:val="single" w:sz="4" w:space="0" w:color="auto"/>
              <w:bottom w:val="single" w:sz="4" w:space="0" w:color="auto"/>
            </w:tcBorders>
            <w:vAlign w:val="bottom"/>
          </w:tcPr>
          <w:p w:rsidR="006C5D8B" w:rsidRPr="00672B00" w:rsidRDefault="006C5D8B" w:rsidP="00DB0666">
            <w:pPr>
              <w:keepNext/>
              <w:keepLines/>
              <w:spacing w:before="20" w:after="20"/>
              <w:jc w:val="center"/>
              <w:rPr>
                <w:b/>
                <w:sz w:val="20"/>
                <w:szCs w:val="20"/>
              </w:rPr>
            </w:pPr>
            <w:r w:rsidRPr="00672B00">
              <w:rPr>
                <w:b/>
                <w:sz w:val="20"/>
                <w:szCs w:val="20"/>
              </w:rPr>
              <w:t>Problem gambler</w:t>
            </w:r>
          </w:p>
        </w:tc>
        <w:tc>
          <w:tcPr>
            <w:tcW w:w="0" w:type="auto"/>
            <w:vMerge/>
            <w:tcBorders>
              <w:bottom w:val="single" w:sz="4" w:space="0" w:color="auto"/>
            </w:tcBorders>
            <w:vAlign w:val="bottom"/>
          </w:tcPr>
          <w:p w:rsidR="006C5D8B" w:rsidRPr="00672B00" w:rsidRDefault="006C5D8B" w:rsidP="00DB0666">
            <w:pPr>
              <w:keepNext/>
              <w:keepLines/>
              <w:spacing w:before="20" w:after="20"/>
              <w:jc w:val="center"/>
              <w:rPr>
                <w:i/>
                <w:sz w:val="20"/>
                <w:szCs w:val="20"/>
              </w:rPr>
            </w:pPr>
          </w:p>
        </w:tc>
      </w:tr>
      <w:tr w:rsidR="006C5D8B" w:rsidRPr="00672B00" w:rsidTr="00DB0666">
        <w:trPr>
          <w:jc w:val="center"/>
        </w:trPr>
        <w:tc>
          <w:tcPr>
            <w:tcW w:w="1949" w:type="dxa"/>
            <w:vMerge/>
            <w:tcBorders>
              <w:bottom w:val="single" w:sz="4" w:space="0" w:color="auto"/>
            </w:tcBorders>
            <w:vAlign w:val="center"/>
          </w:tcPr>
          <w:p w:rsidR="006C5D8B" w:rsidRPr="00672B00" w:rsidRDefault="006C5D8B" w:rsidP="00DB0666">
            <w:pPr>
              <w:keepNext/>
              <w:keepLines/>
              <w:spacing w:before="20" w:after="20"/>
              <w:rPr>
                <w:b/>
                <w:sz w:val="20"/>
                <w:szCs w:val="20"/>
              </w:rPr>
            </w:pPr>
          </w:p>
        </w:tc>
        <w:tc>
          <w:tcPr>
            <w:tcW w:w="486"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n</w:t>
            </w:r>
          </w:p>
        </w:tc>
        <w:tc>
          <w:tcPr>
            <w:tcW w:w="566"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w:t>
            </w:r>
          </w:p>
        </w:tc>
        <w:tc>
          <w:tcPr>
            <w:tcW w:w="704"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n</w:t>
            </w:r>
          </w:p>
        </w:tc>
        <w:tc>
          <w:tcPr>
            <w:tcW w:w="566"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w:t>
            </w:r>
          </w:p>
        </w:tc>
        <w:tc>
          <w:tcPr>
            <w:tcW w:w="564"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n</w:t>
            </w:r>
          </w:p>
        </w:tc>
        <w:tc>
          <w:tcPr>
            <w:tcW w:w="566"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w:t>
            </w:r>
          </w:p>
        </w:tc>
        <w:tc>
          <w:tcPr>
            <w:tcW w:w="701"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n</w:t>
            </w:r>
          </w:p>
        </w:tc>
        <w:tc>
          <w:tcPr>
            <w:tcW w:w="564"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w:t>
            </w:r>
          </w:p>
        </w:tc>
        <w:tc>
          <w:tcPr>
            <w:tcW w:w="408"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n</w:t>
            </w:r>
          </w:p>
        </w:tc>
        <w:tc>
          <w:tcPr>
            <w:tcW w:w="680" w:type="dxa"/>
            <w:tcBorders>
              <w:top w:val="single" w:sz="4" w:space="0" w:color="auto"/>
              <w:bottom w:val="single" w:sz="4" w:space="0" w:color="auto"/>
            </w:tcBorders>
          </w:tcPr>
          <w:p w:rsidR="006C5D8B" w:rsidRPr="00672B00" w:rsidRDefault="006C5D8B" w:rsidP="00DB0666">
            <w:pPr>
              <w:keepNext/>
              <w:keepLines/>
              <w:spacing w:before="20" w:after="20"/>
              <w:jc w:val="right"/>
              <w:rPr>
                <w:b/>
                <w:sz w:val="20"/>
                <w:szCs w:val="20"/>
              </w:rPr>
            </w:pPr>
            <w:r w:rsidRPr="00672B00">
              <w:rPr>
                <w:b/>
                <w:sz w:val="20"/>
                <w:szCs w:val="20"/>
              </w:rPr>
              <w:t>%</w:t>
            </w:r>
          </w:p>
        </w:tc>
        <w:tc>
          <w:tcPr>
            <w:tcW w:w="0" w:type="auto"/>
            <w:vMerge/>
            <w:tcBorders>
              <w:bottom w:val="single" w:sz="4" w:space="0" w:color="auto"/>
            </w:tcBorders>
          </w:tcPr>
          <w:p w:rsidR="006C5D8B" w:rsidRPr="00672B00" w:rsidRDefault="006C5D8B" w:rsidP="00DB0666">
            <w:pPr>
              <w:keepNext/>
              <w:keepLines/>
              <w:spacing w:before="20" w:after="20"/>
              <w:jc w:val="center"/>
              <w:rPr>
                <w:i/>
                <w:sz w:val="20"/>
                <w:szCs w:val="20"/>
              </w:rPr>
            </w:pPr>
          </w:p>
        </w:tc>
      </w:tr>
      <w:tr w:rsidR="006C5D8B" w:rsidRPr="00672B00" w:rsidTr="00DB0666">
        <w:trPr>
          <w:jc w:val="center"/>
        </w:trPr>
        <w:tc>
          <w:tcPr>
            <w:tcW w:w="1949" w:type="dxa"/>
            <w:tcBorders>
              <w:top w:val="single" w:sz="4" w:space="0" w:color="auto"/>
            </w:tcBorders>
            <w:vAlign w:val="center"/>
          </w:tcPr>
          <w:p w:rsidR="006C5D8B" w:rsidRPr="00672B00" w:rsidRDefault="006C5D8B" w:rsidP="00DB0666">
            <w:pPr>
              <w:keepNext/>
              <w:keepLines/>
              <w:spacing w:before="20" w:after="20"/>
              <w:ind w:left="88"/>
              <w:rPr>
                <w:sz w:val="20"/>
                <w:szCs w:val="20"/>
              </w:rPr>
            </w:pPr>
            <w:r w:rsidRPr="00672B00">
              <w:rPr>
                <w:sz w:val="20"/>
                <w:szCs w:val="20"/>
              </w:rPr>
              <w:t>Non-gambler</w:t>
            </w:r>
          </w:p>
        </w:tc>
        <w:tc>
          <w:tcPr>
            <w:tcW w:w="486" w:type="dxa"/>
            <w:tcBorders>
              <w:top w:val="single" w:sz="4" w:space="0" w:color="auto"/>
            </w:tcBorders>
            <w:shd w:val="clear" w:color="auto" w:fill="FFFF00"/>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485</w:t>
            </w:r>
          </w:p>
        </w:tc>
        <w:tc>
          <w:tcPr>
            <w:tcW w:w="566" w:type="dxa"/>
            <w:tcBorders>
              <w:top w:val="single" w:sz="4" w:space="0" w:color="auto"/>
            </w:tcBorders>
            <w:shd w:val="clear" w:color="auto" w:fill="FFFF00"/>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64.7</w:t>
            </w:r>
          </w:p>
        </w:tc>
        <w:tc>
          <w:tcPr>
            <w:tcW w:w="704"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247</w:t>
            </w:r>
          </w:p>
        </w:tc>
        <w:tc>
          <w:tcPr>
            <w:tcW w:w="566"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33.0</w:t>
            </w:r>
          </w:p>
        </w:tc>
        <w:tc>
          <w:tcPr>
            <w:tcW w:w="564"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16</w:t>
            </w:r>
          </w:p>
        </w:tc>
        <w:tc>
          <w:tcPr>
            <w:tcW w:w="566"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2.1</w:t>
            </w:r>
          </w:p>
        </w:tc>
        <w:tc>
          <w:tcPr>
            <w:tcW w:w="701"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1</w:t>
            </w:r>
          </w:p>
        </w:tc>
        <w:tc>
          <w:tcPr>
            <w:tcW w:w="564"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0.1</w:t>
            </w:r>
          </w:p>
        </w:tc>
        <w:tc>
          <w:tcPr>
            <w:tcW w:w="408"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&lt;1</w:t>
            </w:r>
          </w:p>
        </w:tc>
        <w:tc>
          <w:tcPr>
            <w:tcW w:w="680" w:type="dxa"/>
            <w:tcBorders>
              <w:top w:val="single" w:sz="4" w:space="0" w:color="auto"/>
            </w:tcBorders>
            <w:shd w:val="clear" w:color="auto" w:fill="E5B8B7" w:themeFill="accent2" w:themeFillTint="66"/>
            <w:vAlign w:val="center"/>
          </w:tcPr>
          <w:p w:rsidR="006C5D8B" w:rsidRPr="00672B00" w:rsidRDefault="006C5D8B" w:rsidP="00DB0666">
            <w:pPr>
              <w:keepNext/>
              <w:keepLines/>
              <w:spacing w:before="20" w:after="20"/>
              <w:jc w:val="right"/>
              <w:rPr>
                <w:color w:val="000000"/>
                <w:sz w:val="20"/>
                <w:szCs w:val="20"/>
              </w:rPr>
            </w:pPr>
            <w:r w:rsidRPr="00672B00">
              <w:rPr>
                <w:color w:val="000000"/>
                <w:sz w:val="20"/>
                <w:szCs w:val="20"/>
              </w:rPr>
              <w:t>0.1</w:t>
            </w:r>
          </w:p>
        </w:tc>
        <w:tc>
          <w:tcPr>
            <w:tcW w:w="0" w:type="auto"/>
            <w:tcBorders>
              <w:top w:val="single" w:sz="4" w:space="0" w:color="auto"/>
            </w:tcBorders>
            <w:vAlign w:val="center"/>
          </w:tcPr>
          <w:p w:rsidR="006C5D8B" w:rsidRPr="00672B00" w:rsidRDefault="006C5D8B" w:rsidP="00DB0666">
            <w:pPr>
              <w:keepNext/>
              <w:keepLines/>
              <w:spacing w:before="20" w:after="20"/>
              <w:jc w:val="right"/>
              <w:rPr>
                <w:i/>
                <w:color w:val="000000"/>
                <w:sz w:val="20"/>
                <w:szCs w:val="20"/>
              </w:rPr>
            </w:pPr>
            <w:r w:rsidRPr="00672B00">
              <w:rPr>
                <w:i/>
                <w:color w:val="000000"/>
                <w:sz w:val="20"/>
                <w:szCs w:val="20"/>
              </w:rPr>
              <w:t>748</w:t>
            </w:r>
          </w:p>
        </w:tc>
      </w:tr>
      <w:tr w:rsidR="006C5D8B" w:rsidRPr="00672B00" w:rsidTr="00DB0666">
        <w:trPr>
          <w:jc w:val="center"/>
        </w:trPr>
        <w:tc>
          <w:tcPr>
            <w:tcW w:w="1949" w:type="dxa"/>
            <w:vAlign w:val="center"/>
          </w:tcPr>
          <w:p w:rsidR="006C5D8B" w:rsidRPr="00672B00" w:rsidRDefault="006C5D8B" w:rsidP="00DB0666">
            <w:pPr>
              <w:spacing w:before="20" w:after="20"/>
              <w:ind w:left="88"/>
              <w:rPr>
                <w:sz w:val="20"/>
                <w:szCs w:val="20"/>
              </w:rPr>
            </w:pPr>
            <w:r w:rsidRPr="00672B00">
              <w:rPr>
                <w:sz w:val="20"/>
                <w:szCs w:val="20"/>
              </w:rPr>
              <w:t>Non-problem gambler</w:t>
            </w:r>
          </w:p>
        </w:tc>
        <w:tc>
          <w:tcPr>
            <w:tcW w:w="48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327</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11.9</w:t>
            </w:r>
          </w:p>
        </w:tc>
        <w:tc>
          <w:tcPr>
            <w:tcW w:w="704"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2267</w:t>
            </w:r>
          </w:p>
        </w:tc>
        <w:tc>
          <w:tcPr>
            <w:tcW w:w="566"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82.5</w:t>
            </w:r>
          </w:p>
        </w:tc>
        <w:tc>
          <w:tcPr>
            <w:tcW w:w="564"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133</w:t>
            </w:r>
          </w:p>
        </w:tc>
        <w:tc>
          <w:tcPr>
            <w:tcW w:w="566"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4.8</w:t>
            </w:r>
          </w:p>
        </w:tc>
        <w:tc>
          <w:tcPr>
            <w:tcW w:w="701"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19</w:t>
            </w:r>
          </w:p>
        </w:tc>
        <w:tc>
          <w:tcPr>
            <w:tcW w:w="564"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0.7</w:t>
            </w:r>
          </w:p>
        </w:tc>
        <w:tc>
          <w:tcPr>
            <w:tcW w:w="408"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3</w:t>
            </w:r>
          </w:p>
        </w:tc>
        <w:tc>
          <w:tcPr>
            <w:tcW w:w="680"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0.1</w:t>
            </w:r>
          </w:p>
        </w:tc>
        <w:tc>
          <w:tcPr>
            <w:tcW w:w="0" w:type="auto"/>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2749</w:t>
            </w:r>
          </w:p>
        </w:tc>
      </w:tr>
      <w:tr w:rsidR="006C5D8B" w:rsidRPr="00672B00" w:rsidTr="00DB0666">
        <w:trPr>
          <w:jc w:val="center"/>
        </w:trPr>
        <w:tc>
          <w:tcPr>
            <w:tcW w:w="1949" w:type="dxa"/>
            <w:vAlign w:val="center"/>
          </w:tcPr>
          <w:p w:rsidR="006C5D8B" w:rsidRPr="00672B00" w:rsidRDefault="006C5D8B" w:rsidP="00DB0666">
            <w:pPr>
              <w:spacing w:before="20" w:after="20"/>
              <w:ind w:left="88"/>
              <w:rPr>
                <w:sz w:val="20"/>
                <w:szCs w:val="20"/>
              </w:rPr>
            </w:pPr>
            <w:r w:rsidRPr="00672B00">
              <w:rPr>
                <w:sz w:val="20"/>
                <w:szCs w:val="20"/>
              </w:rPr>
              <w:t>Low-risk gambler</w:t>
            </w:r>
          </w:p>
        </w:tc>
        <w:tc>
          <w:tcPr>
            <w:tcW w:w="48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13</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7.2</w:t>
            </w:r>
          </w:p>
        </w:tc>
        <w:tc>
          <w:tcPr>
            <w:tcW w:w="70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97</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54.6</w:t>
            </w:r>
          </w:p>
        </w:tc>
        <w:tc>
          <w:tcPr>
            <w:tcW w:w="564"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46</w:t>
            </w:r>
          </w:p>
        </w:tc>
        <w:tc>
          <w:tcPr>
            <w:tcW w:w="566"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25.7</w:t>
            </w:r>
          </w:p>
        </w:tc>
        <w:tc>
          <w:tcPr>
            <w:tcW w:w="701"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21</w:t>
            </w:r>
          </w:p>
        </w:tc>
        <w:tc>
          <w:tcPr>
            <w:tcW w:w="564"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11.7</w:t>
            </w:r>
          </w:p>
        </w:tc>
        <w:tc>
          <w:tcPr>
            <w:tcW w:w="408"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w:t>
            </w:r>
          </w:p>
        </w:tc>
        <w:tc>
          <w:tcPr>
            <w:tcW w:w="680"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0.8</w:t>
            </w:r>
          </w:p>
        </w:tc>
        <w:tc>
          <w:tcPr>
            <w:tcW w:w="0" w:type="auto"/>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178</w:t>
            </w:r>
          </w:p>
        </w:tc>
      </w:tr>
      <w:tr w:rsidR="006C5D8B" w:rsidRPr="00672B00" w:rsidTr="00DB0666">
        <w:trPr>
          <w:jc w:val="center"/>
        </w:trPr>
        <w:tc>
          <w:tcPr>
            <w:tcW w:w="1949" w:type="dxa"/>
            <w:vAlign w:val="center"/>
          </w:tcPr>
          <w:p w:rsidR="006C5D8B" w:rsidRPr="00672B00" w:rsidRDefault="006C5D8B" w:rsidP="00DB0666">
            <w:pPr>
              <w:spacing w:before="20" w:after="20"/>
              <w:ind w:left="88"/>
              <w:rPr>
                <w:sz w:val="20"/>
                <w:szCs w:val="20"/>
              </w:rPr>
            </w:pPr>
            <w:r w:rsidRPr="00672B00">
              <w:rPr>
                <w:sz w:val="20"/>
                <w:szCs w:val="20"/>
              </w:rPr>
              <w:t>Moderate-risk gambler</w:t>
            </w:r>
          </w:p>
        </w:tc>
        <w:tc>
          <w:tcPr>
            <w:tcW w:w="48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4</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6.9</w:t>
            </w:r>
          </w:p>
        </w:tc>
        <w:tc>
          <w:tcPr>
            <w:tcW w:w="70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16</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30.7</w:t>
            </w:r>
          </w:p>
        </w:tc>
        <w:tc>
          <w:tcPr>
            <w:tcW w:w="56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14</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25.3</w:t>
            </w:r>
          </w:p>
        </w:tc>
        <w:tc>
          <w:tcPr>
            <w:tcW w:w="701"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15</w:t>
            </w:r>
          </w:p>
        </w:tc>
        <w:tc>
          <w:tcPr>
            <w:tcW w:w="564"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27.5</w:t>
            </w:r>
          </w:p>
        </w:tc>
        <w:tc>
          <w:tcPr>
            <w:tcW w:w="408"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5</w:t>
            </w:r>
          </w:p>
        </w:tc>
        <w:tc>
          <w:tcPr>
            <w:tcW w:w="680" w:type="dxa"/>
            <w:shd w:val="clear" w:color="auto" w:fill="E5B8B7" w:themeFill="accent2"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9.6</w:t>
            </w:r>
          </w:p>
        </w:tc>
        <w:tc>
          <w:tcPr>
            <w:tcW w:w="0" w:type="auto"/>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53</w:t>
            </w:r>
          </w:p>
        </w:tc>
      </w:tr>
      <w:tr w:rsidR="006C5D8B" w:rsidRPr="00672B00" w:rsidTr="00DB0666">
        <w:trPr>
          <w:jc w:val="center"/>
        </w:trPr>
        <w:tc>
          <w:tcPr>
            <w:tcW w:w="1949" w:type="dxa"/>
            <w:vAlign w:val="center"/>
          </w:tcPr>
          <w:p w:rsidR="006C5D8B" w:rsidRPr="00672B00" w:rsidRDefault="006C5D8B" w:rsidP="00DB0666">
            <w:pPr>
              <w:spacing w:before="20" w:after="20"/>
              <w:ind w:left="88"/>
              <w:rPr>
                <w:sz w:val="20"/>
                <w:szCs w:val="20"/>
              </w:rPr>
            </w:pPr>
            <w:r w:rsidRPr="00672B00">
              <w:rPr>
                <w:sz w:val="20"/>
                <w:szCs w:val="20"/>
              </w:rPr>
              <w:t>Problem gambler</w:t>
            </w:r>
          </w:p>
        </w:tc>
        <w:tc>
          <w:tcPr>
            <w:tcW w:w="48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0</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0.0</w:t>
            </w:r>
          </w:p>
        </w:tc>
        <w:tc>
          <w:tcPr>
            <w:tcW w:w="70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6</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32.6</w:t>
            </w:r>
          </w:p>
        </w:tc>
        <w:tc>
          <w:tcPr>
            <w:tcW w:w="56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2</w:t>
            </w:r>
          </w:p>
        </w:tc>
        <w:tc>
          <w:tcPr>
            <w:tcW w:w="566"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13.6</w:t>
            </w:r>
          </w:p>
        </w:tc>
        <w:tc>
          <w:tcPr>
            <w:tcW w:w="701"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2</w:t>
            </w:r>
          </w:p>
        </w:tc>
        <w:tc>
          <w:tcPr>
            <w:tcW w:w="564" w:type="dxa"/>
            <w:shd w:val="clear" w:color="auto" w:fill="D6E3BC" w:themeFill="accent3" w:themeFillTint="66"/>
            <w:vAlign w:val="center"/>
          </w:tcPr>
          <w:p w:rsidR="006C5D8B" w:rsidRPr="00672B00" w:rsidRDefault="006C5D8B" w:rsidP="00DB0666">
            <w:pPr>
              <w:spacing w:before="20" w:after="20"/>
              <w:jc w:val="right"/>
              <w:rPr>
                <w:color w:val="000000"/>
                <w:sz w:val="20"/>
                <w:szCs w:val="20"/>
              </w:rPr>
            </w:pPr>
            <w:r w:rsidRPr="00672B00">
              <w:rPr>
                <w:color w:val="000000"/>
                <w:sz w:val="20"/>
                <w:szCs w:val="20"/>
              </w:rPr>
              <w:t>9.7</w:t>
            </w:r>
          </w:p>
        </w:tc>
        <w:tc>
          <w:tcPr>
            <w:tcW w:w="408"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7</w:t>
            </w:r>
          </w:p>
        </w:tc>
        <w:tc>
          <w:tcPr>
            <w:tcW w:w="680" w:type="dxa"/>
            <w:shd w:val="clear" w:color="auto" w:fill="FFFF00"/>
            <w:vAlign w:val="center"/>
          </w:tcPr>
          <w:p w:rsidR="006C5D8B" w:rsidRPr="00672B00" w:rsidRDefault="006C5D8B" w:rsidP="00DB0666">
            <w:pPr>
              <w:spacing w:before="20" w:after="20"/>
              <w:jc w:val="right"/>
              <w:rPr>
                <w:color w:val="000000"/>
                <w:sz w:val="20"/>
                <w:szCs w:val="20"/>
              </w:rPr>
            </w:pPr>
            <w:r w:rsidRPr="00672B00">
              <w:rPr>
                <w:color w:val="000000"/>
                <w:sz w:val="20"/>
                <w:szCs w:val="20"/>
              </w:rPr>
              <w:t>44.1</w:t>
            </w:r>
          </w:p>
        </w:tc>
        <w:tc>
          <w:tcPr>
            <w:tcW w:w="0" w:type="auto"/>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17</w:t>
            </w:r>
          </w:p>
        </w:tc>
      </w:tr>
      <w:tr w:rsidR="006C5D8B" w:rsidRPr="00672B00" w:rsidTr="00DB0666">
        <w:trPr>
          <w:jc w:val="center"/>
        </w:trPr>
        <w:tc>
          <w:tcPr>
            <w:tcW w:w="1949" w:type="dxa"/>
            <w:tcBorders>
              <w:bottom w:val="single" w:sz="4" w:space="0" w:color="auto"/>
            </w:tcBorders>
            <w:vAlign w:val="center"/>
          </w:tcPr>
          <w:p w:rsidR="006C5D8B" w:rsidRPr="00672B00" w:rsidRDefault="006C5D8B" w:rsidP="00DB0666">
            <w:pPr>
              <w:spacing w:before="20" w:after="20"/>
              <w:ind w:left="88"/>
              <w:rPr>
                <w:i/>
                <w:sz w:val="20"/>
                <w:szCs w:val="20"/>
              </w:rPr>
            </w:pPr>
            <w:r w:rsidRPr="00672B00">
              <w:rPr>
                <w:i/>
                <w:sz w:val="20"/>
                <w:szCs w:val="20"/>
              </w:rPr>
              <w:t>Total</w:t>
            </w:r>
          </w:p>
        </w:tc>
        <w:tc>
          <w:tcPr>
            <w:tcW w:w="486"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828</w:t>
            </w:r>
          </w:p>
        </w:tc>
        <w:tc>
          <w:tcPr>
            <w:tcW w:w="566"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22.1</w:t>
            </w:r>
          </w:p>
        </w:tc>
        <w:tc>
          <w:tcPr>
            <w:tcW w:w="704"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2633</w:t>
            </w:r>
          </w:p>
        </w:tc>
        <w:tc>
          <w:tcPr>
            <w:tcW w:w="566"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70.3</w:t>
            </w:r>
          </w:p>
        </w:tc>
        <w:tc>
          <w:tcPr>
            <w:tcW w:w="564"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210</w:t>
            </w:r>
          </w:p>
        </w:tc>
        <w:tc>
          <w:tcPr>
            <w:tcW w:w="566"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5.6</w:t>
            </w:r>
          </w:p>
        </w:tc>
        <w:tc>
          <w:tcPr>
            <w:tcW w:w="701"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57</w:t>
            </w:r>
          </w:p>
        </w:tc>
        <w:tc>
          <w:tcPr>
            <w:tcW w:w="564"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1.5</w:t>
            </w:r>
          </w:p>
        </w:tc>
        <w:tc>
          <w:tcPr>
            <w:tcW w:w="408"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18</w:t>
            </w:r>
          </w:p>
        </w:tc>
        <w:tc>
          <w:tcPr>
            <w:tcW w:w="680" w:type="dxa"/>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0.5</w:t>
            </w:r>
          </w:p>
        </w:tc>
        <w:tc>
          <w:tcPr>
            <w:tcW w:w="0" w:type="auto"/>
            <w:tcBorders>
              <w:bottom w:val="single" w:sz="4" w:space="0" w:color="auto"/>
            </w:tcBorders>
            <w:vAlign w:val="center"/>
          </w:tcPr>
          <w:p w:rsidR="006C5D8B" w:rsidRPr="00672B00" w:rsidRDefault="006C5D8B" w:rsidP="00DB0666">
            <w:pPr>
              <w:spacing w:before="20" w:after="20"/>
              <w:jc w:val="right"/>
              <w:rPr>
                <w:i/>
                <w:color w:val="000000"/>
                <w:sz w:val="20"/>
                <w:szCs w:val="20"/>
              </w:rPr>
            </w:pPr>
            <w:r w:rsidRPr="00672B00">
              <w:rPr>
                <w:i/>
                <w:color w:val="000000"/>
                <w:sz w:val="20"/>
                <w:szCs w:val="20"/>
              </w:rPr>
              <w:t>3746</w:t>
            </w:r>
          </w:p>
        </w:tc>
      </w:tr>
    </w:tbl>
    <w:p w:rsidR="006C5D8B" w:rsidRPr="00672B00" w:rsidRDefault="006C5D8B" w:rsidP="006C5D8B">
      <w:pPr>
        <w:rPr>
          <w:sz w:val="20"/>
        </w:rPr>
      </w:pPr>
      <w:r w:rsidRPr="00672B00">
        <w:rPr>
          <w:sz w:val="20"/>
        </w:rPr>
        <w:t>Data weighted for 2013 Census data and attrition</w:t>
      </w:r>
    </w:p>
    <w:p w:rsidR="006C5D8B" w:rsidRPr="00672B00" w:rsidRDefault="006C5D8B" w:rsidP="006C5D8B">
      <w:pPr>
        <w:rPr>
          <w:sz w:val="20"/>
        </w:rPr>
      </w:pPr>
      <w:r w:rsidRPr="00672B00">
        <w:rPr>
          <w:sz w:val="20"/>
        </w:rPr>
        <w:t>Totals do not always add up due to rounding</w:t>
      </w:r>
    </w:p>
    <w:p w:rsidR="006C5D8B" w:rsidRDefault="006C5D8B" w:rsidP="006C5D8B"/>
    <w:p w:rsidR="006C5D8B" w:rsidRPr="00672B00" w:rsidRDefault="006C5D8B" w:rsidP="006C5D8B">
      <w:pPr>
        <w:rPr>
          <w:sz w:val="20"/>
        </w:rPr>
      </w:pPr>
      <w:r w:rsidRPr="00672B00">
        <w:rPr>
          <w:sz w:val="20"/>
        </w:rPr>
        <w:t xml:space="preserve">Table key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835"/>
      </w:tblGrid>
      <w:tr w:rsidR="006C5D8B" w:rsidRPr="00672B00" w:rsidTr="00DB0666">
        <w:tc>
          <w:tcPr>
            <w:tcW w:w="993" w:type="dxa"/>
            <w:shd w:val="clear" w:color="auto" w:fill="FFFF00"/>
          </w:tcPr>
          <w:p w:rsidR="006C5D8B" w:rsidRPr="00672B00" w:rsidRDefault="006C5D8B" w:rsidP="00DB0666">
            <w:pPr>
              <w:rPr>
                <w:sz w:val="20"/>
              </w:rPr>
            </w:pPr>
          </w:p>
        </w:tc>
        <w:tc>
          <w:tcPr>
            <w:tcW w:w="2835" w:type="dxa"/>
          </w:tcPr>
          <w:p w:rsidR="006C5D8B" w:rsidRPr="00672B00" w:rsidRDefault="006C5D8B" w:rsidP="00DB0666">
            <w:pPr>
              <w:rPr>
                <w:sz w:val="20"/>
              </w:rPr>
            </w:pPr>
            <w:r w:rsidRPr="00672B00">
              <w:rPr>
                <w:sz w:val="20"/>
              </w:rPr>
              <w:t>No change</w:t>
            </w:r>
          </w:p>
        </w:tc>
      </w:tr>
      <w:tr w:rsidR="006C5D8B" w:rsidRPr="00672B00" w:rsidTr="00DB0666">
        <w:tc>
          <w:tcPr>
            <w:tcW w:w="993" w:type="dxa"/>
            <w:shd w:val="clear" w:color="auto" w:fill="E5B8B7" w:themeFill="accent2" w:themeFillTint="66"/>
          </w:tcPr>
          <w:p w:rsidR="006C5D8B" w:rsidRPr="00672B00" w:rsidRDefault="006C5D8B" w:rsidP="00DB0666">
            <w:pPr>
              <w:rPr>
                <w:sz w:val="20"/>
              </w:rPr>
            </w:pPr>
          </w:p>
        </w:tc>
        <w:tc>
          <w:tcPr>
            <w:tcW w:w="2835" w:type="dxa"/>
          </w:tcPr>
          <w:p w:rsidR="006C5D8B" w:rsidRPr="00672B00" w:rsidRDefault="006C5D8B" w:rsidP="00DB0666">
            <w:pPr>
              <w:rPr>
                <w:sz w:val="20"/>
              </w:rPr>
            </w:pPr>
            <w:r w:rsidRPr="00672B00">
              <w:rPr>
                <w:sz w:val="20"/>
              </w:rPr>
              <w:t>Transition to a higher risk level</w:t>
            </w:r>
          </w:p>
        </w:tc>
      </w:tr>
      <w:tr w:rsidR="006C5D8B" w:rsidRPr="00672B00" w:rsidTr="00DB0666">
        <w:tc>
          <w:tcPr>
            <w:tcW w:w="993" w:type="dxa"/>
            <w:shd w:val="clear" w:color="auto" w:fill="D6E3BC" w:themeFill="accent3" w:themeFillTint="66"/>
          </w:tcPr>
          <w:p w:rsidR="006C5D8B" w:rsidRPr="00672B00" w:rsidRDefault="006C5D8B" w:rsidP="00DB0666">
            <w:pPr>
              <w:rPr>
                <w:sz w:val="20"/>
              </w:rPr>
            </w:pPr>
          </w:p>
        </w:tc>
        <w:tc>
          <w:tcPr>
            <w:tcW w:w="2835" w:type="dxa"/>
          </w:tcPr>
          <w:p w:rsidR="006C5D8B" w:rsidRPr="00672B00" w:rsidRDefault="006C5D8B" w:rsidP="00DB0666">
            <w:pPr>
              <w:rPr>
                <w:sz w:val="20"/>
              </w:rPr>
            </w:pPr>
            <w:r w:rsidRPr="00672B00">
              <w:rPr>
                <w:sz w:val="20"/>
              </w:rPr>
              <w:t>Transition to a lower risk level</w:t>
            </w:r>
          </w:p>
        </w:tc>
      </w:tr>
    </w:tbl>
    <w:p w:rsidR="006C5D8B" w:rsidRDefault="006C5D8B" w:rsidP="006C5D8B"/>
    <w:p w:rsidR="006C5D8B" w:rsidRDefault="006C5D8B" w:rsidP="00815B8D">
      <w:pPr>
        <w:jc w:val="both"/>
      </w:pPr>
    </w:p>
    <w:p w:rsidR="00A40777" w:rsidRDefault="00A40777" w:rsidP="00815B8D">
      <w:pPr>
        <w:jc w:val="both"/>
      </w:pPr>
      <w:r w:rsidRPr="005F35BD">
        <w:rPr>
          <w:b/>
        </w:rPr>
        <w:t>Stability</w:t>
      </w:r>
    </w:p>
    <w:p w:rsidR="00A40777" w:rsidRPr="00A40777" w:rsidRDefault="00A40777" w:rsidP="00815B8D">
      <w:pPr>
        <w:jc w:val="both"/>
      </w:pPr>
    </w:p>
    <w:p w:rsidR="00815B8D" w:rsidRDefault="005F35BD" w:rsidP="00815B8D">
      <w:pPr>
        <w:jc w:val="both"/>
      </w:pPr>
      <w:r>
        <w:t>Non-gamblers and non-problem gamblers were the most stable groups with a majority remaining in those categories from Wave 1 to Wave 2 (65% and 82.5% respectively).  Problem gamblers were the next most stable group with 44% staying in that category.  Participants in the low-risk and moderate-risk gambling groups were the least stable with only 26% and 27.5% respectively staying in those groups in Wave 2.</w:t>
      </w:r>
    </w:p>
    <w:p w:rsidR="005F35BD" w:rsidRDefault="005F35BD" w:rsidP="00815B8D">
      <w:pPr>
        <w:jc w:val="both"/>
      </w:pPr>
    </w:p>
    <w:p w:rsidR="005F35BD" w:rsidRDefault="005F35BD" w:rsidP="00815B8D">
      <w:pPr>
        <w:jc w:val="both"/>
      </w:pPr>
    </w:p>
    <w:p w:rsidR="005F35BD" w:rsidRDefault="005F35BD" w:rsidP="00FA2407">
      <w:pPr>
        <w:keepNext/>
        <w:jc w:val="both"/>
      </w:pPr>
      <w:r>
        <w:rPr>
          <w:b/>
        </w:rPr>
        <w:t>Transition to increased risk status</w:t>
      </w:r>
    </w:p>
    <w:p w:rsidR="005F35BD" w:rsidRDefault="005F35BD" w:rsidP="00FA2407">
      <w:pPr>
        <w:keepNext/>
        <w:jc w:val="both"/>
      </w:pPr>
    </w:p>
    <w:p w:rsidR="005F35BD" w:rsidRDefault="005F35BD" w:rsidP="00FA2407">
      <w:pPr>
        <w:keepNext/>
        <w:jc w:val="both"/>
      </w:pPr>
      <w:r>
        <w:t>One-third (33%) of non-gamblers from Wave 1 commenced gambling and were non-problem gamblers in Wave 2.  A very small percentage (2%) gambled in a risky manner and 0.1% transitioned into the problem gambler category.</w:t>
      </w:r>
    </w:p>
    <w:p w:rsidR="005F35BD" w:rsidRDefault="005F35BD" w:rsidP="00815B8D">
      <w:pPr>
        <w:jc w:val="both"/>
      </w:pPr>
    </w:p>
    <w:p w:rsidR="005F35BD" w:rsidRDefault="005F35BD" w:rsidP="00815B8D">
      <w:pPr>
        <w:jc w:val="both"/>
      </w:pPr>
      <w:r>
        <w:lastRenderedPageBreak/>
        <w:t>A small proportion (about 5%) of Wave 1 non-problem gamblers transitioned to risky gambling and</w:t>
      </w:r>
      <w:r w:rsidR="00A463DC">
        <w:t>,</w:t>
      </w:r>
      <w:r>
        <w:t xml:space="preserve"> as for the non-gambler category, 0.1% transitioned into the problem gambler category.</w:t>
      </w:r>
    </w:p>
    <w:p w:rsidR="005F35BD" w:rsidRDefault="005F35BD" w:rsidP="00815B8D">
      <w:pPr>
        <w:jc w:val="both"/>
      </w:pPr>
    </w:p>
    <w:p w:rsidR="005F35BD" w:rsidRDefault="005F35BD" w:rsidP="00815B8D">
      <w:pPr>
        <w:jc w:val="both"/>
      </w:pPr>
      <w:r>
        <w:t>Twelve percent of Wave 1 low-risk gamblers were moderate-risk gamblers in Wave 2 and 0.8% ha</w:t>
      </w:r>
      <w:r w:rsidR="00100322">
        <w:t>d</w:t>
      </w:r>
      <w:r>
        <w:t xml:space="preserve"> transitioned to problem gambler. </w:t>
      </w:r>
    </w:p>
    <w:p w:rsidR="00100322" w:rsidRDefault="00100322" w:rsidP="00815B8D">
      <w:pPr>
        <w:jc w:val="both"/>
      </w:pPr>
    </w:p>
    <w:p w:rsidR="00100322" w:rsidRDefault="00100322" w:rsidP="00815B8D">
      <w:pPr>
        <w:jc w:val="both"/>
      </w:pPr>
      <w:r>
        <w:t>Ten percent of Wave 1 moderate-risk gamblers were problem gamblers in Wave 2.</w:t>
      </w:r>
    </w:p>
    <w:p w:rsidR="00100322" w:rsidRDefault="00100322" w:rsidP="00815B8D">
      <w:pPr>
        <w:jc w:val="both"/>
      </w:pPr>
    </w:p>
    <w:p w:rsidR="00100322" w:rsidRDefault="00100322" w:rsidP="00815B8D">
      <w:pPr>
        <w:jc w:val="both"/>
      </w:pPr>
    </w:p>
    <w:p w:rsidR="00100322" w:rsidRPr="00100322" w:rsidRDefault="00100322" w:rsidP="00815B8D">
      <w:pPr>
        <w:jc w:val="both"/>
      </w:pPr>
      <w:r>
        <w:rPr>
          <w:b/>
        </w:rPr>
        <w:t>Transition to decreased risk status</w:t>
      </w:r>
    </w:p>
    <w:p w:rsidR="005F35BD" w:rsidRDefault="005F35BD" w:rsidP="00815B8D">
      <w:pPr>
        <w:jc w:val="both"/>
      </w:pPr>
    </w:p>
    <w:p w:rsidR="005F35BD" w:rsidRDefault="002D4489" w:rsidP="00815B8D">
      <w:pPr>
        <w:jc w:val="both"/>
      </w:pPr>
      <w:r w:rsidRPr="002D4489">
        <w:rPr>
          <w:szCs w:val="22"/>
        </w:rPr>
        <w:t>Of those who were problem gamblers in 2012, 55.9% (CI 35.0 - 76.8), approximately</w:t>
      </w:r>
      <w:r>
        <w:rPr>
          <w:szCs w:val="22"/>
        </w:rPr>
        <w:t xml:space="preserve"> 7,261 </w:t>
      </w:r>
      <w:r w:rsidRPr="002D4489">
        <w:rPr>
          <w:szCs w:val="22"/>
        </w:rPr>
        <w:t>people (CI 4,546 - 9,976), were no longer problem gamblers in 2013; 9.7% became moderate-risk gamblers and 46.2% became low-risk or non-problem gamblers.</w:t>
      </w:r>
      <w:r>
        <w:rPr>
          <w:szCs w:val="22"/>
        </w:rPr>
        <w:t xml:space="preserve">  </w:t>
      </w:r>
      <w:r w:rsidR="00100322">
        <w:t>One-third (33%)</w:t>
      </w:r>
      <w:r w:rsidR="00FE17F2">
        <w:t xml:space="preserve"> o</w:t>
      </w:r>
      <w:r w:rsidR="00A463DC">
        <w:t>f</w:t>
      </w:r>
      <w:r w:rsidR="00FE17F2">
        <w:t xml:space="preserve"> problem gamblers </w:t>
      </w:r>
      <w:r w:rsidR="00A463DC">
        <w:t xml:space="preserve">from Wave 1 </w:t>
      </w:r>
      <w:r w:rsidR="00FE17F2">
        <w:t xml:space="preserve">had moved into the </w:t>
      </w:r>
      <w:r w:rsidR="00A463DC">
        <w:t>non-problem gambler category in Wave 2.  None of the Wave 1 problem gamblers stopped gambling.</w:t>
      </w:r>
    </w:p>
    <w:p w:rsidR="002D4489" w:rsidRDefault="002D4489" w:rsidP="00815B8D">
      <w:pPr>
        <w:jc w:val="both"/>
      </w:pPr>
    </w:p>
    <w:p w:rsidR="005F35BD" w:rsidRDefault="002D4489" w:rsidP="00815B8D">
      <w:pPr>
        <w:jc w:val="both"/>
      </w:pPr>
      <w:r w:rsidRPr="002D4489">
        <w:rPr>
          <w:szCs w:val="22"/>
        </w:rPr>
        <w:t>Of those who were moderate-risk gamblers in 2012, 62.9% (CI 49.3 - 76.5), approximately 25,782 people (CI 20,207 - 31,356) were no longer moderate-risk or problem gamblers in 2013.</w:t>
      </w:r>
      <w:r>
        <w:rPr>
          <w:szCs w:val="22"/>
        </w:rPr>
        <w:t xml:space="preserve">  </w:t>
      </w:r>
      <w:r w:rsidR="00672B00">
        <w:t>Overall, o</w:t>
      </w:r>
      <w:r w:rsidR="00A463DC">
        <w:t>ver half (56%) of Wave 1 moderate-risk gamblers had transitioned into the low-risk (25%) or non-problem gambler (31%) categories in Wave 2; seven percent stopped gambling.</w:t>
      </w:r>
    </w:p>
    <w:p w:rsidR="00A463DC" w:rsidRDefault="00A463DC" w:rsidP="00815B8D">
      <w:pPr>
        <w:jc w:val="both"/>
      </w:pPr>
    </w:p>
    <w:p w:rsidR="00A463DC" w:rsidRDefault="00A463DC" w:rsidP="00A463DC">
      <w:pPr>
        <w:jc w:val="both"/>
      </w:pPr>
      <w:r>
        <w:t>Over half (55%) of Wave 1 low-risk gamblers had transitioned into the non-problem gambler category in Wave 2; seven percent stopped gambling.</w:t>
      </w:r>
    </w:p>
    <w:p w:rsidR="00A463DC" w:rsidRDefault="00A463DC" w:rsidP="00A463DC">
      <w:pPr>
        <w:jc w:val="both"/>
      </w:pPr>
    </w:p>
    <w:p w:rsidR="00A463DC" w:rsidRDefault="00A463DC" w:rsidP="00A463DC">
      <w:pPr>
        <w:jc w:val="both"/>
      </w:pPr>
      <w:r>
        <w:t>Twelve percent of Wave 1 non-problem gamblers stopped gambling in Wave 2.</w:t>
      </w:r>
    </w:p>
    <w:p w:rsidR="00672B00" w:rsidRDefault="00672B00" w:rsidP="00A463DC">
      <w:pPr>
        <w:jc w:val="both"/>
      </w:pPr>
    </w:p>
    <w:p w:rsidR="009B3741" w:rsidRPr="009B3741" w:rsidRDefault="009B3741" w:rsidP="009B3741">
      <w:pPr>
        <w:pStyle w:val="Heading3b"/>
        <w:keepNext w:val="0"/>
        <w:numPr>
          <w:ilvl w:val="2"/>
          <w:numId w:val="41"/>
        </w:numPr>
        <w:ind w:left="709"/>
        <w:rPr>
          <w:rFonts w:ascii="Times New Roman" w:hAnsi="Times New Roman" w:cs="Times New Roman"/>
          <w:b/>
        </w:rPr>
      </w:pPr>
      <w:bookmarkStart w:id="189" w:name="_Ref405906714"/>
      <w:bookmarkStart w:id="190" w:name="_Ref408406837"/>
      <w:bookmarkStart w:id="191" w:name="_Ref408406878"/>
      <w:bookmarkStart w:id="192" w:name="_Ref408406895"/>
      <w:bookmarkStart w:id="193" w:name="_Ref408406930"/>
      <w:bookmarkStart w:id="194" w:name="_Ref408406979"/>
      <w:bookmarkStart w:id="195" w:name="_Toc420392613"/>
      <w:r w:rsidRPr="009B3741">
        <w:rPr>
          <w:rFonts w:ascii="Times New Roman" w:hAnsi="Times New Roman" w:cs="Times New Roman"/>
          <w:b/>
        </w:rPr>
        <w:t>Incidence</w:t>
      </w:r>
      <w:bookmarkEnd w:id="189"/>
      <w:bookmarkEnd w:id="190"/>
      <w:bookmarkEnd w:id="191"/>
      <w:bookmarkEnd w:id="192"/>
      <w:bookmarkEnd w:id="193"/>
      <w:bookmarkEnd w:id="194"/>
      <w:r w:rsidR="00AC4428">
        <w:rPr>
          <w:rFonts w:ascii="Times New Roman" w:hAnsi="Times New Roman" w:cs="Times New Roman"/>
          <w:b/>
        </w:rPr>
        <w:t xml:space="preserve"> and relapse</w:t>
      </w:r>
      <w:bookmarkEnd w:id="195"/>
    </w:p>
    <w:p w:rsidR="009B3741" w:rsidRDefault="009B3741" w:rsidP="009B3741">
      <w:pPr>
        <w:jc w:val="both"/>
        <w:rPr>
          <w:i/>
          <w:szCs w:val="22"/>
        </w:rPr>
      </w:pPr>
    </w:p>
    <w:p w:rsidR="009B3741" w:rsidRDefault="009B3741" w:rsidP="009B3741">
      <w:pPr>
        <w:jc w:val="both"/>
        <w:rPr>
          <w:szCs w:val="22"/>
        </w:rPr>
      </w:pPr>
      <w:r>
        <w:rPr>
          <w:szCs w:val="22"/>
        </w:rPr>
        <w:t xml:space="preserve">In the 12 months from Wave 1 to Wave 2, the number of participants who became problem gamblers was 10 </w:t>
      </w:r>
      <w:r w:rsidR="00FC7E13">
        <w:rPr>
          <w:szCs w:val="22"/>
        </w:rPr>
        <w:t xml:space="preserve">(adjusted data) </w:t>
      </w:r>
      <w:r>
        <w:rPr>
          <w:szCs w:val="22"/>
        </w:rPr>
        <w:t>which is an incidence rate of 0.2</w:t>
      </w:r>
      <w:r w:rsidR="0019390F">
        <w:rPr>
          <w:szCs w:val="22"/>
        </w:rPr>
        <w:t>8</w:t>
      </w:r>
      <w:r>
        <w:rPr>
          <w:szCs w:val="22"/>
        </w:rPr>
        <w:t xml:space="preserve">%.  As this study is nationally representative, </w:t>
      </w:r>
      <w:r w:rsidRPr="00AC4428">
        <w:rPr>
          <w:b/>
          <w:szCs w:val="22"/>
        </w:rPr>
        <w:t>the estimated incidence rate</w:t>
      </w:r>
      <w:r>
        <w:rPr>
          <w:szCs w:val="22"/>
        </w:rPr>
        <w:t xml:space="preserve"> for the New Zealand population </w:t>
      </w:r>
      <w:r w:rsidR="00193F41">
        <w:rPr>
          <w:szCs w:val="22"/>
        </w:rPr>
        <w:t>becoming a problem gambler i</w:t>
      </w:r>
      <w:r>
        <w:rPr>
          <w:szCs w:val="22"/>
        </w:rPr>
        <w:t>s, therefore, 0.2</w:t>
      </w:r>
      <w:r w:rsidR="0019390F">
        <w:rPr>
          <w:szCs w:val="22"/>
        </w:rPr>
        <w:t>8</w:t>
      </w:r>
      <w:r>
        <w:rPr>
          <w:szCs w:val="22"/>
        </w:rPr>
        <w:t>%</w:t>
      </w:r>
      <w:r w:rsidR="00EF514A">
        <w:rPr>
          <w:szCs w:val="22"/>
        </w:rPr>
        <w:t xml:space="preserve"> (</w:t>
      </w:r>
      <w:r w:rsidR="00EF514A" w:rsidRPr="00D94777">
        <w:rPr>
          <w:szCs w:val="22"/>
        </w:rPr>
        <w:t xml:space="preserve">CI </w:t>
      </w:r>
      <w:r w:rsidR="00EF514A">
        <w:rPr>
          <w:szCs w:val="22"/>
        </w:rPr>
        <w:t>0.10 - 0.45);</w:t>
      </w:r>
      <w:r w:rsidR="00EF514A" w:rsidRPr="00D94777">
        <w:rPr>
          <w:szCs w:val="22"/>
        </w:rPr>
        <w:t xml:space="preserve"> </w:t>
      </w:r>
      <w:r w:rsidR="00EF514A">
        <w:rPr>
          <w:szCs w:val="22"/>
        </w:rPr>
        <w:t>approximately 8,046 people (CI 2,874 - 12,931)</w:t>
      </w:r>
      <w:r>
        <w:rPr>
          <w:szCs w:val="22"/>
        </w:rPr>
        <w:t>.</w:t>
      </w:r>
    </w:p>
    <w:p w:rsidR="0052363E" w:rsidRDefault="0052363E" w:rsidP="009B3741">
      <w:pPr>
        <w:jc w:val="both"/>
        <w:rPr>
          <w:szCs w:val="22"/>
        </w:rPr>
      </w:pPr>
    </w:p>
    <w:p w:rsidR="00AC4428" w:rsidRDefault="00AC4428" w:rsidP="00AC4428">
      <w:pPr>
        <w:keepNext/>
        <w:jc w:val="both"/>
      </w:pPr>
      <w:r>
        <w:t>Past (lifetime) gambling status was measured in Wave 1 using the SOGS-R which classified participants as non-problem gambler, problem gambler or probable pathological gambler.  Current (past 12 month) gambling status was assessed in Waves 1 and 2 using the PGSI.</w:t>
      </w:r>
    </w:p>
    <w:p w:rsidR="00AC4428" w:rsidRDefault="00AC4428" w:rsidP="00AC4428">
      <w:pPr>
        <w:jc w:val="both"/>
      </w:pPr>
    </w:p>
    <w:p w:rsidR="00AC4428" w:rsidRDefault="00AC4428" w:rsidP="00AC4428">
      <w:pPr>
        <w:jc w:val="both"/>
        <w:rPr>
          <w:szCs w:val="22"/>
        </w:rPr>
      </w:pPr>
      <w:r w:rsidRPr="00AC4428">
        <w:rPr>
          <w:szCs w:val="22"/>
        </w:rPr>
        <w:t>Of those who developed problems between 2012 and 2013, 51.6% (CI 14.5 - 88.7) were new problem gamblers and 48.4% were people who, while not</w:t>
      </w:r>
      <w:r>
        <w:rPr>
          <w:szCs w:val="22"/>
        </w:rPr>
        <w:t xml:space="preserve"> problem gamblers during the 12 </w:t>
      </w:r>
      <w:r w:rsidRPr="00AC4428">
        <w:rPr>
          <w:szCs w:val="22"/>
        </w:rPr>
        <w:t>months prior to 2012, were assessed as having previously been a problem or probable pathological gambler.</w:t>
      </w:r>
    </w:p>
    <w:p w:rsidR="00AC4428" w:rsidRPr="00AC4428" w:rsidRDefault="00AC4428" w:rsidP="00AC4428">
      <w:pPr>
        <w:jc w:val="both"/>
        <w:rPr>
          <w:szCs w:val="22"/>
        </w:rPr>
      </w:pPr>
    </w:p>
    <w:p w:rsidR="00AC4428" w:rsidRDefault="00AC4428" w:rsidP="00AC4428">
      <w:pPr>
        <w:jc w:val="both"/>
        <w:rPr>
          <w:szCs w:val="22"/>
        </w:rPr>
      </w:pPr>
      <w:r w:rsidRPr="00AC4428">
        <w:rPr>
          <w:szCs w:val="22"/>
        </w:rPr>
        <w:t>It is estimated that 1.1% (CI 0.7 - 1.5), approximately 31,158 people (CI 19,828 - 42,488), became moderate-risk gamblers in 2013, who were not moderate-risk or problem gamblers in 2012.</w:t>
      </w:r>
    </w:p>
    <w:p w:rsidR="00AC4428" w:rsidRPr="00AC4428" w:rsidRDefault="00AC4428" w:rsidP="00AC4428">
      <w:pPr>
        <w:jc w:val="both"/>
        <w:rPr>
          <w:szCs w:val="22"/>
        </w:rPr>
      </w:pPr>
    </w:p>
    <w:p w:rsidR="00AC4428" w:rsidRPr="00AC4428" w:rsidRDefault="00AC4428" w:rsidP="00AC4428">
      <w:pPr>
        <w:jc w:val="both"/>
        <w:rPr>
          <w:szCs w:val="22"/>
        </w:rPr>
      </w:pPr>
      <w:r w:rsidRPr="00AC4428">
        <w:rPr>
          <w:szCs w:val="22"/>
        </w:rPr>
        <w:lastRenderedPageBreak/>
        <w:t>Of those who became moderate-risk gamblers in 2013, 71.1% (CI 54.2 - 87.9) were people who were not past problem or probable pathological gamblers prior to 2012, and 28.9% were people who had previously been problem or probable pathological gamblers.</w:t>
      </w:r>
    </w:p>
    <w:p w:rsidR="00AC4428" w:rsidRDefault="00AC4428" w:rsidP="009B3741">
      <w:pPr>
        <w:jc w:val="both"/>
        <w:rPr>
          <w:szCs w:val="22"/>
        </w:rPr>
      </w:pPr>
    </w:p>
    <w:p w:rsidR="00193F41" w:rsidRDefault="0063748C" w:rsidP="00193F41">
      <w:pPr>
        <w:jc w:val="both"/>
      </w:pPr>
      <w:r w:rsidRPr="00D94777">
        <w:rPr>
          <w:szCs w:val="22"/>
        </w:rPr>
        <w:t>Overall</w:t>
      </w:r>
      <w:r>
        <w:rPr>
          <w:szCs w:val="22"/>
        </w:rPr>
        <w:t>,</w:t>
      </w:r>
      <w:r w:rsidRPr="00D94777">
        <w:rPr>
          <w:szCs w:val="22"/>
        </w:rPr>
        <w:t xml:space="preserve"> 74% of 2013 ‘new’ problem and moderate-risk gamblers were assessed as not having been a problem or probable pathological gambler prior to 2012</w:t>
      </w:r>
      <w:r>
        <w:rPr>
          <w:szCs w:val="22"/>
        </w:rPr>
        <w:t xml:space="preserve">.  </w:t>
      </w:r>
      <w:r w:rsidR="00D04184">
        <w:t>Twenty-six percent of</w:t>
      </w:r>
      <w:r w:rsidR="00193F41">
        <w:t xml:space="preserve"> </w:t>
      </w:r>
      <w:r w:rsidR="00D04184">
        <w:t xml:space="preserve">moderate-risk/problem gambler </w:t>
      </w:r>
      <w:r w:rsidR="00193F41">
        <w:t xml:space="preserve">participants in Wave 2 (adjusted data) were classified as </w:t>
      </w:r>
      <w:r w:rsidR="00D04184">
        <w:t xml:space="preserve">past </w:t>
      </w:r>
      <w:r w:rsidR="00193F41">
        <w:t xml:space="preserve">problem gambler or probable pathological gambler </w:t>
      </w:r>
      <w:r w:rsidR="00D04184">
        <w:t xml:space="preserve">and current non-gambler, non-problem gambler or low-risk gambler in Wave 1.  Thus, 26% of the Wave 2 moderate-risk/problem gamblers had </w:t>
      </w:r>
      <w:r w:rsidR="00D04184" w:rsidRPr="00AC4428">
        <w:rPr>
          <w:b/>
        </w:rPr>
        <w:t>relapsed from past problematic gambling</w:t>
      </w:r>
      <w:r w:rsidR="00303325">
        <w:t xml:space="preserve"> (</w:t>
      </w:r>
      <w:r w:rsidR="00303325">
        <w:fldChar w:fldCharType="begin"/>
      </w:r>
      <w:r w:rsidR="00303325">
        <w:instrText xml:space="preserve"> REF _Ref404351102 \h </w:instrText>
      </w:r>
      <w:r w:rsidR="00303325">
        <w:fldChar w:fldCharType="separate"/>
      </w:r>
      <w:r w:rsidR="00B2175B">
        <w:t xml:space="preserve">Table </w:t>
      </w:r>
      <w:r w:rsidR="00B2175B">
        <w:rPr>
          <w:noProof/>
        </w:rPr>
        <w:t>14</w:t>
      </w:r>
      <w:r w:rsidR="00303325">
        <w:fldChar w:fldCharType="end"/>
      </w:r>
      <w:r w:rsidR="00303325">
        <w:t>)</w:t>
      </w:r>
      <w:r w:rsidR="00D04184">
        <w:t>.</w:t>
      </w:r>
    </w:p>
    <w:p w:rsidR="00D04184" w:rsidRDefault="00D04184" w:rsidP="00193F41">
      <w:pPr>
        <w:jc w:val="both"/>
      </w:pPr>
    </w:p>
    <w:p w:rsidR="00D04184" w:rsidRDefault="00D04184" w:rsidP="00D04184">
      <w:pPr>
        <w:pStyle w:val="Caption"/>
        <w:keepNext/>
        <w:jc w:val="both"/>
        <w:rPr>
          <w:szCs w:val="22"/>
        </w:rPr>
      </w:pPr>
      <w:bookmarkStart w:id="196" w:name="_Ref404351102"/>
      <w:bookmarkStart w:id="197" w:name="_Toc420393802"/>
      <w:r>
        <w:t xml:space="preserve">Table </w:t>
      </w:r>
      <w:fldSimple w:instr=" SEQ Table \* ARABIC ">
        <w:r w:rsidR="00B2175B">
          <w:rPr>
            <w:noProof/>
          </w:rPr>
          <w:t>14</w:t>
        </w:r>
      </w:fldSimple>
      <w:bookmarkEnd w:id="196"/>
      <w:r>
        <w:t xml:space="preserve">: </w:t>
      </w:r>
      <w:r w:rsidR="006C5D8B">
        <w:t>Wave 2</w:t>
      </w:r>
      <w:r>
        <w:t xml:space="preserve"> moderate-risk/problem gambling</w:t>
      </w:r>
      <w:r w:rsidR="006C5D8B">
        <w:t xml:space="preserve"> among participants who were Wave 1 non-gambler/non-problem gambler/low-risk gambler</w:t>
      </w:r>
      <w:bookmarkEnd w:id="197"/>
    </w:p>
    <w:tbl>
      <w:tblPr>
        <w:tblStyle w:val="LightShading4"/>
        <w:tblW w:w="0" w:type="auto"/>
        <w:tblLook w:val="06A0" w:firstRow="1" w:lastRow="0" w:firstColumn="1" w:lastColumn="0" w:noHBand="1" w:noVBand="1"/>
      </w:tblPr>
      <w:tblGrid>
        <w:gridCol w:w="4395"/>
        <w:gridCol w:w="1700"/>
        <w:gridCol w:w="743"/>
        <w:gridCol w:w="1468"/>
      </w:tblGrid>
      <w:tr w:rsidR="000D67BB" w:rsidRPr="00B87EE5" w:rsidTr="000D67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vMerge w:val="restart"/>
            <w:vAlign w:val="center"/>
          </w:tcPr>
          <w:p w:rsidR="000D67BB" w:rsidRPr="00B87EE5" w:rsidRDefault="000D67BB" w:rsidP="00887FAB">
            <w:pPr>
              <w:spacing w:before="20" w:after="20"/>
              <w:rPr>
                <w:rFonts w:ascii="Times New Roman" w:eastAsiaTheme="minorEastAsia" w:hAnsi="Times New Roman" w:cs="Times New Roman"/>
                <w:sz w:val="20"/>
                <w:szCs w:val="20"/>
                <w:lang w:eastAsia="en-US"/>
              </w:rPr>
            </w:pPr>
            <w:r w:rsidRPr="00B87EE5">
              <w:rPr>
                <w:rFonts w:ascii="Times New Roman" w:eastAsiaTheme="minorEastAsia" w:hAnsi="Times New Roman" w:cs="Times New Roman"/>
                <w:sz w:val="20"/>
                <w:szCs w:val="20"/>
                <w:lang w:eastAsia="en-US"/>
              </w:rPr>
              <w:t>Wave 1 non-gambler/non-problem gambler/low-risk gambler</w:t>
            </w:r>
          </w:p>
        </w:tc>
        <w:tc>
          <w:tcPr>
            <w:tcW w:w="3911" w:type="dxa"/>
            <w:gridSpan w:val="3"/>
            <w:tcBorders>
              <w:top w:val="single" w:sz="4" w:space="0" w:color="auto"/>
              <w:bottom w:val="single" w:sz="4" w:space="0" w:color="auto"/>
            </w:tcBorders>
            <w:noWrap/>
            <w:vAlign w:val="center"/>
          </w:tcPr>
          <w:p w:rsidR="000D67BB" w:rsidRPr="00B87EE5" w:rsidRDefault="000D67BB" w:rsidP="006C5D8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rPr>
            </w:pPr>
            <w:r w:rsidRPr="00B87EE5">
              <w:rPr>
                <w:rFonts w:ascii="Times New Roman" w:eastAsiaTheme="minorEastAsia" w:hAnsi="Times New Roman" w:cs="Times New Roman"/>
                <w:sz w:val="20"/>
                <w:szCs w:val="20"/>
                <w:lang w:eastAsia="en-US"/>
              </w:rPr>
              <w:t>Wave 2 moderate-risk/problem gambler</w:t>
            </w:r>
          </w:p>
        </w:tc>
      </w:tr>
      <w:tr w:rsidR="000D67BB" w:rsidRPr="00B87EE5" w:rsidTr="000D67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vMerge/>
            <w:tcBorders>
              <w:bottom w:val="single" w:sz="4" w:space="0" w:color="auto"/>
            </w:tcBorders>
            <w:vAlign w:val="center"/>
            <w:hideMark/>
          </w:tcPr>
          <w:p w:rsidR="000D67BB" w:rsidRPr="00B87EE5" w:rsidRDefault="000D67BB" w:rsidP="00887FAB">
            <w:pPr>
              <w:spacing w:before="20" w:after="20"/>
              <w:rPr>
                <w:rFonts w:ascii="Times New Roman" w:eastAsiaTheme="minorEastAsia" w:hAnsi="Times New Roman" w:cs="Times New Roman"/>
                <w:sz w:val="20"/>
                <w:szCs w:val="20"/>
                <w:lang w:eastAsia="en-US"/>
              </w:rPr>
            </w:pPr>
          </w:p>
        </w:tc>
        <w:tc>
          <w:tcPr>
            <w:tcW w:w="1700" w:type="dxa"/>
            <w:tcBorders>
              <w:top w:val="single" w:sz="4" w:space="0" w:color="auto"/>
              <w:bottom w:val="single" w:sz="4" w:space="0" w:color="auto"/>
            </w:tcBorders>
            <w:noWrap/>
            <w:vAlign w:val="center"/>
            <w:hideMark/>
          </w:tcPr>
          <w:p w:rsidR="000D67BB" w:rsidRPr="00B87EE5" w:rsidRDefault="000D67BB" w:rsidP="00887FA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sz w:val="20"/>
                <w:szCs w:val="20"/>
              </w:rPr>
              <w:t>n</w:t>
            </w:r>
          </w:p>
        </w:tc>
        <w:tc>
          <w:tcPr>
            <w:tcW w:w="743" w:type="dxa"/>
            <w:tcBorders>
              <w:top w:val="single" w:sz="4" w:space="0" w:color="auto"/>
              <w:bottom w:val="single" w:sz="4" w:space="0" w:color="auto"/>
            </w:tcBorders>
            <w:noWrap/>
            <w:vAlign w:val="center"/>
            <w:hideMark/>
          </w:tcPr>
          <w:p w:rsidR="000D67BB" w:rsidRPr="00B87EE5" w:rsidRDefault="000D67BB" w:rsidP="00887FA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sz w:val="20"/>
                <w:szCs w:val="20"/>
              </w:rPr>
              <w:t>%</w:t>
            </w:r>
          </w:p>
        </w:tc>
        <w:tc>
          <w:tcPr>
            <w:tcW w:w="1468" w:type="dxa"/>
            <w:tcBorders>
              <w:top w:val="single" w:sz="4" w:space="0" w:color="auto"/>
              <w:bottom w:val="single" w:sz="4" w:space="0" w:color="auto"/>
            </w:tcBorders>
            <w:noWrap/>
            <w:vAlign w:val="center"/>
          </w:tcPr>
          <w:p w:rsidR="000D67BB" w:rsidRPr="00B87EE5" w:rsidRDefault="000D67BB" w:rsidP="00887FAB">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sz w:val="20"/>
                <w:szCs w:val="20"/>
                <w:lang w:eastAsia="en-US"/>
              </w:rPr>
              <w:t>(95% CI)</w:t>
            </w:r>
          </w:p>
        </w:tc>
      </w:tr>
      <w:tr w:rsidR="00D04184" w:rsidRPr="00B87EE5" w:rsidTr="000D67BB">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tcPr>
          <w:p w:rsidR="00D04184" w:rsidRPr="00B87EE5" w:rsidRDefault="00D04184" w:rsidP="00887FAB">
            <w:pPr>
              <w:spacing w:before="20" w:after="20"/>
              <w:ind w:left="34"/>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b w:val="0"/>
                <w:sz w:val="20"/>
                <w:szCs w:val="20"/>
                <w:lang w:eastAsia="en-US"/>
              </w:rPr>
              <w:t>Non-problem gambler</w:t>
            </w:r>
            <w:r w:rsidR="000D67BB" w:rsidRPr="00B87EE5">
              <w:rPr>
                <w:rFonts w:ascii="Times New Roman" w:eastAsiaTheme="minorEastAsia" w:hAnsi="Times New Roman" w:cs="Times New Roman"/>
                <w:b w:val="0"/>
                <w:sz w:val="20"/>
                <w:szCs w:val="20"/>
                <w:lang w:eastAsia="en-US"/>
              </w:rPr>
              <w:t xml:space="preserve"> (by SOGS-R)</w:t>
            </w:r>
          </w:p>
        </w:tc>
        <w:tc>
          <w:tcPr>
            <w:tcW w:w="1700" w:type="dxa"/>
            <w:tcBorders>
              <w:top w:val="nil"/>
              <w:left w:val="nil"/>
              <w:bottom w:val="nil"/>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34</w:t>
            </w:r>
          </w:p>
        </w:tc>
        <w:tc>
          <w:tcPr>
            <w:tcW w:w="743" w:type="dxa"/>
            <w:tcBorders>
              <w:top w:val="nil"/>
              <w:left w:val="nil"/>
              <w:bottom w:val="nil"/>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74.3</w:t>
            </w:r>
          </w:p>
        </w:tc>
        <w:tc>
          <w:tcPr>
            <w:tcW w:w="1468" w:type="dxa"/>
            <w:tcBorders>
              <w:top w:val="nil"/>
              <w:left w:val="nil"/>
              <w:bottom w:val="nil"/>
              <w:right w:val="nil"/>
            </w:tcBorders>
            <w:shd w:val="clear" w:color="auto" w:fill="auto"/>
            <w:noWrap/>
          </w:tcPr>
          <w:p w:rsidR="00D04184" w:rsidRPr="00B87EE5" w:rsidRDefault="00D04184" w:rsidP="00D0418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(58.9 - 89.7)</w:t>
            </w:r>
          </w:p>
        </w:tc>
      </w:tr>
      <w:tr w:rsidR="00D04184" w:rsidRPr="00B87EE5" w:rsidTr="000D67BB">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auto"/>
          </w:tcPr>
          <w:p w:rsidR="00D04184" w:rsidRPr="00B87EE5" w:rsidRDefault="000D67BB" w:rsidP="000D67BB">
            <w:pPr>
              <w:spacing w:before="20" w:after="20"/>
              <w:ind w:left="34"/>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b w:val="0"/>
                <w:sz w:val="20"/>
                <w:szCs w:val="20"/>
                <w:lang w:eastAsia="en-US"/>
              </w:rPr>
              <w:t>Past p</w:t>
            </w:r>
            <w:r w:rsidR="00D04184" w:rsidRPr="00B87EE5">
              <w:rPr>
                <w:rFonts w:ascii="Times New Roman" w:eastAsiaTheme="minorEastAsia" w:hAnsi="Times New Roman" w:cs="Times New Roman"/>
                <w:b w:val="0"/>
                <w:sz w:val="20"/>
                <w:szCs w:val="20"/>
                <w:lang w:eastAsia="en-US"/>
              </w:rPr>
              <w:t>roblem gambler</w:t>
            </w:r>
            <w:r w:rsidRPr="00B87EE5">
              <w:rPr>
                <w:rFonts w:ascii="Times New Roman" w:eastAsiaTheme="minorEastAsia" w:hAnsi="Times New Roman" w:cs="Times New Roman"/>
                <w:b w:val="0"/>
                <w:sz w:val="20"/>
                <w:szCs w:val="20"/>
                <w:lang w:eastAsia="en-US"/>
              </w:rPr>
              <w:t xml:space="preserve"> (by SOGS-R)</w:t>
            </w:r>
          </w:p>
        </w:tc>
        <w:tc>
          <w:tcPr>
            <w:tcW w:w="1700" w:type="dxa"/>
            <w:tcBorders>
              <w:top w:val="nil"/>
              <w:left w:val="nil"/>
              <w:bottom w:val="nil"/>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11</w:t>
            </w:r>
          </w:p>
        </w:tc>
        <w:tc>
          <w:tcPr>
            <w:tcW w:w="743" w:type="dxa"/>
            <w:tcBorders>
              <w:top w:val="nil"/>
              <w:left w:val="nil"/>
              <w:bottom w:val="nil"/>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24.5</w:t>
            </w:r>
          </w:p>
        </w:tc>
        <w:tc>
          <w:tcPr>
            <w:tcW w:w="1468" w:type="dxa"/>
            <w:tcBorders>
              <w:top w:val="nil"/>
              <w:left w:val="nil"/>
              <w:bottom w:val="nil"/>
              <w:right w:val="nil"/>
            </w:tcBorders>
            <w:shd w:val="clear" w:color="auto" w:fill="auto"/>
            <w:noWrap/>
          </w:tcPr>
          <w:p w:rsidR="00D04184" w:rsidRPr="00B87EE5" w:rsidRDefault="00D04184" w:rsidP="00D0418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(9.2 - 39.7)</w:t>
            </w:r>
          </w:p>
        </w:tc>
      </w:tr>
      <w:tr w:rsidR="00D04184" w:rsidRPr="00B87EE5" w:rsidTr="000D67BB">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single" w:sz="4" w:space="0" w:color="auto"/>
              <w:right w:val="nil"/>
            </w:tcBorders>
            <w:shd w:val="clear" w:color="auto" w:fill="auto"/>
          </w:tcPr>
          <w:p w:rsidR="00D04184" w:rsidRPr="00B87EE5" w:rsidRDefault="000D67BB" w:rsidP="000D67BB">
            <w:pPr>
              <w:spacing w:before="20" w:after="20"/>
              <w:ind w:left="34"/>
              <w:rPr>
                <w:rFonts w:ascii="Times New Roman" w:eastAsiaTheme="minorEastAsia" w:hAnsi="Times New Roman" w:cs="Times New Roman"/>
                <w:b w:val="0"/>
                <w:sz w:val="20"/>
                <w:szCs w:val="20"/>
                <w:lang w:eastAsia="en-US"/>
              </w:rPr>
            </w:pPr>
            <w:r w:rsidRPr="00B87EE5">
              <w:rPr>
                <w:rFonts w:ascii="Times New Roman" w:eastAsiaTheme="minorEastAsia" w:hAnsi="Times New Roman" w:cs="Times New Roman"/>
                <w:b w:val="0"/>
                <w:sz w:val="20"/>
                <w:szCs w:val="20"/>
                <w:lang w:eastAsia="en-US"/>
              </w:rPr>
              <w:t>Past p</w:t>
            </w:r>
            <w:r w:rsidR="00D04184" w:rsidRPr="00B87EE5">
              <w:rPr>
                <w:rFonts w:ascii="Times New Roman" w:eastAsiaTheme="minorEastAsia" w:hAnsi="Times New Roman" w:cs="Times New Roman"/>
                <w:b w:val="0"/>
                <w:sz w:val="20"/>
                <w:szCs w:val="20"/>
                <w:lang w:eastAsia="en-US"/>
              </w:rPr>
              <w:t>robable pathological gambler</w:t>
            </w:r>
            <w:r w:rsidRPr="00B87EE5">
              <w:rPr>
                <w:rFonts w:ascii="Times New Roman" w:eastAsiaTheme="minorEastAsia" w:hAnsi="Times New Roman" w:cs="Times New Roman"/>
                <w:b w:val="0"/>
                <w:sz w:val="20"/>
                <w:szCs w:val="20"/>
                <w:lang w:eastAsia="en-US"/>
              </w:rPr>
              <w:t xml:space="preserve"> (by SOGS-R)</w:t>
            </w:r>
          </w:p>
        </w:tc>
        <w:tc>
          <w:tcPr>
            <w:tcW w:w="1700" w:type="dxa"/>
            <w:tcBorders>
              <w:top w:val="nil"/>
              <w:left w:val="nil"/>
              <w:bottom w:val="single" w:sz="4" w:space="0" w:color="auto"/>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0.6</w:t>
            </w:r>
          </w:p>
        </w:tc>
        <w:tc>
          <w:tcPr>
            <w:tcW w:w="743" w:type="dxa"/>
            <w:tcBorders>
              <w:top w:val="nil"/>
              <w:left w:val="nil"/>
              <w:bottom w:val="single" w:sz="4" w:space="0" w:color="auto"/>
              <w:right w:val="nil"/>
            </w:tcBorders>
            <w:shd w:val="clear" w:color="auto" w:fill="auto"/>
            <w:noWrap/>
          </w:tcPr>
          <w:p w:rsidR="00D04184" w:rsidRPr="00B87EE5" w:rsidRDefault="00D04184" w:rsidP="00887FAB">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1.2</w:t>
            </w:r>
          </w:p>
        </w:tc>
        <w:tc>
          <w:tcPr>
            <w:tcW w:w="1468" w:type="dxa"/>
            <w:tcBorders>
              <w:top w:val="nil"/>
              <w:left w:val="nil"/>
              <w:bottom w:val="single" w:sz="4" w:space="0" w:color="auto"/>
              <w:right w:val="nil"/>
            </w:tcBorders>
            <w:shd w:val="clear" w:color="auto" w:fill="auto"/>
            <w:noWrap/>
          </w:tcPr>
          <w:p w:rsidR="00D04184" w:rsidRPr="00B87EE5" w:rsidRDefault="00D04184" w:rsidP="00D0418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20"/>
                <w:szCs w:val="20"/>
                <w:lang w:eastAsia="en-US"/>
              </w:rPr>
            </w:pPr>
            <w:r w:rsidRPr="00B87EE5">
              <w:rPr>
                <w:rFonts w:ascii="Times New Roman" w:eastAsiaTheme="minorEastAsia" w:hAnsi="Times New Roman" w:cs="Times New Roman"/>
                <w:bCs/>
                <w:sz w:val="20"/>
                <w:szCs w:val="20"/>
                <w:lang w:eastAsia="en-US"/>
              </w:rPr>
              <w:t>(0.0 - 3.7)</w:t>
            </w:r>
          </w:p>
        </w:tc>
      </w:tr>
    </w:tbl>
    <w:p w:rsidR="00D04184" w:rsidRPr="00672B00" w:rsidRDefault="00D04184" w:rsidP="00D04184">
      <w:pPr>
        <w:rPr>
          <w:sz w:val="20"/>
        </w:rPr>
      </w:pPr>
      <w:r w:rsidRPr="00672B00">
        <w:rPr>
          <w:sz w:val="20"/>
        </w:rPr>
        <w:t>Data weighted for 2013 Census data (both Waves) and attrition (Wave 2)</w:t>
      </w:r>
    </w:p>
    <w:p w:rsidR="00D04184" w:rsidRDefault="00D04184" w:rsidP="00193F41">
      <w:pPr>
        <w:jc w:val="both"/>
      </w:pPr>
    </w:p>
    <w:p w:rsidR="00353618" w:rsidRDefault="0034037A" w:rsidP="00193F41">
      <w:pPr>
        <w:tabs>
          <w:tab w:val="left" w:pos="0"/>
        </w:tabs>
        <w:jc w:val="both"/>
        <w:rPr>
          <w:szCs w:val="22"/>
        </w:rPr>
      </w:pPr>
      <w:r>
        <w:rPr>
          <w:szCs w:val="22"/>
        </w:rPr>
        <w:fldChar w:fldCharType="begin"/>
      </w:r>
      <w:r>
        <w:rPr>
          <w:szCs w:val="22"/>
        </w:rPr>
        <w:instrText xml:space="preserve"> REF _Ref404352283 \h </w:instrText>
      </w:r>
      <w:r>
        <w:rPr>
          <w:szCs w:val="22"/>
        </w:rPr>
      </w:r>
      <w:r>
        <w:rPr>
          <w:szCs w:val="22"/>
        </w:rPr>
        <w:fldChar w:fldCharType="separate"/>
      </w:r>
      <w:r w:rsidR="00B2175B">
        <w:t xml:space="preserve">Figure </w:t>
      </w:r>
      <w:r w:rsidR="00B2175B">
        <w:rPr>
          <w:noProof/>
        </w:rPr>
        <w:t>2</w:t>
      </w:r>
      <w:r>
        <w:rPr>
          <w:szCs w:val="22"/>
        </w:rPr>
        <w:fldChar w:fldCharType="end"/>
      </w:r>
      <w:r w:rsidR="00303325">
        <w:rPr>
          <w:szCs w:val="22"/>
        </w:rPr>
        <w:t xml:space="preserve"> </w:t>
      </w:r>
      <w:r w:rsidR="001A2F73">
        <w:rPr>
          <w:szCs w:val="22"/>
        </w:rPr>
        <w:t>shows</w:t>
      </w:r>
      <w:r w:rsidR="00303325">
        <w:rPr>
          <w:szCs w:val="22"/>
        </w:rPr>
        <w:t xml:space="preserve"> a graphical representation of the data</w:t>
      </w:r>
      <w:r w:rsidR="001A2F73">
        <w:rPr>
          <w:szCs w:val="22"/>
        </w:rPr>
        <w:t xml:space="preserve"> presented in</w:t>
      </w:r>
      <w:r w:rsidR="00C830B0">
        <w:rPr>
          <w:szCs w:val="22"/>
        </w:rPr>
        <w:t xml:space="preserve"> </w:t>
      </w:r>
      <w:r w:rsidR="00C830B0">
        <w:fldChar w:fldCharType="begin"/>
      </w:r>
      <w:r w:rsidR="00C830B0">
        <w:instrText xml:space="preserve"> REF _Ref404351102 \h </w:instrText>
      </w:r>
      <w:r w:rsidR="00C830B0">
        <w:fldChar w:fldCharType="separate"/>
      </w:r>
      <w:r w:rsidR="00B2175B">
        <w:t xml:space="preserve">Table </w:t>
      </w:r>
      <w:r w:rsidR="00B2175B">
        <w:rPr>
          <w:noProof/>
        </w:rPr>
        <w:t>14</w:t>
      </w:r>
      <w:r w:rsidR="00C830B0">
        <w:fldChar w:fldCharType="end"/>
      </w:r>
      <w:r w:rsidR="001A2F73">
        <w:rPr>
          <w:szCs w:val="22"/>
        </w:rPr>
        <w:t xml:space="preserve"> </w:t>
      </w:r>
      <w:r w:rsidR="00303325">
        <w:rPr>
          <w:szCs w:val="22"/>
        </w:rPr>
        <w:t>.</w:t>
      </w:r>
    </w:p>
    <w:p w:rsidR="00303325" w:rsidRDefault="00303325" w:rsidP="00193F41">
      <w:pPr>
        <w:tabs>
          <w:tab w:val="left" w:pos="0"/>
        </w:tabs>
        <w:jc w:val="both"/>
        <w:rPr>
          <w:szCs w:val="22"/>
        </w:rPr>
      </w:pPr>
    </w:p>
    <w:p w:rsidR="0034037A" w:rsidRDefault="0034037A" w:rsidP="0034037A">
      <w:pPr>
        <w:pStyle w:val="Caption"/>
        <w:keepNext/>
        <w:rPr>
          <w:szCs w:val="22"/>
        </w:rPr>
      </w:pPr>
      <w:bookmarkStart w:id="198" w:name="_Ref404352283"/>
      <w:bookmarkStart w:id="199" w:name="_Toc408404209"/>
      <w:r>
        <w:t xml:space="preserve">Figure </w:t>
      </w:r>
      <w:fldSimple w:instr=" SEQ Figure \* ARABIC ">
        <w:r w:rsidR="00B2175B">
          <w:rPr>
            <w:noProof/>
          </w:rPr>
          <w:t>2</w:t>
        </w:r>
      </w:fldSimple>
      <w:bookmarkEnd w:id="198"/>
      <w:r>
        <w:t>: Relapse to moderate-risk/problem gambling</w:t>
      </w:r>
      <w:bookmarkEnd w:id="199"/>
    </w:p>
    <w:p w:rsidR="00303325" w:rsidRDefault="00F56216" w:rsidP="0034037A">
      <w:pPr>
        <w:keepNext/>
        <w:tabs>
          <w:tab w:val="left" w:pos="0"/>
        </w:tabs>
        <w:jc w:val="both"/>
        <w:rPr>
          <w:szCs w:val="22"/>
        </w:rPr>
      </w:pPr>
      <w:r w:rsidRPr="00F56216">
        <w:rPr>
          <w:noProof/>
          <w:lang w:eastAsia="en-NZ"/>
        </w:rPr>
        <w:drawing>
          <wp:inline distT="0" distB="0" distL="0" distR="0">
            <wp:extent cx="4572000" cy="2734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34945"/>
                    </a:xfrm>
                    <a:prstGeom prst="rect">
                      <a:avLst/>
                    </a:prstGeom>
                    <a:noFill/>
                    <a:ln>
                      <a:noFill/>
                    </a:ln>
                  </pic:spPr>
                </pic:pic>
              </a:graphicData>
            </a:graphic>
          </wp:inline>
        </w:drawing>
      </w:r>
    </w:p>
    <w:p w:rsidR="009E225E" w:rsidRPr="00887FAB" w:rsidRDefault="00887FAB" w:rsidP="005636CC">
      <w:pPr>
        <w:pStyle w:val="heading2a"/>
        <w:numPr>
          <w:ilvl w:val="1"/>
          <w:numId w:val="41"/>
        </w:numPr>
        <w:pBdr>
          <w:top w:val="single" w:sz="4" w:space="1" w:color="auto"/>
          <w:left w:val="single" w:sz="4" w:space="4" w:color="auto"/>
          <w:bottom w:val="single" w:sz="4" w:space="1" w:color="auto"/>
          <w:right w:val="single" w:sz="4" w:space="4" w:color="auto"/>
        </w:pBdr>
        <w:ind w:left="426" w:hanging="426"/>
        <w:rPr>
          <w:rFonts w:cs="Times New Roman"/>
          <w:sz w:val="22"/>
          <w:szCs w:val="22"/>
        </w:rPr>
      </w:pPr>
      <w:bookmarkStart w:id="200" w:name="_Toc420392614"/>
      <w:r>
        <w:rPr>
          <w:rFonts w:cs="Times New Roman"/>
          <w:sz w:val="22"/>
          <w:szCs w:val="22"/>
        </w:rPr>
        <w:t>Associations with transitions</w:t>
      </w:r>
      <w:bookmarkEnd w:id="200"/>
    </w:p>
    <w:p w:rsidR="0034037A" w:rsidRDefault="0034037A" w:rsidP="0034037A">
      <w:bookmarkStart w:id="201" w:name="_Toc403052541"/>
      <w:bookmarkStart w:id="202" w:name="_Toc403052877"/>
    </w:p>
    <w:p w:rsidR="0034037A" w:rsidRDefault="00633B6D" w:rsidP="00633B6D">
      <w:pPr>
        <w:jc w:val="both"/>
        <w:rPr>
          <w:szCs w:val="22"/>
        </w:rPr>
      </w:pPr>
      <w:r>
        <w:t xml:space="preserve">This section details </w:t>
      </w:r>
      <w:r w:rsidR="005D623C">
        <w:t xml:space="preserve">associations with </w:t>
      </w:r>
      <w:r>
        <w:t xml:space="preserve">transitions from lower to higher risk problem gambling </w:t>
      </w:r>
      <w:r w:rsidR="00496FE5">
        <w:t>status</w:t>
      </w:r>
      <w:r>
        <w:t xml:space="preserve"> </w:t>
      </w:r>
      <w:r w:rsidR="00496FE5">
        <w:t xml:space="preserve">and </w:t>
      </w:r>
      <w:r>
        <w:t>persistence of risk status (i.e. where it has stayed the same) from Wave 1 to Wave 2.</w:t>
      </w:r>
      <w:r w:rsidR="00C97F43">
        <w:t xml:space="preserve">  It also details re-initiation of gambling in Wave 2 of participants </w:t>
      </w:r>
      <w:r w:rsidR="00C97F43">
        <w:rPr>
          <w:szCs w:val="22"/>
        </w:rPr>
        <w:t>who in Wave 1 had not gambled in the past year but who had previously gambled at some time, and initiation of gambling in Wave 2 of participants who in Wave 1 had not gambled in the past year or who had never gambled.</w:t>
      </w:r>
    </w:p>
    <w:p w:rsidR="009E225E" w:rsidRPr="00DE7450" w:rsidRDefault="00887FAB" w:rsidP="005636CC">
      <w:pPr>
        <w:pStyle w:val="Heading3b"/>
        <w:numPr>
          <w:ilvl w:val="2"/>
          <w:numId w:val="40"/>
        </w:numPr>
        <w:tabs>
          <w:tab w:val="clear" w:pos="1146"/>
        </w:tabs>
        <w:ind w:left="709"/>
        <w:rPr>
          <w:rFonts w:ascii="Times New Roman" w:hAnsi="Times New Roman" w:cs="Times New Roman"/>
          <w:b/>
        </w:rPr>
      </w:pPr>
      <w:bookmarkStart w:id="203" w:name="_Toc420392615"/>
      <w:bookmarkEnd w:id="201"/>
      <w:bookmarkEnd w:id="202"/>
      <w:r>
        <w:rPr>
          <w:rFonts w:ascii="Times New Roman" w:hAnsi="Times New Roman" w:cs="Times New Roman"/>
          <w:b/>
        </w:rPr>
        <w:lastRenderedPageBreak/>
        <w:t>Transition to moderate-risk/problem gambler</w:t>
      </w:r>
      <w:bookmarkEnd w:id="203"/>
    </w:p>
    <w:p w:rsidR="009E225E" w:rsidRDefault="009E225E" w:rsidP="00FD12E4">
      <w:pPr>
        <w:tabs>
          <w:tab w:val="left" w:pos="0"/>
        </w:tabs>
        <w:jc w:val="both"/>
        <w:rPr>
          <w:szCs w:val="22"/>
        </w:rPr>
      </w:pPr>
    </w:p>
    <w:p w:rsidR="009E225E" w:rsidRDefault="00887FAB" w:rsidP="00FD12E4">
      <w:pPr>
        <w:tabs>
          <w:tab w:val="left" w:pos="0"/>
        </w:tabs>
        <w:jc w:val="both"/>
        <w:rPr>
          <w:szCs w:val="22"/>
        </w:rPr>
      </w:pPr>
      <w:r>
        <w:rPr>
          <w:szCs w:val="22"/>
        </w:rPr>
        <w:t>In Wave 2</w:t>
      </w:r>
      <w:r w:rsidRPr="00AD46BC">
        <w:rPr>
          <w:szCs w:val="22"/>
        </w:rPr>
        <w:t xml:space="preserve">, </w:t>
      </w:r>
      <w:r w:rsidR="000D26E6" w:rsidRPr="00AD46BC">
        <w:rPr>
          <w:szCs w:val="22"/>
        </w:rPr>
        <w:t>45</w:t>
      </w:r>
      <w:r w:rsidRPr="00AD46BC">
        <w:rPr>
          <w:szCs w:val="22"/>
        </w:rPr>
        <w:t xml:space="preserve"> participants (adjusted data) transitioned into the moderate-risk</w:t>
      </w:r>
      <w:r w:rsidR="00573244">
        <w:rPr>
          <w:szCs w:val="22"/>
        </w:rPr>
        <w:t xml:space="preserve"> gambler and </w:t>
      </w:r>
      <w:r w:rsidRPr="00AD46BC">
        <w:rPr>
          <w:szCs w:val="22"/>
        </w:rPr>
        <w:t>problem gambler categories from being non-problem/low-risk gamblers in Wave 1.  A further 2,543 participants stayed as non</w:t>
      </w:r>
      <w:r>
        <w:rPr>
          <w:szCs w:val="22"/>
        </w:rPr>
        <w:t>-problem/low-risk gamblers.</w:t>
      </w:r>
    </w:p>
    <w:p w:rsidR="00887FAB" w:rsidRDefault="00887FAB" w:rsidP="00FD12E4">
      <w:pPr>
        <w:tabs>
          <w:tab w:val="left" w:pos="0"/>
        </w:tabs>
        <w:jc w:val="both"/>
        <w:rPr>
          <w:szCs w:val="22"/>
        </w:rPr>
      </w:pPr>
    </w:p>
    <w:p w:rsidR="00D43047" w:rsidRDefault="00D43047" w:rsidP="00FD12E4">
      <w:pPr>
        <w:tabs>
          <w:tab w:val="left" w:pos="0"/>
        </w:tabs>
        <w:jc w:val="both"/>
        <w:rPr>
          <w:szCs w:val="22"/>
        </w:rPr>
      </w:pPr>
    </w:p>
    <w:p w:rsidR="00D43047" w:rsidRDefault="00DB0666" w:rsidP="00FD12E4">
      <w:pPr>
        <w:tabs>
          <w:tab w:val="left" w:pos="0"/>
        </w:tabs>
        <w:jc w:val="both"/>
        <w:rPr>
          <w:szCs w:val="22"/>
        </w:rPr>
      </w:pPr>
      <w:r>
        <w:rPr>
          <w:b/>
          <w:szCs w:val="22"/>
        </w:rPr>
        <w:t>Bivariate associations</w:t>
      </w:r>
    </w:p>
    <w:p w:rsidR="00D43047" w:rsidRPr="00D43047" w:rsidRDefault="00D43047" w:rsidP="00FD12E4">
      <w:pPr>
        <w:tabs>
          <w:tab w:val="left" w:pos="0"/>
        </w:tabs>
        <w:jc w:val="both"/>
        <w:rPr>
          <w:szCs w:val="22"/>
        </w:rPr>
      </w:pPr>
    </w:p>
    <w:p w:rsidR="00C06388" w:rsidRDefault="00DB0666" w:rsidP="00FD12E4">
      <w:pPr>
        <w:tabs>
          <w:tab w:val="left" w:pos="0"/>
        </w:tabs>
        <w:jc w:val="both"/>
        <w:rPr>
          <w:szCs w:val="22"/>
        </w:rPr>
      </w:pPr>
      <w:r>
        <w:rPr>
          <w:szCs w:val="22"/>
        </w:rPr>
        <w:t>Bivariate associations examined using l</w:t>
      </w:r>
      <w:r w:rsidR="00887FAB">
        <w:rPr>
          <w:szCs w:val="22"/>
        </w:rPr>
        <w:t>ogistic regression indicated t</w:t>
      </w:r>
      <w:r w:rsidR="00C06388">
        <w:rPr>
          <w:szCs w:val="22"/>
        </w:rPr>
        <w:t xml:space="preserve">hat ethnicity, country of birth and household income were the demographic variables significantly associated with the transition to moderate-risk gambler or problem gambler.  </w:t>
      </w:r>
      <w:r w:rsidR="000D26E6">
        <w:rPr>
          <w:szCs w:val="22"/>
        </w:rPr>
        <w:t xml:space="preserve">Being of Māori or </w:t>
      </w:r>
      <w:r w:rsidR="00573244">
        <w:rPr>
          <w:szCs w:val="22"/>
        </w:rPr>
        <w:t>Asian</w:t>
      </w:r>
      <w:r w:rsidR="000D26E6">
        <w:rPr>
          <w:szCs w:val="22"/>
        </w:rPr>
        <w:t xml:space="preserve"> ethnicity was associated with </w:t>
      </w:r>
      <w:r w:rsidR="00CD08EB">
        <w:rPr>
          <w:szCs w:val="22"/>
        </w:rPr>
        <w:t>more than</w:t>
      </w:r>
      <w:r w:rsidR="000D26E6">
        <w:rPr>
          <w:szCs w:val="22"/>
        </w:rPr>
        <w:t xml:space="preserve"> three times the risk of transitioning to moderate-risk or pro</w:t>
      </w:r>
      <w:r w:rsidR="00CD08EB">
        <w:rPr>
          <w:szCs w:val="22"/>
        </w:rPr>
        <w:t>blem gambler than for European/</w:t>
      </w:r>
      <w:r w:rsidR="000D26E6">
        <w:rPr>
          <w:szCs w:val="22"/>
        </w:rPr>
        <w:t xml:space="preserve">Other.  Pacific ethnicity was a greater risk factor at </w:t>
      </w:r>
      <w:r w:rsidR="00CD08EB">
        <w:rPr>
          <w:szCs w:val="22"/>
        </w:rPr>
        <w:t>more than</w:t>
      </w:r>
      <w:r w:rsidR="000D26E6">
        <w:rPr>
          <w:szCs w:val="22"/>
        </w:rPr>
        <w:t xml:space="preserve"> seven times the risk.  </w:t>
      </w:r>
      <w:r w:rsidR="00672B00">
        <w:rPr>
          <w:szCs w:val="22"/>
        </w:rPr>
        <w:t>Migrants</w:t>
      </w:r>
      <w:r w:rsidR="000D26E6">
        <w:rPr>
          <w:szCs w:val="22"/>
        </w:rPr>
        <w:t xml:space="preserve"> had almost twice the risk compared with people born in New Zealand.  People in the mid-range annual household income bracket</w:t>
      </w:r>
      <w:r w:rsidR="00845943">
        <w:rPr>
          <w:szCs w:val="22"/>
        </w:rPr>
        <w:t>s</w:t>
      </w:r>
      <w:r w:rsidR="000D26E6">
        <w:rPr>
          <w:szCs w:val="22"/>
        </w:rPr>
        <w:t xml:space="preserve"> of </w:t>
      </w:r>
      <w:r w:rsidR="00845943">
        <w:rPr>
          <w:szCs w:val="22"/>
        </w:rPr>
        <w:t xml:space="preserve">$40,001 to $60,000 and </w:t>
      </w:r>
      <w:r w:rsidR="000D26E6">
        <w:rPr>
          <w:szCs w:val="22"/>
        </w:rPr>
        <w:t xml:space="preserve">$60,001 to $80,000 were </w:t>
      </w:r>
      <w:r w:rsidR="00845943">
        <w:rPr>
          <w:szCs w:val="22"/>
        </w:rPr>
        <w:t xml:space="preserve">about </w:t>
      </w:r>
      <w:r w:rsidR="000D26E6">
        <w:rPr>
          <w:szCs w:val="22"/>
        </w:rPr>
        <w:t>three times at risk compared with people in the lowest income bracket.</w:t>
      </w:r>
    </w:p>
    <w:p w:rsidR="00672B00" w:rsidRDefault="00672B00" w:rsidP="00FD12E4">
      <w:pPr>
        <w:tabs>
          <w:tab w:val="left" w:pos="0"/>
        </w:tabs>
        <w:jc w:val="both"/>
        <w:rPr>
          <w:szCs w:val="22"/>
        </w:rPr>
      </w:pPr>
    </w:p>
    <w:p w:rsidR="00D8324A" w:rsidRDefault="00C06388" w:rsidP="00FD12E4">
      <w:pPr>
        <w:tabs>
          <w:tab w:val="left" w:pos="0"/>
        </w:tabs>
        <w:jc w:val="both"/>
        <w:rPr>
          <w:szCs w:val="22"/>
        </w:rPr>
      </w:pPr>
      <w:r>
        <w:rPr>
          <w:szCs w:val="22"/>
        </w:rPr>
        <w:t>Gambling-related factors significantly associated with the transition were the number of activities gambled on, pattern of gambling, gambling expenditure, gambling on casino table games (annually) or EGMs (annually or monthly), annual and monthly gambling on non-casino (pub and club</w:t>
      </w:r>
      <w:r w:rsidR="00573244">
        <w:rPr>
          <w:szCs w:val="22"/>
        </w:rPr>
        <w:t>)</w:t>
      </w:r>
      <w:r>
        <w:rPr>
          <w:szCs w:val="22"/>
        </w:rPr>
        <w:t xml:space="preserve"> EGMs, monthly gambling on Instant Kiwi or other scratch tickets, time spent gambling in a typical session (casino table games and EGMs, non-casino EGMs), and who the participant usually gambled with.</w:t>
      </w:r>
    </w:p>
    <w:p w:rsidR="00D43047" w:rsidRDefault="00D43047" w:rsidP="00FD12E4">
      <w:pPr>
        <w:tabs>
          <w:tab w:val="left" w:pos="0"/>
        </w:tabs>
        <w:jc w:val="both"/>
        <w:rPr>
          <w:szCs w:val="22"/>
        </w:rPr>
      </w:pPr>
    </w:p>
    <w:p w:rsidR="00CD08EB" w:rsidRDefault="00CD08EB" w:rsidP="00FD12E4">
      <w:pPr>
        <w:tabs>
          <w:tab w:val="left" w:pos="0"/>
        </w:tabs>
        <w:jc w:val="both"/>
        <w:rPr>
          <w:szCs w:val="22"/>
        </w:rPr>
      </w:pPr>
      <w:r>
        <w:rPr>
          <w:szCs w:val="22"/>
        </w:rPr>
        <w:t>People who had participated in seven to nine, or 10 or more gambling activities in the previous 12 months were 4.59 and 16.02 times at greater risk of transitioning to moderate-risk or problem gambler than people who had only participated in one gambling activity.  People whose typical monthly gambling expenditure was between $101 and $500 had four times the risk of those who gambled $10 or less.</w:t>
      </w:r>
    </w:p>
    <w:p w:rsidR="00D8324A" w:rsidRDefault="00D8324A" w:rsidP="00FD12E4">
      <w:pPr>
        <w:tabs>
          <w:tab w:val="left" w:pos="0"/>
        </w:tabs>
        <w:jc w:val="both"/>
        <w:rPr>
          <w:szCs w:val="22"/>
        </w:rPr>
      </w:pPr>
    </w:p>
    <w:p w:rsidR="00CD08EB" w:rsidRDefault="00CD08EB" w:rsidP="00FD12E4">
      <w:pPr>
        <w:tabs>
          <w:tab w:val="left" w:pos="0"/>
        </w:tabs>
        <w:jc w:val="both"/>
        <w:rPr>
          <w:szCs w:val="22"/>
        </w:rPr>
      </w:pPr>
      <w:r w:rsidRPr="0040154C">
        <w:rPr>
          <w:szCs w:val="22"/>
        </w:rPr>
        <w:t xml:space="preserve">People who regularly gambled on continuous forms had almost three times the risk than people who were infrequent gamblers.  </w:t>
      </w:r>
      <w:r w:rsidR="006E410F" w:rsidRPr="0040154C">
        <w:rPr>
          <w:szCs w:val="22"/>
        </w:rPr>
        <w:t>This was evident in the increased risk noted for the previously mentioned forms of gambling participated in annually or monthly</w:t>
      </w:r>
      <w:r w:rsidR="00C06A8E">
        <w:rPr>
          <w:szCs w:val="22"/>
        </w:rPr>
        <w:t>,</w:t>
      </w:r>
      <w:r w:rsidR="006E410F" w:rsidRPr="0040154C">
        <w:rPr>
          <w:szCs w:val="22"/>
        </w:rPr>
        <w:t xml:space="preserve"> with the greatest risk noted for monthly gambling on casino EGMs (11.47 times) and club EGMs (14.13 times).  The risk level for monthly pub EGM gambling was 6.10 times.</w:t>
      </w:r>
      <w:r w:rsidR="0040154C">
        <w:rPr>
          <w:szCs w:val="22"/>
        </w:rPr>
        <w:t xml:space="preserve">  Similarly, increased risk was noted with increased time spent </w:t>
      </w:r>
      <w:r w:rsidR="00573244">
        <w:rPr>
          <w:szCs w:val="22"/>
        </w:rPr>
        <w:t>gambling on</w:t>
      </w:r>
      <w:r w:rsidR="0040154C">
        <w:rPr>
          <w:szCs w:val="22"/>
        </w:rPr>
        <w:t xml:space="preserve"> EGMs in an average day.  People who played casino EGMs for more than 15 minutes were at four to six times the risk compared with people who did not gamble on casino EGMs.  For club EGM gamblers, the risk increased to nearly nine times.  For pub EGM gamblers, the highest risk was for those gambling between 31 to 60 minutes (8.89 times); gambling for more than 60 minutes was four times more risky, compared to non-pub EGM gambling.</w:t>
      </w:r>
    </w:p>
    <w:p w:rsidR="0040154C" w:rsidRDefault="0040154C" w:rsidP="00FD12E4">
      <w:pPr>
        <w:tabs>
          <w:tab w:val="left" w:pos="0"/>
        </w:tabs>
        <w:jc w:val="both"/>
        <w:rPr>
          <w:szCs w:val="22"/>
        </w:rPr>
      </w:pPr>
    </w:p>
    <w:p w:rsidR="00D8324A" w:rsidRDefault="0040154C" w:rsidP="00FD12E4">
      <w:pPr>
        <w:tabs>
          <w:tab w:val="left" w:pos="0"/>
        </w:tabs>
        <w:jc w:val="both"/>
        <w:rPr>
          <w:szCs w:val="22"/>
        </w:rPr>
      </w:pPr>
      <w:r>
        <w:rPr>
          <w:szCs w:val="22"/>
        </w:rPr>
        <w:t xml:space="preserve">Significantly </w:t>
      </w:r>
      <w:r w:rsidRPr="0040154C">
        <w:rPr>
          <w:i/>
          <w:szCs w:val="22"/>
        </w:rPr>
        <w:t>less</w:t>
      </w:r>
      <w:r>
        <w:rPr>
          <w:szCs w:val="22"/>
        </w:rPr>
        <w:t xml:space="preserve"> risk was noted for people who gambled with at least one other person (approximately 0.3 times) in comparison with gambling alone.</w:t>
      </w:r>
      <w:r w:rsidR="00496FE5">
        <w:rPr>
          <w:szCs w:val="22"/>
        </w:rPr>
        <w:t xml:space="preserve">  </w:t>
      </w:r>
      <w:r w:rsidR="00D8324A">
        <w:rPr>
          <w:szCs w:val="22"/>
        </w:rPr>
        <w:t>Behaviour-related variables significantly associated with the transitions were setting a dollar limit for gambling before leaving home and sticking to it</w:t>
      </w:r>
      <w:r>
        <w:rPr>
          <w:szCs w:val="22"/>
        </w:rPr>
        <w:t xml:space="preserve"> (three times higher)</w:t>
      </w:r>
      <w:r w:rsidR="00D8324A">
        <w:rPr>
          <w:szCs w:val="22"/>
        </w:rPr>
        <w:t>, avoiding places that have betting or gambling</w:t>
      </w:r>
      <w:r>
        <w:rPr>
          <w:szCs w:val="22"/>
        </w:rPr>
        <w:t xml:space="preserve"> (five times higher)</w:t>
      </w:r>
      <w:r w:rsidR="00D8324A">
        <w:rPr>
          <w:szCs w:val="22"/>
        </w:rPr>
        <w:t xml:space="preserve">, and </w:t>
      </w:r>
      <w:r w:rsidR="00D8324A" w:rsidRPr="009F5E09">
        <w:rPr>
          <w:szCs w:val="22"/>
        </w:rPr>
        <w:t xml:space="preserve">seeking help </w:t>
      </w:r>
      <w:r w:rsidR="00903A09" w:rsidRPr="009F5E09">
        <w:rPr>
          <w:szCs w:val="22"/>
        </w:rPr>
        <w:t xml:space="preserve">(from formal and informal sources) </w:t>
      </w:r>
      <w:r w:rsidR="00D8324A" w:rsidRPr="009F5E09">
        <w:rPr>
          <w:szCs w:val="22"/>
        </w:rPr>
        <w:t>in the</w:t>
      </w:r>
      <w:r w:rsidR="00D8324A">
        <w:rPr>
          <w:szCs w:val="22"/>
        </w:rPr>
        <w:t xml:space="preserve"> past </w:t>
      </w:r>
      <w:r w:rsidR="00D8324A">
        <w:rPr>
          <w:szCs w:val="22"/>
        </w:rPr>
        <w:lastRenderedPageBreak/>
        <w:t>year</w:t>
      </w:r>
      <w:r>
        <w:rPr>
          <w:szCs w:val="22"/>
        </w:rPr>
        <w:t xml:space="preserve"> (26 times higher)</w:t>
      </w:r>
      <w:r w:rsidR="00D8324A">
        <w:rPr>
          <w:szCs w:val="22"/>
        </w:rPr>
        <w:t>.</w:t>
      </w:r>
      <w:r>
        <w:rPr>
          <w:szCs w:val="22"/>
        </w:rPr>
        <w:t xml:space="preserve">  These findings </w:t>
      </w:r>
      <w:r w:rsidR="00573244">
        <w:rPr>
          <w:szCs w:val="22"/>
        </w:rPr>
        <w:t>probably</w:t>
      </w:r>
      <w:r>
        <w:rPr>
          <w:szCs w:val="22"/>
        </w:rPr>
        <w:t xml:space="preserve"> reflect the fact that the highest risk gamblers are those who are likely to have exhibited these particular behaviours.</w:t>
      </w:r>
    </w:p>
    <w:p w:rsidR="00D8324A" w:rsidRDefault="00D8324A" w:rsidP="00FD12E4">
      <w:pPr>
        <w:tabs>
          <w:tab w:val="left" w:pos="0"/>
        </w:tabs>
        <w:jc w:val="both"/>
        <w:rPr>
          <w:szCs w:val="22"/>
        </w:rPr>
      </w:pPr>
    </w:p>
    <w:p w:rsidR="00D8324A" w:rsidRDefault="00D8324A" w:rsidP="00FD12E4">
      <w:pPr>
        <w:tabs>
          <w:tab w:val="left" w:pos="0"/>
        </w:tabs>
        <w:jc w:val="both"/>
        <w:rPr>
          <w:szCs w:val="22"/>
        </w:rPr>
      </w:pPr>
      <w:r>
        <w:rPr>
          <w:szCs w:val="22"/>
        </w:rPr>
        <w:t>Psychological distress was the only health-related variable significantly associated with the transition to moderate-risk gambler or problem gambler.</w:t>
      </w:r>
      <w:r w:rsidR="0040154C">
        <w:rPr>
          <w:szCs w:val="22"/>
        </w:rPr>
        <w:t xml:space="preserve">  People who scored in the mid-high range of psychological distress </w:t>
      </w:r>
      <w:r w:rsidR="00573244">
        <w:rPr>
          <w:szCs w:val="22"/>
        </w:rPr>
        <w:t>(score 12</w:t>
      </w:r>
      <w:r w:rsidR="008C7BFC">
        <w:rPr>
          <w:szCs w:val="22"/>
        </w:rPr>
        <w:t xml:space="preserve">-19) </w:t>
      </w:r>
      <w:r w:rsidR="0040154C">
        <w:rPr>
          <w:szCs w:val="22"/>
        </w:rPr>
        <w:t>had five times the risk compared with people who had the lowest level of psychological distress.</w:t>
      </w:r>
    </w:p>
    <w:p w:rsidR="00514153" w:rsidRDefault="00514153" w:rsidP="00FD12E4">
      <w:pPr>
        <w:tabs>
          <w:tab w:val="left" w:pos="0"/>
        </w:tabs>
        <w:jc w:val="both"/>
        <w:rPr>
          <w:szCs w:val="22"/>
        </w:rPr>
      </w:pPr>
    </w:p>
    <w:p w:rsidR="00514153" w:rsidRPr="00934E6A" w:rsidRDefault="00514153" w:rsidP="00514153">
      <w:pPr>
        <w:tabs>
          <w:tab w:val="left" w:pos="0"/>
        </w:tabs>
        <w:jc w:val="both"/>
        <w:rPr>
          <w:szCs w:val="22"/>
        </w:rPr>
      </w:pPr>
      <w:r w:rsidRPr="00CD08EB">
        <w:rPr>
          <w:szCs w:val="22"/>
        </w:rPr>
        <w:t xml:space="preserve">Statistically significant associations are presented in </w:t>
      </w:r>
      <w:r w:rsidRPr="008C7BFC">
        <w:rPr>
          <w:szCs w:val="22"/>
          <w:highlight w:val="magenta"/>
        </w:rPr>
        <w:fldChar w:fldCharType="begin"/>
      </w:r>
      <w:r w:rsidRPr="008C7BFC">
        <w:rPr>
          <w:szCs w:val="22"/>
          <w:highlight w:val="magenta"/>
        </w:rPr>
        <w:instrText xml:space="preserve"> REF _Ref405551568 \h  \* MERGEFORMAT </w:instrText>
      </w:r>
      <w:r w:rsidRPr="008C7BFC">
        <w:rPr>
          <w:szCs w:val="22"/>
          <w:highlight w:val="magenta"/>
        </w:rPr>
      </w:r>
      <w:r w:rsidRPr="008C7BFC">
        <w:rPr>
          <w:szCs w:val="22"/>
          <w:highlight w:val="magenta"/>
        </w:rPr>
        <w:fldChar w:fldCharType="separate"/>
      </w:r>
      <w:r w:rsidR="00B2175B" w:rsidRPr="00B2175B">
        <w:rPr>
          <w:szCs w:val="22"/>
        </w:rPr>
        <w:t xml:space="preserve">Table </w:t>
      </w:r>
      <w:r w:rsidR="00B2175B" w:rsidRPr="00B2175B">
        <w:rPr>
          <w:noProof/>
          <w:szCs w:val="22"/>
        </w:rPr>
        <w:t>15</w:t>
      </w:r>
      <w:r w:rsidRPr="008C7BFC">
        <w:rPr>
          <w:szCs w:val="22"/>
          <w:highlight w:val="magenta"/>
        </w:rPr>
        <w:fldChar w:fldCharType="end"/>
      </w:r>
      <w:r w:rsidRPr="00934E6A">
        <w:rPr>
          <w:szCs w:val="22"/>
        </w:rPr>
        <w:t xml:space="preserve">; </w:t>
      </w:r>
      <w:r>
        <w:rPr>
          <w:szCs w:val="22"/>
        </w:rPr>
        <w:t>all</w:t>
      </w:r>
      <w:r w:rsidRPr="00934E6A">
        <w:rPr>
          <w:szCs w:val="22"/>
        </w:rPr>
        <w:t xml:space="preserve"> associations </w:t>
      </w:r>
      <w:r>
        <w:rPr>
          <w:szCs w:val="22"/>
        </w:rPr>
        <w:t xml:space="preserve">(including non-statistically significant) </w:t>
      </w:r>
      <w:r w:rsidRPr="00934E6A">
        <w:rPr>
          <w:szCs w:val="22"/>
        </w:rPr>
        <w:t>are presented in</w:t>
      </w:r>
      <w:r>
        <w:rPr>
          <w:szCs w:val="22"/>
        </w:rPr>
        <w:t xml:space="preserve"> </w:t>
      </w:r>
      <w:r w:rsidRPr="00934E6A">
        <w:t>Appendix</w:t>
      </w:r>
      <w:r>
        <w:t xml:space="preserve"> 9.</w:t>
      </w:r>
    </w:p>
    <w:p w:rsidR="003B2B9F" w:rsidRDefault="003B2B9F" w:rsidP="00FD12E4">
      <w:pPr>
        <w:tabs>
          <w:tab w:val="left" w:pos="0"/>
        </w:tabs>
        <w:jc w:val="both"/>
        <w:rPr>
          <w:szCs w:val="22"/>
        </w:rPr>
      </w:pPr>
    </w:p>
    <w:p w:rsidR="009B1415" w:rsidRPr="00934E6A" w:rsidRDefault="009B1415" w:rsidP="00496FE5">
      <w:pPr>
        <w:keepNext/>
        <w:keepLines/>
        <w:jc w:val="both"/>
        <w:rPr>
          <w:b/>
          <w:bCs/>
          <w:sz w:val="20"/>
          <w:szCs w:val="20"/>
        </w:rPr>
      </w:pPr>
      <w:bookmarkStart w:id="204" w:name="_Ref405551568"/>
      <w:bookmarkStart w:id="205" w:name="_Toc420393803"/>
      <w:r w:rsidRPr="007F2FB4">
        <w:rPr>
          <w:b/>
          <w:bCs/>
          <w:sz w:val="20"/>
          <w:szCs w:val="20"/>
        </w:rPr>
        <w:t xml:space="preserve">Table </w:t>
      </w:r>
      <w:r w:rsidRPr="007F2FB4">
        <w:rPr>
          <w:b/>
          <w:bCs/>
          <w:sz w:val="20"/>
          <w:szCs w:val="20"/>
        </w:rPr>
        <w:fldChar w:fldCharType="begin"/>
      </w:r>
      <w:r w:rsidRPr="007F2FB4">
        <w:rPr>
          <w:b/>
          <w:bCs/>
          <w:sz w:val="20"/>
          <w:szCs w:val="20"/>
        </w:rPr>
        <w:instrText xml:space="preserve"> SEQ Table \* ARABIC </w:instrText>
      </w:r>
      <w:r w:rsidRPr="007F2FB4">
        <w:rPr>
          <w:b/>
          <w:bCs/>
          <w:sz w:val="20"/>
          <w:szCs w:val="20"/>
        </w:rPr>
        <w:fldChar w:fldCharType="separate"/>
      </w:r>
      <w:r w:rsidR="00B2175B">
        <w:rPr>
          <w:b/>
          <w:bCs/>
          <w:noProof/>
          <w:sz w:val="20"/>
          <w:szCs w:val="20"/>
        </w:rPr>
        <w:t>15</w:t>
      </w:r>
      <w:r w:rsidRPr="007F2FB4">
        <w:rPr>
          <w:b/>
          <w:bCs/>
          <w:sz w:val="20"/>
          <w:szCs w:val="20"/>
        </w:rPr>
        <w:fldChar w:fldCharType="end"/>
      </w:r>
      <w:bookmarkEnd w:id="204"/>
      <w:r w:rsidRPr="007F2FB4">
        <w:rPr>
          <w:b/>
          <w:bCs/>
          <w:sz w:val="20"/>
          <w:szCs w:val="20"/>
        </w:rPr>
        <w:t xml:space="preserve">: </w:t>
      </w:r>
      <w:r w:rsidR="00B57828" w:rsidRPr="007F2FB4">
        <w:rPr>
          <w:b/>
          <w:bCs/>
          <w:sz w:val="20"/>
          <w:szCs w:val="20"/>
        </w:rPr>
        <w:t>Bivariate associations</w:t>
      </w:r>
      <w:r w:rsidRPr="007F2FB4">
        <w:rPr>
          <w:b/>
          <w:bCs/>
          <w:sz w:val="20"/>
          <w:szCs w:val="20"/>
        </w:rPr>
        <w:t xml:space="preserve"> for transition from non-problem/low risk gambler </w:t>
      </w:r>
      <w:r w:rsidR="007C56C7" w:rsidRPr="007F2FB4">
        <w:rPr>
          <w:b/>
          <w:bCs/>
          <w:sz w:val="20"/>
          <w:szCs w:val="20"/>
        </w:rPr>
        <w:t>in</w:t>
      </w:r>
      <w:r w:rsidRPr="007F2FB4">
        <w:rPr>
          <w:b/>
          <w:bCs/>
          <w:sz w:val="20"/>
          <w:szCs w:val="20"/>
        </w:rPr>
        <w:t xml:space="preserve"> Wave 1 to moderate-risk/problem gambler </w:t>
      </w:r>
      <w:r w:rsidR="007C56C7" w:rsidRPr="007F2FB4">
        <w:rPr>
          <w:b/>
          <w:bCs/>
          <w:sz w:val="20"/>
          <w:szCs w:val="20"/>
        </w:rPr>
        <w:t>in</w:t>
      </w:r>
      <w:r w:rsidRPr="007F2FB4">
        <w:rPr>
          <w:b/>
          <w:bCs/>
          <w:sz w:val="20"/>
          <w:szCs w:val="20"/>
        </w:rPr>
        <w:t xml:space="preserve"> Wave 2</w:t>
      </w:r>
      <w:bookmarkEnd w:id="205"/>
    </w:p>
    <w:tbl>
      <w:tblPr>
        <w:tblStyle w:val="TableGrid"/>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835"/>
        <w:gridCol w:w="992"/>
        <w:gridCol w:w="992"/>
        <w:gridCol w:w="284"/>
        <w:gridCol w:w="759"/>
      </w:tblGrid>
      <w:tr w:rsidR="009B1415" w:rsidRPr="009B1415" w:rsidTr="00E05935">
        <w:trPr>
          <w:tblHeader/>
        </w:trPr>
        <w:tc>
          <w:tcPr>
            <w:tcW w:w="2660" w:type="dxa"/>
            <w:tcBorders>
              <w:top w:val="single" w:sz="4" w:space="0" w:color="auto"/>
              <w:bottom w:val="single" w:sz="4" w:space="0" w:color="auto"/>
            </w:tcBorders>
            <w:vAlign w:val="bottom"/>
          </w:tcPr>
          <w:p w:rsidR="009B1415" w:rsidRPr="009B1415" w:rsidRDefault="009B1415" w:rsidP="00B57828">
            <w:pPr>
              <w:keepNext/>
              <w:keepLines/>
              <w:spacing w:before="20"/>
              <w:jc w:val="both"/>
              <w:rPr>
                <w:b/>
                <w:sz w:val="16"/>
                <w:szCs w:val="16"/>
              </w:rPr>
            </w:pPr>
            <w:r w:rsidRPr="009B1415">
              <w:rPr>
                <w:b/>
                <w:sz w:val="16"/>
                <w:szCs w:val="16"/>
              </w:rPr>
              <w:t>Variable</w:t>
            </w:r>
          </w:p>
        </w:tc>
        <w:tc>
          <w:tcPr>
            <w:tcW w:w="2835" w:type="dxa"/>
            <w:tcBorders>
              <w:top w:val="single" w:sz="4" w:space="0" w:color="auto"/>
              <w:bottom w:val="single" w:sz="4" w:space="0" w:color="auto"/>
            </w:tcBorders>
            <w:vAlign w:val="center"/>
          </w:tcPr>
          <w:p w:rsidR="009B1415" w:rsidRPr="009B1415" w:rsidRDefault="009B1415" w:rsidP="00B57828">
            <w:pPr>
              <w:keepNext/>
              <w:keepLines/>
              <w:spacing w:before="20"/>
              <w:jc w:val="right"/>
              <w:rPr>
                <w:rFonts w:ascii="Calibri" w:hAnsi="Calibri"/>
                <w:b/>
                <w:bCs/>
                <w:color w:val="000000"/>
                <w:sz w:val="16"/>
                <w:szCs w:val="16"/>
              </w:rPr>
            </w:pPr>
            <w:r w:rsidRPr="009B1415">
              <w:rPr>
                <w:rFonts w:ascii="Calibri" w:hAnsi="Calibri"/>
                <w:b/>
                <w:bCs/>
                <w:color w:val="000000"/>
                <w:sz w:val="16"/>
                <w:szCs w:val="16"/>
              </w:rPr>
              <w:t>%</w:t>
            </w:r>
          </w:p>
        </w:tc>
        <w:tc>
          <w:tcPr>
            <w:tcW w:w="992" w:type="dxa"/>
            <w:tcBorders>
              <w:top w:val="single" w:sz="4" w:space="0" w:color="auto"/>
              <w:bottom w:val="single" w:sz="4" w:space="0" w:color="auto"/>
            </w:tcBorders>
            <w:vAlign w:val="center"/>
          </w:tcPr>
          <w:p w:rsidR="009B1415" w:rsidRPr="009B1415" w:rsidRDefault="009B1415" w:rsidP="00B57828">
            <w:pPr>
              <w:keepNext/>
              <w:keepLines/>
              <w:spacing w:before="20"/>
              <w:jc w:val="right"/>
              <w:rPr>
                <w:rFonts w:ascii="Calibri" w:hAnsi="Calibri"/>
                <w:b/>
                <w:color w:val="000000"/>
                <w:sz w:val="16"/>
                <w:szCs w:val="16"/>
              </w:rPr>
            </w:pPr>
            <w:r w:rsidRPr="009B1415">
              <w:rPr>
                <w:rFonts w:ascii="Calibri" w:hAnsi="Calibri"/>
                <w:b/>
                <w:color w:val="000000"/>
                <w:sz w:val="16"/>
                <w:szCs w:val="16"/>
              </w:rPr>
              <w:t>Odds Ratio</w:t>
            </w:r>
          </w:p>
        </w:tc>
        <w:tc>
          <w:tcPr>
            <w:tcW w:w="1276" w:type="dxa"/>
            <w:gridSpan w:val="2"/>
            <w:tcBorders>
              <w:top w:val="single" w:sz="4" w:space="0" w:color="auto"/>
              <w:bottom w:val="single" w:sz="4" w:space="0" w:color="auto"/>
            </w:tcBorders>
            <w:vAlign w:val="center"/>
          </w:tcPr>
          <w:p w:rsidR="009B1415" w:rsidRPr="009B1415" w:rsidRDefault="00B16D1B" w:rsidP="00B57828">
            <w:pPr>
              <w:keepNext/>
              <w:keepLines/>
              <w:spacing w:before="20"/>
              <w:jc w:val="right"/>
              <w:rPr>
                <w:rFonts w:ascii="Calibri" w:hAnsi="Calibri"/>
                <w:b/>
                <w:color w:val="000000"/>
                <w:sz w:val="16"/>
                <w:szCs w:val="16"/>
              </w:rPr>
            </w:pPr>
            <w:r>
              <w:rPr>
                <w:rFonts w:ascii="Calibri" w:hAnsi="Calibri"/>
                <w:b/>
                <w:color w:val="000000"/>
                <w:sz w:val="16"/>
                <w:szCs w:val="16"/>
              </w:rPr>
              <w:t>(</w:t>
            </w:r>
            <w:r w:rsidR="009B1415" w:rsidRPr="009B1415">
              <w:rPr>
                <w:rFonts w:ascii="Calibri" w:hAnsi="Calibri"/>
                <w:b/>
                <w:color w:val="000000"/>
                <w:sz w:val="16"/>
                <w:szCs w:val="16"/>
              </w:rPr>
              <w:t>95% CI</w:t>
            </w:r>
            <w:r>
              <w:rPr>
                <w:rFonts w:ascii="Calibri" w:hAnsi="Calibri"/>
                <w:b/>
                <w:color w:val="000000"/>
                <w:sz w:val="16"/>
                <w:szCs w:val="16"/>
              </w:rPr>
              <w:t>)</w:t>
            </w:r>
          </w:p>
        </w:tc>
        <w:tc>
          <w:tcPr>
            <w:tcW w:w="759" w:type="dxa"/>
            <w:tcBorders>
              <w:top w:val="single" w:sz="4" w:space="0" w:color="auto"/>
              <w:bottom w:val="single" w:sz="4" w:space="0" w:color="auto"/>
            </w:tcBorders>
            <w:vAlign w:val="center"/>
          </w:tcPr>
          <w:p w:rsidR="009B1415" w:rsidRPr="009B1415" w:rsidRDefault="009B1415" w:rsidP="00B57828">
            <w:pPr>
              <w:keepNext/>
              <w:keepLines/>
              <w:spacing w:before="20"/>
              <w:jc w:val="right"/>
              <w:rPr>
                <w:rFonts w:ascii="Calibri" w:hAnsi="Calibri"/>
                <w:b/>
                <w:color w:val="000000"/>
                <w:sz w:val="16"/>
                <w:szCs w:val="16"/>
              </w:rPr>
            </w:pPr>
            <w:r w:rsidRPr="009B1415">
              <w:rPr>
                <w:rFonts w:ascii="Calibri" w:hAnsi="Calibri"/>
                <w:b/>
                <w:color w:val="000000"/>
                <w:sz w:val="16"/>
                <w:szCs w:val="16"/>
              </w:rPr>
              <w:t>p-value</w:t>
            </w:r>
          </w:p>
        </w:tc>
      </w:tr>
      <w:tr w:rsidR="00D43047" w:rsidRPr="009B1415" w:rsidTr="00E05935">
        <w:tc>
          <w:tcPr>
            <w:tcW w:w="5495" w:type="dxa"/>
            <w:gridSpan w:val="2"/>
            <w:vAlign w:val="center"/>
          </w:tcPr>
          <w:p w:rsidR="00D43047" w:rsidRPr="009B1415" w:rsidRDefault="00D43047" w:rsidP="00B57828">
            <w:pPr>
              <w:keepNext/>
              <w:keepLines/>
              <w:spacing w:before="20"/>
              <w:rPr>
                <w:rFonts w:ascii="Calibri" w:hAnsi="Calibri"/>
                <w:b/>
                <w:bCs/>
                <w:color w:val="000000"/>
                <w:sz w:val="16"/>
                <w:szCs w:val="16"/>
              </w:rPr>
            </w:pPr>
            <w:r w:rsidRPr="009B1415">
              <w:rPr>
                <w:b/>
                <w:sz w:val="16"/>
                <w:szCs w:val="16"/>
              </w:rPr>
              <w:t>Ethnic group (prioritised)</w:t>
            </w:r>
          </w:p>
        </w:tc>
        <w:tc>
          <w:tcPr>
            <w:tcW w:w="992" w:type="dxa"/>
          </w:tcPr>
          <w:p w:rsidR="00D43047" w:rsidRPr="009B1415" w:rsidRDefault="00D43047" w:rsidP="00B57828">
            <w:pPr>
              <w:keepNext/>
              <w:keepLines/>
              <w:adjustRightInd w:val="0"/>
              <w:spacing w:before="20"/>
              <w:jc w:val="right"/>
              <w:rPr>
                <w:color w:val="000000"/>
                <w:sz w:val="16"/>
                <w:szCs w:val="16"/>
              </w:rPr>
            </w:pPr>
          </w:p>
        </w:tc>
        <w:tc>
          <w:tcPr>
            <w:tcW w:w="992" w:type="dxa"/>
          </w:tcPr>
          <w:p w:rsidR="00D43047" w:rsidRPr="009B1415" w:rsidRDefault="00D43047" w:rsidP="00B57828">
            <w:pPr>
              <w:keepNext/>
              <w:keepLines/>
              <w:adjustRightInd w:val="0"/>
              <w:spacing w:before="20"/>
              <w:jc w:val="right"/>
              <w:rPr>
                <w:color w:val="000000"/>
                <w:sz w:val="16"/>
                <w:szCs w:val="16"/>
              </w:rPr>
            </w:pPr>
          </w:p>
        </w:tc>
        <w:tc>
          <w:tcPr>
            <w:tcW w:w="284" w:type="dxa"/>
          </w:tcPr>
          <w:p w:rsidR="00D43047" w:rsidRPr="009B1415" w:rsidRDefault="00D43047" w:rsidP="00B57828">
            <w:pPr>
              <w:keepNext/>
              <w:keepLines/>
              <w:adjustRightInd w:val="0"/>
              <w:spacing w:before="20"/>
              <w:jc w:val="right"/>
              <w:rPr>
                <w:color w:val="000000"/>
                <w:sz w:val="16"/>
                <w:szCs w:val="16"/>
              </w:rPr>
            </w:pPr>
          </w:p>
        </w:tc>
        <w:tc>
          <w:tcPr>
            <w:tcW w:w="759" w:type="dxa"/>
            <w:vAlign w:val="center"/>
          </w:tcPr>
          <w:p w:rsidR="00D43047" w:rsidRPr="009B1415" w:rsidRDefault="00D43047" w:rsidP="00B57828">
            <w:pPr>
              <w:keepNext/>
              <w:keepLines/>
              <w:spacing w:before="20"/>
              <w:jc w:val="right"/>
              <w:rPr>
                <w:rFonts w:ascii="Calibri" w:hAnsi="Calibri"/>
                <w:b/>
                <w:color w:val="000000"/>
                <w:sz w:val="16"/>
                <w:szCs w:val="16"/>
              </w:rPr>
            </w:pPr>
          </w:p>
        </w:tc>
      </w:tr>
      <w:tr w:rsidR="002E6A48" w:rsidRPr="009B1415" w:rsidTr="00E05935">
        <w:trPr>
          <w:trHeight w:val="157"/>
        </w:trPr>
        <w:tc>
          <w:tcPr>
            <w:tcW w:w="2660" w:type="dxa"/>
          </w:tcPr>
          <w:p w:rsidR="002E6A48" w:rsidRPr="009B1415" w:rsidRDefault="002E6A48" w:rsidP="00B57828">
            <w:pPr>
              <w:keepNext/>
              <w:keepLines/>
              <w:spacing w:before="20"/>
              <w:ind w:left="176"/>
              <w:jc w:val="both"/>
              <w:rPr>
                <w:sz w:val="16"/>
                <w:szCs w:val="16"/>
              </w:rPr>
            </w:pPr>
            <w:r w:rsidRPr="009B1415">
              <w:rPr>
                <w:sz w:val="16"/>
                <w:szCs w:val="16"/>
              </w:rPr>
              <w:t>Māori</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3.8</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3.73</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1.59</w:t>
            </w:r>
            <w:r w:rsidR="002E6A48">
              <w:rPr>
                <w:color w:val="000000"/>
                <w:sz w:val="16"/>
                <w:szCs w:val="16"/>
              </w:rPr>
              <w:t xml:space="preserve"> - </w:t>
            </w:r>
            <w:r w:rsidR="002E6A48" w:rsidRPr="009B1415">
              <w:rPr>
                <w:color w:val="000000"/>
                <w:sz w:val="16"/>
                <w:szCs w:val="16"/>
              </w:rPr>
              <w:t>8.75</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Pacific</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7.0</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7.09</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3.41</w:t>
            </w:r>
            <w:r w:rsidR="002E6A48">
              <w:rPr>
                <w:color w:val="000000"/>
                <w:sz w:val="16"/>
                <w:szCs w:val="16"/>
              </w:rPr>
              <w:t xml:space="preserve"> - </w:t>
            </w:r>
            <w:r w:rsidR="002E6A48" w:rsidRPr="009B1415">
              <w:rPr>
                <w:color w:val="000000"/>
                <w:sz w:val="16"/>
                <w:szCs w:val="16"/>
              </w:rPr>
              <w:t>14.74</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Asian</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3.3</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3.20</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1.13</w:t>
            </w:r>
            <w:r w:rsidR="002E6A48">
              <w:rPr>
                <w:color w:val="000000"/>
                <w:sz w:val="16"/>
                <w:szCs w:val="16"/>
              </w:rPr>
              <w:t xml:space="preserve"> - </w:t>
            </w:r>
            <w:r w:rsidR="002E6A48" w:rsidRPr="009B1415">
              <w:rPr>
                <w:color w:val="000000"/>
                <w:sz w:val="16"/>
                <w:szCs w:val="16"/>
              </w:rPr>
              <w:t>9.04</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9B1415" w:rsidRPr="009B1415" w:rsidTr="00E05935">
        <w:tc>
          <w:tcPr>
            <w:tcW w:w="2660" w:type="dxa"/>
          </w:tcPr>
          <w:p w:rsidR="009B1415" w:rsidRPr="009B1415" w:rsidRDefault="009B1415" w:rsidP="00B57828">
            <w:pPr>
              <w:keepNext/>
              <w:keepLines/>
              <w:spacing w:before="20"/>
              <w:ind w:left="176"/>
              <w:jc w:val="both"/>
              <w:rPr>
                <w:sz w:val="16"/>
                <w:szCs w:val="16"/>
              </w:rPr>
            </w:pPr>
            <w:r w:rsidRPr="009B1415">
              <w:rPr>
                <w:sz w:val="16"/>
                <w:szCs w:val="16"/>
              </w:rPr>
              <w:t>European/Other</w:t>
            </w:r>
          </w:p>
        </w:tc>
        <w:tc>
          <w:tcPr>
            <w:tcW w:w="2835" w:type="dxa"/>
          </w:tcPr>
          <w:p w:rsidR="009B1415" w:rsidRPr="009B1415" w:rsidRDefault="009B1415" w:rsidP="00B57828">
            <w:pPr>
              <w:keepNext/>
              <w:keepLines/>
              <w:adjustRightInd w:val="0"/>
              <w:spacing w:before="20"/>
              <w:jc w:val="right"/>
              <w:rPr>
                <w:color w:val="000000"/>
                <w:sz w:val="16"/>
                <w:szCs w:val="16"/>
              </w:rPr>
            </w:pPr>
            <w:r w:rsidRPr="009B1415">
              <w:rPr>
                <w:color w:val="000000"/>
                <w:sz w:val="16"/>
                <w:szCs w:val="16"/>
              </w:rPr>
              <w:t>1.0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shd w:val="clear" w:color="auto" w:fill="D9D9D9" w:themeFill="background1" w:themeFillShade="D9"/>
            <w:vAlign w:val="center"/>
          </w:tcPr>
          <w:p w:rsidR="009B1415" w:rsidRPr="00B57828" w:rsidRDefault="009B1415" w:rsidP="00B57828">
            <w:pPr>
              <w:keepNext/>
              <w:keepLines/>
              <w:adjustRightInd w:val="0"/>
              <w:spacing w:before="20"/>
              <w:jc w:val="right"/>
              <w:rPr>
                <w:color w:val="000000"/>
                <w:sz w:val="16"/>
                <w:szCs w:val="16"/>
              </w:rPr>
            </w:pPr>
            <w:r w:rsidRPr="009B1415">
              <w:rPr>
                <w:color w:val="000000"/>
                <w:sz w:val="16"/>
                <w:szCs w:val="16"/>
              </w:rPr>
              <w:t>&lt;.0001</w:t>
            </w:r>
          </w:p>
        </w:tc>
      </w:tr>
      <w:tr w:rsidR="009B1415" w:rsidRPr="009B1415" w:rsidTr="00E05935">
        <w:tc>
          <w:tcPr>
            <w:tcW w:w="2660" w:type="dxa"/>
            <w:vAlign w:val="bottom"/>
          </w:tcPr>
          <w:p w:rsidR="009B1415" w:rsidRPr="009B1415" w:rsidRDefault="00C41FBE" w:rsidP="00B57828">
            <w:pPr>
              <w:keepNext/>
              <w:keepLines/>
              <w:spacing w:before="20"/>
              <w:jc w:val="both"/>
              <w:rPr>
                <w:b/>
                <w:sz w:val="16"/>
                <w:szCs w:val="16"/>
              </w:rPr>
            </w:pPr>
            <w:r>
              <w:rPr>
                <w:b/>
                <w:sz w:val="16"/>
                <w:szCs w:val="16"/>
              </w:rPr>
              <w:t>Country of b</w:t>
            </w:r>
            <w:r w:rsidR="009B1415" w:rsidRPr="009B1415">
              <w:rPr>
                <w:b/>
                <w:sz w:val="16"/>
                <w:szCs w:val="16"/>
              </w:rPr>
              <w:t>irth</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9B1415" w:rsidRPr="009B1415" w:rsidTr="00E05935">
        <w:tc>
          <w:tcPr>
            <w:tcW w:w="2660" w:type="dxa"/>
          </w:tcPr>
          <w:p w:rsidR="009B1415" w:rsidRPr="009B1415" w:rsidRDefault="009B1415" w:rsidP="00B57828">
            <w:pPr>
              <w:keepNext/>
              <w:keepLines/>
              <w:spacing w:before="20"/>
              <w:ind w:left="176"/>
              <w:jc w:val="both"/>
              <w:rPr>
                <w:sz w:val="16"/>
                <w:szCs w:val="16"/>
              </w:rPr>
            </w:pPr>
            <w:r w:rsidRPr="009B1415">
              <w:rPr>
                <w:sz w:val="16"/>
                <w:szCs w:val="16"/>
              </w:rPr>
              <w:t>NZ</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1.4</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Other</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2.7</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1.94</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1.01 - 3.74</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0.05</w:t>
            </w:r>
          </w:p>
        </w:tc>
      </w:tr>
      <w:tr w:rsidR="009B1415" w:rsidRPr="009B1415" w:rsidTr="00E05935">
        <w:tc>
          <w:tcPr>
            <w:tcW w:w="2660" w:type="dxa"/>
            <w:vAlign w:val="bottom"/>
          </w:tcPr>
          <w:p w:rsidR="009B1415" w:rsidRPr="009B1415" w:rsidRDefault="009B1415" w:rsidP="00B57828">
            <w:pPr>
              <w:keepNext/>
              <w:keepLines/>
              <w:spacing w:before="20"/>
              <w:jc w:val="both"/>
              <w:rPr>
                <w:b/>
                <w:sz w:val="16"/>
                <w:szCs w:val="16"/>
              </w:rPr>
            </w:pPr>
            <w:r w:rsidRPr="009B1415">
              <w:rPr>
                <w:b/>
                <w:sz w:val="16"/>
                <w:szCs w:val="16"/>
              </w:rPr>
              <w:t>Household income</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p>
        </w:tc>
        <w:tc>
          <w:tcPr>
            <w:tcW w:w="992" w:type="dxa"/>
            <w:vAlign w:val="center"/>
          </w:tcPr>
          <w:p w:rsidR="009B1415" w:rsidRPr="009B1415" w:rsidRDefault="009B1415" w:rsidP="00B57828">
            <w:pPr>
              <w:keepNext/>
              <w:keepLines/>
              <w:spacing w:before="20"/>
              <w:jc w:val="right"/>
              <w:rPr>
                <w:rFonts w:ascii="Calibri" w:hAnsi="Calibri"/>
                <w:b/>
                <w:color w:val="000000"/>
                <w:sz w:val="16"/>
                <w:szCs w:val="16"/>
              </w:rPr>
            </w:pPr>
          </w:p>
        </w:tc>
        <w:tc>
          <w:tcPr>
            <w:tcW w:w="992" w:type="dxa"/>
            <w:vAlign w:val="center"/>
          </w:tcPr>
          <w:p w:rsidR="009B1415" w:rsidRPr="009B1415" w:rsidRDefault="009B1415" w:rsidP="00B57828">
            <w:pPr>
              <w:keepNext/>
              <w:keepLines/>
              <w:spacing w:before="20"/>
              <w:jc w:val="right"/>
              <w:rPr>
                <w:rFonts w:ascii="Calibri" w:hAnsi="Calibri"/>
                <w:b/>
                <w:color w:val="000000"/>
                <w:sz w:val="16"/>
                <w:szCs w:val="16"/>
              </w:rPr>
            </w:pPr>
          </w:p>
        </w:tc>
        <w:tc>
          <w:tcPr>
            <w:tcW w:w="284" w:type="dxa"/>
            <w:vAlign w:val="center"/>
          </w:tcPr>
          <w:p w:rsidR="009B1415" w:rsidRPr="009B1415" w:rsidRDefault="009B1415" w:rsidP="00B57828">
            <w:pPr>
              <w:keepNext/>
              <w:keepLines/>
              <w:spacing w:before="20"/>
              <w:jc w:val="right"/>
              <w:rPr>
                <w:rFonts w:ascii="Calibri" w:hAnsi="Calibri"/>
                <w:b/>
                <w:color w:val="000000"/>
                <w:sz w:val="16"/>
                <w:szCs w:val="16"/>
              </w:rPr>
            </w:pPr>
          </w:p>
        </w:tc>
        <w:tc>
          <w:tcPr>
            <w:tcW w:w="759" w:type="dxa"/>
            <w:vAlign w:val="center"/>
          </w:tcPr>
          <w:p w:rsidR="009B1415" w:rsidRPr="009B1415" w:rsidRDefault="009B1415" w:rsidP="00B57828">
            <w:pPr>
              <w:keepNext/>
              <w:keepLines/>
              <w:spacing w:before="20"/>
              <w:jc w:val="right"/>
              <w:rPr>
                <w:rFonts w:ascii="Calibri" w:hAnsi="Calibri"/>
                <w:b/>
                <w:color w:val="000000"/>
                <w:sz w:val="16"/>
                <w:szCs w:val="16"/>
              </w:rPr>
            </w:pPr>
          </w:p>
        </w:tc>
      </w:tr>
      <w:tr w:rsidR="009B1415" w:rsidRPr="009B1415" w:rsidTr="00E05935">
        <w:tc>
          <w:tcPr>
            <w:tcW w:w="2660" w:type="dxa"/>
          </w:tcPr>
          <w:p w:rsidR="009B1415" w:rsidRPr="009B1415" w:rsidRDefault="009B1415" w:rsidP="00B57828">
            <w:pPr>
              <w:keepNext/>
              <w:keepLines/>
              <w:spacing w:before="20"/>
              <w:ind w:left="176"/>
              <w:jc w:val="both"/>
              <w:rPr>
                <w:sz w:val="16"/>
                <w:szCs w:val="16"/>
              </w:rPr>
            </w:pPr>
            <w:r w:rsidRPr="009B1415">
              <w:rPr>
                <w:sz w:val="16"/>
                <w:szCs w:val="16"/>
              </w:rPr>
              <w:t>&lt;$20,000</w:t>
            </w:r>
          </w:p>
        </w:tc>
        <w:tc>
          <w:tcPr>
            <w:tcW w:w="2835" w:type="dxa"/>
          </w:tcPr>
          <w:p w:rsidR="009B1415" w:rsidRPr="009B1415" w:rsidRDefault="009A02F6" w:rsidP="00B57828">
            <w:pPr>
              <w:keepNext/>
              <w:keepLines/>
              <w:adjustRightInd w:val="0"/>
              <w:spacing w:before="20"/>
              <w:jc w:val="right"/>
              <w:rPr>
                <w:color w:val="000000"/>
                <w:sz w:val="16"/>
                <w:szCs w:val="16"/>
              </w:rPr>
            </w:pPr>
            <w:r>
              <w:rPr>
                <w:color w:val="000000"/>
                <w:sz w:val="16"/>
                <w:szCs w:val="16"/>
              </w:rPr>
              <w:t>1.3</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$20,001 - $40,000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1.8</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1.41</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0.49 - 4.07</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$40,001 - $60,000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3.4</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2.70</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1.00 - 7.30</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$60,001 - $80,000</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4.0</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3.27</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1.20 - 8.95</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$80,001 - $100,000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1.2</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0.92</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0.25 - 3.47</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&gt;$100,000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0.5</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0.37</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0.10 - 1.35</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vAlign w:val="bottom"/>
          </w:tcPr>
          <w:p w:rsidR="002E6A48" w:rsidRPr="009B1415" w:rsidRDefault="00573244" w:rsidP="00B57828">
            <w:pPr>
              <w:spacing w:before="20"/>
              <w:ind w:left="176"/>
              <w:jc w:val="both"/>
              <w:rPr>
                <w:sz w:val="16"/>
                <w:szCs w:val="16"/>
              </w:rPr>
            </w:pPr>
            <w:r>
              <w:rPr>
                <w:sz w:val="16"/>
                <w:szCs w:val="16"/>
              </w:rPr>
              <w:t>Not r</w:t>
            </w:r>
            <w:r w:rsidR="002E6A48" w:rsidRPr="009B1415">
              <w:rPr>
                <w:sz w:val="16"/>
                <w:szCs w:val="16"/>
              </w:rPr>
              <w:t>eported</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1.3</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1.02</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0.25 - 4.15</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9B1415">
              <w:rPr>
                <w:color w:val="000000"/>
                <w:sz w:val="16"/>
                <w:szCs w:val="16"/>
              </w:rPr>
              <w:t>&lt;0.0001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b/>
                <w:color w:val="000000"/>
                <w:sz w:val="16"/>
                <w:szCs w:val="16"/>
              </w:rPr>
            </w:pPr>
            <w:r w:rsidRPr="009B1415">
              <w:rPr>
                <w:rFonts w:eastAsiaTheme="minorEastAsia"/>
                <w:b/>
                <w:sz w:val="16"/>
                <w:szCs w:val="16"/>
                <w:lang w:eastAsia="en-US"/>
              </w:rPr>
              <w:t>Number of gambling activities participated in</w:t>
            </w: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284" w:type="dxa"/>
            <w:vAlign w:val="center"/>
          </w:tcPr>
          <w:p w:rsidR="00D43047" w:rsidRPr="009B1415" w:rsidRDefault="00D43047" w:rsidP="00B57828">
            <w:pPr>
              <w:spacing w:before="20"/>
              <w:jc w:val="right"/>
              <w:rPr>
                <w:rFonts w:ascii="Calibri" w:hAnsi="Calibri"/>
                <w:b/>
                <w:color w:val="000000"/>
                <w:sz w:val="16"/>
                <w:szCs w:val="16"/>
              </w:rPr>
            </w:pPr>
          </w:p>
        </w:tc>
        <w:tc>
          <w:tcPr>
            <w:tcW w:w="759" w:type="dxa"/>
            <w:vAlign w:val="center"/>
          </w:tcPr>
          <w:p w:rsidR="00D43047" w:rsidRPr="009B1415" w:rsidRDefault="00D43047" w:rsidP="00B57828">
            <w:pPr>
              <w:spacing w:before="20"/>
              <w:jc w:val="right"/>
              <w:rPr>
                <w:rFonts w:ascii="Calibri" w:hAnsi="Calibri"/>
                <w:b/>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1</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1.1</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2</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1.4</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1.26</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0.40 - 3.95</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3</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2.0</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1.79</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0.60 - 5.33</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4-6</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1.7</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1.49</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0.53 - 4.17</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7-9</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4.9</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4.59</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1.34 - 15.67</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10+</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15.3</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16.02</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1.67 - 153.66</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0.05</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Pattern of participation</w:t>
            </w: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284" w:type="dxa"/>
            <w:vAlign w:val="center"/>
          </w:tcPr>
          <w:p w:rsidR="00D43047" w:rsidRPr="009B1415" w:rsidRDefault="00D43047" w:rsidP="00B57828">
            <w:pPr>
              <w:spacing w:before="20"/>
              <w:jc w:val="right"/>
              <w:rPr>
                <w:rFonts w:ascii="Calibri" w:hAnsi="Calibri"/>
                <w:b/>
                <w:color w:val="000000"/>
                <w:sz w:val="16"/>
                <w:szCs w:val="16"/>
              </w:rPr>
            </w:pPr>
          </w:p>
        </w:tc>
        <w:tc>
          <w:tcPr>
            <w:tcW w:w="759" w:type="dxa"/>
            <w:vAlign w:val="center"/>
          </w:tcPr>
          <w:p w:rsidR="00D43047" w:rsidRPr="009B1415" w:rsidRDefault="00D43047" w:rsidP="00B57828">
            <w:pPr>
              <w:spacing w:before="20"/>
              <w:jc w:val="right"/>
              <w:rPr>
                <w:rFonts w:ascii="Calibri" w:hAnsi="Calibri"/>
                <w:b/>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Infrequent gambler</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1.6</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Regular non-continuous gambler</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1.4</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0.91</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0.42 - 2.00</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Regular continuous gambler</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4.1</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2.72</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1.22 - 6.11</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0.03</w:t>
            </w:r>
          </w:p>
        </w:tc>
      </w:tr>
      <w:tr w:rsidR="00D43047" w:rsidRPr="009B1415" w:rsidTr="00E05935">
        <w:tc>
          <w:tcPr>
            <w:tcW w:w="5495" w:type="dxa"/>
            <w:gridSpan w:val="2"/>
            <w:vAlign w:val="center"/>
          </w:tcPr>
          <w:p w:rsidR="00D43047" w:rsidRPr="009B1415" w:rsidRDefault="00D43047" w:rsidP="00B57828">
            <w:pPr>
              <w:keepNext/>
              <w:keepLines/>
              <w:spacing w:before="20"/>
              <w:rPr>
                <w:rFonts w:ascii="Calibri" w:hAnsi="Calibri"/>
                <w:b/>
                <w:bCs/>
                <w:color w:val="000000"/>
                <w:sz w:val="16"/>
                <w:szCs w:val="16"/>
              </w:rPr>
            </w:pPr>
            <w:r w:rsidRPr="009B1415">
              <w:rPr>
                <w:rFonts w:eastAsiaTheme="minorEastAsia"/>
                <w:b/>
                <w:sz w:val="16"/>
                <w:szCs w:val="16"/>
                <w:lang w:eastAsia="en-US"/>
              </w:rPr>
              <w:t>Typical monthly gambling expenditure</w:t>
            </w:r>
          </w:p>
        </w:tc>
        <w:tc>
          <w:tcPr>
            <w:tcW w:w="992" w:type="dxa"/>
            <w:vAlign w:val="center"/>
          </w:tcPr>
          <w:p w:rsidR="00D43047" w:rsidRPr="009B1415" w:rsidRDefault="00D43047" w:rsidP="00B57828">
            <w:pPr>
              <w:keepNext/>
              <w:keepLines/>
              <w:spacing w:before="20"/>
              <w:jc w:val="right"/>
              <w:rPr>
                <w:rFonts w:ascii="Calibri" w:hAnsi="Calibri"/>
                <w:b/>
                <w:color w:val="000000"/>
                <w:sz w:val="16"/>
                <w:szCs w:val="16"/>
              </w:rPr>
            </w:pPr>
          </w:p>
        </w:tc>
        <w:tc>
          <w:tcPr>
            <w:tcW w:w="992" w:type="dxa"/>
            <w:vAlign w:val="center"/>
          </w:tcPr>
          <w:p w:rsidR="00D43047" w:rsidRPr="009B1415" w:rsidRDefault="00D43047" w:rsidP="00B57828">
            <w:pPr>
              <w:keepNext/>
              <w:keepLines/>
              <w:spacing w:before="20"/>
              <w:jc w:val="right"/>
              <w:rPr>
                <w:rFonts w:ascii="Calibri" w:hAnsi="Calibri"/>
                <w:b/>
                <w:color w:val="000000"/>
                <w:sz w:val="16"/>
                <w:szCs w:val="16"/>
              </w:rPr>
            </w:pPr>
          </w:p>
        </w:tc>
        <w:tc>
          <w:tcPr>
            <w:tcW w:w="284" w:type="dxa"/>
            <w:vAlign w:val="center"/>
          </w:tcPr>
          <w:p w:rsidR="00D43047" w:rsidRPr="009B1415" w:rsidRDefault="00D43047" w:rsidP="00B57828">
            <w:pPr>
              <w:keepNext/>
              <w:keepLines/>
              <w:spacing w:before="20"/>
              <w:jc w:val="right"/>
              <w:rPr>
                <w:rFonts w:ascii="Calibri" w:hAnsi="Calibri"/>
                <w:b/>
                <w:color w:val="000000"/>
                <w:sz w:val="16"/>
                <w:szCs w:val="16"/>
              </w:rPr>
            </w:pPr>
          </w:p>
        </w:tc>
        <w:tc>
          <w:tcPr>
            <w:tcW w:w="759" w:type="dxa"/>
            <w:vAlign w:val="center"/>
          </w:tcPr>
          <w:p w:rsidR="00D43047" w:rsidRPr="009B1415" w:rsidRDefault="00D43047" w:rsidP="00B57828">
            <w:pPr>
              <w:keepNext/>
              <w:keepLines/>
              <w:spacing w:before="20"/>
              <w:jc w:val="right"/>
              <w:rPr>
                <w:rFonts w:ascii="Calibri" w:hAnsi="Calibri"/>
                <w:b/>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$1 - $10</w:t>
            </w:r>
          </w:p>
        </w:tc>
        <w:tc>
          <w:tcPr>
            <w:tcW w:w="2835" w:type="dxa"/>
          </w:tcPr>
          <w:p w:rsidR="009B1415" w:rsidRPr="009B1415" w:rsidRDefault="009A02F6" w:rsidP="00B57828">
            <w:pPr>
              <w:keepNext/>
              <w:keepLines/>
              <w:adjustRightInd w:val="0"/>
              <w:spacing w:before="20"/>
              <w:jc w:val="right"/>
              <w:rPr>
                <w:color w:val="000000"/>
                <w:sz w:val="16"/>
                <w:szCs w:val="16"/>
              </w:rPr>
            </w:pPr>
            <w:r>
              <w:rPr>
                <w:color w:val="000000"/>
                <w:sz w:val="16"/>
                <w:szCs w:val="16"/>
              </w:rPr>
              <w:t>1.9</w:t>
            </w:r>
          </w:p>
        </w:tc>
        <w:tc>
          <w:tcPr>
            <w:tcW w:w="992" w:type="dxa"/>
            <w:vAlign w:val="center"/>
          </w:tcPr>
          <w:p w:rsidR="009B1415" w:rsidRPr="00B57828" w:rsidRDefault="009B1415" w:rsidP="00B57828">
            <w:pPr>
              <w:keepNext/>
              <w:keepLines/>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spacing w:before="20"/>
              <w:jc w:val="right"/>
              <w:rPr>
                <w:color w:val="000000"/>
                <w:sz w:val="16"/>
                <w:szCs w:val="16"/>
              </w:rPr>
            </w:pPr>
          </w:p>
        </w:tc>
        <w:tc>
          <w:tcPr>
            <w:tcW w:w="284" w:type="dxa"/>
            <w:vAlign w:val="center"/>
          </w:tcPr>
          <w:p w:rsidR="009B1415" w:rsidRPr="00B57828" w:rsidRDefault="009B1415" w:rsidP="00B57828">
            <w:pPr>
              <w:keepNext/>
              <w:keepLines/>
              <w:spacing w:before="20"/>
              <w:jc w:val="right"/>
              <w:rPr>
                <w:color w:val="000000"/>
                <w:sz w:val="16"/>
                <w:szCs w:val="16"/>
              </w:rPr>
            </w:pPr>
          </w:p>
        </w:tc>
        <w:tc>
          <w:tcPr>
            <w:tcW w:w="759" w:type="dxa"/>
            <w:vAlign w:val="center"/>
          </w:tcPr>
          <w:p w:rsidR="009B1415" w:rsidRPr="00B57828" w:rsidRDefault="009B1415"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$11 - $20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0.5</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0.35</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0.09</w:t>
            </w:r>
            <w:r w:rsidR="002E6A48">
              <w:rPr>
                <w:color w:val="000000"/>
                <w:sz w:val="16"/>
                <w:szCs w:val="16"/>
              </w:rPr>
              <w:t xml:space="preserve"> - </w:t>
            </w:r>
            <w:r w:rsidR="002E6A48" w:rsidRPr="009B1415">
              <w:rPr>
                <w:color w:val="000000"/>
                <w:sz w:val="16"/>
                <w:szCs w:val="16"/>
              </w:rPr>
              <w:t>1.31</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$21 - $30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0.3</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0.22</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0.05</w:t>
            </w:r>
            <w:r w:rsidR="002E6A48">
              <w:rPr>
                <w:color w:val="000000"/>
                <w:sz w:val="16"/>
                <w:szCs w:val="16"/>
              </w:rPr>
              <w:t xml:space="preserve"> - </w:t>
            </w:r>
            <w:r w:rsidR="002E6A48" w:rsidRPr="009B1415">
              <w:rPr>
                <w:color w:val="000000"/>
                <w:sz w:val="16"/>
                <w:szCs w:val="16"/>
              </w:rPr>
              <w:t>1.07</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$31 - $50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0.8</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0.57</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0.15</w:t>
            </w:r>
            <w:r w:rsidR="002E6A48">
              <w:rPr>
                <w:color w:val="000000"/>
                <w:sz w:val="16"/>
                <w:szCs w:val="16"/>
              </w:rPr>
              <w:t xml:space="preserve"> - </w:t>
            </w:r>
            <w:r w:rsidR="002E6A48" w:rsidRPr="009B1415">
              <w:rPr>
                <w:color w:val="000000"/>
                <w:sz w:val="16"/>
                <w:szCs w:val="16"/>
              </w:rPr>
              <w:t>2.17</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$51 - $100</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2.9</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2.30</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0.71</w:t>
            </w:r>
            <w:r w:rsidR="002E6A48">
              <w:rPr>
                <w:color w:val="000000"/>
                <w:sz w:val="16"/>
                <w:szCs w:val="16"/>
              </w:rPr>
              <w:t xml:space="preserve"> - </w:t>
            </w:r>
            <w:r w:rsidR="002E6A48" w:rsidRPr="009B1415">
              <w:rPr>
                <w:color w:val="000000"/>
                <w:sz w:val="16"/>
                <w:szCs w:val="16"/>
              </w:rPr>
              <w:t>7.46</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$101 - $500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5.1</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4.08</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1.26</w:t>
            </w:r>
            <w:r w:rsidR="002E6A48">
              <w:rPr>
                <w:color w:val="000000"/>
                <w:sz w:val="16"/>
                <w:szCs w:val="16"/>
              </w:rPr>
              <w:t xml:space="preserve"> - </w:t>
            </w:r>
            <w:r w:rsidR="002E6A48" w:rsidRPr="009B1415">
              <w:rPr>
                <w:color w:val="000000"/>
                <w:sz w:val="16"/>
                <w:szCs w:val="16"/>
              </w:rPr>
              <w:t>13.15</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&gt;$500</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2.4</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1.84</w:t>
            </w:r>
          </w:p>
        </w:tc>
        <w:tc>
          <w:tcPr>
            <w:tcW w:w="1276" w:type="dxa"/>
            <w:gridSpan w:val="2"/>
          </w:tcPr>
          <w:p w:rsidR="002E6A48" w:rsidRPr="009B1415" w:rsidRDefault="00715F37"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0.36</w:t>
            </w:r>
            <w:r w:rsidR="002E6A48">
              <w:rPr>
                <w:color w:val="000000"/>
                <w:sz w:val="16"/>
                <w:szCs w:val="16"/>
              </w:rPr>
              <w:t xml:space="preserve"> - </w:t>
            </w:r>
            <w:r w:rsidR="002E6A48" w:rsidRPr="009B1415">
              <w:rPr>
                <w:color w:val="000000"/>
                <w:sz w:val="16"/>
                <w:szCs w:val="16"/>
              </w:rPr>
              <w:t>9.31</w:t>
            </w:r>
            <w:r>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spacing w:before="20"/>
              <w:jc w:val="right"/>
              <w:rPr>
                <w:color w:val="000000"/>
                <w:sz w:val="16"/>
                <w:szCs w:val="16"/>
              </w:rPr>
            </w:pPr>
            <w:r w:rsidRPr="009B1415">
              <w:rPr>
                <w:color w:val="000000"/>
                <w:sz w:val="16"/>
                <w:szCs w:val="16"/>
              </w:rPr>
              <w:t>&lt;0.0001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color w:val="000000"/>
                <w:sz w:val="16"/>
                <w:szCs w:val="16"/>
              </w:rPr>
            </w:pPr>
            <w:r w:rsidRPr="009B1415">
              <w:rPr>
                <w:b/>
                <w:sz w:val="16"/>
                <w:szCs w:val="16"/>
              </w:rPr>
              <w:t>Casino table games or EGMs (overseas) - annual</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1.5</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7.2</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5.18</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1.75 - 15.34</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3</w:t>
            </w:r>
          </w:p>
        </w:tc>
      </w:tr>
      <w:tr w:rsidR="00D43047" w:rsidRPr="009B1415" w:rsidTr="00E05935">
        <w:tc>
          <w:tcPr>
            <w:tcW w:w="6487" w:type="dxa"/>
            <w:gridSpan w:val="3"/>
            <w:vAlign w:val="center"/>
          </w:tcPr>
          <w:p w:rsidR="00D43047" w:rsidRPr="009B1415" w:rsidRDefault="00D43047" w:rsidP="00B57828">
            <w:pPr>
              <w:keepNext/>
              <w:spacing w:before="20"/>
              <w:rPr>
                <w:rFonts w:ascii="Calibri" w:hAnsi="Calibri"/>
                <w:color w:val="000000"/>
                <w:sz w:val="16"/>
                <w:szCs w:val="16"/>
              </w:rPr>
            </w:pPr>
            <w:r w:rsidRPr="009B1415">
              <w:rPr>
                <w:b/>
                <w:sz w:val="16"/>
                <w:szCs w:val="16"/>
              </w:rPr>
              <w:t>Casino table games or EGMs (NZ) - annual</w:t>
            </w:r>
          </w:p>
        </w:tc>
        <w:tc>
          <w:tcPr>
            <w:tcW w:w="992" w:type="dxa"/>
            <w:vAlign w:val="center"/>
          </w:tcPr>
          <w:p w:rsidR="00D43047" w:rsidRPr="009B1415" w:rsidRDefault="00D43047" w:rsidP="00B57828">
            <w:pPr>
              <w:keepNext/>
              <w:spacing w:before="20"/>
              <w:jc w:val="right"/>
              <w:rPr>
                <w:rFonts w:ascii="Calibri" w:hAnsi="Calibri"/>
                <w:color w:val="000000"/>
                <w:sz w:val="16"/>
                <w:szCs w:val="16"/>
              </w:rPr>
            </w:pPr>
          </w:p>
        </w:tc>
        <w:tc>
          <w:tcPr>
            <w:tcW w:w="284" w:type="dxa"/>
            <w:vAlign w:val="center"/>
          </w:tcPr>
          <w:p w:rsidR="00D43047" w:rsidRPr="009B1415" w:rsidRDefault="00D43047" w:rsidP="00B57828">
            <w:pPr>
              <w:keepNext/>
              <w:spacing w:before="20"/>
              <w:jc w:val="right"/>
              <w:rPr>
                <w:rFonts w:ascii="Calibri" w:hAnsi="Calibri"/>
                <w:color w:val="000000"/>
                <w:sz w:val="16"/>
                <w:szCs w:val="16"/>
              </w:rPr>
            </w:pPr>
          </w:p>
        </w:tc>
        <w:tc>
          <w:tcPr>
            <w:tcW w:w="759" w:type="dxa"/>
            <w:vAlign w:val="center"/>
          </w:tcPr>
          <w:p w:rsidR="00D43047" w:rsidRPr="009B1415" w:rsidRDefault="00D43047" w:rsidP="00B57828">
            <w:pPr>
              <w:keepNext/>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keepNext/>
              <w:spacing w:before="20"/>
              <w:ind w:left="176"/>
              <w:jc w:val="both"/>
              <w:rPr>
                <w:sz w:val="16"/>
                <w:szCs w:val="16"/>
              </w:rPr>
            </w:pPr>
            <w:r w:rsidRPr="009B1415">
              <w:rPr>
                <w:sz w:val="16"/>
                <w:szCs w:val="16"/>
              </w:rPr>
              <w:t>No</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1.2</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6.3</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5.74</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2.82 - 11.67</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Casino table games (NZ) - annual</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A07AA7">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1.5</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A07AA7">
        <w:tc>
          <w:tcPr>
            <w:tcW w:w="2660" w:type="dxa"/>
            <w:tcBorders>
              <w:bottom w:val="single" w:sz="4" w:space="0" w:color="auto"/>
            </w:tcBorders>
          </w:tcPr>
          <w:p w:rsidR="002E6A48" w:rsidRPr="009B1415" w:rsidRDefault="002E6A48" w:rsidP="00B57828">
            <w:pPr>
              <w:spacing w:before="20"/>
              <w:ind w:left="176"/>
              <w:jc w:val="both"/>
              <w:rPr>
                <w:sz w:val="16"/>
                <w:szCs w:val="16"/>
              </w:rPr>
            </w:pPr>
            <w:r w:rsidRPr="009B1415">
              <w:rPr>
                <w:sz w:val="16"/>
                <w:szCs w:val="16"/>
              </w:rPr>
              <w:t>Yes</w:t>
            </w:r>
          </w:p>
        </w:tc>
        <w:tc>
          <w:tcPr>
            <w:tcW w:w="2835" w:type="dxa"/>
            <w:tcBorders>
              <w:bottom w:val="single" w:sz="4" w:space="0" w:color="auto"/>
            </w:tcBorders>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6.2</w:t>
            </w:r>
          </w:p>
        </w:tc>
        <w:tc>
          <w:tcPr>
            <w:tcW w:w="992" w:type="dxa"/>
            <w:tcBorders>
              <w:bottom w:val="single" w:sz="4" w:space="0" w:color="auto"/>
            </w:tcBorders>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4.31</w:t>
            </w:r>
          </w:p>
        </w:tc>
        <w:tc>
          <w:tcPr>
            <w:tcW w:w="1276" w:type="dxa"/>
            <w:gridSpan w:val="2"/>
            <w:tcBorders>
              <w:bottom w:val="single" w:sz="4" w:space="0" w:color="auto"/>
            </w:tcBorders>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1.36 - 13.60</w:t>
            </w:r>
            <w:r w:rsidRPr="00B57828">
              <w:rPr>
                <w:color w:val="000000"/>
                <w:sz w:val="16"/>
                <w:szCs w:val="16"/>
              </w:rPr>
              <w:t>)</w:t>
            </w:r>
          </w:p>
        </w:tc>
        <w:tc>
          <w:tcPr>
            <w:tcW w:w="759" w:type="dxa"/>
            <w:tcBorders>
              <w:bottom w:val="single" w:sz="4" w:space="0" w:color="auto"/>
            </w:tcBorders>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0.01</w:t>
            </w:r>
          </w:p>
        </w:tc>
      </w:tr>
      <w:tr w:rsidR="00D43047" w:rsidRPr="009B1415" w:rsidTr="00A07AA7">
        <w:tc>
          <w:tcPr>
            <w:tcW w:w="5495" w:type="dxa"/>
            <w:gridSpan w:val="2"/>
            <w:tcBorders>
              <w:top w:val="single" w:sz="4" w:space="0" w:color="auto"/>
            </w:tcBorders>
            <w:vAlign w:val="bottom"/>
          </w:tcPr>
          <w:p w:rsidR="00D43047" w:rsidRPr="009B1415" w:rsidRDefault="00D43047" w:rsidP="00B57828">
            <w:pPr>
              <w:spacing w:before="20"/>
              <w:rPr>
                <w:rFonts w:ascii="Calibri" w:hAnsi="Calibri"/>
                <w:b/>
                <w:bCs/>
                <w:color w:val="000000"/>
                <w:sz w:val="16"/>
                <w:szCs w:val="16"/>
              </w:rPr>
            </w:pPr>
            <w:r w:rsidRPr="009B1415">
              <w:rPr>
                <w:b/>
                <w:sz w:val="16"/>
                <w:szCs w:val="16"/>
              </w:rPr>
              <w:lastRenderedPageBreak/>
              <w:t>Casino EGMs (NZ) - annual</w:t>
            </w:r>
          </w:p>
        </w:tc>
        <w:tc>
          <w:tcPr>
            <w:tcW w:w="992" w:type="dxa"/>
            <w:tcBorders>
              <w:top w:val="single" w:sz="4" w:space="0" w:color="auto"/>
            </w:tcBorders>
            <w:vAlign w:val="center"/>
          </w:tcPr>
          <w:p w:rsidR="00D43047" w:rsidRPr="009B1415" w:rsidRDefault="00D43047" w:rsidP="00B57828">
            <w:pPr>
              <w:spacing w:before="20"/>
              <w:jc w:val="right"/>
              <w:rPr>
                <w:rFonts w:ascii="Calibri" w:hAnsi="Calibri"/>
                <w:color w:val="000000"/>
                <w:sz w:val="16"/>
                <w:szCs w:val="16"/>
              </w:rPr>
            </w:pPr>
          </w:p>
        </w:tc>
        <w:tc>
          <w:tcPr>
            <w:tcW w:w="992" w:type="dxa"/>
            <w:tcBorders>
              <w:top w:val="single" w:sz="4" w:space="0" w:color="auto"/>
            </w:tcBorders>
            <w:vAlign w:val="center"/>
          </w:tcPr>
          <w:p w:rsidR="00D43047" w:rsidRPr="009B1415" w:rsidRDefault="00D43047" w:rsidP="00B57828">
            <w:pPr>
              <w:spacing w:before="20"/>
              <w:jc w:val="right"/>
              <w:rPr>
                <w:rFonts w:ascii="Calibri" w:hAnsi="Calibri"/>
                <w:color w:val="000000"/>
                <w:sz w:val="16"/>
                <w:szCs w:val="16"/>
              </w:rPr>
            </w:pPr>
          </w:p>
        </w:tc>
        <w:tc>
          <w:tcPr>
            <w:tcW w:w="284" w:type="dxa"/>
            <w:tcBorders>
              <w:top w:val="single" w:sz="4" w:space="0" w:color="auto"/>
            </w:tcBorders>
            <w:vAlign w:val="center"/>
          </w:tcPr>
          <w:p w:rsidR="00D43047" w:rsidRPr="009B1415" w:rsidRDefault="00D43047" w:rsidP="00B57828">
            <w:pPr>
              <w:spacing w:before="20"/>
              <w:jc w:val="right"/>
              <w:rPr>
                <w:rFonts w:ascii="Calibri" w:hAnsi="Calibri"/>
                <w:color w:val="000000"/>
                <w:sz w:val="16"/>
                <w:szCs w:val="16"/>
              </w:rPr>
            </w:pPr>
          </w:p>
        </w:tc>
        <w:tc>
          <w:tcPr>
            <w:tcW w:w="759" w:type="dxa"/>
            <w:tcBorders>
              <w:top w:val="single" w:sz="4" w:space="0" w:color="auto"/>
            </w:tcBorders>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1.3</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5.5</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4.41</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2.14 - 9.08</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9B1415" w:rsidRPr="009B1415" w:rsidTr="00E05935">
        <w:tc>
          <w:tcPr>
            <w:tcW w:w="2660" w:type="dxa"/>
            <w:vAlign w:val="bottom"/>
          </w:tcPr>
          <w:p w:rsidR="009B1415" w:rsidRPr="009B1415" w:rsidRDefault="009B1415" w:rsidP="00B57828">
            <w:pPr>
              <w:keepNext/>
              <w:spacing w:before="20"/>
              <w:jc w:val="both"/>
              <w:rPr>
                <w:b/>
                <w:sz w:val="16"/>
                <w:szCs w:val="16"/>
              </w:rPr>
            </w:pPr>
            <w:r w:rsidRPr="009B1415">
              <w:rPr>
                <w:b/>
                <w:sz w:val="16"/>
                <w:szCs w:val="16"/>
              </w:rPr>
              <w:t>Pub EGMs - annual</w:t>
            </w:r>
          </w:p>
        </w:tc>
        <w:tc>
          <w:tcPr>
            <w:tcW w:w="2835" w:type="dxa"/>
            <w:vAlign w:val="center"/>
          </w:tcPr>
          <w:p w:rsidR="009B1415" w:rsidRPr="009B1415" w:rsidRDefault="009B1415" w:rsidP="00B57828">
            <w:pPr>
              <w:keepNext/>
              <w:spacing w:before="20"/>
              <w:jc w:val="right"/>
              <w:rPr>
                <w:rFonts w:ascii="Calibri" w:hAnsi="Calibri"/>
                <w:b/>
                <w:bCs/>
                <w:color w:val="000000"/>
                <w:sz w:val="16"/>
                <w:szCs w:val="16"/>
              </w:rPr>
            </w:pPr>
          </w:p>
        </w:tc>
        <w:tc>
          <w:tcPr>
            <w:tcW w:w="992" w:type="dxa"/>
            <w:vAlign w:val="center"/>
          </w:tcPr>
          <w:p w:rsidR="009B1415" w:rsidRPr="009B1415" w:rsidRDefault="009B1415" w:rsidP="00B57828">
            <w:pPr>
              <w:keepNext/>
              <w:spacing w:before="20"/>
              <w:jc w:val="right"/>
              <w:rPr>
                <w:rFonts w:ascii="Calibri" w:hAnsi="Calibri"/>
                <w:color w:val="000000"/>
                <w:sz w:val="16"/>
                <w:szCs w:val="16"/>
              </w:rPr>
            </w:pPr>
          </w:p>
        </w:tc>
        <w:tc>
          <w:tcPr>
            <w:tcW w:w="992" w:type="dxa"/>
            <w:vAlign w:val="center"/>
          </w:tcPr>
          <w:p w:rsidR="009B1415" w:rsidRPr="009B1415" w:rsidRDefault="009B1415" w:rsidP="00B57828">
            <w:pPr>
              <w:keepNext/>
              <w:spacing w:before="20"/>
              <w:jc w:val="right"/>
              <w:rPr>
                <w:rFonts w:ascii="Calibri" w:hAnsi="Calibri"/>
                <w:color w:val="000000"/>
                <w:sz w:val="16"/>
                <w:szCs w:val="16"/>
              </w:rPr>
            </w:pPr>
          </w:p>
        </w:tc>
        <w:tc>
          <w:tcPr>
            <w:tcW w:w="284" w:type="dxa"/>
            <w:vAlign w:val="center"/>
          </w:tcPr>
          <w:p w:rsidR="009B1415" w:rsidRPr="009B1415" w:rsidRDefault="009B1415" w:rsidP="00B57828">
            <w:pPr>
              <w:keepNext/>
              <w:spacing w:before="20"/>
              <w:jc w:val="right"/>
              <w:rPr>
                <w:rFonts w:ascii="Calibri" w:hAnsi="Calibri"/>
                <w:color w:val="000000"/>
                <w:sz w:val="16"/>
                <w:szCs w:val="16"/>
              </w:rPr>
            </w:pPr>
          </w:p>
        </w:tc>
        <w:tc>
          <w:tcPr>
            <w:tcW w:w="759" w:type="dxa"/>
            <w:vAlign w:val="center"/>
          </w:tcPr>
          <w:p w:rsidR="009B1415" w:rsidRPr="009B1415" w:rsidRDefault="009B1415" w:rsidP="00B57828">
            <w:pPr>
              <w:keepNext/>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1.4</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3.7</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2.64</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1.28 - 5.42</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0.01</w:t>
            </w:r>
          </w:p>
        </w:tc>
      </w:tr>
      <w:tr w:rsidR="009B1415" w:rsidRPr="009B1415" w:rsidTr="00E05935">
        <w:tc>
          <w:tcPr>
            <w:tcW w:w="2660" w:type="dxa"/>
            <w:vAlign w:val="bottom"/>
          </w:tcPr>
          <w:p w:rsidR="009B1415" w:rsidRPr="009B1415" w:rsidRDefault="009B1415" w:rsidP="00B57828">
            <w:pPr>
              <w:spacing w:before="20"/>
              <w:jc w:val="both"/>
              <w:rPr>
                <w:b/>
                <w:sz w:val="16"/>
                <w:szCs w:val="16"/>
              </w:rPr>
            </w:pPr>
            <w:r w:rsidRPr="009B1415">
              <w:rPr>
                <w:b/>
                <w:sz w:val="16"/>
                <w:szCs w:val="16"/>
              </w:rPr>
              <w:t>Club EGM - annual</w:t>
            </w:r>
          </w:p>
        </w:tc>
        <w:tc>
          <w:tcPr>
            <w:tcW w:w="2835" w:type="dxa"/>
            <w:vAlign w:val="center"/>
          </w:tcPr>
          <w:p w:rsidR="009B1415" w:rsidRPr="009B1415" w:rsidRDefault="009B1415" w:rsidP="00B57828">
            <w:pPr>
              <w:spacing w:before="20"/>
              <w:jc w:val="right"/>
              <w:rPr>
                <w:rFonts w:ascii="Calibri" w:hAnsi="Calibri"/>
                <w:b/>
                <w:bCs/>
                <w:color w:val="000000"/>
                <w:sz w:val="16"/>
                <w:szCs w:val="16"/>
              </w:rPr>
            </w:pPr>
          </w:p>
        </w:tc>
        <w:tc>
          <w:tcPr>
            <w:tcW w:w="992" w:type="dxa"/>
            <w:vAlign w:val="center"/>
          </w:tcPr>
          <w:p w:rsidR="009B1415" w:rsidRPr="009B1415" w:rsidRDefault="009B1415" w:rsidP="00B57828">
            <w:pPr>
              <w:spacing w:before="20"/>
              <w:jc w:val="right"/>
              <w:rPr>
                <w:rFonts w:ascii="Calibri" w:hAnsi="Calibri"/>
                <w:color w:val="000000"/>
                <w:sz w:val="16"/>
                <w:szCs w:val="16"/>
              </w:rPr>
            </w:pPr>
          </w:p>
        </w:tc>
        <w:tc>
          <w:tcPr>
            <w:tcW w:w="992" w:type="dxa"/>
            <w:vAlign w:val="center"/>
          </w:tcPr>
          <w:p w:rsidR="009B1415" w:rsidRPr="009B1415" w:rsidRDefault="009B1415" w:rsidP="00B57828">
            <w:pPr>
              <w:spacing w:before="20"/>
              <w:jc w:val="right"/>
              <w:rPr>
                <w:rFonts w:ascii="Calibri" w:hAnsi="Calibri"/>
                <w:color w:val="000000"/>
                <w:sz w:val="16"/>
                <w:szCs w:val="16"/>
              </w:rPr>
            </w:pPr>
          </w:p>
        </w:tc>
        <w:tc>
          <w:tcPr>
            <w:tcW w:w="284" w:type="dxa"/>
            <w:vAlign w:val="center"/>
          </w:tcPr>
          <w:p w:rsidR="009B1415" w:rsidRPr="009B1415" w:rsidRDefault="009B1415" w:rsidP="00B57828">
            <w:pPr>
              <w:spacing w:before="20"/>
              <w:jc w:val="right"/>
              <w:rPr>
                <w:rFonts w:ascii="Calibri" w:hAnsi="Calibri"/>
                <w:color w:val="000000"/>
                <w:sz w:val="16"/>
                <w:szCs w:val="16"/>
              </w:rPr>
            </w:pPr>
          </w:p>
        </w:tc>
        <w:tc>
          <w:tcPr>
            <w:tcW w:w="759" w:type="dxa"/>
            <w:vAlign w:val="center"/>
          </w:tcPr>
          <w:p w:rsidR="009B1415" w:rsidRPr="009B1415" w:rsidRDefault="009B1415" w:rsidP="00B57828">
            <w:pPr>
              <w:spacing w:before="20"/>
              <w:jc w:val="right"/>
              <w:rPr>
                <w:rFonts w:ascii="Calibri" w:hAnsi="Calibri"/>
                <w:color w:val="000000"/>
                <w:sz w:val="16"/>
                <w:szCs w:val="16"/>
              </w:rPr>
            </w:pPr>
          </w:p>
        </w:tc>
      </w:tr>
      <w:tr w:rsidR="009B1415" w:rsidRPr="009B1415" w:rsidTr="00A07AA7">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1.3</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A07AA7">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7.7</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6.39</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3.00 - 13.60</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D43047" w:rsidRPr="009B1415" w:rsidTr="00A07AA7">
        <w:tc>
          <w:tcPr>
            <w:tcW w:w="5495" w:type="dxa"/>
            <w:gridSpan w:val="2"/>
            <w:vAlign w:val="center"/>
          </w:tcPr>
          <w:p w:rsidR="00D43047" w:rsidRPr="009B1415" w:rsidRDefault="00D43047" w:rsidP="00B57828">
            <w:pPr>
              <w:keepNext/>
              <w:spacing w:before="20"/>
              <w:rPr>
                <w:rFonts w:ascii="Calibri" w:hAnsi="Calibri"/>
                <w:b/>
                <w:bCs/>
                <w:color w:val="000000"/>
                <w:sz w:val="16"/>
                <w:szCs w:val="16"/>
              </w:rPr>
            </w:pPr>
            <w:r w:rsidRPr="009B1415">
              <w:rPr>
                <w:b/>
                <w:sz w:val="16"/>
                <w:szCs w:val="16"/>
              </w:rPr>
              <w:t>EGMs overall - annual</w:t>
            </w:r>
          </w:p>
        </w:tc>
        <w:tc>
          <w:tcPr>
            <w:tcW w:w="992" w:type="dxa"/>
            <w:vAlign w:val="center"/>
          </w:tcPr>
          <w:p w:rsidR="00D43047" w:rsidRPr="009B1415" w:rsidRDefault="00D43047" w:rsidP="00B57828">
            <w:pPr>
              <w:keepNext/>
              <w:spacing w:before="20"/>
              <w:jc w:val="right"/>
              <w:rPr>
                <w:rFonts w:ascii="Calibri" w:hAnsi="Calibri"/>
                <w:color w:val="000000"/>
                <w:sz w:val="16"/>
                <w:szCs w:val="16"/>
              </w:rPr>
            </w:pPr>
          </w:p>
        </w:tc>
        <w:tc>
          <w:tcPr>
            <w:tcW w:w="992" w:type="dxa"/>
            <w:vAlign w:val="center"/>
          </w:tcPr>
          <w:p w:rsidR="00D43047" w:rsidRPr="009B1415" w:rsidRDefault="00D43047" w:rsidP="00B57828">
            <w:pPr>
              <w:keepNext/>
              <w:spacing w:before="20"/>
              <w:jc w:val="right"/>
              <w:rPr>
                <w:rFonts w:ascii="Calibri" w:hAnsi="Calibri"/>
                <w:color w:val="000000"/>
                <w:sz w:val="16"/>
                <w:szCs w:val="16"/>
              </w:rPr>
            </w:pPr>
          </w:p>
        </w:tc>
        <w:tc>
          <w:tcPr>
            <w:tcW w:w="284" w:type="dxa"/>
            <w:vAlign w:val="center"/>
          </w:tcPr>
          <w:p w:rsidR="00D43047" w:rsidRPr="009B1415" w:rsidRDefault="00D43047" w:rsidP="00B57828">
            <w:pPr>
              <w:keepNext/>
              <w:spacing w:before="20"/>
              <w:jc w:val="right"/>
              <w:rPr>
                <w:rFonts w:ascii="Calibri" w:hAnsi="Calibri"/>
                <w:color w:val="000000"/>
                <w:sz w:val="16"/>
                <w:szCs w:val="16"/>
              </w:rPr>
            </w:pPr>
          </w:p>
        </w:tc>
        <w:tc>
          <w:tcPr>
            <w:tcW w:w="759" w:type="dxa"/>
            <w:vAlign w:val="center"/>
          </w:tcPr>
          <w:p w:rsidR="00D43047" w:rsidRPr="009B1415" w:rsidRDefault="00D43047" w:rsidP="00B57828">
            <w:pPr>
              <w:keepNext/>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keepNext/>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1.2</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keepNext/>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3.5</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2.85</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1.46 - 5.57</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2</w:t>
            </w:r>
          </w:p>
        </w:tc>
      </w:tr>
      <w:tr w:rsidR="00D43047" w:rsidRPr="009B1415" w:rsidTr="00E05935">
        <w:tc>
          <w:tcPr>
            <w:tcW w:w="5495" w:type="dxa"/>
            <w:gridSpan w:val="2"/>
            <w:vAlign w:val="center"/>
          </w:tcPr>
          <w:p w:rsidR="00D43047" w:rsidRPr="009B1415" w:rsidRDefault="00D43047" w:rsidP="00B57828">
            <w:pPr>
              <w:keepNext/>
              <w:keepLines/>
              <w:spacing w:before="20"/>
              <w:rPr>
                <w:rFonts w:ascii="Calibri" w:hAnsi="Calibri"/>
                <w:b/>
                <w:bCs/>
                <w:color w:val="000000"/>
                <w:sz w:val="16"/>
                <w:szCs w:val="16"/>
              </w:rPr>
            </w:pPr>
            <w:r w:rsidRPr="009B1415">
              <w:rPr>
                <w:b/>
                <w:sz w:val="16"/>
                <w:szCs w:val="16"/>
              </w:rPr>
              <w:t>Instant Kiwi/other scratch tickets - monthly</w:t>
            </w:r>
          </w:p>
        </w:tc>
        <w:tc>
          <w:tcPr>
            <w:tcW w:w="992" w:type="dxa"/>
            <w:vAlign w:val="center"/>
          </w:tcPr>
          <w:p w:rsidR="00D43047" w:rsidRPr="009B1415" w:rsidRDefault="00D43047" w:rsidP="00B57828">
            <w:pPr>
              <w:keepNext/>
              <w:keepLines/>
              <w:spacing w:before="20"/>
              <w:jc w:val="right"/>
              <w:rPr>
                <w:rFonts w:ascii="Calibri" w:hAnsi="Calibri"/>
                <w:color w:val="000000"/>
                <w:sz w:val="16"/>
                <w:szCs w:val="16"/>
              </w:rPr>
            </w:pPr>
          </w:p>
        </w:tc>
        <w:tc>
          <w:tcPr>
            <w:tcW w:w="992" w:type="dxa"/>
            <w:vAlign w:val="center"/>
          </w:tcPr>
          <w:p w:rsidR="00D43047" w:rsidRPr="009B1415" w:rsidRDefault="00D43047" w:rsidP="00B57828">
            <w:pPr>
              <w:keepNext/>
              <w:keepLines/>
              <w:spacing w:before="20"/>
              <w:jc w:val="right"/>
              <w:rPr>
                <w:rFonts w:ascii="Calibri" w:hAnsi="Calibri"/>
                <w:color w:val="000000"/>
                <w:sz w:val="16"/>
                <w:szCs w:val="16"/>
              </w:rPr>
            </w:pPr>
          </w:p>
        </w:tc>
        <w:tc>
          <w:tcPr>
            <w:tcW w:w="284" w:type="dxa"/>
            <w:vAlign w:val="center"/>
          </w:tcPr>
          <w:p w:rsidR="00D43047" w:rsidRPr="009B1415" w:rsidRDefault="00D43047" w:rsidP="00B57828">
            <w:pPr>
              <w:keepNext/>
              <w:keepLines/>
              <w:spacing w:before="20"/>
              <w:jc w:val="right"/>
              <w:rPr>
                <w:rFonts w:ascii="Calibri" w:hAnsi="Calibri"/>
                <w:color w:val="000000"/>
                <w:sz w:val="16"/>
                <w:szCs w:val="16"/>
              </w:rPr>
            </w:pPr>
          </w:p>
        </w:tc>
        <w:tc>
          <w:tcPr>
            <w:tcW w:w="759" w:type="dxa"/>
            <w:vAlign w:val="center"/>
          </w:tcPr>
          <w:p w:rsidR="00D43047" w:rsidRPr="009B1415" w:rsidRDefault="00D43047" w:rsidP="00B57828">
            <w:pPr>
              <w:keepNext/>
              <w:keepLines/>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keepNext/>
              <w:keepLines/>
              <w:spacing w:before="20"/>
              <w:ind w:left="176"/>
              <w:jc w:val="both"/>
              <w:rPr>
                <w:sz w:val="16"/>
                <w:szCs w:val="16"/>
              </w:rPr>
            </w:pPr>
            <w:r w:rsidRPr="009B1415">
              <w:rPr>
                <w:sz w:val="16"/>
                <w:szCs w:val="16"/>
              </w:rPr>
              <w:t>No</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1.5</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keepNext/>
              <w:keepLines/>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3.0</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2.08</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1.01 - 4.31</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0.05</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Casino EGMs (NZ) - monthly</w:t>
            </w: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284" w:type="dxa"/>
            <w:vAlign w:val="center"/>
          </w:tcPr>
          <w:p w:rsidR="00D43047" w:rsidRPr="009B1415" w:rsidRDefault="00D43047" w:rsidP="00B57828">
            <w:pPr>
              <w:spacing w:before="20"/>
              <w:jc w:val="right"/>
              <w:rPr>
                <w:rFonts w:ascii="Calibri" w:hAnsi="Calibri"/>
                <w:b/>
                <w:color w:val="000000"/>
                <w:sz w:val="16"/>
                <w:szCs w:val="16"/>
              </w:rPr>
            </w:pPr>
          </w:p>
        </w:tc>
        <w:tc>
          <w:tcPr>
            <w:tcW w:w="759" w:type="dxa"/>
            <w:vAlign w:val="center"/>
          </w:tcPr>
          <w:p w:rsidR="00D43047" w:rsidRPr="009B1415" w:rsidRDefault="00D43047" w:rsidP="00B57828">
            <w:pPr>
              <w:spacing w:before="20"/>
              <w:jc w:val="right"/>
              <w:rPr>
                <w:rFonts w:ascii="Calibri" w:hAnsi="Calibri"/>
                <w:b/>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1.6</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15.9</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11.47</w:t>
            </w:r>
          </w:p>
        </w:tc>
        <w:tc>
          <w:tcPr>
            <w:tcW w:w="1276" w:type="dxa"/>
            <w:gridSpan w:val="2"/>
            <w:vAlign w:val="center"/>
          </w:tcPr>
          <w:p w:rsidR="002E6A48" w:rsidRPr="00B57828" w:rsidRDefault="00715F37"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2.41 - 54.50</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2</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Pub EGMs - monthly</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1.5</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8.5</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6.10</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2.46 - 15.16</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Club EGMs - monthly</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1.4</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17.1</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14.13</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5.13 - 38.88</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EGMs overall - monthly</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1.3</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9.8</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8.15</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3.79 - 17.50</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&lt;0.0001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b/>
                <w:color w:val="000000"/>
                <w:sz w:val="16"/>
                <w:szCs w:val="16"/>
              </w:rPr>
            </w:pPr>
            <w:r w:rsidRPr="009B1415">
              <w:rPr>
                <w:b/>
                <w:bCs/>
                <w:color w:val="000000"/>
                <w:sz w:val="16"/>
                <w:szCs w:val="16"/>
              </w:rPr>
              <w:t>Time spent playing EGMs in an average day (casino)</w:t>
            </w:r>
          </w:p>
        </w:tc>
        <w:tc>
          <w:tcPr>
            <w:tcW w:w="992"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284"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759" w:type="dxa"/>
            <w:vAlign w:val="center"/>
          </w:tcPr>
          <w:p w:rsidR="00D43047" w:rsidRPr="009B1415" w:rsidRDefault="00D43047" w:rsidP="00B57828">
            <w:pPr>
              <w:spacing w:before="20"/>
              <w:jc w:val="right"/>
              <w:rPr>
                <w:rFonts w:ascii="Calibri" w:hAnsi="Calibri"/>
                <w:b/>
                <w:color w:val="000000"/>
                <w:sz w:val="16"/>
                <w:szCs w:val="16"/>
                <w:highlight w:val="yellow"/>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 time</w:t>
            </w:r>
          </w:p>
        </w:tc>
        <w:tc>
          <w:tcPr>
            <w:tcW w:w="2835" w:type="dxa"/>
          </w:tcPr>
          <w:p w:rsidR="009B1415" w:rsidRPr="009B1415" w:rsidRDefault="009B1415" w:rsidP="00B57828">
            <w:pPr>
              <w:keepNext/>
              <w:keepLines/>
              <w:adjustRightInd w:val="0"/>
              <w:spacing w:before="20"/>
              <w:jc w:val="right"/>
              <w:rPr>
                <w:color w:val="000000"/>
                <w:sz w:val="16"/>
                <w:szCs w:val="16"/>
              </w:rPr>
            </w:pPr>
            <w:r w:rsidRPr="009B1415">
              <w:rPr>
                <w:color w:val="000000"/>
                <w:sz w:val="16"/>
                <w:szCs w:val="16"/>
              </w:rPr>
              <w:t>1.3</w:t>
            </w:r>
          </w:p>
        </w:tc>
        <w:tc>
          <w:tcPr>
            <w:tcW w:w="992" w:type="dxa"/>
            <w:vAlign w:val="center"/>
          </w:tcPr>
          <w:p w:rsidR="009B1415" w:rsidRPr="00B57828" w:rsidRDefault="009B1415" w:rsidP="00B57828">
            <w:pPr>
              <w:keepNext/>
              <w:keepLines/>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spacing w:before="20"/>
              <w:jc w:val="right"/>
              <w:rPr>
                <w:color w:val="000000"/>
                <w:sz w:val="16"/>
                <w:szCs w:val="16"/>
              </w:rPr>
            </w:pPr>
          </w:p>
        </w:tc>
        <w:tc>
          <w:tcPr>
            <w:tcW w:w="284" w:type="dxa"/>
            <w:vAlign w:val="center"/>
          </w:tcPr>
          <w:p w:rsidR="009B1415" w:rsidRPr="00B57828" w:rsidRDefault="009B1415" w:rsidP="00B57828">
            <w:pPr>
              <w:keepNext/>
              <w:keepLines/>
              <w:spacing w:before="20"/>
              <w:jc w:val="right"/>
              <w:rPr>
                <w:color w:val="000000"/>
                <w:sz w:val="16"/>
                <w:szCs w:val="16"/>
              </w:rPr>
            </w:pPr>
          </w:p>
        </w:tc>
        <w:tc>
          <w:tcPr>
            <w:tcW w:w="759" w:type="dxa"/>
            <w:vAlign w:val="center"/>
          </w:tcPr>
          <w:p w:rsidR="009B1415" w:rsidRPr="00B57828" w:rsidRDefault="009B1415"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Up to 15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2.2</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1.66</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0.22</w:t>
            </w:r>
            <w:r w:rsidR="002E6A48">
              <w:rPr>
                <w:color w:val="000000"/>
                <w:sz w:val="16"/>
                <w:szCs w:val="16"/>
              </w:rPr>
              <w:t xml:space="preserve"> - </w:t>
            </w:r>
            <w:r w:rsidR="002E6A48" w:rsidRPr="009B1415">
              <w:rPr>
                <w:color w:val="000000"/>
                <w:sz w:val="16"/>
                <w:szCs w:val="16"/>
              </w:rPr>
              <w:t>12.65</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16 to 30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5.1</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4.03</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1.02</w:t>
            </w:r>
            <w:r w:rsidR="002E6A48">
              <w:rPr>
                <w:color w:val="000000"/>
                <w:sz w:val="16"/>
                <w:szCs w:val="16"/>
              </w:rPr>
              <w:t xml:space="preserve"> - </w:t>
            </w:r>
            <w:r w:rsidR="002E6A48" w:rsidRPr="009B1415">
              <w:rPr>
                <w:color w:val="000000"/>
                <w:sz w:val="16"/>
                <w:szCs w:val="16"/>
              </w:rPr>
              <w:t>15.94</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31 to 60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7.8</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6.33</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1.90</w:t>
            </w:r>
            <w:r w:rsidR="002E6A48">
              <w:rPr>
                <w:color w:val="000000"/>
                <w:sz w:val="16"/>
                <w:szCs w:val="16"/>
              </w:rPr>
              <w:t xml:space="preserve"> - </w:t>
            </w:r>
            <w:r w:rsidR="002E6A48" w:rsidRPr="009B1415">
              <w:rPr>
                <w:color w:val="000000"/>
                <w:sz w:val="16"/>
                <w:szCs w:val="16"/>
              </w:rPr>
              <w:t>21.03</w:t>
            </w:r>
            <w:r>
              <w:rPr>
                <w:color w:val="000000"/>
                <w:sz w:val="16"/>
                <w:szCs w:val="16"/>
              </w:rPr>
              <w:t>)</w:t>
            </w:r>
          </w:p>
        </w:tc>
        <w:tc>
          <w:tcPr>
            <w:tcW w:w="759" w:type="dxa"/>
            <w:vAlign w:val="center"/>
          </w:tcPr>
          <w:p w:rsidR="002E6A48" w:rsidRPr="00B57828" w:rsidRDefault="002E6A48" w:rsidP="00B57828">
            <w:pPr>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&gt;60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7.4</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6.00</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2.23</w:t>
            </w:r>
            <w:r w:rsidR="002E6A48">
              <w:rPr>
                <w:color w:val="000000"/>
                <w:sz w:val="16"/>
                <w:szCs w:val="16"/>
              </w:rPr>
              <w:t xml:space="preserve"> - </w:t>
            </w:r>
            <w:r w:rsidR="002E6A48" w:rsidRPr="009B1415">
              <w:rPr>
                <w:color w:val="000000"/>
                <w:sz w:val="16"/>
                <w:szCs w:val="16"/>
              </w:rPr>
              <w:t>16.10</w:t>
            </w:r>
            <w:r>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spacing w:before="20"/>
              <w:jc w:val="right"/>
              <w:rPr>
                <w:color w:val="000000"/>
                <w:sz w:val="16"/>
                <w:szCs w:val="16"/>
              </w:rPr>
            </w:pPr>
            <w:r w:rsidRPr="009B1415">
              <w:rPr>
                <w:color w:val="000000"/>
                <w:sz w:val="16"/>
                <w:szCs w:val="16"/>
              </w:rPr>
              <w:t>0.0003</w:t>
            </w:r>
          </w:p>
        </w:tc>
      </w:tr>
      <w:tr w:rsidR="00D43047" w:rsidRPr="009B1415" w:rsidTr="00E05935">
        <w:tc>
          <w:tcPr>
            <w:tcW w:w="6487" w:type="dxa"/>
            <w:gridSpan w:val="3"/>
            <w:vAlign w:val="center"/>
          </w:tcPr>
          <w:p w:rsidR="00D43047" w:rsidRPr="009B1415" w:rsidRDefault="00D43047" w:rsidP="00B57828">
            <w:pPr>
              <w:spacing w:before="20"/>
              <w:rPr>
                <w:rFonts w:ascii="Calibri" w:hAnsi="Calibri"/>
                <w:b/>
                <w:color w:val="000000"/>
                <w:sz w:val="16"/>
                <w:szCs w:val="16"/>
              </w:rPr>
            </w:pPr>
            <w:r w:rsidRPr="009B1415">
              <w:rPr>
                <w:b/>
                <w:bCs/>
                <w:color w:val="000000"/>
                <w:sz w:val="16"/>
                <w:szCs w:val="16"/>
              </w:rPr>
              <w:t>Time spent playing EGMs in an average day (pub)</w:t>
            </w:r>
          </w:p>
        </w:tc>
        <w:tc>
          <w:tcPr>
            <w:tcW w:w="992"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284"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759" w:type="dxa"/>
            <w:vAlign w:val="center"/>
          </w:tcPr>
          <w:p w:rsidR="00D43047" w:rsidRPr="009B1415" w:rsidRDefault="00D43047" w:rsidP="00B57828">
            <w:pPr>
              <w:spacing w:before="20"/>
              <w:jc w:val="right"/>
              <w:rPr>
                <w:rFonts w:ascii="Calibri" w:hAnsi="Calibri"/>
                <w:b/>
                <w:color w:val="000000"/>
                <w:sz w:val="16"/>
                <w:szCs w:val="16"/>
                <w:highlight w:val="yellow"/>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 time</w:t>
            </w:r>
          </w:p>
        </w:tc>
        <w:tc>
          <w:tcPr>
            <w:tcW w:w="2835" w:type="dxa"/>
          </w:tcPr>
          <w:p w:rsidR="009B1415" w:rsidRPr="009B1415" w:rsidRDefault="009B1415" w:rsidP="00B57828">
            <w:pPr>
              <w:keepNext/>
              <w:keepLines/>
              <w:adjustRightInd w:val="0"/>
              <w:spacing w:before="20"/>
              <w:jc w:val="right"/>
              <w:rPr>
                <w:color w:val="000000"/>
                <w:sz w:val="16"/>
                <w:szCs w:val="16"/>
              </w:rPr>
            </w:pPr>
            <w:r w:rsidRPr="009B1415">
              <w:rPr>
                <w:color w:val="000000"/>
                <w:sz w:val="16"/>
                <w:szCs w:val="16"/>
              </w:rPr>
              <w:t>1.4</w:t>
            </w:r>
          </w:p>
        </w:tc>
        <w:tc>
          <w:tcPr>
            <w:tcW w:w="992" w:type="dxa"/>
            <w:vAlign w:val="center"/>
          </w:tcPr>
          <w:p w:rsidR="009B1415" w:rsidRPr="00B57828" w:rsidRDefault="009B1415" w:rsidP="00B57828">
            <w:pPr>
              <w:keepNext/>
              <w:keepLines/>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spacing w:before="20"/>
              <w:jc w:val="right"/>
              <w:rPr>
                <w:color w:val="000000"/>
                <w:sz w:val="16"/>
                <w:szCs w:val="16"/>
              </w:rPr>
            </w:pPr>
          </w:p>
        </w:tc>
        <w:tc>
          <w:tcPr>
            <w:tcW w:w="284" w:type="dxa"/>
            <w:vAlign w:val="center"/>
          </w:tcPr>
          <w:p w:rsidR="009B1415" w:rsidRPr="00B57828" w:rsidRDefault="009B1415" w:rsidP="00B57828">
            <w:pPr>
              <w:keepNext/>
              <w:keepLines/>
              <w:spacing w:before="20"/>
              <w:jc w:val="right"/>
              <w:rPr>
                <w:color w:val="000000"/>
                <w:sz w:val="16"/>
                <w:szCs w:val="16"/>
              </w:rPr>
            </w:pPr>
          </w:p>
        </w:tc>
        <w:tc>
          <w:tcPr>
            <w:tcW w:w="759" w:type="dxa"/>
            <w:vAlign w:val="center"/>
          </w:tcPr>
          <w:p w:rsidR="009B1415" w:rsidRPr="00B57828" w:rsidRDefault="009B1415"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Up to 15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1.0</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0.70</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0.09</w:t>
            </w:r>
            <w:r w:rsidR="002E6A48">
              <w:rPr>
                <w:color w:val="000000"/>
                <w:sz w:val="16"/>
                <w:szCs w:val="16"/>
              </w:rPr>
              <w:t xml:space="preserve"> - </w:t>
            </w:r>
            <w:r w:rsidR="002E6A48" w:rsidRPr="009B1415">
              <w:rPr>
                <w:color w:val="000000"/>
                <w:sz w:val="16"/>
                <w:szCs w:val="16"/>
              </w:rPr>
              <w:t>5.27</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16 to 30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1.6</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1.15</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0.28</w:t>
            </w:r>
            <w:r w:rsidR="002E6A48">
              <w:rPr>
                <w:color w:val="000000"/>
                <w:sz w:val="16"/>
                <w:szCs w:val="16"/>
              </w:rPr>
              <w:t xml:space="preserve"> - </w:t>
            </w:r>
            <w:r w:rsidR="002E6A48" w:rsidRPr="009B1415">
              <w:rPr>
                <w:color w:val="000000"/>
                <w:sz w:val="16"/>
                <w:szCs w:val="16"/>
              </w:rPr>
              <w:t>4.70</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31 to 60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11.3</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8.89</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3.39</w:t>
            </w:r>
            <w:r w:rsidR="002E6A48">
              <w:rPr>
                <w:color w:val="000000"/>
                <w:sz w:val="16"/>
                <w:szCs w:val="16"/>
              </w:rPr>
              <w:t xml:space="preserve"> - </w:t>
            </w:r>
            <w:r w:rsidR="002E6A48" w:rsidRPr="009B1415">
              <w:rPr>
                <w:color w:val="000000"/>
                <w:sz w:val="16"/>
                <w:szCs w:val="16"/>
              </w:rPr>
              <w:t>23.31</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&gt;60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5.9</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4.39</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1.34</w:t>
            </w:r>
            <w:r w:rsidR="002E6A48">
              <w:rPr>
                <w:color w:val="000000"/>
                <w:sz w:val="16"/>
                <w:szCs w:val="16"/>
              </w:rPr>
              <w:t xml:space="preserve"> - </w:t>
            </w:r>
            <w:r w:rsidR="002E6A48" w:rsidRPr="009B1415">
              <w:rPr>
                <w:color w:val="000000"/>
                <w:sz w:val="16"/>
                <w:szCs w:val="16"/>
              </w:rPr>
              <w:t>14.41</w:t>
            </w:r>
            <w:r>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spacing w:before="20"/>
              <w:jc w:val="right"/>
              <w:rPr>
                <w:color w:val="000000"/>
                <w:sz w:val="16"/>
                <w:szCs w:val="16"/>
              </w:rPr>
            </w:pPr>
            <w:r w:rsidRPr="009B1415">
              <w:rPr>
                <w:color w:val="000000"/>
                <w:sz w:val="16"/>
                <w:szCs w:val="16"/>
              </w:rPr>
              <w:t>&lt;0.0001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b/>
                <w:color w:val="000000"/>
                <w:sz w:val="16"/>
                <w:szCs w:val="16"/>
              </w:rPr>
            </w:pPr>
            <w:r w:rsidRPr="009B1415">
              <w:rPr>
                <w:b/>
                <w:bCs/>
                <w:color w:val="000000"/>
                <w:sz w:val="16"/>
                <w:szCs w:val="16"/>
              </w:rPr>
              <w:t>Time spent playing EGMs in an average day (club)</w:t>
            </w:r>
          </w:p>
        </w:tc>
        <w:tc>
          <w:tcPr>
            <w:tcW w:w="992"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284"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759" w:type="dxa"/>
            <w:vAlign w:val="center"/>
          </w:tcPr>
          <w:p w:rsidR="00D43047" w:rsidRPr="009B1415" w:rsidRDefault="00D43047" w:rsidP="00B57828">
            <w:pPr>
              <w:spacing w:before="20"/>
              <w:jc w:val="right"/>
              <w:rPr>
                <w:rFonts w:ascii="Calibri" w:hAnsi="Calibri"/>
                <w:b/>
                <w:color w:val="000000"/>
                <w:sz w:val="16"/>
                <w:szCs w:val="16"/>
                <w:highlight w:val="yellow"/>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 time</w:t>
            </w:r>
          </w:p>
        </w:tc>
        <w:tc>
          <w:tcPr>
            <w:tcW w:w="2835" w:type="dxa"/>
          </w:tcPr>
          <w:p w:rsidR="009B1415" w:rsidRPr="009B1415" w:rsidRDefault="009A02F6" w:rsidP="00B57828">
            <w:pPr>
              <w:keepNext/>
              <w:keepLines/>
              <w:adjustRightInd w:val="0"/>
              <w:spacing w:before="20"/>
              <w:jc w:val="right"/>
              <w:rPr>
                <w:color w:val="000000"/>
                <w:sz w:val="16"/>
                <w:szCs w:val="16"/>
              </w:rPr>
            </w:pPr>
            <w:r>
              <w:rPr>
                <w:color w:val="000000"/>
                <w:sz w:val="16"/>
                <w:szCs w:val="16"/>
              </w:rPr>
              <w:t>1.3</w:t>
            </w:r>
          </w:p>
        </w:tc>
        <w:tc>
          <w:tcPr>
            <w:tcW w:w="992" w:type="dxa"/>
            <w:vAlign w:val="center"/>
          </w:tcPr>
          <w:p w:rsidR="009B1415" w:rsidRPr="00B57828" w:rsidRDefault="009B1415" w:rsidP="00B57828">
            <w:pPr>
              <w:keepNext/>
              <w:keepLines/>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spacing w:before="20"/>
              <w:jc w:val="right"/>
              <w:rPr>
                <w:color w:val="000000"/>
                <w:sz w:val="16"/>
                <w:szCs w:val="16"/>
              </w:rPr>
            </w:pPr>
          </w:p>
        </w:tc>
        <w:tc>
          <w:tcPr>
            <w:tcW w:w="284" w:type="dxa"/>
            <w:vAlign w:val="center"/>
          </w:tcPr>
          <w:p w:rsidR="009B1415" w:rsidRPr="00B57828" w:rsidRDefault="009B1415" w:rsidP="00B57828">
            <w:pPr>
              <w:keepNext/>
              <w:keepLines/>
              <w:spacing w:before="20"/>
              <w:jc w:val="right"/>
              <w:rPr>
                <w:color w:val="000000"/>
                <w:sz w:val="16"/>
                <w:szCs w:val="16"/>
              </w:rPr>
            </w:pPr>
          </w:p>
        </w:tc>
        <w:tc>
          <w:tcPr>
            <w:tcW w:w="759" w:type="dxa"/>
            <w:vAlign w:val="center"/>
          </w:tcPr>
          <w:p w:rsidR="009B1415" w:rsidRPr="00B57828" w:rsidRDefault="009B1415"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Up to 15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2.8</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2.25</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0.29</w:t>
            </w:r>
            <w:r w:rsidR="002E6A48">
              <w:rPr>
                <w:color w:val="000000"/>
                <w:sz w:val="16"/>
                <w:szCs w:val="16"/>
              </w:rPr>
              <w:t xml:space="preserve"> - </w:t>
            </w:r>
            <w:r w:rsidR="002E6A48" w:rsidRPr="009B1415">
              <w:rPr>
                <w:color w:val="000000"/>
                <w:sz w:val="16"/>
                <w:szCs w:val="16"/>
              </w:rPr>
              <w:t>17.13</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16 to 30 minutes</w:t>
            </w:r>
          </w:p>
        </w:tc>
        <w:tc>
          <w:tcPr>
            <w:tcW w:w="2835"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10.2</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8.75</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3.10</w:t>
            </w:r>
            <w:r w:rsidR="002E6A48">
              <w:rPr>
                <w:color w:val="000000"/>
                <w:sz w:val="16"/>
                <w:szCs w:val="16"/>
              </w:rPr>
              <w:t xml:space="preserve"> - </w:t>
            </w:r>
            <w:r w:rsidR="002E6A48" w:rsidRPr="009B1415">
              <w:rPr>
                <w:color w:val="000000"/>
                <w:sz w:val="16"/>
                <w:szCs w:val="16"/>
              </w:rPr>
              <w:t>24.73</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31 to 60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10.6</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8.77</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2.80</w:t>
            </w:r>
            <w:r w:rsidR="002E6A48">
              <w:rPr>
                <w:color w:val="000000"/>
                <w:sz w:val="16"/>
                <w:szCs w:val="16"/>
              </w:rPr>
              <w:t xml:space="preserve"> - </w:t>
            </w:r>
            <w:r w:rsidR="002E6A48" w:rsidRPr="009B1415">
              <w:rPr>
                <w:color w:val="000000"/>
                <w:sz w:val="16"/>
                <w:szCs w:val="16"/>
              </w:rPr>
              <w:t>27.46</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&gt;60 minutes</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3.7</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2.91</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0.37</w:t>
            </w:r>
            <w:r w:rsidR="002E6A48">
              <w:rPr>
                <w:color w:val="000000"/>
                <w:sz w:val="16"/>
                <w:szCs w:val="16"/>
              </w:rPr>
              <w:t xml:space="preserve"> - </w:t>
            </w:r>
            <w:r w:rsidR="002E6A48" w:rsidRPr="009B1415">
              <w:rPr>
                <w:color w:val="000000"/>
                <w:sz w:val="16"/>
                <w:szCs w:val="16"/>
              </w:rPr>
              <w:t>23.08</w:t>
            </w:r>
            <w:r>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spacing w:before="20"/>
              <w:jc w:val="right"/>
              <w:rPr>
                <w:color w:val="000000"/>
                <w:sz w:val="16"/>
                <w:szCs w:val="16"/>
              </w:rPr>
            </w:pPr>
            <w:r w:rsidRPr="009B1415">
              <w:rPr>
                <w:color w:val="000000"/>
                <w:sz w:val="16"/>
                <w:szCs w:val="16"/>
              </w:rPr>
              <w:t>&lt;0.0001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b/>
                <w:color w:val="000000"/>
                <w:sz w:val="16"/>
                <w:szCs w:val="16"/>
              </w:rPr>
            </w:pPr>
            <w:r w:rsidRPr="009B1415">
              <w:rPr>
                <w:b/>
                <w:bCs/>
                <w:color w:val="000000"/>
                <w:sz w:val="16"/>
                <w:szCs w:val="16"/>
              </w:rPr>
              <w:t>Who spent time with on most enjoyed activity</w:t>
            </w:r>
          </w:p>
        </w:tc>
        <w:tc>
          <w:tcPr>
            <w:tcW w:w="992"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284" w:type="dxa"/>
            <w:vAlign w:val="center"/>
          </w:tcPr>
          <w:p w:rsidR="00D43047" w:rsidRPr="009B1415" w:rsidRDefault="00D43047" w:rsidP="00B57828">
            <w:pPr>
              <w:spacing w:before="20"/>
              <w:jc w:val="right"/>
              <w:rPr>
                <w:rFonts w:ascii="Calibri" w:hAnsi="Calibri"/>
                <w:b/>
                <w:color w:val="000000"/>
                <w:sz w:val="16"/>
                <w:szCs w:val="16"/>
                <w:highlight w:val="yellow"/>
              </w:rPr>
            </w:pPr>
          </w:p>
        </w:tc>
        <w:tc>
          <w:tcPr>
            <w:tcW w:w="759" w:type="dxa"/>
            <w:vAlign w:val="center"/>
          </w:tcPr>
          <w:p w:rsidR="00D43047" w:rsidRPr="009B1415" w:rsidRDefault="00D43047" w:rsidP="00B57828">
            <w:pPr>
              <w:spacing w:before="20"/>
              <w:jc w:val="right"/>
              <w:rPr>
                <w:rFonts w:ascii="Calibri" w:hAnsi="Calibri"/>
                <w:b/>
                <w:color w:val="000000"/>
                <w:sz w:val="16"/>
                <w:szCs w:val="16"/>
                <w:highlight w:val="yellow"/>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Alone</w:t>
            </w:r>
          </w:p>
        </w:tc>
        <w:tc>
          <w:tcPr>
            <w:tcW w:w="2835" w:type="dxa"/>
          </w:tcPr>
          <w:p w:rsidR="009B1415" w:rsidRPr="009B1415" w:rsidRDefault="009B1415" w:rsidP="00B57828">
            <w:pPr>
              <w:keepNext/>
              <w:keepLines/>
              <w:adjustRightInd w:val="0"/>
              <w:spacing w:before="20"/>
              <w:jc w:val="right"/>
              <w:rPr>
                <w:color w:val="000000"/>
                <w:sz w:val="16"/>
                <w:szCs w:val="16"/>
              </w:rPr>
            </w:pPr>
            <w:r w:rsidRPr="009B1415">
              <w:rPr>
                <w:color w:val="000000"/>
                <w:sz w:val="16"/>
                <w:szCs w:val="16"/>
              </w:rPr>
              <w:t>3.1</w:t>
            </w:r>
          </w:p>
        </w:tc>
        <w:tc>
          <w:tcPr>
            <w:tcW w:w="992" w:type="dxa"/>
            <w:vAlign w:val="center"/>
          </w:tcPr>
          <w:p w:rsidR="009B1415" w:rsidRPr="00B57828" w:rsidRDefault="009B1415" w:rsidP="00B57828">
            <w:pPr>
              <w:keepNext/>
              <w:keepLines/>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spacing w:before="20"/>
              <w:jc w:val="right"/>
              <w:rPr>
                <w:color w:val="000000"/>
                <w:sz w:val="16"/>
                <w:szCs w:val="16"/>
              </w:rPr>
            </w:pPr>
          </w:p>
        </w:tc>
        <w:tc>
          <w:tcPr>
            <w:tcW w:w="284" w:type="dxa"/>
            <w:vAlign w:val="center"/>
          </w:tcPr>
          <w:p w:rsidR="009B1415" w:rsidRPr="00B57828" w:rsidRDefault="009B1415" w:rsidP="00B57828">
            <w:pPr>
              <w:keepNext/>
              <w:keepLines/>
              <w:spacing w:before="20"/>
              <w:jc w:val="right"/>
              <w:rPr>
                <w:color w:val="000000"/>
                <w:sz w:val="16"/>
                <w:szCs w:val="16"/>
              </w:rPr>
            </w:pPr>
          </w:p>
        </w:tc>
        <w:tc>
          <w:tcPr>
            <w:tcW w:w="759" w:type="dxa"/>
            <w:vAlign w:val="center"/>
          </w:tcPr>
          <w:p w:rsidR="009B1415" w:rsidRPr="00B57828" w:rsidRDefault="009B1415" w:rsidP="00B57828">
            <w:pPr>
              <w:keepNext/>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With one person</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0.9</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0.27</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0.09</w:t>
            </w:r>
            <w:r w:rsidR="002E6A48">
              <w:rPr>
                <w:color w:val="000000"/>
                <w:sz w:val="16"/>
                <w:szCs w:val="16"/>
              </w:rPr>
              <w:t xml:space="preserve"> - </w:t>
            </w:r>
            <w:r w:rsidR="002E6A48" w:rsidRPr="009B1415">
              <w:rPr>
                <w:color w:val="000000"/>
                <w:sz w:val="16"/>
                <w:szCs w:val="16"/>
              </w:rPr>
              <w:t>0.85</w:t>
            </w:r>
            <w:r>
              <w:rPr>
                <w:color w:val="000000"/>
                <w:sz w:val="16"/>
                <w:szCs w:val="16"/>
              </w:rPr>
              <w:t>)</w:t>
            </w:r>
          </w:p>
        </w:tc>
        <w:tc>
          <w:tcPr>
            <w:tcW w:w="759" w:type="dxa"/>
            <w:vAlign w:val="center"/>
          </w:tcPr>
          <w:p w:rsidR="002E6A48" w:rsidRPr="00B57828" w:rsidRDefault="002E6A48" w:rsidP="00B57828">
            <w:pPr>
              <w:keepLines/>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With several people/a group</w:t>
            </w:r>
          </w:p>
        </w:tc>
        <w:tc>
          <w:tcPr>
            <w:tcW w:w="2835" w:type="dxa"/>
          </w:tcPr>
          <w:p w:rsidR="002E6A48" w:rsidRPr="009B1415" w:rsidRDefault="009A02F6" w:rsidP="00B57828">
            <w:pPr>
              <w:keepNext/>
              <w:keepLines/>
              <w:adjustRightInd w:val="0"/>
              <w:spacing w:before="20"/>
              <w:jc w:val="right"/>
              <w:rPr>
                <w:color w:val="000000"/>
                <w:sz w:val="16"/>
                <w:szCs w:val="16"/>
              </w:rPr>
            </w:pPr>
            <w:r>
              <w:rPr>
                <w:color w:val="000000"/>
                <w:sz w:val="16"/>
                <w:szCs w:val="16"/>
              </w:rPr>
              <w:t>1.0</w:t>
            </w:r>
          </w:p>
        </w:tc>
        <w:tc>
          <w:tcPr>
            <w:tcW w:w="992" w:type="dxa"/>
          </w:tcPr>
          <w:p w:rsidR="002E6A48" w:rsidRPr="009B1415" w:rsidRDefault="002E6A48" w:rsidP="00B57828">
            <w:pPr>
              <w:keepNext/>
              <w:keepLines/>
              <w:adjustRightInd w:val="0"/>
              <w:spacing w:before="20"/>
              <w:jc w:val="right"/>
              <w:rPr>
                <w:color w:val="000000"/>
                <w:sz w:val="16"/>
                <w:szCs w:val="16"/>
              </w:rPr>
            </w:pPr>
            <w:r w:rsidRPr="009B1415">
              <w:rPr>
                <w:color w:val="000000"/>
                <w:sz w:val="16"/>
                <w:szCs w:val="16"/>
              </w:rPr>
              <w:t>0.31</w:t>
            </w:r>
          </w:p>
        </w:tc>
        <w:tc>
          <w:tcPr>
            <w:tcW w:w="1276" w:type="dxa"/>
            <w:gridSpan w:val="2"/>
          </w:tcPr>
          <w:p w:rsidR="002E6A48" w:rsidRPr="009B1415" w:rsidRDefault="0044629E" w:rsidP="00B57828">
            <w:pPr>
              <w:keepNext/>
              <w:keepLines/>
              <w:adjustRightInd w:val="0"/>
              <w:spacing w:before="20"/>
              <w:jc w:val="right"/>
              <w:rPr>
                <w:color w:val="000000"/>
                <w:sz w:val="16"/>
                <w:szCs w:val="16"/>
              </w:rPr>
            </w:pPr>
            <w:r>
              <w:rPr>
                <w:color w:val="000000"/>
                <w:sz w:val="16"/>
                <w:szCs w:val="16"/>
              </w:rPr>
              <w:t>(</w:t>
            </w:r>
            <w:r w:rsidR="002E6A48" w:rsidRPr="009B1415">
              <w:rPr>
                <w:color w:val="000000"/>
                <w:sz w:val="16"/>
                <w:szCs w:val="16"/>
              </w:rPr>
              <w:t>0.13</w:t>
            </w:r>
            <w:r w:rsidR="002E6A48">
              <w:rPr>
                <w:color w:val="000000"/>
                <w:sz w:val="16"/>
                <w:szCs w:val="16"/>
              </w:rPr>
              <w:t xml:space="preserve"> - </w:t>
            </w:r>
            <w:r w:rsidR="002E6A48" w:rsidRPr="009B1415">
              <w:rPr>
                <w:color w:val="000000"/>
                <w:sz w:val="16"/>
                <w:szCs w:val="16"/>
              </w:rPr>
              <w:t>0.73</w:t>
            </w:r>
            <w:r>
              <w:rPr>
                <w:color w:val="000000"/>
                <w:sz w:val="16"/>
                <w:szCs w:val="16"/>
              </w:rPr>
              <w:t>)</w:t>
            </w:r>
          </w:p>
        </w:tc>
        <w:tc>
          <w:tcPr>
            <w:tcW w:w="759" w:type="dxa"/>
            <w:vAlign w:val="center"/>
          </w:tcPr>
          <w:p w:rsidR="002E6A48" w:rsidRPr="00B57828" w:rsidRDefault="002E6A48" w:rsidP="00B57828">
            <w:pPr>
              <w:keepNext/>
              <w:keepLines/>
              <w:spacing w:before="20"/>
              <w:jc w:val="right"/>
              <w:rPr>
                <w:color w:val="000000"/>
                <w:sz w:val="16"/>
                <w:szCs w:val="16"/>
              </w:rPr>
            </w:pPr>
          </w:p>
        </w:tc>
      </w:tr>
      <w:tr w:rsidR="002E6A48" w:rsidRPr="009B1415" w:rsidTr="00E05935">
        <w:tc>
          <w:tcPr>
            <w:tcW w:w="2660" w:type="dxa"/>
            <w:vAlign w:val="bottom"/>
          </w:tcPr>
          <w:p w:rsidR="002E6A48" w:rsidRPr="009B1415" w:rsidRDefault="002E6A48" w:rsidP="00B57828">
            <w:pPr>
              <w:spacing w:before="20"/>
              <w:ind w:left="176"/>
              <w:jc w:val="both"/>
              <w:rPr>
                <w:sz w:val="16"/>
                <w:szCs w:val="16"/>
              </w:rPr>
            </w:pPr>
            <w:r w:rsidRPr="009B1415">
              <w:rPr>
                <w:sz w:val="16"/>
                <w:szCs w:val="16"/>
              </w:rPr>
              <w:t>Not reported</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0.7</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0.22</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0.07 - 0.73</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0.003</w:t>
            </w:r>
          </w:p>
        </w:tc>
      </w:tr>
      <w:tr w:rsidR="00D43047" w:rsidRPr="009B1415" w:rsidTr="00E05935">
        <w:tc>
          <w:tcPr>
            <w:tcW w:w="6487" w:type="dxa"/>
            <w:gridSpan w:val="3"/>
            <w:vAlign w:val="center"/>
          </w:tcPr>
          <w:p w:rsidR="00D43047" w:rsidRPr="009B1415" w:rsidRDefault="00D43047" w:rsidP="00B57828">
            <w:pPr>
              <w:keepNext/>
              <w:spacing w:before="20"/>
              <w:rPr>
                <w:rFonts w:ascii="Calibri" w:hAnsi="Calibri"/>
                <w:color w:val="000000"/>
                <w:sz w:val="16"/>
                <w:szCs w:val="16"/>
              </w:rPr>
            </w:pPr>
            <w:r w:rsidRPr="009B1415">
              <w:rPr>
                <w:b/>
                <w:bCs/>
                <w:color w:val="000000"/>
                <w:sz w:val="16"/>
                <w:szCs w:val="16"/>
              </w:rPr>
              <w:t>Methods - Setting a dollar figure before leaving home</w:t>
            </w:r>
          </w:p>
        </w:tc>
        <w:tc>
          <w:tcPr>
            <w:tcW w:w="992" w:type="dxa"/>
            <w:vAlign w:val="center"/>
          </w:tcPr>
          <w:p w:rsidR="00D43047" w:rsidRPr="009B1415" w:rsidRDefault="00D43047" w:rsidP="00B57828">
            <w:pPr>
              <w:keepNext/>
              <w:spacing w:before="20"/>
              <w:jc w:val="right"/>
              <w:rPr>
                <w:rFonts w:ascii="Calibri" w:hAnsi="Calibri"/>
                <w:color w:val="000000"/>
                <w:sz w:val="16"/>
                <w:szCs w:val="16"/>
              </w:rPr>
            </w:pPr>
          </w:p>
        </w:tc>
        <w:tc>
          <w:tcPr>
            <w:tcW w:w="284" w:type="dxa"/>
            <w:vAlign w:val="center"/>
          </w:tcPr>
          <w:p w:rsidR="00D43047" w:rsidRPr="009B1415" w:rsidRDefault="00D43047" w:rsidP="00B57828">
            <w:pPr>
              <w:keepNext/>
              <w:spacing w:before="20"/>
              <w:jc w:val="right"/>
              <w:rPr>
                <w:rFonts w:ascii="Calibri" w:hAnsi="Calibri"/>
                <w:color w:val="000000"/>
                <w:sz w:val="16"/>
                <w:szCs w:val="16"/>
              </w:rPr>
            </w:pPr>
          </w:p>
        </w:tc>
        <w:tc>
          <w:tcPr>
            <w:tcW w:w="759" w:type="dxa"/>
            <w:vAlign w:val="center"/>
          </w:tcPr>
          <w:p w:rsidR="00D43047" w:rsidRPr="009B1415" w:rsidRDefault="00D43047" w:rsidP="00B57828">
            <w:pPr>
              <w:keepNext/>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keepNext/>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1.2</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3.6</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3.02</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1.54 - 5.94</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1</w:t>
            </w:r>
          </w:p>
        </w:tc>
      </w:tr>
      <w:tr w:rsidR="00D43047" w:rsidRPr="009B1415" w:rsidTr="00E05935">
        <w:tc>
          <w:tcPr>
            <w:tcW w:w="6487" w:type="dxa"/>
            <w:gridSpan w:val="3"/>
            <w:vAlign w:val="center"/>
          </w:tcPr>
          <w:p w:rsidR="00D43047" w:rsidRPr="009B1415" w:rsidRDefault="00D43047" w:rsidP="00B57828">
            <w:pPr>
              <w:spacing w:before="20"/>
              <w:rPr>
                <w:rFonts w:ascii="Calibri" w:hAnsi="Calibri"/>
                <w:color w:val="000000"/>
                <w:sz w:val="16"/>
                <w:szCs w:val="16"/>
              </w:rPr>
            </w:pPr>
            <w:r w:rsidRPr="009B1415">
              <w:rPr>
                <w:b/>
                <w:bCs/>
                <w:color w:val="000000"/>
                <w:sz w:val="16"/>
                <w:szCs w:val="16"/>
              </w:rPr>
              <w:t>Methods - Avoiding places that have betting or gambling</w:t>
            </w:r>
          </w:p>
        </w:tc>
        <w:tc>
          <w:tcPr>
            <w:tcW w:w="992" w:type="dxa"/>
            <w:vAlign w:val="center"/>
          </w:tcPr>
          <w:p w:rsidR="00D43047" w:rsidRPr="009B1415" w:rsidRDefault="00D43047" w:rsidP="00B57828">
            <w:pPr>
              <w:spacing w:before="20"/>
              <w:jc w:val="right"/>
              <w:rPr>
                <w:rFonts w:ascii="Calibri" w:hAnsi="Calibri"/>
                <w:color w:val="000000"/>
                <w:sz w:val="16"/>
                <w:szCs w:val="16"/>
              </w:rPr>
            </w:pPr>
          </w:p>
        </w:tc>
        <w:tc>
          <w:tcPr>
            <w:tcW w:w="284" w:type="dxa"/>
            <w:vAlign w:val="center"/>
          </w:tcPr>
          <w:p w:rsidR="00D43047" w:rsidRPr="009B1415" w:rsidRDefault="00D43047" w:rsidP="00B57828">
            <w:pPr>
              <w:spacing w:before="20"/>
              <w:jc w:val="right"/>
              <w:rPr>
                <w:rFonts w:ascii="Calibri" w:hAnsi="Calibri"/>
                <w:color w:val="000000"/>
                <w:sz w:val="16"/>
                <w:szCs w:val="16"/>
              </w:rPr>
            </w:pPr>
          </w:p>
        </w:tc>
        <w:tc>
          <w:tcPr>
            <w:tcW w:w="759" w:type="dxa"/>
            <w:vAlign w:val="center"/>
          </w:tcPr>
          <w:p w:rsidR="00D43047" w:rsidRPr="009B1415" w:rsidRDefault="00D43047" w:rsidP="00B57828">
            <w:pPr>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A02F6" w:rsidP="00B57828">
            <w:pPr>
              <w:keepNext/>
              <w:keepLines/>
              <w:adjustRightInd w:val="0"/>
              <w:spacing w:before="20"/>
              <w:jc w:val="right"/>
              <w:rPr>
                <w:color w:val="000000"/>
                <w:sz w:val="16"/>
                <w:szCs w:val="16"/>
              </w:rPr>
            </w:pPr>
            <w:r w:rsidRPr="00B57828">
              <w:rPr>
                <w:color w:val="000000"/>
                <w:sz w:val="16"/>
                <w:szCs w:val="16"/>
              </w:rPr>
              <w:t>1.6</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Yes</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7.8</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5.21</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1.76 - 15.47</w:t>
            </w:r>
            <w:r w:rsidRPr="00B57828">
              <w:rPr>
                <w:color w:val="000000"/>
                <w:sz w:val="16"/>
                <w:szCs w:val="16"/>
              </w:rPr>
              <w:t>)</w:t>
            </w:r>
          </w:p>
        </w:tc>
        <w:tc>
          <w:tcPr>
            <w:tcW w:w="759" w:type="dxa"/>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3</w:t>
            </w:r>
          </w:p>
        </w:tc>
      </w:tr>
      <w:tr w:rsidR="00D43047" w:rsidRPr="009B1415" w:rsidTr="00E05935">
        <w:tc>
          <w:tcPr>
            <w:tcW w:w="5495" w:type="dxa"/>
            <w:gridSpan w:val="2"/>
            <w:vAlign w:val="center"/>
          </w:tcPr>
          <w:p w:rsidR="00D43047" w:rsidRPr="009B1415" w:rsidRDefault="00D43047" w:rsidP="00B57828">
            <w:pPr>
              <w:spacing w:before="20"/>
              <w:rPr>
                <w:rFonts w:ascii="Calibri" w:hAnsi="Calibri"/>
                <w:b/>
                <w:bCs/>
                <w:color w:val="000000"/>
                <w:sz w:val="16"/>
                <w:szCs w:val="16"/>
              </w:rPr>
            </w:pPr>
            <w:r w:rsidRPr="009B1415">
              <w:rPr>
                <w:b/>
                <w:sz w:val="16"/>
                <w:szCs w:val="16"/>
              </w:rPr>
              <w:t>Sought help</w:t>
            </w:r>
            <w:r w:rsidR="00FA7721">
              <w:rPr>
                <w:b/>
                <w:sz w:val="16"/>
                <w:szCs w:val="16"/>
              </w:rPr>
              <w:t xml:space="preserve"> </w:t>
            </w:r>
            <w:r w:rsidR="00FA7721" w:rsidRPr="00FA7721">
              <w:rPr>
                <w:b/>
                <w:sz w:val="16"/>
                <w:szCs w:val="16"/>
              </w:rPr>
              <w:t xml:space="preserve">(from formal and informal sources) </w:t>
            </w:r>
            <w:r w:rsidRPr="009B1415">
              <w:rPr>
                <w:b/>
                <w:sz w:val="16"/>
                <w:szCs w:val="16"/>
              </w:rPr>
              <w:t xml:space="preserve"> in last year</w:t>
            </w: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992" w:type="dxa"/>
            <w:vAlign w:val="center"/>
          </w:tcPr>
          <w:p w:rsidR="00D43047" w:rsidRPr="009B1415" w:rsidRDefault="00D43047" w:rsidP="00B57828">
            <w:pPr>
              <w:spacing w:before="20"/>
              <w:jc w:val="right"/>
              <w:rPr>
                <w:rFonts w:ascii="Calibri" w:hAnsi="Calibri"/>
                <w:b/>
                <w:color w:val="000000"/>
                <w:sz w:val="16"/>
                <w:szCs w:val="16"/>
              </w:rPr>
            </w:pPr>
          </w:p>
        </w:tc>
        <w:tc>
          <w:tcPr>
            <w:tcW w:w="284" w:type="dxa"/>
            <w:vAlign w:val="center"/>
          </w:tcPr>
          <w:p w:rsidR="00D43047" w:rsidRPr="009B1415" w:rsidRDefault="00D43047" w:rsidP="00B57828">
            <w:pPr>
              <w:spacing w:before="20"/>
              <w:jc w:val="right"/>
              <w:rPr>
                <w:rFonts w:ascii="Calibri" w:hAnsi="Calibri"/>
                <w:b/>
                <w:color w:val="000000"/>
                <w:sz w:val="16"/>
                <w:szCs w:val="16"/>
              </w:rPr>
            </w:pPr>
          </w:p>
        </w:tc>
        <w:tc>
          <w:tcPr>
            <w:tcW w:w="759" w:type="dxa"/>
            <w:vAlign w:val="center"/>
          </w:tcPr>
          <w:p w:rsidR="00D43047" w:rsidRPr="009B1415" w:rsidRDefault="00D43047" w:rsidP="00B57828">
            <w:pPr>
              <w:spacing w:before="20"/>
              <w:jc w:val="right"/>
              <w:rPr>
                <w:rFonts w:ascii="Calibri" w:hAnsi="Calibri"/>
                <w:b/>
                <w:color w:val="000000"/>
                <w:sz w:val="16"/>
                <w:szCs w:val="16"/>
              </w:rPr>
            </w:pPr>
          </w:p>
        </w:tc>
      </w:tr>
      <w:tr w:rsidR="009B1415" w:rsidRPr="009B1415" w:rsidTr="00B513CF">
        <w:tc>
          <w:tcPr>
            <w:tcW w:w="2660" w:type="dxa"/>
          </w:tcPr>
          <w:p w:rsidR="009B1415" w:rsidRPr="009B1415" w:rsidRDefault="009B1415" w:rsidP="00B57828">
            <w:pPr>
              <w:spacing w:before="20"/>
              <w:ind w:left="176"/>
              <w:jc w:val="both"/>
              <w:rPr>
                <w:sz w:val="16"/>
                <w:szCs w:val="16"/>
              </w:rPr>
            </w:pPr>
            <w:r w:rsidRPr="009B1415">
              <w:rPr>
                <w:sz w:val="16"/>
                <w:szCs w:val="16"/>
              </w:rPr>
              <w:t>No</w:t>
            </w:r>
          </w:p>
        </w:tc>
        <w:tc>
          <w:tcPr>
            <w:tcW w:w="2835"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1.7</w:t>
            </w:r>
          </w:p>
        </w:tc>
        <w:tc>
          <w:tcPr>
            <w:tcW w:w="992" w:type="dxa"/>
            <w:vAlign w:val="center"/>
          </w:tcPr>
          <w:p w:rsidR="009B1415" w:rsidRPr="00B57828" w:rsidRDefault="009B1415" w:rsidP="00B57828">
            <w:pPr>
              <w:keepNext/>
              <w:keepLines/>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7828">
            <w:pPr>
              <w:keepNext/>
              <w:keepLines/>
              <w:adjustRightInd w:val="0"/>
              <w:spacing w:before="20"/>
              <w:jc w:val="right"/>
              <w:rPr>
                <w:color w:val="000000"/>
                <w:sz w:val="16"/>
                <w:szCs w:val="16"/>
              </w:rPr>
            </w:pPr>
          </w:p>
        </w:tc>
        <w:tc>
          <w:tcPr>
            <w:tcW w:w="284" w:type="dxa"/>
            <w:vAlign w:val="center"/>
          </w:tcPr>
          <w:p w:rsidR="009B1415" w:rsidRPr="00B57828" w:rsidRDefault="009B1415" w:rsidP="00B57828">
            <w:pPr>
              <w:keepNext/>
              <w:keepLines/>
              <w:adjustRightInd w:val="0"/>
              <w:spacing w:before="20"/>
              <w:jc w:val="right"/>
              <w:rPr>
                <w:color w:val="000000"/>
                <w:sz w:val="16"/>
                <w:szCs w:val="16"/>
              </w:rPr>
            </w:pPr>
          </w:p>
        </w:tc>
        <w:tc>
          <w:tcPr>
            <w:tcW w:w="759" w:type="dxa"/>
            <w:vAlign w:val="center"/>
          </w:tcPr>
          <w:p w:rsidR="009B1415" w:rsidRPr="00B57828" w:rsidRDefault="009B1415" w:rsidP="00B57828">
            <w:pPr>
              <w:keepNext/>
              <w:keepLines/>
              <w:adjustRightInd w:val="0"/>
              <w:spacing w:before="20"/>
              <w:jc w:val="right"/>
              <w:rPr>
                <w:color w:val="000000"/>
                <w:sz w:val="16"/>
                <w:szCs w:val="16"/>
              </w:rPr>
            </w:pPr>
          </w:p>
        </w:tc>
      </w:tr>
      <w:tr w:rsidR="002E6A48" w:rsidRPr="009B1415" w:rsidTr="00B513CF">
        <w:tc>
          <w:tcPr>
            <w:tcW w:w="2660" w:type="dxa"/>
            <w:tcBorders>
              <w:bottom w:val="single" w:sz="4" w:space="0" w:color="auto"/>
            </w:tcBorders>
          </w:tcPr>
          <w:p w:rsidR="002E6A48" w:rsidRPr="009B1415" w:rsidRDefault="002E6A48" w:rsidP="00B57828">
            <w:pPr>
              <w:spacing w:before="20"/>
              <w:ind w:left="176"/>
              <w:jc w:val="both"/>
              <w:rPr>
                <w:sz w:val="16"/>
                <w:szCs w:val="16"/>
              </w:rPr>
            </w:pPr>
            <w:r w:rsidRPr="009B1415">
              <w:rPr>
                <w:sz w:val="16"/>
                <w:szCs w:val="16"/>
              </w:rPr>
              <w:t>Yes</w:t>
            </w:r>
          </w:p>
        </w:tc>
        <w:tc>
          <w:tcPr>
            <w:tcW w:w="2835" w:type="dxa"/>
            <w:tcBorders>
              <w:bottom w:val="single" w:sz="4" w:space="0" w:color="auto"/>
            </w:tcBorders>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31.1</w:t>
            </w:r>
          </w:p>
        </w:tc>
        <w:tc>
          <w:tcPr>
            <w:tcW w:w="992" w:type="dxa"/>
            <w:tcBorders>
              <w:bottom w:val="single" w:sz="4" w:space="0" w:color="auto"/>
            </w:tcBorders>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25.95</w:t>
            </w:r>
          </w:p>
        </w:tc>
        <w:tc>
          <w:tcPr>
            <w:tcW w:w="1276" w:type="dxa"/>
            <w:gridSpan w:val="2"/>
            <w:tcBorders>
              <w:bottom w:val="single" w:sz="4" w:space="0" w:color="auto"/>
            </w:tcBorders>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1.59 - 423.46</w:t>
            </w:r>
            <w:r w:rsidRPr="00B57828">
              <w:rPr>
                <w:color w:val="000000"/>
                <w:sz w:val="16"/>
                <w:szCs w:val="16"/>
              </w:rPr>
              <w:t>)</w:t>
            </w:r>
          </w:p>
        </w:tc>
        <w:tc>
          <w:tcPr>
            <w:tcW w:w="759" w:type="dxa"/>
            <w:tcBorders>
              <w:bottom w:val="single" w:sz="4" w:space="0" w:color="auto"/>
            </w:tcBorders>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0.02</w:t>
            </w:r>
          </w:p>
        </w:tc>
      </w:tr>
      <w:tr w:rsidR="00D43047" w:rsidRPr="009B1415" w:rsidTr="00B513CF">
        <w:tc>
          <w:tcPr>
            <w:tcW w:w="5495" w:type="dxa"/>
            <w:gridSpan w:val="2"/>
            <w:tcBorders>
              <w:top w:val="single" w:sz="4" w:space="0" w:color="auto"/>
            </w:tcBorders>
            <w:vAlign w:val="center"/>
          </w:tcPr>
          <w:p w:rsidR="00D43047" w:rsidRPr="009B1415" w:rsidRDefault="00D43047" w:rsidP="00B513CF">
            <w:pPr>
              <w:keepNext/>
              <w:spacing w:before="20"/>
              <w:rPr>
                <w:rFonts w:ascii="Calibri" w:hAnsi="Calibri"/>
                <w:b/>
                <w:bCs/>
                <w:color w:val="000000"/>
                <w:sz w:val="16"/>
                <w:szCs w:val="16"/>
              </w:rPr>
            </w:pPr>
            <w:r w:rsidRPr="009B1415">
              <w:rPr>
                <w:b/>
                <w:sz w:val="16"/>
                <w:szCs w:val="16"/>
              </w:rPr>
              <w:lastRenderedPageBreak/>
              <w:t>Psychological distress (Kessler-10)</w:t>
            </w:r>
          </w:p>
        </w:tc>
        <w:tc>
          <w:tcPr>
            <w:tcW w:w="992" w:type="dxa"/>
            <w:tcBorders>
              <w:top w:val="single" w:sz="4" w:space="0" w:color="auto"/>
            </w:tcBorders>
            <w:vAlign w:val="center"/>
          </w:tcPr>
          <w:p w:rsidR="00D43047" w:rsidRPr="009B1415" w:rsidRDefault="00D43047" w:rsidP="00B513CF">
            <w:pPr>
              <w:keepNext/>
              <w:spacing w:before="20"/>
              <w:jc w:val="right"/>
              <w:rPr>
                <w:rFonts w:ascii="Calibri" w:hAnsi="Calibri"/>
                <w:color w:val="000000"/>
                <w:sz w:val="16"/>
                <w:szCs w:val="16"/>
              </w:rPr>
            </w:pPr>
          </w:p>
        </w:tc>
        <w:tc>
          <w:tcPr>
            <w:tcW w:w="992" w:type="dxa"/>
            <w:tcBorders>
              <w:top w:val="single" w:sz="4" w:space="0" w:color="auto"/>
            </w:tcBorders>
            <w:vAlign w:val="center"/>
          </w:tcPr>
          <w:p w:rsidR="00D43047" w:rsidRPr="009B1415" w:rsidRDefault="00D43047" w:rsidP="00B513CF">
            <w:pPr>
              <w:keepNext/>
              <w:spacing w:before="20"/>
              <w:jc w:val="right"/>
              <w:rPr>
                <w:rFonts w:ascii="Calibri" w:hAnsi="Calibri"/>
                <w:color w:val="000000"/>
                <w:sz w:val="16"/>
                <w:szCs w:val="16"/>
              </w:rPr>
            </w:pPr>
          </w:p>
        </w:tc>
        <w:tc>
          <w:tcPr>
            <w:tcW w:w="284" w:type="dxa"/>
            <w:tcBorders>
              <w:top w:val="single" w:sz="4" w:space="0" w:color="auto"/>
            </w:tcBorders>
            <w:vAlign w:val="center"/>
          </w:tcPr>
          <w:p w:rsidR="00D43047" w:rsidRPr="009B1415" w:rsidRDefault="00D43047" w:rsidP="00B513CF">
            <w:pPr>
              <w:keepNext/>
              <w:spacing w:before="20"/>
              <w:jc w:val="right"/>
              <w:rPr>
                <w:rFonts w:ascii="Calibri" w:hAnsi="Calibri"/>
                <w:color w:val="000000"/>
                <w:sz w:val="16"/>
                <w:szCs w:val="16"/>
              </w:rPr>
            </w:pPr>
          </w:p>
        </w:tc>
        <w:tc>
          <w:tcPr>
            <w:tcW w:w="759" w:type="dxa"/>
            <w:tcBorders>
              <w:top w:val="single" w:sz="4" w:space="0" w:color="auto"/>
            </w:tcBorders>
            <w:vAlign w:val="center"/>
          </w:tcPr>
          <w:p w:rsidR="00D43047" w:rsidRPr="009B1415" w:rsidRDefault="00D43047" w:rsidP="00B513CF">
            <w:pPr>
              <w:keepNext/>
              <w:spacing w:before="20"/>
              <w:jc w:val="right"/>
              <w:rPr>
                <w:rFonts w:ascii="Calibri" w:hAnsi="Calibri"/>
                <w:color w:val="000000"/>
                <w:sz w:val="16"/>
                <w:szCs w:val="16"/>
              </w:rPr>
            </w:pPr>
          </w:p>
        </w:tc>
      </w:tr>
      <w:tr w:rsidR="009B1415" w:rsidRPr="009B1415" w:rsidTr="00E05935">
        <w:tc>
          <w:tcPr>
            <w:tcW w:w="2660" w:type="dxa"/>
          </w:tcPr>
          <w:p w:rsidR="009B1415" w:rsidRPr="009B1415" w:rsidRDefault="009B1415" w:rsidP="00B513CF">
            <w:pPr>
              <w:keepNext/>
              <w:spacing w:before="20"/>
              <w:ind w:left="176"/>
              <w:jc w:val="both"/>
              <w:rPr>
                <w:sz w:val="16"/>
                <w:szCs w:val="16"/>
              </w:rPr>
            </w:pPr>
            <w:r w:rsidRPr="009B1415">
              <w:rPr>
                <w:sz w:val="16"/>
                <w:szCs w:val="16"/>
              </w:rPr>
              <w:t>Score 0 - 5</w:t>
            </w:r>
          </w:p>
        </w:tc>
        <w:tc>
          <w:tcPr>
            <w:tcW w:w="2835" w:type="dxa"/>
            <w:vAlign w:val="center"/>
          </w:tcPr>
          <w:p w:rsidR="009B1415" w:rsidRPr="00B57828" w:rsidRDefault="009A02F6" w:rsidP="00B513CF">
            <w:pPr>
              <w:keepNext/>
              <w:adjustRightInd w:val="0"/>
              <w:spacing w:before="20"/>
              <w:jc w:val="right"/>
              <w:rPr>
                <w:color w:val="000000"/>
                <w:sz w:val="16"/>
                <w:szCs w:val="16"/>
              </w:rPr>
            </w:pPr>
            <w:r w:rsidRPr="00B57828">
              <w:rPr>
                <w:color w:val="000000"/>
                <w:sz w:val="16"/>
                <w:szCs w:val="16"/>
              </w:rPr>
              <w:t>1.3</w:t>
            </w:r>
          </w:p>
        </w:tc>
        <w:tc>
          <w:tcPr>
            <w:tcW w:w="992" w:type="dxa"/>
            <w:vAlign w:val="center"/>
          </w:tcPr>
          <w:p w:rsidR="009B1415" w:rsidRPr="00B57828" w:rsidRDefault="009B1415" w:rsidP="00B513CF">
            <w:pPr>
              <w:keepNext/>
              <w:adjustRightInd w:val="0"/>
              <w:spacing w:before="20"/>
              <w:jc w:val="right"/>
              <w:rPr>
                <w:color w:val="000000"/>
                <w:sz w:val="16"/>
                <w:szCs w:val="16"/>
              </w:rPr>
            </w:pPr>
            <w:r w:rsidRPr="00B57828">
              <w:rPr>
                <w:color w:val="000000"/>
                <w:sz w:val="16"/>
                <w:szCs w:val="16"/>
              </w:rPr>
              <w:t>1.00</w:t>
            </w:r>
          </w:p>
        </w:tc>
        <w:tc>
          <w:tcPr>
            <w:tcW w:w="992" w:type="dxa"/>
            <w:vAlign w:val="center"/>
          </w:tcPr>
          <w:p w:rsidR="009B1415" w:rsidRPr="00B57828" w:rsidRDefault="009B1415" w:rsidP="00B513CF">
            <w:pPr>
              <w:keepNext/>
              <w:adjustRightInd w:val="0"/>
              <w:spacing w:before="20"/>
              <w:jc w:val="right"/>
              <w:rPr>
                <w:color w:val="000000"/>
                <w:sz w:val="16"/>
                <w:szCs w:val="16"/>
              </w:rPr>
            </w:pPr>
          </w:p>
        </w:tc>
        <w:tc>
          <w:tcPr>
            <w:tcW w:w="284" w:type="dxa"/>
            <w:vAlign w:val="center"/>
          </w:tcPr>
          <w:p w:rsidR="009B1415" w:rsidRPr="00B57828" w:rsidRDefault="009B1415" w:rsidP="00B513CF">
            <w:pPr>
              <w:keepNext/>
              <w:adjustRightInd w:val="0"/>
              <w:spacing w:before="20"/>
              <w:jc w:val="right"/>
              <w:rPr>
                <w:color w:val="000000"/>
                <w:sz w:val="16"/>
                <w:szCs w:val="16"/>
              </w:rPr>
            </w:pPr>
          </w:p>
        </w:tc>
        <w:tc>
          <w:tcPr>
            <w:tcW w:w="759" w:type="dxa"/>
            <w:vAlign w:val="center"/>
          </w:tcPr>
          <w:p w:rsidR="009B1415" w:rsidRPr="00B57828" w:rsidRDefault="009B1415" w:rsidP="00B513CF">
            <w:pPr>
              <w:keepNext/>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Score 6 - 11</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2.5</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1.97</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0.82 - 4.75</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Pr>
          <w:p w:rsidR="002E6A48" w:rsidRPr="009B1415" w:rsidRDefault="002E6A48" w:rsidP="00B57828">
            <w:pPr>
              <w:spacing w:before="20"/>
              <w:ind w:left="176"/>
              <w:jc w:val="both"/>
              <w:rPr>
                <w:sz w:val="16"/>
                <w:szCs w:val="16"/>
              </w:rPr>
            </w:pPr>
            <w:r w:rsidRPr="009B1415">
              <w:rPr>
                <w:sz w:val="16"/>
                <w:szCs w:val="16"/>
              </w:rPr>
              <w:t>Score 12 - 19</w:t>
            </w:r>
          </w:p>
        </w:tc>
        <w:tc>
          <w:tcPr>
            <w:tcW w:w="2835" w:type="dxa"/>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6.2</w:t>
            </w:r>
          </w:p>
        </w:tc>
        <w:tc>
          <w:tcPr>
            <w:tcW w:w="992" w:type="dxa"/>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5.10</w:t>
            </w:r>
          </w:p>
        </w:tc>
        <w:tc>
          <w:tcPr>
            <w:tcW w:w="1276" w:type="dxa"/>
            <w:gridSpan w:val="2"/>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2.02 - 12.87</w:t>
            </w:r>
            <w:r w:rsidRPr="00B57828">
              <w:rPr>
                <w:color w:val="000000"/>
                <w:sz w:val="16"/>
                <w:szCs w:val="16"/>
              </w:rPr>
              <w:t>)</w:t>
            </w:r>
          </w:p>
        </w:tc>
        <w:tc>
          <w:tcPr>
            <w:tcW w:w="759" w:type="dxa"/>
            <w:vAlign w:val="center"/>
          </w:tcPr>
          <w:p w:rsidR="002E6A48" w:rsidRPr="00B57828" w:rsidRDefault="002E6A48" w:rsidP="00B57828">
            <w:pPr>
              <w:keepNext/>
              <w:keepLines/>
              <w:adjustRightInd w:val="0"/>
              <w:spacing w:before="20"/>
              <w:jc w:val="right"/>
              <w:rPr>
                <w:color w:val="000000"/>
                <w:sz w:val="16"/>
                <w:szCs w:val="16"/>
              </w:rPr>
            </w:pPr>
          </w:p>
        </w:tc>
      </w:tr>
      <w:tr w:rsidR="002E6A48" w:rsidRPr="009B1415" w:rsidTr="00E05935">
        <w:tc>
          <w:tcPr>
            <w:tcW w:w="2660" w:type="dxa"/>
            <w:tcBorders>
              <w:bottom w:val="single" w:sz="4" w:space="0" w:color="auto"/>
            </w:tcBorders>
          </w:tcPr>
          <w:p w:rsidR="002E6A48" w:rsidRPr="009B1415" w:rsidRDefault="002E6A48" w:rsidP="00B57828">
            <w:pPr>
              <w:spacing w:before="20"/>
              <w:ind w:left="176"/>
              <w:jc w:val="both"/>
              <w:rPr>
                <w:sz w:val="16"/>
                <w:szCs w:val="16"/>
              </w:rPr>
            </w:pPr>
            <w:r w:rsidRPr="009B1415">
              <w:rPr>
                <w:sz w:val="16"/>
                <w:szCs w:val="16"/>
              </w:rPr>
              <w:t>Score 20 - 40</w:t>
            </w:r>
          </w:p>
        </w:tc>
        <w:tc>
          <w:tcPr>
            <w:tcW w:w="2835" w:type="dxa"/>
            <w:tcBorders>
              <w:bottom w:val="single" w:sz="4" w:space="0" w:color="auto"/>
            </w:tcBorders>
            <w:vAlign w:val="center"/>
          </w:tcPr>
          <w:p w:rsidR="002E6A48" w:rsidRPr="00B57828" w:rsidRDefault="009A02F6" w:rsidP="00B57828">
            <w:pPr>
              <w:keepNext/>
              <w:keepLines/>
              <w:adjustRightInd w:val="0"/>
              <w:spacing w:before="20"/>
              <w:jc w:val="right"/>
              <w:rPr>
                <w:color w:val="000000"/>
                <w:sz w:val="16"/>
                <w:szCs w:val="16"/>
              </w:rPr>
            </w:pPr>
            <w:r w:rsidRPr="00B57828">
              <w:rPr>
                <w:color w:val="000000"/>
                <w:sz w:val="16"/>
                <w:szCs w:val="16"/>
              </w:rPr>
              <w:t>2.5</w:t>
            </w:r>
          </w:p>
        </w:tc>
        <w:tc>
          <w:tcPr>
            <w:tcW w:w="992" w:type="dxa"/>
            <w:tcBorders>
              <w:bottom w:val="single" w:sz="4" w:space="0" w:color="auto"/>
            </w:tcBorders>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1.99</w:t>
            </w:r>
          </w:p>
        </w:tc>
        <w:tc>
          <w:tcPr>
            <w:tcW w:w="1276" w:type="dxa"/>
            <w:gridSpan w:val="2"/>
            <w:tcBorders>
              <w:bottom w:val="single" w:sz="4" w:space="0" w:color="auto"/>
            </w:tcBorders>
            <w:vAlign w:val="center"/>
          </w:tcPr>
          <w:p w:rsidR="002E6A48" w:rsidRPr="00B57828" w:rsidRDefault="0044629E" w:rsidP="00B57828">
            <w:pPr>
              <w:keepNext/>
              <w:keepLines/>
              <w:adjustRightInd w:val="0"/>
              <w:spacing w:before="20"/>
              <w:jc w:val="right"/>
              <w:rPr>
                <w:color w:val="000000"/>
                <w:sz w:val="16"/>
                <w:szCs w:val="16"/>
              </w:rPr>
            </w:pPr>
            <w:r w:rsidRPr="00B57828">
              <w:rPr>
                <w:color w:val="000000"/>
                <w:sz w:val="16"/>
                <w:szCs w:val="16"/>
              </w:rPr>
              <w:t>(</w:t>
            </w:r>
            <w:r w:rsidR="002E6A48" w:rsidRPr="00B57828">
              <w:rPr>
                <w:color w:val="000000"/>
                <w:sz w:val="16"/>
                <w:szCs w:val="16"/>
              </w:rPr>
              <w:t>0.53 - 7.51</w:t>
            </w:r>
            <w:r w:rsidRPr="00B57828">
              <w:rPr>
                <w:color w:val="000000"/>
                <w:sz w:val="16"/>
                <w:szCs w:val="16"/>
              </w:rPr>
              <w:t>)</w:t>
            </w:r>
          </w:p>
        </w:tc>
        <w:tc>
          <w:tcPr>
            <w:tcW w:w="759" w:type="dxa"/>
            <w:tcBorders>
              <w:bottom w:val="single" w:sz="4" w:space="0" w:color="auto"/>
            </w:tcBorders>
            <w:shd w:val="clear" w:color="auto" w:fill="D9D9D9" w:themeFill="background1" w:themeFillShade="D9"/>
            <w:vAlign w:val="center"/>
          </w:tcPr>
          <w:p w:rsidR="002E6A48" w:rsidRPr="00B57828" w:rsidRDefault="002E6A48" w:rsidP="00B57828">
            <w:pPr>
              <w:keepNext/>
              <w:keepLines/>
              <w:adjustRightInd w:val="0"/>
              <w:spacing w:before="20"/>
              <w:jc w:val="right"/>
              <w:rPr>
                <w:color w:val="000000"/>
                <w:sz w:val="16"/>
                <w:szCs w:val="16"/>
              </w:rPr>
            </w:pPr>
            <w:r w:rsidRPr="00B57828">
              <w:rPr>
                <w:color w:val="000000"/>
                <w:sz w:val="16"/>
                <w:szCs w:val="16"/>
              </w:rPr>
              <w:t>0.00</w:t>
            </w:r>
            <w:r w:rsidR="00FC2692">
              <w:rPr>
                <w:color w:val="000000"/>
                <w:sz w:val="16"/>
                <w:szCs w:val="16"/>
              </w:rPr>
              <w:t>5</w:t>
            </w:r>
          </w:p>
        </w:tc>
      </w:tr>
    </w:tbl>
    <w:p w:rsidR="00573D0F" w:rsidRPr="0034241E" w:rsidRDefault="00573D0F" w:rsidP="00573D0F">
      <w:pPr>
        <w:rPr>
          <w:sz w:val="18"/>
        </w:rPr>
      </w:pPr>
      <w:r>
        <w:rPr>
          <w:sz w:val="18"/>
        </w:rPr>
        <w:t>Data</w:t>
      </w:r>
      <w:r w:rsidRPr="0034241E">
        <w:rPr>
          <w:sz w:val="18"/>
        </w:rPr>
        <w:t xml:space="preserve"> weighted for 2013 Census data (both Waves) and attrition (Wave 2)</w:t>
      </w:r>
    </w:p>
    <w:p w:rsidR="009B1415" w:rsidRDefault="009B1415" w:rsidP="00FD12E4">
      <w:pPr>
        <w:tabs>
          <w:tab w:val="left" w:pos="0"/>
        </w:tabs>
        <w:jc w:val="both"/>
        <w:rPr>
          <w:szCs w:val="22"/>
        </w:rPr>
      </w:pPr>
    </w:p>
    <w:p w:rsidR="00B513CF" w:rsidRDefault="00B513CF" w:rsidP="00FD12E4">
      <w:pPr>
        <w:tabs>
          <w:tab w:val="left" w:pos="0"/>
        </w:tabs>
        <w:jc w:val="both"/>
        <w:rPr>
          <w:szCs w:val="22"/>
        </w:rPr>
      </w:pPr>
    </w:p>
    <w:p w:rsidR="000432E3" w:rsidRPr="000432E3" w:rsidRDefault="007F2FB4" w:rsidP="00585838">
      <w:pPr>
        <w:keepNext/>
        <w:keepLines/>
        <w:tabs>
          <w:tab w:val="left" w:pos="0"/>
        </w:tabs>
        <w:jc w:val="both"/>
        <w:rPr>
          <w:b/>
          <w:szCs w:val="22"/>
        </w:rPr>
      </w:pPr>
      <w:r>
        <w:rPr>
          <w:b/>
          <w:szCs w:val="22"/>
        </w:rPr>
        <w:t>Multiple logistic regression</w:t>
      </w:r>
    </w:p>
    <w:p w:rsidR="000432E3" w:rsidRDefault="000432E3" w:rsidP="00585838">
      <w:pPr>
        <w:keepNext/>
        <w:keepLines/>
        <w:tabs>
          <w:tab w:val="left" w:pos="0"/>
        </w:tabs>
        <w:jc w:val="both"/>
        <w:rPr>
          <w:szCs w:val="22"/>
        </w:rPr>
      </w:pPr>
    </w:p>
    <w:p w:rsidR="009B12FA" w:rsidRDefault="007F2FB4" w:rsidP="00585838">
      <w:pPr>
        <w:keepNext/>
        <w:keepLines/>
        <w:tabs>
          <w:tab w:val="left" w:pos="0"/>
        </w:tabs>
        <w:jc w:val="both"/>
        <w:rPr>
          <w:szCs w:val="22"/>
        </w:rPr>
      </w:pPr>
      <w:r>
        <w:rPr>
          <w:szCs w:val="22"/>
        </w:rPr>
        <w:t>Multiple</w:t>
      </w:r>
      <w:r w:rsidR="00514153">
        <w:rPr>
          <w:szCs w:val="22"/>
        </w:rPr>
        <w:t xml:space="preserve"> logistic regression analyses </w:t>
      </w:r>
      <w:r w:rsidR="00845943">
        <w:rPr>
          <w:szCs w:val="22"/>
        </w:rPr>
        <w:t xml:space="preserve">showed that ethnicity and </w:t>
      </w:r>
      <w:r w:rsidR="0046469C">
        <w:rPr>
          <w:szCs w:val="22"/>
        </w:rPr>
        <w:t xml:space="preserve">annual </w:t>
      </w:r>
      <w:r w:rsidR="00845943">
        <w:rPr>
          <w:szCs w:val="22"/>
        </w:rPr>
        <w:t>household income remained significantly associated with the transition to moderate-risk gambler or problem gambler.  Being Māori or Asian was associated with more than three times the risk of transitioning to moderate-risk or problem gambler than for European/Other.  Pacific people were at the greatest risk at almost six times more than European/Other.</w:t>
      </w:r>
      <w:r w:rsidR="00845943" w:rsidRPr="00845943">
        <w:rPr>
          <w:szCs w:val="22"/>
        </w:rPr>
        <w:t xml:space="preserve"> </w:t>
      </w:r>
      <w:r w:rsidR="00845943">
        <w:rPr>
          <w:szCs w:val="22"/>
        </w:rPr>
        <w:t xml:space="preserve"> Although the data were not as </w:t>
      </w:r>
      <w:r w:rsidR="00633485">
        <w:rPr>
          <w:szCs w:val="22"/>
        </w:rPr>
        <w:t>conclusive</w:t>
      </w:r>
      <w:r w:rsidR="00633485">
        <w:rPr>
          <w:rStyle w:val="FootnoteReference"/>
          <w:szCs w:val="22"/>
        </w:rPr>
        <w:footnoteReference w:id="4"/>
      </w:r>
      <w:r w:rsidR="00845943">
        <w:rPr>
          <w:szCs w:val="22"/>
        </w:rPr>
        <w:t xml:space="preserve"> in regard to </w:t>
      </w:r>
      <w:r w:rsidR="0046469C">
        <w:rPr>
          <w:szCs w:val="22"/>
        </w:rPr>
        <w:t xml:space="preserve">annual </w:t>
      </w:r>
      <w:r w:rsidR="00845943">
        <w:rPr>
          <w:szCs w:val="22"/>
        </w:rPr>
        <w:t xml:space="preserve">household income, the </w:t>
      </w:r>
      <w:r w:rsidR="00633485">
        <w:rPr>
          <w:szCs w:val="22"/>
        </w:rPr>
        <w:t>indication is</w:t>
      </w:r>
      <w:r w:rsidR="00845943">
        <w:rPr>
          <w:szCs w:val="22"/>
        </w:rPr>
        <w:t xml:space="preserve"> that people in the mid-range annual household income brackets of $40,001 to $60,000 and $60,001 to $80,000 had about twice the risk compared with people in the lowest income bracket.</w:t>
      </w:r>
      <w:r w:rsidR="0044629E">
        <w:rPr>
          <w:szCs w:val="22"/>
        </w:rPr>
        <w:t xml:space="preserve">  </w:t>
      </w:r>
    </w:p>
    <w:p w:rsidR="009B12FA" w:rsidRDefault="009B12FA" w:rsidP="00FD12E4">
      <w:pPr>
        <w:tabs>
          <w:tab w:val="left" w:pos="0"/>
        </w:tabs>
        <w:jc w:val="both"/>
        <w:rPr>
          <w:szCs w:val="22"/>
        </w:rPr>
      </w:pPr>
    </w:p>
    <w:p w:rsidR="00845943" w:rsidRDefault="00845943" w:rsidP="00845943">
      <w:pPr>
        <w:tabs>
          <w:tab w:val="left" w:pos="0"/>
        </w:tabs>
        <w:jc w:val="both"/>
        <w:rPr>
          <w:szCs w:val="22"/>
        </w:rPr>
      </w:pPr>
      <w:r w:rsidRPr="0040154C">
        <w:rPr>
          <w:szCs w:val="22"/>
        </w:rPr>
        <w:t xml:space="preserve">People who </w:t>
      </w:r>
      <w:r w:rsidR="008C7BFC">
        <w:rPr>
          <w:szCs w:val="22"/>
        </w:rPr>
        <w:t>participated</w:t>
      </w:r>
      <w:r w:rsidRPr="0040154C">
        <w:rPr>
          <w:szCs w:val="22"/>
        </w:rPr>
        <w:t xml:space="preserve"> </w:t>
      </w:r>
      <w:r w:rsidR="008C7BFC">
        <w:rPr>
          <w:szCs w:val="22"/>
        </w:rPr>
        <w:t xml:space="preserve">annually in casino gambling (table games and EGMs) remained at higher risk than people who did not participate in casino gambling, with the risk being four or five times greater for overseas or New Zealand casino gambling respectively. </w:t>
      </w:r>
    </w:p>
    <w:p w:rsidR="00845943" w:rsidRDefault="00845943" w:rsidP="00845943">
      <w:pPr>
        <w:tabs>
          <w:tab w:val="left" w:pos="0"/>
        </w:tabs>
        <w:jc w:val="both"/>
        <w:rPr>
          <w:szCs w:val="22"/>
        </w:rPr>
      </w:pPr>
    </w:p>
    <w:p w:rsidR="00845943" w:rsidRDefault="00845943" w:rsidP="00845943">
      <w:pPr>
        <w:tabs>
          <w:tab w:val="left" w:pos="0"/>
        </w:tabs>
        <w:jc w:val="both"/>
        <w:rPr>
          <w:szCs w:val="22"/>
        </w:rPr>
      </w:pPr>
      <w:r>
        <w:rPr>
          <w:szCs w:val="22"/>
        </w:rPr>
        <w:t xml:space="preserve">Significantly </w:t>
      </w:r>
      <w:r w:rsidRPr="0040154C">
        <w:rPr>
          <w:i/>
          <w:szCs w:val="22"/>
        </w:rPr>
        <w:t>less</w:t>
      </w:r>
      <w:r>
        <w:rPr>
          <w:szCs w:val="22"/>
        </w:rPr>
        <w:t xml:space="preserve"> risk was noted for people who gambled with at least one</w:t>
      </w:r>
      <w:r w:rsidR="008C7BFC">
        <w:rPr>
          <w:szCs w:val="22"/>
        </w:rPr>
        <w:t xml:space="preserve"> other person (approximately 0.2</w:t>
      </w:r>
      <w:r>
        <w:rPr>
          <w:szCs w:val="22"/>
        </w:rPr>
        <w:t xml:space="preserve"> times) in comparison with gambling alone</w:t>
      </w:r>
      <w:r w:rsidR="008C7BFC">
        <w:rPr>
          <w:szCs w:val="22"/>
        </w:rPr>
        <w:t>, when confounding factors were controlled for</w:t>
      </w:r>
      <w:r>
        <w:rPr>
          <w:szCs w:val="22"/>
        </w:rPr>
        <w:t>.</w:t>
      </w:r>
    </w:p>
    <w:p w:rsidR="00845943" w:rsidRDefault="00845943" w:rsidP="00845943">
      <w:pPr>
        <w:tabs>
          <w:tab w:val="left" w:pos="0"/>
        </w:tabs>
        <w:jc w:val="both"/>
        <w:rPr>
          <w:szCs w:val="22"/>
        </w:rPr>
      </w:pPr>
    </w:p>
    <w:p w:rsidR="009C238C" w:rsidRDefault="008C7BFC" w:rsidP="00845943">
      <w:pPr>
        <w:tabs>
          <w:tab w:val="left" w:pos="0"/>
        </w:tabs>
        <w:jc w:val="both"/>
        <w:rPr>
          <w:szCs w:val="22"/>
        </w:rPr>
      </w:pPr>
      <w:r>
        <w:rPr>
          <w:szCs w:val="22"/>
        </w:rPr>
        <w:t>The only b</w:t>
      </w:r>
      <w:r w:rsidR="00845943">
        <w:rPr>
          <w:szCs w:val="22"/>
        </w:rPr>
        <w:t xml:space="preserve">ehaviour-related variable </w:t>
      </w:r>
      <w:r>
        <w:rPr>
          <w:szCs w:val="22"/>
        </w:rPr>
        <w:t xml:space="preserve">which remained </w:t>
      </w:r>
      <w:r w:rsidR="00845943">
        <w:rPr>
          <w:szCs w:val="22"/>
        </w:rPr>
        <w:t xml:space="preserve">significantly associated with the transitions </w:t>
      </w:r>
      <w:r>
        <w:rPr>
          <w:szCs w:val="22"/>
        </w:rPr>
        <w:t>was</w:t>
      </w:r>
      <w:r w:rsidR="00845943">
        <w:rPr>
          <w:szCs w:val="22"/>
        </w:rPr>
        <w:t xml:space="preserve"> avoiding places that have betting or gambling (</w:t>
      </w:r>
      <w:r>
        <w:rPr>
          <w:szCs w:val="22"/>
        </w:rPr>
        <w:t>four</w:t>
      </w:r>
      <w:r w:rsidR="00845943">
        <w:rPr>
          <w:szCs w:val="22"/>
        </w:rPr>
        <w:t xml:space="preserve"> times higher</w:t>
      </w:r>
      <w:r>
        <w:rPr>
          <w:szCs w:val="22"/>
        </w:rPr>
        <w:t>)</w:t>
      </w:r>
      <w:r w:rsidR="00845943">
        <w:rPr>
          <w:szCs w:val="22"/>
        </w:rPr>
        <w:t xml:space="preserve">.  </w:t>
      </w:r>
    </w:p>
    <w:p w:rsidR="009C238C" w:rsidRDefault="009C238C" w:rsidP="00845943">
      <w:pPr>
        <w:tabs>
          <w:tab w:val="left" w:pos="0"/>
        </w:tabs>
        <w:jc w:val="both"/>
        <w:rPr>
          <w:szCs w:val="22"/>
        </w:rPr>
      </w:pPr>
    </w:p>
    <w:p w:rsidR="00845943" w:rsidRDefault="00845943" w:rsidP="00845943">
      <w:pPr>
        <w:tabs>
          <w:tab w:val="left" w:pos="0"/>
        </w:tabs>
        <w:jc w:val="both"/>
        <w:rPr>
          <w:szCs w:val="22"/>
        </w:rPr>
      </w:pPr>
      <w:r>
        <w:rPr>
          <w:szCs w:val="22"/>
        </w:rPr>
        <w:t xml:space="preserve">Psychological distress </w:t>
      </w:r>
      <w:r w:rsidR="008C7BFC">
        <w:rPr>
          <w:szCs w:val="22"/>
        </w:rPr>
        <w:t>also remained</w:t>
      </w:r>
      <w:r>
        <w:rPr>
          <w:szCs w:val="22"/>
        </w:rPr>
        <w:t xml:space="preserve"> significantly associated with the transition to moderate-risk gambler or problem gambler.  People who scored in the mid-</w:t>
      </w:r>
      <w:r w:rsidR="004C783A">
        <w:rPr>
          <w:szCs w:val="22"/>
        </w:rPr>
        <w:t>high</w:t>
      </w:r>
      <w:r>
        <w:rPr>
          <w:szCs w:val="22"/>
        </w:rPr>
        <w:t xml:space="preserve"> range of psychological distress </w:t>
      </w:r>
      <w:r w:rsidR="0046469C">
        <w:rPr>
          <w:szCs w:val="22"/>
        </w:rPr>
        <w:t xml:space="preserve">(score </w:t>
      </w:r>
      <w:r w:rsidR="00715773">
        <w:rPr>
          <w:szCs w:val="22"/>
        </w:rPr>
        <w:t>12-19</w:t>
      </w:r>
      <w:r w:rsidR="008C7BFC">
        <w:rPr>
          <w:szCs w:val="22"/>
        </w:rPr>
        <w:t xml:space="preserve">) </w:t>
      </w:r>
      <w:r>
        <w:rPr>
          <w:szCs w:val="22"/>
        </w:rPr>
        <w:t xml:space="preserve">had </w:t>
      </w:r>
      <w:r w:rsidR="008C7BFC">
        <w:rPr>
          <w:szCs w:val="22"/>
        </w:rPr>
        <w:t>four</w:t>
      </w:r>
      <w:r>
        <w:rPr>
          <w:szCs w:val="22"/>
        </w:rPr>
        <w:t xml:space="preserve"> times the risk compared with </w:t>
      </w:r>
      <w:r w:rsidR="008C7BFC">
        <w:rPr>
          <w:szCs w:val="22"/>
        </w:rPr>
        <w:t>people who had the lowest level</w:t>
      </w:r>
      <w:r>
        <w:rPr>
          <w:szCs w:val="22"/>
        </w:rPr>
        <w:t xml:space="preserve"> of psychological distress.</w:t>
      </w:r>
      <w:r w:rsidR="008C7BFC">
        <w:rPr>
          <w:szCs w:val="22"/>
        </w:rPr>
        <w:t xml:space="preserve">  </w:t>
      </w:r>
    </w:p>
    <w:p w:rsidR="004C783A" w:rsidRDefault="004C783A" w:rsidP="00845943">
      <w:pPr>
        <w:tabs>
          <w:tab w:val="left" w:pos="0"/>
        </w:tabs>
        <w:jc w:val="both"/>
        <w:rPr>
          <w:szCs w:val="22"/>
        </w:rPr>
      </w:pPr>
    </w:p>
    <w:p w:rsidR="00845943" w:rsidRPr="00934E6A" w:rsidRDefault="008C7BFC" w:rsidP="00845943">
      <w:pPr>
        <w:tabs>
          <w:tab w:val="left" w:pos="0"/>
        </w:tabs>
        <w:jc w:val="both"/>
        <w:rPr>
          <w:szCs w:val="22"/>
        </w:rPr>
      </w:pPr>
      <w:r>
        <w:rPr>
          <w:szCs w:val="22"/>
        </w:rPr>
        <w:t>Data</w:t>
      </w:r>
      <w:r w:rsidR="00845943" w:rsidRPr="00CD08EB">
        <w:rPr>
          <w:szCs w:val="22"/>
        </w:rPr>
        <w:t xml:space="preserve"> are presented in</w:t>
      </w:r>
      <w:r>
        <w:rPr>
          <w:szCs w:val="22"/>
        </w:rPr>
        <w:t xml:space="preserve"> </w:t>
      </w:r>
      <w:r w:rsidRPr="008C7BFC">
        <w:rPr>
          <w:szCs w:val="22"/>
        </w:rPr>
        <w:fldChar w:fldCharType="begin"/>
      </w:r>
      <w:r w:rsidRPr="008C7BFC">
        <w:rPr>
          <w:szCs w:val="22"/>
        </w:rPr>
        <w:instrText xml:space="preserve"> REF _Ref406578363 \h  \* MERGEFORMAT </w:instrText>
      </w:r>
      <w:r w:rsidRPr="008C7BFC">
        <w:rPr>
          <w:szCs w:val="22"/>
        </w:rPr>
      </w:r>
      <w:r w:rsidRPr="008C7BFC">
        <w:rPr>
          <w:szCs w:val="22"/>
        </w:rPr>
        <w:fldChar w:fldCharType="separate"/>
      </w:r>
      <w:r w:rsidR="00B2175B" w:rsidRPr="00B2175B">
        <w:rPr>
          <w:bCs/>
          <w:szCs w:val="22"/>
        </w:rPr>
        <w:t xml:space="preserve">Table </w:t>
      </w:r>
      <w:r w:rsidR="00B2175B" w:rsidRPr="00B2175B">
        <w:rPr>
          <w:bCs/>
          <w:noProof/>
          <w:szCs w:val="22"/>
        </w:rPr>
        <w:t>16</w:t>
      </w:r>
      <w:r w:rsidRPr="008C7BFC">
        <w:rPr>
          <w:szCs w:val="22"/>
        </w:rPr>
        <w:fldChar w:fldCharType="end"/>
      </w:r>
      <w:r w:rsidR="00845943">
        <w:t>.</w:t>
      </w:r>
    </w:p>
    <w:p w:rsidR="009B12FA" w:rsidRDefault="009B12FA" w:rsidP="00FD12E4">
      <w:pPr>
        <w:tabs>
          <w:tab w:val="left" w:pos="0"/>
        </w:tabs>
        <w:jc w:val="both"/>
        <w:rPr>
          <w:szCs w:val="22"/>
        </w:rPr>
      </w:pPr>
    </w:p>
    <w:p w:rsidR="008C7BFC" w:rsidRPr="00934E6A" w:rsidRDefault="008C7BFC" w:rsidP="00B716C7">
      <w:pPr>
        <w:keepNext/>
        <w:keepLines/>
        <w:jc w:val="both"/>
        <w:rPr>
          <w:b/>
          <w:bCs/>
          <w:sz w:val="20"/>
          <w:szCs w:val="20"/>
        </w:rPr>
      </w:pPr>
      <w:bookmarkStart w:id="206" w:name="_Ref406578363"/>
      <w:bookmarkStart w:id="207" w:name="_Toc420393804"/>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16</w:t>
      </w:r>
      <w:r w:rsidRPr="00934E6A">
        <w:rPr>
          <w:b/>
          <w:bCs/>
          <w:sz w:val="20"/>
          <w:szCs w:val="20"/>
        </w:rPr>
        <w:fldChar w:fldCharType="end"/>
      </w:r>
      <w:bookmarkEnd w:id="206"/>
      <w:r w:rsidRPr="00934E6A">
        <w:rPr>
          <w:b/>
          <w:bCs/>
          <w:sz w:val="20"/>
          <w:szCs w:val="20"/>
        </w:rPr>
        <w:t xml:space="preserve">: </w:t>
      </w:r>
      <w:r w:rsidR="002E6A48">
        <w:rPr>
          <w:b/>
          <w:bCs/>
          <w:sz w:val="20"/>
          <w:szCs w:val="20"/>
        </w:rPr>
        <w:t>Multivariate l</w:t>
      </w:r>
      <w:r w:rsidRPr="00934E6A">
        <w:rPr>
          <w:b/>
          <w:bCs/>
          <w:sz w:val="20"/>
          <w:szCs w:val="20"/>
        </w:rPr>
        <w:t xml:space="preserve">ogistic regression for transition from non-problem/low risk gambler </w:t>
      </w:r>
      <w:r w:rsidR="007C56C7">
        <w:rPr>
          <w:b/>
          <w:bCs/>
          <w:sz w:val="20"/>
          <w:szCs w:val="20"/>
        </w:rPr>
        <w:t>in</w:t>
      </w:r>
      <w:r w:rsidRPr="00934E6A">
        <w:rPr>
          <w:b/>
          <w:bCs/>
          <w:sz w:val="20"/>
          <w:szCs w:val="20"/>
        </w:rPr>
        <w:t xml:space="preserve"> Wave 1 to moderate-risk/problem gambler </w:t>
      </w:r>
      <w:r w:rsidR="007C56C7">
        <w:rPr>
          <w:b/>
          <w:bCs/>
          <w:sz w:val="20"/>
          <w:szCs w:val="20"/>
        </w:rPr>
        <w:t>in</w:t>
      </w:r>
      <w:r w:rsidRPr="00934E6A">
        <w:rPr>
          <w:b/>
          <w:bCs/>
          <w:sz w:val="20"/>
          <w:szCs w:val="20"/>
        </w:rPr>
        <w:t xml:space="preserve"> Wave 2</w:t>
      </w:r>
      <w:bookmarkEnd w:id="207"/>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845"/>
        <w:gridCol w:w="799"/>
        <w:gridCol w:w="1029"/>
        <w:gridCol w:w="278"/>
        <w:gridCol w:w="813"/>
      </w:tblGrid>
      <w:tr w:rsidR="008C7BFC" w:rsidRPr="007F2FB4" w:rsidTr="007F2FB4">
        <w:trPr>
          <w:tblHeader/>
        </w:trPr>
        <w:tc>
          <w:tcPr>
            <w:tcW w:w="4735" w:type="dxa"/>
            <w:tcBorders>
              <w:top w:val="single" w:sz="4" w:space="0" w:color="auto"/>
              <w:bottom w:val="single" w:sz="4" w:space="0" w:color="auto"/>
            </w:tcBorders>
            <w:vAlign w:val="bottom"/>
          </w:tcPr>
          <w:p w:rsidR="008C7BFC" w:rsidRPr="007F2FB4" w:rsidRDefault="008C7BFC" w:rsidP="00B716C7">
            <w:pPr>
              <w:keepNext/>
              <w:keepLines/>
              <w:spacing w:before="20"/>
              <w:jc w:val="both"/>
              <w:rPr>
                <w:b/>
                <w:sz w:val="18"/>
                <w:szCs w:val="18"/>
              </w:rPr>
            </w:pPr>
            <w:r w:rsidRPr="007F2FB4">
              <w:rPr>
                <w:b/>
                <w:sz w:val="18"/>
                <w:szCs w:val="18"/>
              </w:rPr>
              <w:t>Variable</w:t>
            </w:r>
          </w:p>
        </w:tc>
        <w:tc>
          <w:tcPr>
            <w:tcW w:w="845" w:type="dxa"/>
            <w:tcBorders>
              <w:top w:val="single" w:sz="4" w:space="0" w:color="auto"/>
              <w:bottom w:val="single" w:sz="4" w:space="0" w:color="auto"/>
            </w:tcBorders>
            <w:vAlign w:val="center"/>
          </w:tcPr>
          <w:p w:rsidR="008C7BFC" w:rsidRPr="007F2FB4" w:rsidRDefault="008C7BFC" w:rsidP="00B716C7">
            <w:pPr>
              <w:keepNext/>
              <w:keepLines/>
              <w:spacing w:before="20"/>
              <w:jc w:val="right"/>
              <w:rPr>
                <w:b/>
                <w:bCs/>
                <w:color w:val="000000"/>
                <w:sz w:val="18"/>
                <w:szCs w:val="18"/>
              </w:rPr>
            </w:pPr>
            <w:r w:rsidRPr="007F2FB4">
              <w:rPr>
                <w:b/>
                <w:bCs/>
                <w:color w:val="000000"/>
                <w:sz w:val="18"/>
                <w:szCs w:val="18"/>
              </w:rPr>
              <w:t>%</w:t>
            </w:r>
          </w:p>
        </w:tc>
        <w:tc>
          <w:tcPr>
            <w:tcW w:w="799" w:type="dxa"/>
            <w:tcBorders>
              <w:top w:val="single" w:sz="4" w:space="0" w:color="auto"/>
              <w:bottom w:val="single" w:sz="4" w:space="0" w:color="auto"/>
            </w:tcBorders>
            <w:vAlign w:val="center"/>
          </w:tcPr>
          <w:p w:rsidR="008C7BFC" w:rsidRPr="007F2FB4" w:rsidRDefault="008C7BFC" w:rsidP="00B716C7">
            <w:pPr>
              <w:keepNext/>
              <w:keepLines/>
              <w:spacing w:before="20"/>
              <w:jc w:val="right"/>
              <w:rPr>
                <w:b/>
                <w:color w:val="000000"/>
                <w:sz w:val="18"/>
                <w:szCs w:val="18"/>
              </w:rPr>
            </w:pPr>
            <w:r w:rsidRPr="007F2FB4">
              <w:rPr>
                <w:b/>
                <w:color w:val="000000"/>
                <w:sz w:val="18"/>
                <w:szCs w:val="18"/>
              </w:rPr>
              <w:t>Odds Ratio</w:t>
            </w:r>
          </w:p>
        </w:tc>
        <w:tc>
          <w:tcPr>
            <w:tcW w:w="1307" w:type="dxa"/>
            <w:gridSpan w:val="2"/>
            <w:tcBorders>
              <w:top w:val="single" w:sz="4" w:space="0" w:color="auto"/>
              <w:bottom w:val="single" w:sz="4" w:space="0" w:color="auto"/>
            </w:tcBorders>
            <w:vAlign w:val="center"/>
          </w:tcPr>
          <w:p w:rsidR="008C7BFC" w:rsidRPr="007F2FB4" w:rsidRDefault="00482A4F" w:rsidP="00B716C7">
            <w:pPr>
              <w:keepNext/>
              <w:keepLines/>
              <w:spacing w:before="20"/>
              <w:jc w:val="right"/>
              <w:rPr>
                <w:b/>
                <w:color w:val="000000"/>
                <w:sz w:val="18"/>
                <w:szCs w:val="18"/>
              </w:rPr>
            </w:pPr>
            <w:r w:rsidRPr="007F2FB4">
              <w:rPr>
                <w:b/>
                <w:color w:val="000000"/>
                <w:sz w:val="18"/>
                <w:szCs w:val="18"/>
              </w:rPr>
              <w:t>(</w:t>
            </w:r>
            <w:r w:rsidR="008C7BFC" w:rsidRPr="007F2FB4">
              <w:rPr>
                <w:b/>
                <w:color w:val="000000"/>
                <w:sz w:val="18"/>
                <w:szCs w:val="18"/>
              </w:rPr>
              <w:t>95% CI</w:t>
            </w:r>
            <w:r w:rsidRPr="007F2FB4">
              <w:rPr>
                <w:b/>
                <w:color w:val="000000"/>
                <w:sz w:val="18"/>
                <w:szCs w:val="18"/>
              </w:rPr>
              <w:t>)</w:t>
            </w:r>
          </w:p>
        </w:tc>
        <w:tc>
          <w:tcPr>
            <w:tcW w:w="813" w:type="dxa"/>
            <w:tcBorders>
              <w:top w:val="single" w:sz="4" w:space="0" w:color="auto"/>
              <w:bottom w:val="single" w:sz="4" w:space="0" w:color="auto"/>
            </w:tcBorders>
            <w:vAlign w:val="center"/>
          </w:tcPr>
          <w:p w:rsidR="008C7BFC" w:rsidRPr="007F2FB4" w:rsidRDefault="008C7BFC" w:rsidP="00B716C7">
            <w:pPr>
              <w:keepNext/>
              <w:keepLines/>
              <w:spacing w:before="20"/>
              <w:jc w:val="right"/>
              <w:rPr>
                <w:b/>
                <w:color w:val="000000"/>
                <w:sz w:val="18"/>
                <w:szCs w:val="18"/>
              </w:rPr>
            </w:pPr>
            <w:r w:rsidRPr="007F2FB4">
              <w:rPr>
                <w:b/>
                <w:color w:val="000000"/>
                <w:sz w:val="18"/>
                <w:szCs w:val="18"/>
              </w:rPr>
              <w:t>p-value</w:t>
            </w:r>
          </w:p>
        </w:tc>
      </w:tr>
      <w:tr w:rsidR="008C7BFC" w:rsidRPr="007F2FB4" w:rsidTr="007F2FB4">
        <w:tc>
          <w:tcPr>
            <w:tcW w:w="4735" w:type="dxa"/>
            <w:vAlign w:val="bottom"/>
          </w:tcPr>
          <w:p w:rsidR="008C7BFC" w:rsidRPr="007F2FB4" w:rsidRDefault="008C7BFC" w:rsidP="00B716C7">
            <w:pPr>
              <w:keepNext/>
              <w:keepLines/>
              <w:spacing w:before="20"/>
              <w:jc w:val="both"/>
              <w:rPr>
                <w:b/>
                <w:sz w:val="18"/>
                <w:szCs w:val="18"/>
              </w:rPr>
            </w:pPr>
            <w:r w:rsidRPr="007F2FB4">
              <w:rPr>
                <w:b/>
                <w:sz w:val="18"/>
                <w:szCs w:val="18"/>
              </w:rPr>
              <w:t>Ethnic group (prioritised)</w:t>
            </w:r>
          </w:p>
        </w:tc>
        <w:tc>
          <w:tcPr>
            <w:tcW w:w="845" w:type="dxa"/>
            <w:vAlign w:val="center"/>
          </w:tcPr>
          <w:p w:rsidR="008C7BFC" w:rsidRPr="007F2FB4" w:rsidRDefault="008C7BFC" w:rsidP="00B716C7">
            <w:pPr>
              <w:keepNext/>
              <w:keepLines/>
              <w:spacing w:before="20"/>
              <w:jc w:val="center"/>
              <w:rPr>
                <w:b/>
                <w:bCs/>
                <w:color w:val="000000"/>
                <w:sz w:val="18"/>
                <w:szCs w:val="18"/>
              </w:rPr>
            </w:pPr>
          </w:p>
        </w:tc>
        <w:tc>
          <w:tcPr>
            <w:tcW w:w="799" w:type="dxa"/>
          </w:tcPr>
          <w:p w:rsidR="008C7BFC" w:rsidRPr="007F2FB4" w:rsidRDefault="008C7BFC" w:rsidP="00B716C7">
            <w:pPr>
              <w:keepNext/>
              <w:keepLines/>
              <w:adjustRightInd w:val="0"/>
              <w:spacing w:before="20"/>
              <w:jc w:val="center"/>
              <w:rPr>
                <w:color w:val="000000"/>
                <w:sz w:val="18"/>
                <w:szCs w:val="18"/>
              </w:rPr>
            </w:pPr>
          </w:p>
        </w:tc>
        <w:tc>
          <w:tcPr>
            <w:tcW w:w="1029" w:type="dxa"/>
          </w:tcPr>
          <w:p w:rsidR="008C7BFC" w:rsidRPr="007F2FB4" w:rsidRDefault="008C7BFC" w:rsidP="00B716C7">
            <w:pPr>
              <w:keepNext/>
              <w:keepLines/>
              <w:adjustRightInd w:val="0"/>
              <w:spacing w:before="20"/>
              <w:jc w:val="center"/>
              <w:rPr>
                <w:color w:val="000000"/>
                <w:sz w:val="18"/>
                <w:szCs w:val="18"/>
              </w:rPr>
            </w:pPr>
          </w:p>
        </w:tc>
        <w:tc>
          <w:tcPr>
            <w:tcW w:w="278" w:type="dxa"/>
          </w:tcPr>
          <w:p w:rsidR="008C7BFC" w:rsidRPr="007F2FB4" w:rsidRDefault="008C7BFC" w:rsidP="00B716C7">
            <w:pPr>
              <w:keepNext/>
              <w:keepLines/>
              <w:adjustRightInd w:val="0"/>
              <w:spacing w:before="20"/>
              <w:jc w:val="center"/>
              <w:rPr>
                <w:color w:val="000000"/>
                <w:sz w:val="18"/>
                <w:szCs w:val="18"/>
              </w:rPr>
            </w:pPr>
          </w:p>
        </w:tc>
        <w:tc>
          <w:tcPr>
            <w:tcW w:w="813" w:type="dxa"/>
            <w:vAlign w:val="center"/>
          </w:tcPr>
          <w:p w:rsidR="008C7BFC" w:rsidRPr="007F2FB4" w:rsidRDefault="008C7BFC" w:rsidP="00B716C7">
            <w:pPr>
              <w:keepNext/>
              <w:keepLines/>
              <w:spacing w:before="20"/>
              <w:jc w:val="center"/>
              <w:rPr>
                <w:b/>
                <w:color w:val="000000"/>
                <w:sz w:val="18"/>
                <w:szCs w:val="18"/>
              </w:rPr>
            </w:pPr>
          </w:p>
        </w:tc>
      </w:tr>
      <w:tr w:rsidR="000C1AB9" w:rsidRPr="007F2FB4" w:rsidTr="007F2FB4">
        <w:trPr>
          <w:trHeight w:val="157"/>
        </w:trPr>
        <w:tc>
          <w:tcPr>
            <w:tcW w:w="4735" w:type="dxa"/>
          </w:tcPr>
          <w:p w:rsidR="000C1AB9" w:rsidRPr="007F2FB4" w:rsidRDefault="000C1AB9" w:rsidP="00B716C7">
            <w:pPr>
              <w:keepNext/>
              <w:keepLines/>
              <w:spacing w:before="20"/>
              <w:ind w:left="176"/>
              <w:jc w:val="both"/>
              <w:rPr>
                <w:sz w:val="18"/>
                <w:szCs w:val="18"/>
              </w:rPr>
            </w:pPr>
            <w:r w:rsidRPr="007F2FB4">
              <w:rPr>
                <w:sz w:val="18"/>
                <w:szCs w:val="18"/>
              </w:rPr>
              <w:t>Māori</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3.8</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3.48</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(1.35 - 8.98)</w:t>
            </w:r>
          </w:p>
        </w:tc>
        <w:tc>
          <w:tcPr>
            <w:tcW w:w="813" w:type="dxa"/>
            <w:vAlign w:val="center"/>
          </w:tcPr>
          <w:p w:rsidR="000C1AB9" w:rsidRPr="007F2FB4" w:rsidRDefault="000C1AB9" w:rsidP="00B716C7">
            <w:pPr>
              <w:keepNext/>
              <w:keepLines/>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Pacific</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7.0</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5.96</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(2.59 - 13.68)</w:t>
            </w:r>
          </w:p>
        </w:tc>
        <w:tc>
          <w:tcPr>
            <w:tcW w:w="813" w:type="dxa"/>
            <w:vAlign w:val="center"/>
          </w:tcPr>
          <w:p w:rsidR="000C1AB9" w:rsidRPr="007F2FB4" w:rsidRDefault="000C1AB9" w:rsidP="00B716C7">
            <w:pPr>
              <w:keepNext/>
              <w:keepLines/>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Asian</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3.3</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3.17</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(1.14 - 8.84)</w:t>
            </w:r>
          </w:p>
        </w:tc>
        <w:tc>
          <w:tcPr>
            <w:tcW w:w="813" w:type="dxa"/>
            <w:vAlign w:val="center"/>
          </w:tcPr>
          <w:p w:rsidR="000C1AB9" w:rsidRPr="007F2FB4" w:rsidRDefault="000C1AB9" w:rsidP="00B716C7">
            <w:pPr>
              <w:keepNext/>
              <w:keepLines/>
              <w:spacing w:before="20"/>
              <w:jc w:val="right"/>
              <w:rPr>
                <w:color w:val="000000"/>
                <w:sz w:val="18"/>
                <w:szCs w:val="18"/>
              </w:rPr>
            </w:pPr>
          </w:p>
        </w:tc>
      </w:tr>
      <w:tr w:rsidR="0044629E" w:rsidRPr="007F2FB4" w:rsidTr="007F2FB4">
        <w:tc>
          <w:tcPr>
            <w:tcW w:w="4735" w:type="dxa"/>
          </w:tcPr>
          <w:p w:rsidR="0044629E" w:rsidRPr="007F2FB4" w:rsidRDefault="0044629E" w:rsidP="00B716C7">
            <w:pPr>
              <w:keepNext/>
              <w:keepLines/>
              <w:spacing w:before="20"/>
              <w:ind w:left="176"/>
              <w:jc w:val="both"/>
              <w:rPr>
                <w:sz w:val="18"/>
                <w:szCs w:val="18"/>
              </w:rPr>
            </w:pPr>
            <w:r w:rsidRPr="007F2FB4">
              <w:rPr>
                <w:sz w:val="18"/>
                <w:szCs w:val="18"/>
              </w:rPr>
              <w:t>European/Other</w:t>
            </w:r>
          </w:p>
        </w:tc>
        <w:tc>
          <w:tcPr>
            <w:tcW w:w="845"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1.1</w:t>
            </w:r>
          </w:p>
        </w:tc>
        <w:tc>
          <w:tcPr>
            <w:tcW w:w="79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813" w:type="dxa"/>
            <w:shd w:val="clear" w:color="auto" w:fill="D9D9D9" w:themeFill="background1" w:themeFillShade="D9"/>
          </w:tcPr>
          <w:p w:rsidR="0044629E" w:rsidRPr="007F2FB4" w:rsidRDefault="0044629E" w:rsidP="00B716C7">
            <w:pPr>
              <w:keepNext/>
              <w:keepLines/>
              <w:adjustRightInd w:val="0"/>
              <w:spacing w:before="20"/>
              <w:jc w:val="right"/>
              <w:rPr>
                <w:color w:val="000000"/>
                <w:sz w:val="18"/>
                <w:szCs w:val="18"/>
              </w:rPr>
            </w:pPr>
            <w:r w:rsidRPr="007F2FB4">
              <w:rPr>
                <w:color w:val="000000"/>
                <w:sz w:val="18"/>
                <w:szCs w:val="18"/>
              </w:rPr>
              <w:t>0.0003</w:t>
            </w:r>
          </w:p>
        </w:tc>
      </w:tr>
      <w:tr w:rsidR="008C7BFC" w:rsidRPr="007F2FB4" w:rsidTr="007F2FB4">
        <w:tc>
          <w:tcPr>
            <w:tcW w:w="4735" w:type="dxa"/>
            <w:vAlign w:val="bottom"/>
          </w:tcPr>
          <w:p w:rsidR="008C7BFC" w:rsidRPr="007F2FB4" w:rsidRDefault="008C7BFC" w:rsidP="00B716C7">
            <w:pPr>
              <w:keepNext/>
              <w:keepLines/>
              <w:spacing w:before="20"/>
              <w:jc w:val="both"/>
              <w:rPr>
                <w:b/>
                <w:sz w:val="18"/>
                <w:szCs w:val="18"/>
              </w:rPr>
            </w:pPr>
            <w:r w:rsidRPr="007F2FB4">
              <w:rPr>
                <w:b/>
                <w:sz w:val="18"/>
                <w:szCs w:val="18"/>
              </w:rPr>
              <w:t>Household income</w:t>
            </w:r>
          </w:p>
        </w:tc>
        <w:tc>
          <w:tcPr>
            <w:tcW w:w="845" w:type="dxa"/>
            <w:vAlign w:val="center"/>
          </w:tcPr>
          <w:p w:rsidR="008C7BFC" w:rsidRPr="007F2FB4" w:rsidRDefault="008C7BFC" w:rsidP="00B716C7">
            <w:pPr>
              <w:keepNext/>
              <w:keepLines/>
              <w:spacing w:before="20"/>
              <w:jc w:val="center"/>
              <w:rPr>
                <w:b/>
                <w:bCs/>
                <w:color w:val="000000"/>
                <w:sz w:val="18"/>
                <w:szCs w:val="18"/>
              </w:rPr>
            </w:pPr>
          </w:p>
        </w:tc>
        <w:tc>
          <w:tcPr>
            <w:tcW w:w="799" w:type="dxa"/>
            <w:vAlign w:val="center"/>
          </w:tcPr>
          <w:p w:rsidR="008C7BFC" w:rsidRPr="007F2FB4" w:rsidRDefault="008C7BFC" w:rsidP="00B716C7">
            <w:pPr>
              <w:keepNext/>
              <w:keepLines/>
              <w:spacing w:before="20"/>
              <w:jc w:val="center"/>
              <w:rPr>
                <w:b/>
                <w:color w:val="000000"/>
                <w:sz w:val="18"/>
                <w:szCs w:val="18"/>
              </w:rPr>
            </w:pPr>
          </w:p>
        </w:tc>
        <w:tc>
          <w:tcPr>
            <w:tcW w:w="1029" w:type="dxa"/>
            <w:vAlign w:val="center"/>
          </w:tcPr>
          <w:p w:rsidR="008C7BFC" w:rsidRPr="007F2FB4" w:rsidRDefault="008C7BFC" w:rsidP="00B716C7">
            <w:pPr>
              <w:keepNext/>
              <w:keepLines/>
              <w:spacing w:before="20"/>
              <w:jc w:val="center"/>
              <w:rPr>
                <w:b/>
                <w:color w:val="000000"/>
                <w:sz w:val="18"/>
                <w:szCs w:val="18"/>
              </w:rPr>
            </w:pPr>
          </w:p>
        </w:tc>
        <w:tc>
          <w:tcPr>
            <w:tcW w:w="278" w:type="dxa"/>
            <w:vAlign w:val="center"/>
          </w:tcPr>
          <w:p w:rsidR="008C7BFC" w:rsidRPr="007F2FB4" w:rsidRDefault="008C7BFC" w:rsidP="00B716C7">
            <w:pPr>
              <w:keepNext/>
              <w:keepLines/>
              <w:spacing w:before="20"/>
              <w:jc w:val="center"/>
              <w:rPr>
                <w:b/>
                <w:color w:val="000000"/>
                <w:sz w:val="18"/>
                <w:szCs w:val="18"/>
              </w:rPr>
            </w:pPr>
          </w:p>
        </w:tc>
        <w:tc>
          <w:tcPr>
            <w:tcW w:w="813" w:type="dxa"/>
            <w:vAlign w:val="center"/>
          </w:tcPr>
          <w:p w:rsidR="008C7BFC" w:rsidRPr="007F2FB4" w:rsidRDefault="008C7BFC" w:rsidP="00B716C7">
            <w:pPr>
              <w:keepNext/>
              <w:keepLines/>
              <w:spacing w:before="20"/>
              <w:jc w:val="center"/>
              <w:rPr>
                <w:b/>
                <w:color w:val="000000"/>
                <w:sz w:val="18"/>
                <w:szCs w:val="18"/>
              </w:rPr>
            </w:pPr>
          </w:p>
        </w:tc>
      </w:tr>
      <w:tr w:rsidR="0044629E" w:rsidRPr="007F2FB4" w:rsidTr="007F2FB4">
        <w:tc>
          <w:tcPr>
            <w:tcW w:w="4735" w:type="dxa"/>
          </w:tcPr>
          <w:p w:rsidR="0044629E" w:rsidRPr="007F2FB4" w:rsidRDefault="0044629E" w:rsidP="00B716C7">
            <w:pPr>
              <w:keepNext/>
              <w:keepLines/>
              <w:spacing w:before="20"/>
              <w:ind w:left="176"/>
              <w:jc w:val="both"/>
              <w:rPr>
                <w:sz w:val="18"/>
                <w:szCs w:val="18"/>
              </w:rPr>
            </w:pPr>
            <w:r w:rsidRPr="007F2FB4">
              <w:rPr>
                <w:sz w:val="18"/>
                <w:szCs w:val="18"/>
              </w:rPr>
              <w:t>&lt;$20,000</w:t>
            </w:r>
          </w:p>
        </w:tc>
        <w:tc>
          <w:tcPr>
            <w:tcW w:w="845"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1.3</w:t>
            </w:r>
          </w:p>
        </w:tc>
        <w:tc>
          <w:tcPr>
            <w:tcW w:w="79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813" w:type="dxa"/>
          </w:tcPr>
          <w:p w:rsidR="0044629E" w:rsidRPr="007F2FB4" w:rsidRDefault="0044629E"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$20,001 - $40,000</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1.8</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1.02</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(0.32 - 3.25)</w:t>
            </w:r>
          </w:p>
        </w:tc>
        <w:tc>
          <w:tcPr>
            <w:tcW w:w="813" w:type="dxa"/>
          </w:tcPr>
          <w:p w:rsidR="000C1AB9" w:rsidRPr="007F2FB4" w:rsidRDefault="000C1AB9"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$40,001 - $60,000</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3.4</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2.30</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(0.72 - 7.31)</w:t>
            </w:r>
          </w:p>
        </w:tc>
        <w:tc>
          <w:tcPr>
            <w:tcW w:w="813" w:type="dxa"/>
          </w:tcPr>
          <w:p w:rsidR="000C1AB9" w:rsidRPr="007F2FB4" w:rsidRDefault="000C1AB9"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$60,001 - $80,000</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4.0</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2.47</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(0.84 - 7.33)</w:t>
            </w:r>
          </w:p>
        </w:tc>
        <w:tc>
          <w:tcPr>
            <w:tcW w:w="813" w:type="dxa"/>
          </w:tcPr>
          <w:p w:rsidR="000C1AB9" w:rsidRPr="007F2FB4" w:rsidRDefault="000C1AB9"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$80,001 - $100,000</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1.2</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0.76</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(0.23 - 2.51)</w:t>
            </w:r>
          </w:p>
        </w:tc>
        <w:tc>
          <w:tcPr>
            <w:tcW w:w="813" w:type="dxa"/>
          </w:tcPr>
          <w:p w:rsidR="000C1AB9" w:rsidRPr="007F2FB4" w:rsidRDefault="000C1AB9"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&gt;$100,000</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0.5</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0.37</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(0.09 - 1.42)</w:t>
            </w:r>
          </w:p>
        </w:tc>
        <w:tc>
          <w:tcPr>
            <w:tcW w:w="813" w:type="dxa"/>
          </w:tcPr>
          <w:p w:rsidR="000C1AB9" w:rsidRPr="007F2FB4" w:rsidRDefault="000C1AB9" w:rsidP="00B716C7">
            <w:pPr>
              <w:keepNext/>
              <w:keepLines/>
              <w:adjustRightInd w:val="0"/>
              <w:spacing w:before="20"/>
              <w:jc w:val="right"/>
              <w:rPr>
                <w:color w:val="000000"/>
                <w:sz w:val="18"/>
                <w:szCs w:val="18"/>
              </w:rPr>
            </w:pPr>
          </w:p>
        </w:tc>
      </w:tr>
      <w:tr w:rsidR="000C1AB9" w:rsidRPr="007F2FB4" w:rsidTr="007F2FB4">
        <w:tc>
          <w:tcPr>
            <w:tcW w:w="4735" w:type="dxa"/>
            <w:vAlign w:val="bottom"/>
          </w:tcPr>
          <w:p w:rsidR="000C1AB9" w:rsidRPr="007F2FB4" w:rsidRDefault="0046469C" w:rsidP="00B716C7">
            <w:pPr>
              <w:keepNext/>
              <w:keepLines/>
              <w:spacing w:before="20"/>
              <w:ind w:left="176"/>
              <w:jc w:val="both"/>
              <w:rPr>
                <w:sz w:val="18"/>
                <w:szCs w:val="18"/>
              </w:rPr>
            </w:pPr>
            <w:r w:rsidRPr="007F2FB4">
              <w:rPr>
                <w:sz w:val="18"/>
                <w:szCs w:val="18"/>
              </w:rPr>
              <w:t>Not r</w:t>
            </w:r>
            <w:r w:rsidR="000C1AB9" w:rsidRPr="007F2FB4">
              <w:rPr>
                <w:sz w:val="18"/>
                <w:szCs w:val="18"/>
              </w:rPr>
              <w:t>eported</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1.3</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0.79</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(0.18 - 3.37)</w:t>
            </w:r>
          </w:p>
        </w:tc>
        <w:tc>
          <w:tcPr>
            <w:tcW w:w="813" w:type="dxa"/>
            <w:shd w:val="clear" w:color="auto" w:fill="D9D9D9" w:themeFill="background1" w:themeFillShade="D9"/>
          </w:tcPr>
          <w:p w:rsidR="000C1AB9" w:rsidRPr="007F2FB4" w:rsidRDefault="000C1AB9" w:rsidP="00B716C7">
            <w:pPr>
              <w:keepNext/>
              <w:keepLines/>
              <w:adjustRightInd w:val="0"/>
              <w:spacing w:before="20"/>
              <w:jc w:val="right"/>
              <w:rPr>
                <w:color w:val="000000"/>
                <w:sz w:val="18"/>
                <w:szCs w:val="18"/>
              </w:rPr>
            </w:pPr>
            <w:r w:rsidRPr="007F2FB4">
              <w:rPr>
                <w:color w:val="000000"/>
                <w:sz w:val="18"/>
                <w:szCs w:val="18"/>
              </w:rPr>
              <w:t>0.03</w:t>
            </w:r>
          </w:p>
        </w:tc>
      </w:tr>
      <w:tr w:rsidR="008C7BFC" w:rsidRPr="007F2FB4" w:rsidTr="007F2FB4">
        <w:tc>
          <w:tcPr>
            <w:tcW w:w="4735" w:type="dxa"/>
            <w:vAlign w:val="bottom"/>
          </w:tcPr>
          <w:p w:rsidR="008C7BFC" w:rsidRPr="007F2FB4" w:rsidRDefault="008C7BFC" w:rsidP="00B716C7">
            <w:pPr>
              <w:keepNext/>
              <w:keepLines/>
              <w:spacing w:before="20"/>
              <w:jc w:val="both"/>
              <w:rPr>
                <w:b/>
                <w:sz w:val="18"/>
                <w:szCs w:val="18"/>
              </w:rPr>
            </w:pPr>
            <w:r w:rsidRPr="007F2FB4">
              <w:rPr>
                <w:b/>
                <w:sz w:val="18"/>
                <w:szCs w:val="18"/>
              </w:rPr>
              <w:t>Casino table games or EGMs (overseas) - annual</w:t>
            </w:r>
          </w:p>
        </w:tc>
        <w:tc>
          <w:tcPr>
            <w:tcW w:w="845" w:type="dxa"/>
            <w:vAlign w:val="center"/>
          </w:tcPr>
          <w:p w:rsidR="008C7BFC" w:rsidRPr="007F2FB4" w:rsidRDefault="008C7BFC" w:rsidP="00B716C7">
            <w:pPr>
              <w:keepNext/>
              <w:keepLines/>
              <w:spacing w:before="20"/>
              <w:jc w:val="center"/>
              <w:rPr>
                <w:b/>
                <w:bCs/>
                <w:color w:val="000000"/>
                <w:sz w:val="18"/>
                <w:szCs w:val="18"/>
              </w:rPr>
            </w:pPr>
          </w:p>
        </w:tc>
        <w:tc>
          <w:tcPr>
            <w:tcW w:w="799" w:type="dxa"/>
            <w:vAlign w:val="center"/>
          </w:tcPr>
          <w:p w:rsidR="008C7BFC" w:rsidRPr="007F2FB4" w:rsidRDefault="008C7BFC" w:rsidP="00B716C7">
            <w:pPr>
              <w:keepNext/>
              <w:keepLines/>
              <w:spacing w:before="20"/>
              <w:jc w:val="center"/>
              <w:rPr>
                <w:color w:val="000000"/>
                <w:sz w:val="18"/>
                <w:szCs w:val="18"/>
              </w:rPr>
            </w:pPr>
          </w:p>
        </w:tc>
        <w:tc>
          <w:tcPr>
            <w:tcW w:w="1029" w:type="dxa"/>
            <w:vAlign w:val="center"/>
          </w:tcPr>
          <w:p w:rsidR="008C7BFC" w:rsidRPr="007F2FB4" w:rsidRDefault="008C7BFC" w:rsidP="00B716C7">
            <w:pPr>
              <w:keepNext/>
              <w:keepLines/>
              <w:spacing w:before="20"/>
              <w:jc w:val="center"/>
              <w:rPr>
                <w:color w:val="000000"/>
                <w:sz w:val="18"/>
                <w:szCs w:val="18"/>
              </w:rPr>
            </w:pPr>
          </w:p>
        </w:tc>
        <w:tc>
          <w:tcPr>
            <w:tcW w:w="278" w:type="dxa"/>
            <w:vAlign w:val="center"/>
          </w:tcPr>
          <w:p w:rsidR="008C7BFC" w:rsidRPr="007F2FB4" w:rsidRDefault="008C7BFC" w:rsidP="00B716C7">
            <w:pPr>
              <w:keepNext/>
              <w:keepLines/>
              <w:spacing w:before="20"/>
              <w:jc w:val="center"/>
              <w:rPr>
                <w:color w:val="000000"/>
                <w:sz w:val="18"/>
                <w:szCs w:val="18"/>
              </w:rPr>
            </w:pPr>
          </w:p>
        </w:tc>
        <w:tc>
          <w:tcPr>
            <w:tcW w:w="813" w:type="dxa"/>
            <w:vAlign w:val="center"/>
          </w:tcPr>
          <w:p w:rsidR="008C7BFC" w:rsidRPr="007F2FB4" w:rsidRDefault="008C7BFC" w:rsidP="00B716C7">
            <w:pPr>
              <w:keepNext/>
              <w:keepLines/>
              <w:spacing w:before="20"/>
              <w:jc w:val="center"/>
              <w:rPr>
                <w:color w:val="000000"/>
                <w:sz w:val="18"/>
                <w:szCs w:val="18"/>
              </w:rPr>
            </w:pPr>
          </w:p>
        </w:tc>
      </w:tr>
      <w:tr w:rsidR="0044629E" w:rsidRPr="007F2FB4" w:rsidTr="007F2FB4">
        <w:tc>
          <w:tcPr>
            <w:tcW w:w="4735" w:type="dxa"/>
          </w:tcPr>
          <w:p w:rsidR="0044629E" w:rsidRPr="007F2FB4" w:rsidRDefault="0044629E" w:rsidP="00B716C7">
            <w:pPr>
              <w:keepNext/>
              <w:keepLines/>
              <w:spacing w:before="20"/>
              <w:ind w:left="176"/>
              <w:jc w:val="both"/>
              <w:rPr>
                <w:sz w:val="18"/>
                <w:szCs w:val="18"/>
              </w:rPr>
            </w:pPr>
            <w:r w:rsidRPr="007F2FB4">
              <w:rPr>
                <w:sz w:val="18"/>
                <w:szCs w:val="18"/>
              </w:rPr>
              <w:t>No</w:t>
            </w:r>
          </w:p>
        </w:tc>
        <w:tc>
          <w:tcPr>
            <w:tcW w:w="845"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1.5</w:t>
            </w:r>
          </w:p>
        </w:tc>
        <w:tc>
          <w:tcPr>
            <w:tcW w:w="79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813" w:type="dxa"/>
          </w:tcPr>
          <w:p w:rsidR="0044629E" w:rsidRPr="007F2FB4" w:rsidRDefault="0044629E"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Yes</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7.2</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3.92</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(1.47 - 10.44)</w:t>
            </w:r>
          </w:p>
        </w:tc>
        <w:tc>
          <w:tcPr>
            <w:tcW w:w="813" w:type="dxa"/>
            <w:shd w:val="clear" w:color="auto" w:fill="D9D9D9" w:themeFill="background1" w:themeFillShade="D9"/>
          </w:tcPr>
          <w:p w:rsidR="000C1AB9" w:rsidRPr="007F2FB4" w:rsidRDefault="000C1AB9" w:rsidP="00B716C7">
            <w:pPr>
              <w:keepNext/>
              <w:keepLines/>
              <w:adjustRightInd w:val="0"/>
              <w:spacing w:before="20"/>
              <w:jc w:val="right"/>
              <w:rPr>
                <w:color w:val="000000"/>
                <w:sz w:val="18"/>
                <w:szCs w:val="18"/>
              </w:rPr>
            </w:pPr>
            <w:r w:rsidRPr="007F2FB4">
              <w:rPr>
                <w:color w:val="000000"/>
                <w:sz w:val="18"/>
                <w:szCs w:val="18"/>
              </w:rPr>
              <w:t>0.006</w:t>
            </w:r>
          </w:p>
        </w:tc>
      </w:tr>
      <w:tr w:rsidR="008C7BFC" w:rsidRPr="007F2FB4" w:rsidTr="007F2FB4">
        <w:tc>
          <w:tcPr>
            <w:tcW w:w="4735" w:type="dxa"/>
            <w:vAlign w:val="bottom"/>
          </w:tcPr>
          <w:p w:rsidR="008C7BFC" w:rsidRPr="007F2FB4" w:rsidRDefault="008C7BFC" w:rsidP="00B716C7">
            <w:pPr>
              <w:keepNext/>
              <w:keepLines/>
              <w:spacing w:before="20"/>
              <w:jc w:val="both"/>
              <w:rPr>
                <w:b/>
                <w:sz w:val="18"/>
                <w:szCs w:val="18"/>
              </w:rPr>
            </w:pPr>
            <w:r w:rsidRPr="007F2FB4">
              <w:rPr>
                <w:b/>
                <w:sz w:val="18"/>
                <w:szCs w:val="18"/>
              </w:rPr>
              <w:t>Casino table games or EGMs (NZ) - annual</w:t>
            </w:r>
          </w:p>
        </w:tc>
        <w:tc>
          <w:tcPr>
            <w:tcW w:w="845" w:type="dxa"/>
            <w:vAlign w:val="center"/>
          </w:tcPr>
          <w:p w:rsidR="008C7BFC" w:rsidRPr="007F2FB4" w:rsidRDefault="008C7BFC" w:rsidP="00B716C7">
            <w:pPr>
              <w:keepNext/>
              <w:keepLines/>
              <w:spacing w:before="20"/>
              <w:jc w:val="center"/>
              <w:rPr>
                <w:b/>
                <w:bCs/>
                <w:color w:val="000000"/>
                <w:sz w:val="18"/>
                <w:szCs w:val="18"/>
              </w:rPr>
            </w:pPr>
          </w:p>
        </w:tc>
        <w:tc>
          <w:tcPr>
            <w:tcW w:w="799" w:type="dxa"/>
            <w:vAlign w:val="center"/>
          </w:tcPr>
          <w:p w:rsidR="008C7BFC" w:rsidRPr="007F2FB4" w:rsidRDefault="008C7BFC" w:rsidP="00B716C7">
            <w:pPr>
              <w:keepNext/>
              <w:keepLines/>
              <w:spacing w:before="20"/>
              <w:jc w:val="center"/>
              <w:rPr>
                <w:color w:val="000000"/>
                <w:sz w:val="18"/>
                <w:szCs w:val="18"/>
              </w:rPr>
            </w:pPr>
          </w:p>
        </w:tc>
        <w:tc>
          <w:tcPr>
            <w:tcW w:w="1029" w:type="dxa"/>
            <w:vAlign w:val="center"/>
          </w:tcPr>
          <w:p w:rsidR="008C7BFC" w:rsidRPr="007F2FB4" w:rsidRDefault="008C7BFC" w:rsidP="00B716C7">
            <w:pPr>
              <w:keepNext/>
              <w:keepLines/>
              <w:spacing w:before="20"/>
              <w:jc w:val="center"/>
              <w:rPr>
                <w:color w:val="000000"/>
                <w:sz w:val="18"/>
                <w:szCs w:val="18"/>
              </w:rPr>
            </w:pPr>
          </w:p>
        </w:tc>
        <w:tc>
          <w:tcPr>
            <w:tcW w:w="278" w:type="dxa"/>
            <w:vAlign w:val="center"/>
          </w:tcPr>
          <w:p w:rsidR="008C7BFC" w:rsidRPr="007F2FB4" w:rsidRDefault="008C7BFC" w:rsidP="00B716C7">
            <w:pPr>
              <w:keepNext/>
              <w:keepLines/>
              <w:spacing w:before="20"/>
              <w:jc w:val="center"/>
              <w:rPr>
                <w:color w:val="000000"/>
                <w:sz w:val="18"/>
                <w:szCs w:val="18"/>
              </w:rPr>
            </w:pPr>
          </w:p>
        </w:tc>
        <w:tc>
          <w:tcPr>
            <w:tcW w:w="813" w:type="dxa"/>
            <w:vAlign w:val="center"/>
          </w:tcPr>
          <w:p w:rsidR="008C7BFC" w:rsidRPr="007F2FB4" w:rsidRDefault="008C7BFC" w:rsidP="00B716C7">
            <w:pPr>
              <w:keepNext/>
              <w:keepLines/>
              <w:spacing w:before="20"/>
              <w:jc w:val="center"/>
              <w:rPr>
                <w:color w:val="000000"/>
                <w:sz w:val="18"/>
                <w:szCs w:val="18"/>
              </w:rPr>
            </w:pPr>
          </w:p>
        </w:tc>
      </w:tr>
      <w:tr w:rsidR="0044629E" w:rsidRPr="007F2FB4" w:rsidTr="007F2FB4">
        <w:tc>
          <w:tcPr>
            <w:tcW w:w="4735" w:type="dxa"/>
          </w:tcPr>
          <w:p w:rsidR="0044629E" w:rsidRPr="007F2FB4" w:rsidRDefault="0044629E" w:rsidP="00B716C7">
            <w:pPr>
              <w:keepNext/>
              <w:keepLines/>
              <w:spacing w:before="20"/>
              <w:ind w:left="176"/>
              <w:jc w:val="both"/>
              <w:rPr>
                <w:sz w:val="18"/>
                <w:szCs w:val="18"/>
              </w:rPr>
            </w:pPr>
            <w:r w:rsidRPr="007F2FB4">
              <w:rPr>
                <w:sz w:val="18"/>
                <w:szCs w:val="18"/>
              </w:rPr>
              <w:t>No</w:t>
            </w:r>
          </w:p>
        </w:tc>
        <w:tc>
          <w:tcPr>
            <w:tcW w:w="845"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1.2</w:t>
            </w:r>
          </w:p>
        </w:tc>
        <w:tc>
          <w:tcPr>
            <w:tcW w:w="79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B716C7">
            <w:pPr>
              <w:keepNext/>
              <w:keepLines/>
              <w:spacing w:before="20"/>
              <w:jc w:val="right"/>
              <w:rPr>
                <w:color w:val="000000"/>
                <w:sz w:val="18"/>
                <w:szCs w:val="18"/>
              </w:rPr>
            </w:pPr>
            <w:r w:rsidRPr="007F2FB4">
              <w:rPr>
                <w:color w:val="000000"/>
                <w:sz w:val="18"/>
                <w:szCs w:val="18"/>
              </w:rPr>
              <w:t> </w:t>
            </w:r>
          </w:p>
        </w:tc>
        <w:tc>
          <w:tcPr>
            <w:tcW w:w="813" w:type="dxa"/>
          </w:tcPr>
          <w:p w:rsidR="0044629E" w:rsidRPr="007F2FB4" w:rsidRDefault="0044629E" w:rsidP="00B716C7">
            <w:pPr>
              <w:keepNext/>
              <w:keepLines/>
              <w:adjustRightInd w:val="0"/>
              <w:spacing w:before="20"/>
              <w:jc w:val="right"/>
              <w:rPr>
                <w:color w:val="000000"/>
                <w:sz w:val="18"/>
                <w:szCs w:val="18"/>
              </w:rPr>
            </w:pPr>
          </w:p>
        </w:tc>
      </w:tr>
      <w:tr w:rsidR="000C1AB9" w:rsidRPr="007F2FB4" w:rsidTr="007F2FB4">
        <w:tc>
          <w:tcPr>
            <w:tcW w:w="4735" w:type="dxa"/>
          </w:tcPr>
          <w:p w:rsidR="000C1AB9" w:rsidRPr="007F2FB4" w:rsidRDefault="000C1AB9" w:rsidP="00B716C7">
            <w:pPr>
              <w:keepNext/>
              <w:keepLines/>
              <w:spacing w:before="20"/>
              <w:ind w:left="176"/>
              <w:jc w:val="both"/>
              <w:rPr>
                <w:sz w:val="18"/>
                <w:szCs w:val="18"/>
              </w:rPr>
            </w:pPr>
            <w:r w:rsidRPr="007F2FB4">
              <w:rPr>
                <w:sz w:val="18"/>
                <w:szCs w:val="18"/>
              </w:rPr>
              <w:t>Yes</w:t>
            </w:r>
          </w:p>
        </w:tc>
        <w:tc>
          <w:tcPr>
            <w:tcW w:w="845"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6.3</w:t>
            </w:r>
          </w:p>
        </w:tc>
        <w:tc>
          <w:tcPr>
            <w:tcW w:w="799" w:type="dxa"/>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5.19</w:t>
            </w:r>
          </w:p>
        </w:tc>
        <w:tc>
          <w:tcPr>
            <w:tcW w:w="1307" w:type="dxa"/>
            <w:gridSpan w:val="2"/>
            <w:vAlign w:val="center"/>
          </w:tcPr>
          <w:p w:rsidR="000C1AB9" w:rsidRPr="007F2FB4" w:rsidRDefault="000C1AB9" w:rsidP="00B716C7">
            <w:pPr>
              <w:keepNext/>
              <w:keepLines/>
              <w:spacing w:before="20"/>
              <w:jc w:val="right"/>
              <w:rPr>
                <w:color w:val="000000"/>
                <w:sz w:val="18"/>
                <w:szCs w:val="18"/>
              </w:rPr>
            </w:pPr>
            <w:r w:rsidRPr="007F2FB4">
              <w:rPr>
                <w:color w:val="000000"/>
                <w:sz w:val="18"/>
                <w:szCs w:val="18"/>
              </w:rPr>
              <w:t>(2.64 - 10.21)</w:t>
            </w:r>
          </w:p>
        </w:tc>
        <w:tc>
          <w:tcPr>
            <w:tcW w:w="813" w:type="dxa"/>
            <w:shd w:val="clear" w:color="auto" w:fill="D9D9D9" w:themeFill="background1" w:themeFillShade="D9"/>
          </w:tcPr>
          <w:p w:rsidR="000C1AB9" w:rsidRPr="007F2FB4" w:rsidRDefault="000C1AB9" w:rsidP="00B716C7">
            <w:pPr>
              <w:keepNext/>
              <w:keepLines/>
              <w:adjustRightInd w:val="0"/>
              <w:spacing w:before="20"/>
              <w:jc w:val="right"/>
              <w:rPr>
                <w:color w:val="000000"/>
                <w:sz w:val="18"/>
                <w:szCs w:val="18"/>
              </w:rPr>
            </w:pPr>
            <w:r w:rsidRPr="007F2FB4">
              <w:rPr>
                <w:color w:val="000000"/>
                <w:sz w:val="18"/>
                <w:szCs w:val="18"/>
              </w:rPr>
              <w:t>&lt;0.0001</w:t>
            </w:r>
          </w:p>
        </w:tc>
      </w:tr>
      <w:tr w:rsidR="008C7BFC" w:rsidRPr="007F2FB4" w:rsidTr="007F2FB4">
        <w:tc>
          <w:tcPr>
            <w:tcW w:w="4735" w:type="dxa"/>
            <w:vAlign w:val="bottom"/>
          </w:tcPr>
          <w:p w:rsidR="008C7BFC" w:rsidRPr="007F2FB4" w:rsidRDefault="008C7BFC" w:rsidP="00B716C7">
            <w:pPr>
              <w:keepNext/>
              <w:keepLines/>
              <w:spacing w:before="20"/>
              <w:jc w:val="both"/>
              <w:rPr>
                <w:b/>
                <w:sz w:val="18"/>
                <w:szCs w:val="18"/>
              </w:rPr>
            </w:pPr>
            <w:r w:rsidRPr="007F2FB4">
              <w:rPr>
                <w:b/>
                <w:bCs/>
                <w:color w:val="000000"/>
                <w:sz w:val="18"/>
                <w:szCs w:val="18"/>
              </w:rPr>
              <w:t>Who spent time with on most enjoyed activity</w:t>
            </w:r>
          </w:p>
        </w:tc>
        <w:tc>
          <w:tcPr>
            <w:tcW w:w="845" w:type="dxa"/>
            <w:vAlign w:val="center"/>
          </w:tcPr>
          <w:p w:rsidR="008C7BFC" w:rsidRPr="007F2FB4" w:rsidRDefault="008C7BFC" w:rsidP="00B716C7">
            <w:pPr>
              <w:keepNext/>
              <w:keepLines/>
              <w:spacing w:before="20"/>
              <w:jc w:val="center"/>
              <w:rPr>
                <w:b/>
                <w:bCs/>
                <w:color w:val="000000"/>
                <w:sz w:val="18"/>
                <w:szCs w:val="18"/>
              </w:rPr>
            </w:pPr>
          </w:p>
        </w:tc>
        <w:tc>
          <w:tcPr>
            <w:tcW w:w="799" w:type="dxa"/>
            <w:vAlign w:val="center"/>
          </w:tcPr>
          <w:p w:rsidR="008C7BFC" w:rsidRPr="007F2FB4" w:rsidRDefault="008C7BFC" w:rsidP="00B716C7">
            <w:pPr>
              <w:keepNext/>
              <w:keepLines/>
              <w:spacing w:before="20"/>
              <w:jc w:val="center"/>
              <w:rPr>
                <w:b/>
                <w:color w:val="000000"/>
                <w:sz w:val="18"/>
                <w:szCs w:val="18"/>
              </w:rPr>
            </w:pPr>
          </w:p>
        </w:tc>
        <w:tc>
          <w:tcPr>
            <w:tcW w:w="1029" w:type="dxa"/>
            <w:vAlign w:val="center"/>
          </w:tcPr>
          <w:p w:rsidR="008C7BFC" w:rsidRPr="007F2FB4" w:rsidRDefault="008C7BFC" w:rsidP="00B716C7">
            <w:pPr>
              <w:keepNext/>
              <w:keepLines/>
              <w:spacing w:before="20"/>
              <w:jc w:val="center"/>
              <w:rPr>
                <w:b/>
                <w:color w:val="000000"/>
                <w:sz w:val="18"/>
                <w:szCs w:val="18"/>
                <w:highlight w:val="yellow"/>
              </w:rPr>
            </w:pPr>
          </w:p>
        </w:tc>
        <w:tc>
          <w:tcPr>
            <w:tcW w:w="278" w:type="dxa"/>
            <w:vAlign w:val="center"/>
          </w:tcPr>
          <w:p w:rsidR="008C7BFC" w:rsidRPr="007F2FB4" w:rsidRDefault="008C7BFC" w:rsidP="00B716C7">
            <w:pPr>
              <w:keepNext/>
              <w:keepLines/>
              <w:spacing w:before="20"/>
              <w:jc w:val="center"/>
              <w:rPr>
                <w:b/>
                <w:color w:val="000000"/>
                <w:sz w:val="18"/>
                <w:szCs w:val="18"/>
                <w:highlight w:val="yellow"/>
              </w:rPr>
            </w:pPr>
          </w:p>
        </w:tc>
        <w:tc>
          <w:tcPr>
            <w:tcW w:w="813" w:type="dxa"/>
            <w:vAlign w:val="center"/>
          </w:tcPr>
          <w:p w:rsidR="008C7BFC" w:rsidRPr="007F2FB4" w:rsidRDefault="008C7BFC" w:rsidP="00B716C7">
            <w:pPr>
              <w:keepNext/>
              <w:keepLines/>
              <w:spacing w:before="20"/>
              <w:jc w:val="center"/>
              <w:rPr>
                <w:b/>
                <w:color w:val="000000"/>
                <w:sz w:val="18"/>
                <w:szCs w:val="18"/>
                <w:highlight w:val="yellow"/>
              </w:rPr>
            </w:pPr>
          </w:p>
        </w:tc>
      </w:tr>
      <w:tr w:rsidR="0044629E" w:rsidRPr="007F2FB4" w:rsidTr="007F2FB4">
        <w:tc>
          <w:tcPr>
            <w:tcW w:w="4735" w:type="dxa"/>
          </w:tcPr>
          <w:p w:rsidR="0044629E" w:rsidRPr="007F2FB4" w:rsidRDefault="0044629E" w:rsidP="0044629E">
            <w:pPr>
              <w:spacing w:before="20"/>
              <w:ind w:left="176"/>
              <w:jc w:val="both"/>
              <w:rPr>
                <w:sz w:val="18"/>
                <w:szCs w:val="18"/>
              </w:rPr>
            </w:pPr>
            <w:r w:rsidRPr="007F2FB4">
              <w:rPr>
                <w:sz w:val="18"/>
                <w:szCs w:val="18"/>
              </w:rPr>
              <w:t>Alone</w:t>
            </w:r>
          </w:p>
        </w:tc>
        <w:tc>
          <w:tcPr>
            <w:tcW w:w="845" w:type="dxa"/>
            <w:vAlign w:val="center"/>
          </w:tcPr>
          <w:p w:rsidR="0044629E" w:rsidRPr="007F2FB4" w:rsidRDefault="0044629E" w:rsidP="0044629E">
            <w:pPr>
              <w:spacing w:before="20"/>
              <w:jc w:val="right"/>
              <w:rPr>
                <w:color w:val="000000"/>
                <w:sz w:val="18"/>
                <w:szCs w:val="18"/>
              </w:rPr>
            </w:pPr>
            <w:r w:rsidRPr="007F2FB4">
              <w:rPr>
                <w:color w:val="000000"/>
                <w:sz w:val="18"/>
                <w:szCs w:val="18"/>
              </w:rPr>
              <w:t>3.1</w:t>
            </w:r>
          </w:p>
        </w:tc>
        <w:tc>
          <w:tcPr>
            <w:tcW w:w="799" w:type="dxa"/>
            <w:vAlign w:val="center"/>
          </w:tcPr>
          <w:p w:rsidR="0044629E" w:rsidRPr="007F2FB4" w:rsidRDefault="0044629E" w:rsidP="0044629E">
            <w:pPr>
              <w:spacing w:before="20"/>
              <w:jc w:val="right"/>
              <w:rPr>
                <w:color w:val="000000"/>
                <w:sz w:val="18"/>
                <w:szCs w:val="18"/>
              </w:rPr>
            </w:pPr>
            <w:r w:rsidRPr="007F2FB4">
              <w:rPr>
                <w:color w:val="000000"/>
                <w:sz w:val="18"/>
                <w:szCs w:val="18"/>
              </w:rPr>
              <w:t>1.00 </w:t>
            </w:r>
          </w:p>
        </w:tc>
        <w:tc>
          <w:tcPr>
            <w:tcW w:w="1029" w:type="dxa"/>
            <w:vAlign w:val="center"/>
          </w:tcPr>
          <w:p w:rsidR="0044629E" w:rsidRPr="007F2FB4" w:rsidRDefault="0044629E" w:rsidP="0044629E">
            <w:pPr>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44629E">
            <w:pPr>
              <w:spacing w:before="20"/>
              <w:jc w:val="right"/>
              <w:rPr>
                <w:color w:val="000000"/>
                <w:sz w:val="18"/>
                <w:szCs w:val="18"/>
              </w:rPr>
            </w:pPr>
            <w:r w:rsidRPr="007F2FB4">
              <w:rPr>
                <w:color w:val="000000"/>
                <w:sz w:val="18"/>
                <w:szCs w:val="18"/>
              </w:rPr>
              <w:t> </w:t>
            </w:r>
          </w:p>
        </w:tc>
        <w:tc>
          <w:tcPr>
            <w:tcW w:w="813" w:type="dxa"/>
            <w:vAlign w:val="center"/>
          </w:tcPr>
          <w:p w:rsidR="0044629E" w:rsidRPr="007F2FB4" w:rsidRDefault="0044629E" w:rsidP="0044629E">
            <w:pPr>
              <w:spacing w:before="20"/>
              <w:jc w:val="right"/>
              <w:rPr>
                <w:color w:val="000000"/>
                <w:sz w:val="18"/>
                <w:szCs w:val="18"/>
              </w:rPr>
            </w:pPr>
          </w:p>
        </w:tc>
      </w:tr>
      <w:tr w:rsidR="000C1AB9" w:rsidRPr="007F2FB4" w:rsidTr="007F2FB4">
        <w:tc>
          <w:tcPr>
            <w:tcW w:w="4735" w:type="dxa"/>
          </w:tcPr>
          <w:p w:rsidR="000C1AB9" w:rsidRPr="007F2FB4" w:rsidRDefault="000C1AB9" w:rsidP="0044629E">
            <w:pPr>
              <w:spacing w:before="20"/>
              <w:ind w:left="176"/>
              <w:jc w:val="both"/>
              <w:rPr>
                <w:sz w:val="18"/>
                <w:szCs w:val="18"/>
              </w:rPr>
            </w:pPr>
            <w:r w:rsidRPr="007F2FB4">
              <w:rPr>
                <w:sz w:val="18"/>
                <w:szCs w:val="18"/>
              </w:rPr>
              <w:t>With one person</w:t>
            </w:r>
          </w:p>
        </w:tc>
        <w:tc>
          <w:tcPr>
            <w:tcW w:w="845" w:type="dxa"/>
            <w:vAlign w:val="center"/>
          </w:tcPr>
          <w:p w:rsidR="000C1AB9" w:rsidRPr="007F2FB4" w:rsidRDefault="000C1AB9" w:rsidP="0044629E">
            <w:pPr>
              <w:spacing w:before="20"/>
              <w:jc w:val="right"/>
              <w:rPr>
                <w:color w:val="000000"/>
                <w:sz w:val="18"/>
                <w:szCs w:val="18"/>
              </w:rPr>
            </w:pPr>
            <w:r w:rsidRPr="007F2FB4">
              <w:rPr>
                <w:color w:val="000000"/>
                <w:sz w:val="18"/>
                <w:szCs w:val="18"/>
              </w:rPr>
              <w:t>0.9</w:t>
            </w:r>
          </w:p>
        </w:tc>
        <w:tc>
          <w:tcPr>
            <w:tcW w:w="799" w:type="dxa"/>
            <w:vAlign w:val="center"/>
          </w:tcPr>
          <w:p w:rsidR="000C1AB9" w:rsidRPr="007F2FB4" w:rsidRDefault="000C1AB9" w:rsidP="0044629E">
            <w:pPr>
              <w:spacing w:before="20"/>
              <w:jc w:val="right"/>
              <w:rPr>
                <w:color w:val="000000"/>
                <w:sz w:val="18"/>
                <w:szCs w:val="18"/>
              </w:rPr>
            </w:pPr>
            <w:r w:rsidRPr="007F2FB4">
              <w:rPr>
                <w:color w:val="000000"/>
                <w:sz w:val="18"/>
                <w:szCs w:val="18"/>
              </w:rPr>
              <w:t>0.20</w:t>
            </w:r>
          </w:p>
        </w:tc>
        <w:tc>
          <w:tcPr>
            <w:tcW w:w="1307" w:type="dxa"/>
            <w:gridSpan w:val="2"/>
            <w:vAlign w:val="center"/>
          </w:tcPr>
          <w:p w:rsidR="000C1AB9" w:rsidRPr="007F2FB4" w:rsidRDefault="000C1AB9" w:rsidP="000C1AB9">
            <w:pPr>
              <w:spacing w:before="20"/>
              <w:jc w:val="right"/>
              <w:rPr>
                <w:color w:val="000000"/>
                <w:sz w:val="18"/>
                <w:szCs w:val="18"/>
              </w:rPr>
            </w:pPr>
            <w:r w:rsidRPr="007F2FB4">
              <w:rPr>
                <w:color w:val="000000"/>
                <w:sz w:val="18"/>
                <w:szCs w:val="18"/>
              </w:rPr>
              <w:t>(0.07 - 0.61)</w:t>
            </w:r>
          </w:p>
        </w:tc>
        <w:tc>
          <w:tcPr>
            <w:tcW w:w="813" w:type="dxa"/>
            <w:vAlign w:val="center"/>
          </w:tcPr>
          <w:p w:rsidR="000C1AB9" w:rsidRPr="007F2FB4" w:rsidRDefault="000C1AB9" w:rsidP="0044629E">
            <w:pPr>
              <w:spacing w:before="20"/>
              <w:jc w:val="right"/>
              <w:rPr>
                <w:color w:val="000000"/>
                <w:sz w:val="18"/>
                <w:szCs w:val="18"/>
              </w:rPr>
            </w:pPr>
          </w:p>
        </w:tc>
      </w:tr>
      <w:tr w:rsidR="000C1AB9" w:rsidRPr="007F2FB4" w:rsidTr="007F2FB4">
        <w:tc>
          <w:tcPr>
            <w:tcW w:w="4735" w:type="dxa"/>
          </w:tcPr>
          <w:p w:rsidR="000C1AB9" w:rsidRPr="007F2FB4" w:rsidRDefault="000C1AB9" w:rsidP="0044629E">
            <w:pPr>
              <w:spacing w:before="20"/>
              <w:ind w:left="176"/>
              <w:jc w:val="both"/>
              <w:rPr>
                <w:sz w:val="18"/>
                <w:szCs w:val="18"/>
              </w:rPr>
            </w:pPr>
            <w:r w:rsidRPr="007F2FB4">
              <w:rPr>
                <w:sz w:val="18"/>
                <w:szCs w:val="18"/>
              </w:rPr>
              <w:t>With several people/a group</w:t>
            </w:r>
          </w:p>
        </w:tc>
        <w:tc>
          <w:tcPr>
            <w:tcW w:w="845" w:type="dxa"/>
            <w:vAlign w:val="center"/>
          </w:tcPr>
          <w:p w:rsidR="000C1AB9" w:rsidRPr="007F2FB4" w:rsidRDefault="000C1AB9" w:rsidP="0044629E">
            <w:pPr>
              <w:spacing w:before="20"/>
              <w:jc w:val="right"/>
              <w:rPr>
                <w:color w:val="000000"/>
                <w:sz w:val="18"/>
                <w:szCs w:val="18"/>
              </w:rPr>
            </w:pPr>
            <w:r w:rsidRPr="007F2FB4">
              <w:rPr>
                <w:color w:val="000000"/>
                <w:sz w:val="18"/>
                <w:szCs w:val="18"/>
              </w:rPr>
              <w:t>1.0</w:t>
            </w:r>
          </w:p>
        </w:tc>
        <w:tc>
          <w:tcPr>
            <w:tcW w:w="799" w:type="dxa"/>
            <w:vAlign w:val="center"/>
          </w:tcPr>
          <w:p w:rsidR="000C1AB9" w:rsidRPr="007F2FB4" w:rsidRDefault="000C1AB9" w:rsidP="0044629E">
            <w:pPr>
              <w:spacing w:before="20"/>
              <w:jc w:val="right"/>
              <w:rPr>
                <w:color w:val="000000"/>
                <w:sz w:val="18"/>
                <w:szCs w:val="18"/>
              </w:rPr>
            </w:pPr>
            <w:r w:rsidRPr="007F2FB4">
              <w:rPr>
                <w:color w:val="000000"/>
                <w:sz w:val="18"/>
                <w:szCs w:val="18"/>
              </w:rPr>
              <w:t>0.26</w:t>
            </w:r>
          </w:p>
        </w:tc>
        <w:tc>
          <w:tcPr>
            <w:tcW w:w="1307" w:type="dxa"/>
            <w:gridSpan w:val="2"/>
            <w:vAlign w:val="center"/>
          </w:tcPr>
          <w:p w:rsidR="000C1AB9" w:rsidRPr="007F2FB4" w:rsidRDefault="000C1AB9" w:rsidP="000C1AB9">
            <w:pPr>
              <w:spacing w:before="20"/>
              <w:jc w:val="right"/>
              <w:rPr>
                <w:color w:val="000000"/>
                <w:sz w:val="18"/>
                <w:szCs w:val="18"/>
              </w:rPr>
            </w:pPr>
            <w:r w:rsidRPr="007F2FB4">
              <w:rPr>
                <w:color w:val="000000"/>
                <w:sz w:val="18"/>
                <w:szCs w:val="18"/>
              </w:rPr>
              <w:t>(0.10 - 0.64)</w:t>
            </w:r>
          </w:p>
        </w:tc>
        <w:tc>
          <w:tcPr>
            <w:tcW w:w="813" w:type="dxa"/>
            <w:vAlign w:val="center"/>
          </w:tcPr>
          <w:p w:rsidR="000C1AB9" w:rsidRPr="007F2FB4" w:rsidRDefault="000C1AB9" w:rsidP="0044629E">
            <w:pPr>
              <w:spacing w:before="20"/>
              <w:jc w:val="right"/>
              <w:rPr>
                <w:color w:val="000000"/>
                <w:sz w:val="18"/>
                <w:szCs w:val="18"/>
              </w:rPr>
            </w:pPr>
          </w:p>
        </w:tc>
      </w:tr>
      <w:tr w:rsidR="000C1AB9" w:rsidRPr="007F2FB4" w:rsidTr="007F2FB4">
        <w:tc>
          <w:tcPr>
            <w:tcW w:w="4735" w:type="dxa"/>
            <w:vAlign w:val="bottom"/>
          </w:tcPr>
          <w:p w:rsidR="000C1AB9" w:rsidRPr="007F2FB4" w:rsidRDefault="000C1AB9" w:rsidP="0044629E">
            <w:pPr>
              <w:spacing w:before="20"/>
              <w:ind w:left="176"/>
              <w:jc w:val="both"/>
              <w:rPr>
                <w:sz w:val="18"/>
                <w:szCs w:val="18"/>
              </w:rPr>
            </w:pPr>
            <w:r w:rsidRPr="007F2FB4">
              <w:rPr>
                <w:sz w:val="18"/>
                <w:szCs w:val="18"/>
              </w:rPr>
              <w:t>Not reported</w:t>
            </w:r>
          </w:p>
        </w:tc>
        <w:tc>
          <w:tcPr>
            <w:tcW w:w="845" w:type="dxa"/>
            <w:vAlign w:val="center"/>
          </w:tcPr>
          <w:p w:rsidR="000C1AB9" w:rsidRPr="007F2FB4" w:rsidRDefault="000C1AB9" w:rsidP="0044629E">
            <w:pPr>
              <w:spacing w:before="20"/>
              <w:jc w:val="right"/>
              <w:rPr>
                <w:color w:val="000000"/>
                <w:sz w:val="18"/>
                <w:szCs w:val="18"/>
              </w:rPr>
            </w:pPr>
            <w:r w:rsidRPr="007F2FB4">
              <w:rPr>
                <w:color w:val="000000"/>
                <w:sz w:val="18"/>
                <w:szCs w:val="18"/>
              </w:rPr>
              <w:t>0.7</w:t>
            </w:r>
          </w:p>
        </w:tc>
        <w:tc>
          <w:tcPr>
            <w:tcW w:w="799" w:type="dxa"/>
            <w:vAlign w:val="center"/>
          </w:tcPr>
          <w:p w:rsidR="000C1AB9" w:rsidRPr="007F2FB4" w:rsidRDefault="000C1AB9" w:rsidP="0044629E">
            <w:pPr>
              <w:spacing w:before="20"/>
              <w:jc w:val="right"/>
              <w:rPr>
                <w:color w:val="000000"/>
                <w:sz w:val="18"/>
                <w:szCs w:val="18"/>
              </w:rPr>
            </w:pPr>
            <w:r w:rsidRPr="007F2FB4">
              <w:rPr>
                <w:color w:val="000000"/>
                <w:sz w:val="18"/>
                <w:szCs w:val="18"/>
              </w:rPr>
              <w:t>0.33</w:t>
            </w:r>
          </w:p>
        </w:tc>
        <w:tc>
          <w:tcPr>
            <w:tcW w:w="1307" w:type="dxa"/>
            <w:gridSpan w:val="2"/>
            <w:vAlign w:val="center"/>
          </w:tcPr>
          <w:p w:rsidR="000C1AB9" w:rsidRPr="007F2FB4" w:rsidRDefault="000C1AB9" w:rsidP="000C1AB9">
            <w:pPr>
              <w:spacing w:before="20"/>
              <w:jc w:val="right"/>
              <w:rPr>
                <w:color w:val="000000"/>
                <w:sz w:val="18"/>
                <w:szCs w:val="18"/>
              </w:rPr>
            </w:pPr>
            <w:r w:rsidRPr="007F2FB4">
              <w:rPr>
                <w:color w:val="000000"/>
                <w:sz w:val="18"/>
                <w:szCs w:val="18"/>
              </w:rPr>
              <w:t>(0.09 - 1.22)</w:t>
            </w:r>
          </w:p>
        </w:tc>
        <w:tc>
          <w:tcPr>
            <w:tcW w:w="813" w:type="dxa"/>
            <w:shd w:val="clear" w:color="auto" w:fill="D9D9D9" w:themeFill="background1" w:themeFillShade="D9"/>
            <w:vAlign w:val="center"/>
          </w:tcPr>
          <w:p w:rsidR="000C1AB9" w:rsidRPr="007F2FB4" w:rsidRDefault="000C1AB9" w:rsidP="0044629E">
            <w:pPr>
              <w:spacing w:before="20"/>
              <w:jc w:val="right"/>
              <w:rPr>
                <w:color w:val="000000"/>
                <w:sz w:val="18"/>
                <w:szCs w:val="18"/>
              </w:rPr>
            </w:pPr>
            <w:r w:rsidRPr="007F2FB4">
              <w:rPr>
                <w:color w:val="000000"/>
                <w:sz w:val="18"/>
                <w:szCs w:val="18"/>
              </w:rPr>
              <w:t>0.002</w:t>
            </w:r>
          </w:p>
        </w:tc>
      </w:tr>
      <w:tr w:rsidR="008C7BFC" w:rsidRPr="007F2FB4" w:rsidTr="007F2FB4">
        <w:tc>
          <w:tcPr>
            <w:tcW w:w="5580" w:type="dxa"/>
            <w:gridSpan w:val="2"/>
            <w:vAlign w:val="bottom"/>
          </w:tcPr>
          <w:p w:rsidR="008C7BFC" w:rsidRPr="007F2FB4" w:rsidRDefault="008C7BFC" w:rsidP="0044629E">
            <w:pPr>
              <w:keepNext/>
              <w:spacing w:before="20"/>
              <w:rPr>
                <w:b/>
                <w:bCs/>
                <w:color w:val="000000"/>
                <w:sz w:val="18"/>
                <w:szCs w:val="18"/>
              </w:rPr>
            </w:pPr>
            <w:r w:rsidRPr="007F2FB4">
              <w:rPr>
                <w:b/>
                <w:bCs/>
                <w:color w:val="000000"/>
                <w:sz w:val="18"/>
                <w:szCs w:val="18"/>
              </w:rPr>
              <w:t>Methods - Avoiding places that have betting or gambling</w:t>
            </w:r>
          </w:p>
        </w:tc>
        <w:tc>
          <w:tcPr>
            <w:tcW w:w="799" w:type="dxa"/>
            <w:vAlign w:val="center"/>
          </w:tcPr>
          <w:p w:rsidR="008C7BFC" w:rsidRPr="007F2FB4" w:rsidRDefault="008C7BFC" w:rsidP="0044629E">
            <w:pPr>
              <w:keepNext/>
              <w:spacing w:before="20"/>
              <w:jc w:val="center"/>
              <w:rPr>
                <w:color w:val="000000"/>
                <w:sz w:val="18"/>
                <w:szCs w:val="18"/>
              </w:rPr>
            </w:pPr>
          </w:p>
        </w:tc>
        <w:tc>
          <w:tcPr>
            <w:tcW w:w="1029" w:type="dxa"/>
            <w:vAlign w:val="center"/>
          </w:tcPr>
          <w:p w:rsidR="008C7BFC" w:rsidRPr="007F2FB4" w:rsidRDefault="008C7BFC" w:rsidP="0044629E">
            <w:pPr>
              <w:keepNext/>
              <w:spacing w:before="20"/>
              <w:jc w:val="center"/>
              <w:rPr>
                <w:color w:val="000000"/>
                <w:sz w:val="18"/>
                <w:szCs w:val="18"/>
              </w:rPr>
            </w:pPr>
          </w:p>
        </w:tc>
        <w:tc>
          <w:tcPr>
            <w:tcW w:w="278" w:type="dxa"/>
            <w:vAlign w:val="center"/>
          </w:tcPr>
          <w:p w:rsidR="008C7BFC" w:rsidRPr="007F2FB4" w:rsidRDefault="008C7BFC" w:rsidP="0044629E">
            <w:pPr>
              <w:keepNext/>
              <w:spacing w:before="20"/>
              <w:jc w:val="center"/>
              <w:rPr>
                <w:color w:val="000000"/>
                <w:sz w:val="18"/>
                <w:szCs w:val="18"/>
              </w:rPr>
            </w:pPr>
          </w:p>
        </w:tc>
        <w:tc>
          <w:tcPr>
            <w:tcW w:w="813" w:type="dxa"/>
            <w:vAlign w:val="center"/>
          </w:tcPr>
          <w:p w:rsidR="008C7BFC" w:rsidRPr="007F2FB4" w:rsidRDefault="008C7BFC" w:rsidP="0044629E">
            <w:pPr>
              <w:keepNext/>
              <w:spacing w:before="20"/>
              <w:jc w:val="center"/>
              <w:rPr>
                <w:color w:val="000000"/>
                <w:sz w:val="18"/>
                <w:szCs w:val="18"/>
              </w:rPr>
            </w:pPr>
          </w:p>
        </w:tc>
      </w:tr>
      <w:tr w:rsidR="0044629E" w:rsidRPr="007F2FB4" w:rsidTr="007F2FB4">
        <w:tc>
          <w:tcPr>
            <w:tcW w:w="4735" w:type="dxa"/>
          </w:tcPr>
          <w:p w:rsidR="0044629E" w:rsidRPr="007F2FB4" w:rsidRDefault="0044629E" w:rsidP="0044629E">
            <w:pPr>
              <w:keepNext/>
              <w:spacing w:before="20"/>
              <w:ind w:left="176"/>
              <w:jc w:val="both"/>
              <w:rPr>
                <w:sz w:val="18"/>
                <w:szCs w:val="18"/>
              </w:rPr>
            </w:pPr>
            <w:r w:rsidRPr="007F2FB4">
              <w:rPr>
                <w:sz w:val="18"/>
                <w:szCs w:val="18"/>
              </w:rPr>
              <w:t>No</w:t>
            </w:r>
          </w:p>
        </w:tc>
        <w:tc>
          <w:tcPr>
            <w:tcW w:w="845" w:type="dxa"/>
            <w:vAlign w:val="center"/>
          </w:tcPr>
          <w:p w:rsidR="0044629E" w:rsidRPr="007F2FB4" w:rsidRDefault="0044629E" w:rsidP="0044629E">
            <w:pPr>
              <w:keepNext/>
              <w:spacing w:before="20"/>
              <w:jc w:val="right"/>
              <w:rPr>
                <w:color w:val="000000"/>
                <w:sz w:val="18"/>
                <w:szCs w:val="18"/>
              </w:rPr>
            </w:pPr>
            <w:r w:rsidRPr="007F2FB4">
              <w:rPr>
                <w:color w:val="000000"/>
                <w:sz w:val="18"/>
                <w:szCs w:val="18"/>
              </w:rPr>
              <w:t>1.6</w:t>
            </w:r>
          </w:p>
        </w:tc>
        <w:tc>
          <w:tcPr>
            <w:tcW w:w="799" w:type="dxa"/>
            <w:vAlign w:val="center"/>
          </w:tcPr>
          <w:p w:rsidR="0044629E" w:rsidRPr="007F2FB4" w:rsidRDefault="0044629E" w:rsidP="0044629E">
            <w:pPr>
              <w:keepNext/>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44629E">
            <w:pPr>
              <w:keepNext/>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44629E">
            <w:pPr>
              <w:keepNext/>
              <w:spacing w:before="20"/>
              <w:jc w:val="right"/>
              <w:rPr>
                <w:color w:val="000000"/>
                <w:sz w:val="18"/>
                <w:szCs w:val="18"/>
              </w:rPr>
            </w:pPr>
            <w:r w:rsidRPr="007F2FB4">
              <w:rPr>
                <w:color w:val="000000"/>
                <w:sz w:val="18"/>
                <w:szCs w:val="18"/>
              </w:rPr>
              <w:t> </w:t>
            </w:r>
          </w:p>
        </w:tc>
        <w:tc>
          <w:tcPr>
            <w:tcW w:w="813" w:type="dxa"/>
            <w:vAlign w:val="center"/>
          </w:tcPr>
          <w:p w:rsidR="0044629E" w:rsidRPr="007F2FB4" w:rsidRDefault="0044629E" w:rsidP="0044629E">
            <w:pPr>
              <w:keepNext/>
              <w:spacing w:before="20"/>
              <w:jc w:val="right"/>
              <w:rPr>
                <w:color w:val="000000"/>
                <w:sz w:val="18"/>
                <w:szCs w:val="18"/>
              </w:rPr>
            </w:pPr>
          </w:p>
        </w:tc>
      </w:tr>
      <w:tr w:rsidR="000C1AB9" w:rsidRPr="007F2FB4" w:rsidTr="007F2FB4">
        <w:tc>
          <w:tcPr>
            <w:tcW w:w="4735" w:type="dxa"/>
          </w:tcPr>
          <w:p w:rsidR="000C1AB9" w:rsidRPr="007F2FB4" w:rsidRDefault="000C1AB9" w:rsidP="0044629E">
            <w:pPr>
              <w:keepNext/>
              <w:spacing w:before="20"/>
              <w:ind w:left="176"/>
              <w:jc w:val="both"/>
              <w:rPr>
                <w:sz w:val="18"/>
                <w:szCs w:val="18"/>
              </w:rPr>
            </w:pPr>
            <w:r w:rsidRPr="007F2FB4">
              <w:rPr>
                <w:sz w:val="18"/>
                <w:szCs w:val="18"/>
              </w:rPr>
              <w:t>Yes</w:t>
            </w:r>
          </w:p>
        </w:tc>
        <w:tc>
          <w:tcPr>
            <w:tcW w:w="845" w:type="dxa"/>
            <w:vAlign w:val="center"/>
          </w:tcPr>
          <w:p w:rsidR="000C1AB9" w:rsidRPr="007F2FB4" w:rsidRDefault="000C1AB9" w:rsidP="0044629E">
            <w:pPr>
              <w:keepNext/>
              <w:spacing w:before="20"/>
              <w:jc w:val="right"/>
              <w:rPr>
                <w:color w:val="000000"/>
                <w:sz w:val="18"/>
                <w:szCs w:val="18"/>
              </w:rPr>
            </w:pPr>
            <w:r w:rsidRPr="007F2FB4">
              <w:rPr>
                <w:color w:val="000000"/>
                <w:sz w:val="18"/>
                <w:szCs w:val="18"/>
              </w:rPr>
              <w:t>7.8</w:t>
            </w:r>
          </w:p>
        </w:tc>
        <w:tc>
          <w:tcPr>
            <w:tcW w:w="799" w:type="dxa"/>
            <w:vAlign w:val="center"/>
          </w:tcPr>
          <w:p w:rsidR="000C1AB9" w:rsidRPr="007F2FB4" w:rsidRDefault="000C1AB9" w:rsidP="0044629E">
            <w:pPr>
              <w:keepNext/>
              <w:spacing w:before="20"/>
              <w:jc w:val="right"/>
              <w:rPr>
                <w:color w:val="000000"/>
                <w:sz w:val="18"/>
                <w:szCs w:val="18"/>
              </w:rPr>
            </w:pPr>
            <w:r w:rsidRPr="007F2FB4">
              <w:rPr>
                <w:color w:val="000000"/>
                <w:sz w:val="18"/>
                <w:szCs w:val="18"/>
              </w:rPr>
              <w:t>4.07</w:t>
            </w:r>
          </w:p>
        </w:tc>
        <w:tc>
          <w:tcPr>
            <w:tcW w:w="1307" w:type="dxa"/>
            <w:gridSpan w:val="2"/>
            <w:vAlign w:val="center"/>
          </w:tcPr>
          <w:p w:rsidR="000C1AB9" w:rsidRPr="007F2FB4" w:rsidRDefault="000C1AB9" w:rsidP="000C1AB9">
            <w:pPr>
              <w:keepNext/>
              <w:spacing w:before="20"/>
              <w:jc w:val="right"/>
              <w:rPr>
                <w:color w:val="000000"/>
                <w:sz w:val="18"/>
                <w:szCs w:val="18"/>
              </w:rPr>
            </w:pPr>
            <w:r w:rsidRPr="007F2FB4">
              <w:rPr>
                <w:color w:val="000000"/>
                <w:sz w:val="18"/>
                <w:szCs w:val="18"/>
              </w:rPr>
              <w:t>(1.03 - 16.00)</w:t>
            </w:r>
          </w:p>
        </w:tc>
        <w:tc>
          <w:tcPr>
            <w:tcW w:w="813" w:type="dxa"/>
            <w:shd w:val="clear" w:color="auto" w:fill="D9D9D9" w:themeFill="background1" w:themeFillShade="D9"/>
            <w:vAlign w:val="center"/>
          </w:tcPr>
          <w:p w:rsidR="000C1AB9" w:rsidRPr="007F2FB4" w:rsidRDefault="000C1AB9" w:rsidP="0044629E">
            <w:pPr>
              <w:keepNext/>
              <w:spacing w:before="20"/>
              <w:jc w:val="right"/>
              <w:rPr>
                <w:color w:val="000000"/>
                <w:sz w:val="18"/>
                <w:szCs w:val="18"/>
              </w:rPr>
            </w:pPr>
            <w:r w:rsidRPr="007F2FB4">
              <w:rPr>
                <w:color w:val="000000"/>
                <w:sz w:val="18"/>
                <w:szCs w:val="18"/>
              </w:rPr>
              <w:t>0.04</w:t>
            </w:r>
          </w:p>
        </w:tc>
      </w:tr>
      <w:tr w:rsidR="008C7BFC" w:rsidRPr="007F2FB4" w:rsidTr="007F2FB4">
        <w:tc>
          <w:tcPr>
            <w:tcW w:w="4735" w:type="dxa"/>
            <w:vAlign w:val="bottom"/>
          </w:tcPr>
          <w:p w:rsidR="008C7BFC" w:rsidRPr="007F2FB4" w:rsidRDefault="008C7BFC" w:rsidP="0044629E">
            <w:pPr>
              <w:spacing w:before="20"/>
              <w:jc w:val="both"/>
              <w:rPr>
                <w:b/>
                <w:sz w:val="18"/>
                <w:szCs w:val="18"/>
              </w:rPr>
            </w:pPr>
            <w:r w:rsidRPr="007F2FB4">
              <w:rPr>
                <w:b/>
                <w:sz w:val="18"/>
                <w:szCs w:val="18"/>
              </w:rPr>
              <w:t>Psychological distress (Kessler-10)</w:t>
            </w:r>
          </w:p>
        </w:tc>
        <w:tc>
          <w:tcPr>
            <w:tcW w:w="845" w:type="dxa"/>
            <w:vAlign w:val="center"/>
          </w:tcPr>
          <w:p w:rsidR="008C7BFC" w:rsidRPr="007F2FB4" w:rsidRDefault="008C7BFC" w:rsidP="0044629E">
            <w:pPr>
              <w:spacing w:before="20"/>
              <w:jc w:val="center"/>
              <w:rPr>
                <w:b/>
                <w:bCs/>
                <w:color w:val="000000"/>
                <w:sz w:val="18"/>
                <w:szCs w:val="18"/>
              </w:rPr>
            </w:pPr>
          </w:p>
        </w:tc>
        <w:tc>
          <w:tcPr>
            <w:tcW w:w="799" w:type="dxa"/>
            <w:vAlign w:val="center"/>
          </w:tcPr>
          <w:p w:rsidR="008C7BFC" w:rsidRPr="007F2FB4" w:rsidRDefault="008C7BFC" w:rsidP="0044629E">
            <w:pPr>
              <w:spacing w:before="20"/>
              <w:jc w:val="center"/>
              <w:rPr>
                <w:color w:val="000000"/>
                <w:sz w:val="18"/>
                <w:szCs w:val="18"/>
              </w:rPr>
            </w:pPr>
          </w:p>
        </w:tc>
        <w:tc>
          <w:tcPr>
            <w:tcW w:w="1029" w:type="dxa"/>
            <w:vAlign w:val="center"/>
          </w:tcPr>
          <w:p w:rsidR="008C7BFC" w:rsidRPr="007F2FB4" w:rsidRDefault="008C7BFC" w:rsidP="0044629E">
            <w:pPr>
              <w:spacing w:before="20"/>
              <w:jc w:val="center"/>
              <w:rPr>
                <w:color w:val="000000"/>
                <w:sz w:val="18"/>
                <w:szCs w:val="18"/>
              </w:rPr>
            </w:pPr>
          </w:p>
        </w:tc>
        <w:tc>
          <w:tcPr>
            <w:tcW w:w="278" w:type="dxa"/>
            <w:vAlign w:val="center"/>
          </w:tcPr>
          <w:p w:rsidR="008C7BFC" w:rsidRPr="007F2FB4" w:rsidRDefault="008C7BFC" w:rsidP="0044629E">
            <w:pPr>
              <w:spacing w:before="20"/>
              <w:jc w:val="center"/>
              <w:rPr>
                <w:color w:val="000000"/>
                <w:sz w:val="18"/>
                <w:szCs w:val="18"/>
              </w:rPr>
            </w:pPr>
          </w:p>
        </w:tc>
        <w:tc>
          <w:tcPr>
            <w:tcW w:w="813" w:type="dxa"/>
            <w:vAlign w:val="center"/>
          </w:tcPr>
          <w:p w:rsidR="008C7BFC" w:rsidRPr="007F2FB4" w:rsidRDefault="008C7BFC" w:rsidP="0044629E">
            <w:pPr>
              <w:spacing w:before="20"/>
              <w:jc w:val="center"/>
              <w:rPr>
                <w:color w:val="000000"/>
                <w:sz w:val="18"/>
                <w:szCs w:val="18"/>
              </w:rPr>
            </w:pPr>
          </w:p>
        </w:tc>
      </w:tr>
      <w:tr w:rsidR="0044629E" w:rsidRPr="007F2FB4" w:rsidTr="007F2FB4">
        <w:tc>
          <w:tcPr>
            <w:tcW w:w="4735" w:type="dxa"/>
          </w:tcPr>
          <w:p w:rsidR="0044629E" w:rsidRPr="007F2FB4" w:rsidRDefault="0044629E" w:rsidP="0044629E">
            <w:pPr>
              <w:spacing w:before="20"/>
              <w:ind w:left="176"/>
              <w:jc w:val="both"/>
              <w:rPr>
                <w:sz w:val="18"/>
                <w:szCs w:val="18"/>
              </w:rPr>
            </w:pPr>
            <w:r w:rsidRPr="007F2FB4">
              <w:rPr>
                <w:sz w:val="18"/>
                <w:szCs w:val="18"/>
              </w:rPr>
              <w:t>Score 0 - 5</w:t>
            </w:r>
          </w:p>
        </w:tc>
        <w:tc>
          <w:tcPr>
            <w:tcW w:w="845" w:type="dxa"/>
            <w:vAlign w:val="center"/>
          </w:tcPr>
          <w:p w:rsidR="0044629E" w:rsidRPr="007F2FB4" w:rsidRDefault="0044629E" w:rsidP="0044629E">
            <w:pPr>
              <w:spacing w:before="20"/>
              <w:jc w:val="right"/>
              <w:rPr>
                <w:color w:val="000000"/>
                <w:sz w:val="18"/>
                <w:szCs w:val="18"/>
              </w:rPr>
            </w:pPr>
            <w:r w:rsidRPr="007F2FB4">
              <w:rPr>
                <w:color w:val="000000"/>
                <w:sz w:val="18"/>
                <w:szCs w:val="18"/>
              </w:rPr>
              <w:t>1.3</w:t>
            </w:r>
          </w:p>
        </w:tc>
        <w:tc>
          <w:tcPr>
            <w:tcW w:w="799" w:type="dxa"/>
            <w:vAlign w:val="center"/>
          </w:tcPr>
          <w:p w:rsidR="0044629E" w:rsidRPr="007F2FB4" w:rsidRDefault="0044629E" w:rsidP="0044629E">
            <w:pPr>
              <w:spacing w:before="20"/>
              <w:jc w:val="right"/>
              <w:rPr>
                <w:color w:val="000000"/>
                <w:sz w:val="18"/>
                <w:szCs w:val="18"/>
              </w:rPr>
            </w:pPr>
            <w:r w:rsidRPr="007F2FB4">
              <w:rPr>
                <w:color w:val="000000"/>
                <w:sz w:val="18"/>
                <w:szCs w:val="18"/>
              </w:rPr>
              <w:t>1.00</w:t>
            </w:r>
          </w:p>
        </w:tc>
        <w:tc>
          <w:tcPr>
            <w:tcW w:w="1029" w:type="dxa"/>
            <w:vAlign w:val="center"/>
          </w:tcPr>
          <w:p w:rsidR="0044629E" w:rsidRPr="007F2FB4" w:rsidRDefault="0044629E" w:rsidP="0044629E">
            <w:pPr>
              <w:spacing w:before="20"/>
              <w:jc w:val="right"/>
              <w:rPr>
                <w:color w:val="000000"/>
                <w:sz w:val="18"/>
                <w:szCs w:val="18"/>
              </w:rPr>
            </w:pPr>
            <w:r w:rsidRPr="007F2FB4">
              <w:rPr>
                <w:color w:val="000000"/>
                <w:sz w:val="18"/>
                <w:szCs w:val="18"/>
              </w:rPr>
              <w:t> </w:t>
            </w:r>
          </w:p>
        </w:tc>
        <w:tc>
          <w:tcPr>
            <w:tcW w:w="278" w:type="dxa"/>
            <w:vAlign w:val="center"/>
          </w:tcPr>
          <w:p w:rsidR="0044629E" w:rsidRPr="007F2FB4" w:rsidRDefault="0044629E" w:rsidP="0044629E">
            <w:pPr>
              <w:spacing w:before="20"/>
              <w:jc w:val="right"/>
              <w:rPr>
                <w:color w:val="000000"/>
                <w:sz w:val="18"/>
                <w:szCs w:val="18"/>
              </w:rPr>
            </w:pPr>
            <w:r w:rsidRPr="007F2FB4">
              <w:rPr>
                <w:color w:val="000000"/>
                <w:sz w:val="18"/>
                <w:szCs w:val="18"/>
              </w:rPr>
              <w:t> </w:t>
            </w:r>
          </w:p>
        </w:tc>
        <w:tc>
          <w:tcPr>
            <w:tcW w:w="813" w:type="dxa"/>
            <w:vAlign w:val="center"/>
          </w:tcPr>
          <w:p w:rsidR="0044629E" w:rsidRPr="007F2FB4" w:rsidRDefault="0044629E" w:rsidP="0044629E">
            <w:pPr>
              <w:spacing w:before="20"/>
              <w:jc w:val="right"/>
              <w:rPr>
                <w:color w:val="000000"/>
                <w:sz w:val="18"/>
                <w:szCs w:val="18"/>
              </w:rPr>
            </w:pPr>
          </w:p>
        </w:tc>
      </w:tr>
      <w:tr w:rsidR="004C783A" w:rsidRPr="007F2FB4" w:rsidTr="007F2FB4">
        <w:tc>
          <w:tcPr>
            <w:tcW w:w="4735" w:type="dxa"/>
          </w:tcPr>
          <w:p w:rsidR="004C783A" w:rsidRPr="007F2FB4" w:rsidRDefault="004C783A" w:rsidP="004C783A">
            <w:pPr>
              <w:spacing w:before="20"/>
              <w:ind w:left="176"/>
              <w:jc w:val="both"/>
              <w:rPr>
                <w:sz w:val="18"/>
                <w:szCs w:val="18"/>
              </w:rPr>
            </w:pPr>
            <w:r w:rsidRPr="007F2FB4">
              <w:rPr>
                <w:sz w:val="18"/>
                <w:szCs w:val="18"/>
              </w:rPr>
              <w:t>Score 6 - 11</w:t>
            </w:r>
          </w:p>
        </w:tc>
        <w:tc>
          <w:tcPr>
            <w:tcW w:w="845" w:type="dxa"/>
            <w:vAlign w:val="center"/>
          </w:tcPr>
          <w:p w:rsidR="004C783A" w:rsidRPr="007F2FB4" w:rsidRDefault="004C783A" w:rsidP="004C783A">
            <w:pPr>
              <w:spacing w:before="20"/>
              <w:jc w:val="right"/>
              <w:rPr>
                <w:color w:val="000000"/>
                <w:sz w:val="18"/>
                <w:szCs w:val="18"/>
              </w:rPr>
            </w:pPr>
            <w:r w:rsidRPr="007F2FB4">
              <w:rPr>
                <w:color w:val="000000"/>
                <w:sz w:val="18"/>
                <w:szCs w:val="18"/>
              </w:rPr>
              <w:t>2.5</w:t>
            </w:r>
          </w:p>
        </w:tc>
        <w:tc>
          <w:tcPr>
            <w:tcW w:w="799" w:type="dxa"/>
            <w:vAlign w:val="center"/>
          </w:tcPr>
          <w:p w:rsidR="004C783A" w:rsidRPr="007F2FB4" w:rsidRDefault="004C783A" w:rsidP="004C783A">
            <w:pPr>
              <w:spacing w:before="20"/>
              <w:jc w:val="right"/>
              <w:rPr>
                <w:color w:val="000000"/>
                <w:sz w:val="18"/>
                <w:szCs w:val="18"/>
              </w:rPr>
            </w:pPr>
            <w:r w:rsidRPr="007F2FB4">
              <w:rPr>
                <w:color w:val="000000"/>
                <w:sz w:val="18"/>
                <w:szCs w:val="18"/>
              </w:rPr>
              <w:t>1.75</w:t>
            </w:r>
          </w:p>
        </w:tc>
        <w:tc>
          <w:tcPr>
            <w:tcW w:w="1307" w:type="dxa"/>
            <w:gridSpan w:val="2"/>
            <w:vAlign w:val="center"/>
          </w:tcPr>
          <w:p w:rsidR="004C783A" w:rsidRPr="007F2FB4" w:rsidRDefault="004C783A" w:rsidP="004C783A">
            <w:pPr>
              <w:spacing w:before="20"/>
              <w:jc w:val="right"/>
              <w:rPr>
                <w:color w:val="000000"/>
                <w:sz w:val="18"/>
                <w:szCs w:val="18"/>
              </w:rPr>
            </w:pPr>
            <w:r w:rsidRPr="007F2FB4">
              <w:rPr>
                <w:color w:val="000000"/>
                <w:sz w:val="18"/>
                <w:szCs w:val="18"/>
              </w:rPr>
              <w:t>(0.70 - 4.36)</w:t>
            </w:r>
          </w:p>
        </w:tc>
        <w:tc>
          <w:tcPr>
            <w:tcW w:w="813" w:type="dxa"/>
            <w:vAlign w:val="center"/>
          </w:tcPr>
          <w:p w:rsidR="004C783A" w:rsidRPr="007F2FB4" w:rsidRDefault="004C783A" w:rsidP="004C783A">
            <w:pPr>
              <w:spacing w:before="20"/>
              <w:jc w:val="right"/>
              <w:rPr>
                <w:color w:val="000000"/>
                <w:sz w:val="18"/>
                <w:szCs w:val="18"/>
              </w:rPr>
            </w:pPr>
          </w:p>
        </w:tc>
      </w:tr>
      <w:tr w:rsidR="004C783A" w:rsidRPr="007F2FB4" w:rsidTr="007F2FB4">
        <w:tc>
          <w:tcPr>
            <w:tcW w:w="4735" w:type="dxa"/>
          </w:tcPr>
          <w:p w:rsidR="004C783A" w:rsidRPr="007F2FB4" w:rsidRDefault="004C783A" w:rsidP="004C783A">
            <w:pPr>
              <w:spacing w:before="20"/>
              <w:ind w:left="176"/>
              <w:jc w:val="both"/>
              <w:rPr>
                <w:sz w:val="18"/>
                <w:szCs w:val="18"/>
              </w:rPr>
            </w:pPr>
            <w:r w:rsidRPr="007F2FB4">
              <w:rPr>
                <w:sz w:val="18"/>
                <w:szCs w:val="18"/>
              </w:rPr>
              <w:t>Score 12 - 19</w:t>
            </w:r>
          </w:p>
        </w:tc>
        <w:tc>
          <w:tcPr>
            <w:tcW w:w="845" w:type="dxa"/>
            <w:vAlign w:val="center"/>
          </w:tcPr>
          <w:p w:rsidR="004C783A" w:rsidRPr="007F2FB4" w:rsidRDefault="004C783A" w:rsidP="004C783A">
            <w:pPr>
              <w:spacing w:before="20"/>
              <w:jc w:val="right"/>
              <w:rPr>
                <w:color w:val="000000"/>
                <w:sz w:val="18"/>
                <w:szCs w:val="18"/>
              </w:rPr>
            </w:pPr>
            <w:r w:rsidRPr="007F2FB4">
              <w:rPr>
                <w:color w:val="000000"/>
                <w:sz w:val="18"/>
                <w:szCs w:val="18"/>
              </w:rPr>
              <w:t>6.2</w:t>
            </w:r>
          </w:p>
        </w:tc>
        <w:tc>
          <w:tcPr>
            <w:tcW w:w="799" w:type="dxa"/>
            <w:vAlign w:val="center"/>
          </w:tcPr>
          <w:p w:rsidR="004C783A" w:rsidRPr="007F2FB4" w:rsidRDefault="004C783A" w:rsidP="004C783A">
            <w:pPr>
              <w:spacing w:before="20"/>
              <w:jc w:val="right"/>
              <w:rPr>
                <w:color w:val="000000"/>
                <w:sz w:val="18"/>
                <w:szCs w:val="18"/>
              </w:rPr>
            </w:pPr>
            <w:r w:rsidRPr="007F2FB4">
              <w:rPr>
                <w:color w:val="000000"/>
                <w:sz w:val="18"/>
                <w:szCs w:val="18"/>
              </w:rPr>
              <w:t>4.38</w:t>
            </w:r>
          </w:p>
        </w:tc>
        <w:tc>
          <w:tcPr>
            <w:tcW w:w="1307" w:type="dxa"/>
            <w:gridSpan w:val="2"/>
            <w:vAlign w:val="center"/>
          </w:tcPr>
          <w:p w:rsidR="004C783A" w:rsidRPr="007F2FB4" w:rsidRDefault="004C783A" w:rsidP="004C783A">
            <w:pPr>
              <w:spacing w:before="20"/>
              <w:jc w:val="right"/>
              <w:rPr>
                <w:color w:val="000000"/>
                <w:sz w:val="18"/>
                <w:szCs w:val="18"/>
              </w:rPr>
            </w:pPr>
            <w:r w:rsidRPr="007F2FB4">
              <w:rPr>
                <w:color w:val="000000"/>
                <w:sz w:val="18"/>
                <w:szCs w:val="18"/>
              </w:rPr>
              <w:t>(1.72 - 11.15)</w:t>
            </w:r>
          </w:p>
        </w:tc>
        <w:tc>
          <w:tcPr>
            <w:tcW w:w="813" w:type="dxa"/>
            <w:vAlign w:val="center"/>
          </w:tcPr>
          <w:p w:rsidR="004C783A" w:rsidRPr="007F2FB4" w:rsidRDefault="004C783A" w:rsidP="004C783A">
            <w:pPr>
              <w:spacing w:before="20"/>
              <w:jc w:val="right"/>
              <w:rPr>
                <w:color w:val="000000"/>
                <w:sz w:val="18"/>
                <w:szCs w:val="18"/>
              </w:rPr>
            </w:pPr>
          </w:p>
        </w:tc>
      </w:tr>
      <w:tr w:rsidR="004C783A" w:rsidRPr="007F2FB4" w:rsidTr="007F2FB4">
        <w:tc>
          <w:tcPr>
            <w:tcW w:w="4735" w:type="dxa"/>
            <w:tcBorders>
              <w:bottom w:val="single" w:sz="4" w:space="0" w:color="auto"/>
            </w:tcBorders>
          </w:tcPr>
          <w:p w:rsidR="004C783A" w:rsidRPr="007F2FB4" w:rsidRDefault="004C783A" w:rsidP="004C783A">
            <w:pPr>
              <w:spacing w:before="20"/>
              <w:ind w:left="176"/>
              <w:jc w:val="both"/>
              <w:rPr>
                <w:sz w:val="18"/>
                <w:szCs w:val="18"/>
              </w:rPr>
            </w:pPr>
            <w:r w:rsidRPr="007F2FB4">
              <w:rPr>
                <w:sz w:val="18"/>
                <w:szCs w:val="18"/>
              </w:rPr>
              <w:t>Score 20 - 40</w:t>
            </w:r>
          </w:p>
        </w:tc>
        <w:tc>
          <w:tcPr>
            <w:tcW w:w="845" w:type="dxa"/>
            <w:tcBorders>
              <w:bottom w:val="single" w:sz="4" w:space="0" w:color="auto"/>
            </w:tcBorders>
            <w:vAlign w:val="center"/>
          </w:tcPr>
          <w:p w:rsidR="004C783A" w:rsidRPr="007F2FB4" w:rsidRDefault="004C783A" w:rsidP="004C783A">
            <w:pPr>
              <w:spacing w:before="20"/>
              <w:jc w:val="right"/>
              <w:rPr>
                <w:color w:val="000000"/>
                <w:sz w:val="18"/>
                <w:szCs w:val="18"/>
              </w:rPr>
            </w:pPr>
            <w:r w:rsidRPr="007F2FB4">
              <w:rPr>
                <w:color w:val="000000"/>
                <w:sz w:val="18"/>
                <w:szCs w:val="18"/>
              </w:rPr>
              <w:t>2.5</w:t>
            </w:r>
          </w:p>
        </w:tc>
        <w:tc>
          <w:tcPr>
            <w:tcW w:w="799" w:type="dxa"/>
            <w:tcBorders>
              <w:bottom w:val="single" w:sz="4" w:space="0" w:color="auto"/>
            </w:tcBorders>
            <w:vAlign w:val="center"/>
          </w:tcPr>
          <w:p w:rsidR="004C783A" w:rsidRPr="007F2FB4" w:rsidRDefault="004C783A" w:rsidP="004C783A">
            <w:pPr>
              <w:spacing w:before="20"/>
              <w:jc w:val="right"/>
              <w:rPr>
                <w:color w:val="000000"/>
                <w:sz w:val="18"/>
                <w:szCs w:val="18"/>
              </w:rPr>
            </w:pPr>
            <w:r w:rsidRPr="007F2FB4">
              <w:rPr>
                <w:color w:val="000000"/>
                <w:sz w:val="18"/>
                <w:szCs w:val="18"/>
              </w:rPr>
              <w:t>3.18</w:t>
            </w:r>
          </w:p>
        </w:tc>
        <w:tc>
          <w:tcPr>
            <w:tcW w:w="1307" w:type="dxa"/>
            <w:gridSpan w:val="2"/>
            <w:tcBorders>
              <w:bottom w:val="single" w:sz="4" w:space="0" w:color="auto"/>
            </w:tcBorders>
            <w:vAlign w:val="center"/>
          </w:tcPr>
          <w:p w:rsidR="004C783A" w:rsidRPr="007F2FB4" w:rsidRDefault="004C783A" w:rsidP="004C783A">
            <w:pPr>
              <w:spacing w:before="20"/>
              <w:jc w:val="right"/>
              <w:rPr>
                <w:color w:val="000000"/>
                <w:sz w:val="18"/>
                <w:szCs w:val="18"/>
              </w:rPr>
            </w:pPr>
            <w:r w:rsidRPr="007F2FB4">
              <w:rPr>
                <w:color w:val="000000"/>
                <w:sz w:val="18"/>
                <w:szCs w:val="18"/>
              </w:rPr>
              <w:t>(0.77 - 13.18)</w:t>
            </w:r>
          </w:p>
        </w:tc>
        <w:tc>
          <w:tcPr>
            <w:tcW w:w="813" w:type="dxa"/>
            <w:tcBorders>
              <w:bottom w:val="single" w:sz="4" w:space="0" w:color="auto"/>
            </w:tcBorders>
            <w:shd w:val="clear" w:color="auto" w:fill="D9D9D9" w:themeFill="background1" w:themeFillShade="D9"/>
            <w:vAlign w:val="center"/>
          </w:tcPr>
          <w:p w:rsidR="004C783A" w:rsidRPr="007F2FB4" w:rsidRDefault="004C783A" w:rsidP="004C783A">
            <w:pPr>
              <w:spacing w:before="20"/>
              <w:jc w:val="right"/>
              <w:rPr>
                <w:color w:val="000000"/>
                <w:sz w:val="18"/>
                <w:szCs w:val="18"/>
              </w:rPr>
            </w:pPr>
            <w:r w:rsidRPr="007F2FB4">
              <w:rPr>
                <w:color w:val="000000"/>
                <w:sz w:val="18"/>
                <w:szCs w:val="18"/>
              </w:rPr>
              <w:t>0.01</w:t>
            </w:r>
          </w:p>
        </w:tc>
      </w:tr>
    </w:tbl>
    <w:p w:rsidR="008C7BFC" w:rsidRPr="0034241E" w:rsidRDefault="008C7BFC" w:rsidP="008C7BFC">
      <w:pPr>
        <w:rPr>
          <w:sz w:val="18"/>
        </w:rPr>
      </w:pPr>
      <w:r>
        <w:rPr>
          <w:sz w:val="18"/>
        </w:rPr>
        <w:t>Data</w:t>
      </w:r>
      <w:r w:rsidRPr="0034241E">
        <w:rPr>
          <w:sz w:val="18"/>
        </w:rPr>
        <w:t xml:space="preserve"> weighted for 2013 Census data (both Waves) and attrition (Wave 2)</w:t>
      </w:r>
    </w:p>
    <w:p w:rsidR="008C7BFC" w:rsidRDefault="008C7BFC" w:rsidP="00FD12E4">
      <w:pPr>
        <w:tabs>
          <w:tab w:val="left" w:pos="0"/>
        </w:tabs>
        <w:jc w:val="both"/>
        <w:rPr>
          <w:szCs w:val="22"/>
        </w:rPr>
      </w:pPr>
    </w:p>
    <w:p w:rsidR="00633B6D" w:rsidRPr="00DE7450" w:rsidRDefault="00696369" w:rsidP="00633B6D">
      <w:pPr>
        <w:pStyle w:val="Heading3b"/>
        <w:numPr>
          <w:ilvl w:val="2"/>
          <w:numId w:val="40"/>
        </w:numPr>
        <w:tabs>
          <w:tab w:val="clear" w:pos="1146"/>
        </w:tabs>
        <w:ind w:left="709"/>
        <w:rPr>
          <w:rFonts w:ascii="Times New Roman" w:hAnsi="Times New Roman" w:cs="Times New Roman"/>
          <w:b/>
        </w:rPr>
      </w:pPr>
      <w:bookmarkStart w:id="208" w:name="_Toc420392616"/>
      <w:r>
        <w:rPr>
          <w:rFonts w:ascii="Times New Roman" w:hAnsi="Times New Roman" w:cs="Times New Roman"/>
          <w:b/>
        </w:rPr>
        <w:t>S</w:t>
      </w:r>
      <w:r w:rsidR="00633B6D">
        <w:rPr>
          <w:rFonts w:ascii="Times New Roman" w:hAnsi="Times New Roman" w:cs="Times New Roman"/>
          <w:b/>
        </w:rPr>
        <w:t>taying as moderate-risk/problem gambler</w:t>
      </w:r>
      <w:bookmarkEnd w:id="208"/>
    </w:p>
    <w:p w:rsidR="00633B6D" w:rsidRDefault="00633B6D" w:rsidP="00FD12E4">
      <w:pPr>
        <w:tabs>
          <w:tab w:val="left" w:pos="0"/>
        </w:tabs>
        <w:jc w:val="both"/>
        <w:rPr>
          <w:szCs w:val="22"/>
        </w:rPr>
      </w:pPr>
    </w:p>
    <w:p w:rsidR="00633B6D" w:rsidRPr="00633B6D" w:rsidRDefault="00633B6D" w:rsidP="00633B6D">
      <w:pPr>
        <w:tabs>
          <w:tab w:val="left" w:pos="0"/>
        </w:tabs>
        <w:jc w:val="both"/>
        <w:rPr>
          <w:szCs w:val="22"/>
        </w:rPr>
      </w:pPr>
      <w:r w:rsidRPr="00633B6D">
        <w:rPr>
          <w:szCs w:val="22"/>
        </w:rPr>
        <w:t xml:space="preserve">In Wave 2, </w:t>
      </w:r>
      <w:r w:rsidRPr="00AD46BC">
        <w:rPr>
          <w:szCs w:val="22"/>
        </w:rPr>
        <w:t xml:space="preserve">29 participants (adjusted data) stayed in the moderate-risk/problem gambler categories.  A further </w:t>
      </w:r>
      <w:r w:rsidR="00CB35E8" w:rsidRPr="00AD46BC">
        <w:rPr>
          <w:szCs w:val="22"/>
        </w:rPr>
        <w:t>38</w:t>
      </w:r>
      <w:r w:rsidRPr="00AD46BC">
        <w:rPr>
          <w:szCs w:val="22"/>
        </w:rPr>
        <w:t xml:space="preserve"> participants </w:t>
      </w:r>
      <w:r w:rsidR="00CB35E8" w:rsidRPr="00AD46BC">
        <w:rPr>
          <w:szCs w:val="22"/>
        </w:rPr>
        <w:t>decreased their risk level</w:t>
      </w:r>
      <w:r w:rsidR="00CB35E8">
        <w:rPr>
          <w:szCs w:val="22"/>
        </w:rPr>
        <w:t xml:space="preserve"> by moving from the moderate-risk/problem gambler categories in Wave 1 to the non-problem/low-risk gambler categories in Wave 2</w:t>
      </w:r>
      <w:r w:rsidRPr="00633B6D">
        <w:rPr>
          <w:szCs w:val="22"/>
        </w:rPr>
        <w:t>.</w:t>
      </w:r>
    </w:p>
    <w:p w:rsidR="00633B6D" w:rsidRPr="00633B6D" w:rsidRDefault="00633B6D" w:rsidP="00633B6D">
      <w:pPr>
        <w:tabs>
          <w:tab w:val="left" w:pos="0"/>
        </w:tabs>
        <w:jc w:val="both"/>
        <w:rPr>
          <w:szCs w:val="22"/>
        </w:rPr>
      </w:pPr>
    </w:p>
    <w:p w:rsidR="000432E3" w:rsidRDefault="000432E3" w:rsidP="00633B6D">
      <w:pPr>
        <w:tabs>
          <w:tab w:val="left" w:pos="0"/>
        </w:tabs>
        <w:jc w:val="both"/>
        <w:rPr>
          <w:szCs w:val="22"/>
        </w:rPr>
      </w:pPr>
    </w:p>
    <w:p w:rsidR="000432E3" w:rsidRPr="000432E3" w:rsidRDefault="007F2FB4" w:rsidP="00633B6D">
      <w:pPr>
        <w:tabs>
          <w:tab w:val="left" w:pos="0"/>
        </w:tabs>
        <w:jc w:val="both"/>
        <w:rPr>
          <w:b/>
          <w:szCs w:val="22"/>
        </w:rPr>
      </w:pPr>
      <w:r>
        <w:rPr>
          <w:b/>
          <w:szCs w:val="22"/>
        </w:rPr>
        <w:t>B</w:t>
      </w:r>
      <w:r w:rsidR="000432E3">
        <w:rPr>
          <w:b/>
          <w:szCs w:val="22"/>
        </w:rPr>
        <w:t xml:space="preserve">ivariate </w:t>
      </w:r>
      <w:r>
        <w:rPr>
          <w:b/>
          <w:szCs w:val="22"/>
        </w:rPr>
        <w:t>associations</w:t>
      </w:r>
    </w:p>
    <w:p w:rsidR="000432E3" w:rsidRDefault="000432E3" w:rsidP="00633B6D">
      <w:pPr>
        <w:tabs>
          <w:tab w:val="left" w:pos="0"/>
        </w:tabs>
        <w:jc w:val="both"/>
        <w:rPr>
          <w:szCs w:val="22"/>
        </w:rPr>
      </w:pPr>
    </w:p>
    <w:p w:rsidR="00985F5E" w:rsidRDefault="007F2FB4" w:rsidP="00633B6D">
      <w:pPr>
        <w:tabs>
          <w:tab w:val="left" w:pos="0"/>
        </w:tabs>
        <w:jc w:val="both"/>
        <w:rPr>
          <w:szCs w:val="22"/>
        </w:rPr>
      </w:pPr>
      <w:r>
        <w:rPr>
          <w:szCs w:val="22"/>
        </w:rPr>
        <w:t>Bivariate associations examined by l</w:t>
      </w:r>
      <w:r w:rsidR="00633B6D" w:rsidRPr="0089441C">
        <w:rPr>
          <w:szCs w:val="22"/>
        </w:rPr>
        <w:t xml:space="preserve">ogistic regression indicated that </w:t>
      </w:r>
      <w:r w:rsidR="0089441C" w:rsidRPr="0089441C">
        <w:rPr>
          <w:szCs w:val="22"/>
        </w:rPr>
        <w:t>age</w:t>
      </w:r>
      <w:r w:rsidR="00C44A98" w:rsidRPr="0089441C">
        <w:rPr>
          <w:szCs w:val="22"/>
        </w:rPr>
        <w:t xml:space="preserve"> and</w:t>
      </w:r>
      <w:r w:rsidR="00633B6D" w:rsidRPr="0089441C">
        <w:rPr>
          <w:szCs w:val="22"/>
        </w:rPr>
        <w:t xml:space="preserve"> country of birth were the demographic variables significantly associated with </w:t>
      </w:r>
      <w:r w:rsidR="00C44A98" w:rsidRPr="0089441C">
        <w:rPr>
          <w:szCs w:val="22"/>
        </w:rPr>
        <w:t>staying as a</w:t>
      </w:r>
      <w:r w:rsidR="00633B6D" w:rsidRPr="0089441C">
        <w:rPr>
          <w:szCs w:val="22"/>
        </w:rPr>
        <w:t xml:space="preserve"> moderate-risk gambler or problem gambler</w:t>
      </w:r>
      <w:r w:rsidR="00C44A98" w:rsidRPr="0089441C">
        <w:rPr>
          <w:szCs w:val="22"/>
        </w:rPr>
        <w:t xml:space="preserve"> in Wave 2 compared with Wave 1</w:t>
      </w:r>
      <w:r w:rsidR="00633B6D" w:rsidRPr="0089441C">
        <w:rPr>
          <w:szCs w:val="22"/>
        </w:rPr>
        <w:t xml:space="preserve">.  </w:t>
      </w:r>
      <w:r w:rsidR="0089441C" w:rsidRPr="0089441C">
        <w:rPr>
          <w:szCs w:val="22"/>
        </w:rPr>
        <w:t xml:space="preserve">Although the data were not </w:t>
      </w:r>
      <w:r w:rsidR="00633485">
        <w:rPr>
          <w:szCs w:val="22"/>
        </w:rPr>
        <w:t>conclusive</w:t>
      </w:r>
      <w:r w:rsidR="0089441C">
        <w:rPr>
          <w:szCs w:val="22"/>
        </w:rPr>
        <w:t xml:space="preserve"> (probably due to small sample sizes)</w:t>
      </w:r>
      <w:r w:rsidR="0089441C" w:rsidRPr="0089441C">
        <w:rPr>
          <w:szCs w:val="22"/>
        </w:rPr>
        <w:t xml:space="preserve">, it appeared that people aged 55 years and older </w:t>
      </w:r>
      <w:r w:rsidR="0089441C" w:rsidRPr="0089441C">
        <w:rPr>
          <w:szCs w:val="22"/>
        </w:rPr>
        <w:lastRenderedPageBreak/>
        <w:t xml:space="preserve">had a higher risk </w:t>
      </w:r>
      <w:r w:rsidR="0089441C">
        <w:rPr>
          <w:szCs w:val="22"/>
        </w:rPr>
        <w:t>(7.5</w:t>
      </w:r>
      <w:r w:rsidR="00961354">
        <w:rPr>
          <w:szCs w:val="22"/>
        </w:rPr>
        <w:t>4</w:t>
      </w:r>
      <w:r w:rsidR="0089441C">
        <w:rPr>
          <w:szCs w:val="22"/>
        </w:rPr>
        <w:t> </w:t>
      </w:r>
      <w:r w:rsidR="0089441C" w:rsidRPr="0089441C">
        <w:rPr>
          <w:szCs w:val="22"/>
        </w:rPr>
        <w:t>times greater) of staying as a moderate-risk or problem gambler compared with peo</w:t>
      </w:r>
      <w:r w:rsidR="007E088D">
        <w:rPr>
          <w:szCs w:val="22"/>
        </w:rPr>
        <w:t>ple in the lowest age group (18</w:t>
      </w:r>
      <w:r w:rsidR="0089441C" w:rsidRPr="0089441C">
        <w:rPr>
          <w:szCs w:val="22"/>
        </w:rPr>
        <w:t xml:space="preserve">-24 years).  </w:t>
      </w:r>
      <w:r w:rsidR="00961354">
        <w:rPr>
          <w:szCs w:val="22"/>
        </w:rPr>
        <w:t>Migrants</w:t>
      </w:r>
      <w:r w:rsidR="00633B6D" w:rsidRPr="0089441C">
        <w:rPr>
          <w:szCs w:val="22"/>
        </w:rPr>
        <w:t xml:space="preserve"> had </w:t>
      </w:r>
      <w:r w:rsidR="0089441C" w:rsidRPr="0089441C">
        <w:rPr>
          <w:szCs w:val="22"/>
        </w:rPr>
        <w:t xml:space="preserve">a </w:t>
      </w:r>
      <w:r w:rsidR="0089441C" w:rsidRPr="0089441C">
        <w:rPr>
          <w:i/>
          <w:szCs w:val="22"/>
        </w:rPr>
        <w:t>lower</w:t>
      </w:r>
      <w:r w:rsidR="00633B6D" w:rsidRPr="0089441C">
        <w:rPr>
          <w:szCs w:val="22"/>
        </w:rPr>
        <w:t xml:space="preserve"> risk </w:t>
      </w:r>
      <w:r w:rsidR="00C476FB">
        <w:rPr>
          <w:szCs w:val="22"/>
        </w:rPr>
        <w:t>(0.24 </w:t>
      </w:r>
      <w:r w:rsidR="0089441C" w:rsidRPr="0089441C">
        <w:rPr>
          <w:szCs w:val="22"/>
        </w:rPr>
        <w:t xml:space="preserve">times) </w:t>
      </w:r>
      <w:r w:rsidR="00633B6D" w:rsidRPr="0089441C">
        <w:rPr>
          <w:szCs w:val="22"/>
        </w:rPr>
        <w:t xml:space="preserve">compared with people born in New Zealand. </w:t>
      </w:r>
    </w:p>
    <w:p w:rsidR="00633B6D" w:rsidRDefault="00633B6D" w:rsidP="00633B6D">
      <w:pPr>
        <w:tabs>
          <w:tab w:val="left" w:pos="0"/>
        </w:tabs>
        <w:jc w:val="both"/>
        <w:rPr>
          <w:szCs w:val="22"/>
        </w:rPr>
      </w:pPr>
      <w:r w:rsidRPr="0089441C">
        <w:rPr>
          <w:szCs w:val="22"/>
        </w:rPr>
        <w:t xml:space="preserve"> </w:t>
      </w:r>
    </w:p>
    <w:p w:rsidR="00633B6D" w:rsidRPr="007C56C7" w:rsidRDefault="00633B6D" w:rsidP="00633B6D">
      <w:pPr>
        <w:tabs>
          <w:tab w:val="left" w:pos="0"/>
        </w:tabs>
        <w:jc w:val="both"/>
        <w:rPr>
          <w:i/>
          <w:szCs w:val="22"/>
        </w:rPr>
      </w:pPr>
      <w:r w:rsidRPr="00225883">
        <w:rPr>
          <w:szCs w:val="22"/>
        </w:rPr>
        <w:t xml:space="preserve">Gambling-related factors significantly associated with </w:t>
      </w:r>
      <w:r w:rsidR="0089441C" w:rsidRPr="00225883">
        <w:rPr>
          <w:szCs w:val="22"/>
        </w:rPr>
        <w:t xml:space="preserve">staying as a moderate-risk gambler or problem gambler </w:t>
      </w:r>
      <w:r w:rsidRPr="00225883">
        <w:rPr>
          <w:szCs w:val="22"/>
        </w:rPr>
        <w:t xml:space="preserve">were pattern of gambling, </w:t>
      </w:r>
      <w:r w:rsidR="0089441C" w:rsidRPr="00225883">
        <w:rPr>
          <w:szCs w:val="22"/>
        </w:rPr>
        <w:t>frequency of gambling, and time spent gambling on EGMs in clubs</w:t>
      </w:r>
      <w:r w:rsidRPr="00225883">
        <w:rPr>
          <w:szCs w:val="22"/>
        </w:rPr>
        <w:t>.</w:t>
      </w:r>
      <w:r w:rsidR="00225883" w:rsidRPr="00225883">
        <w:rPr>
          <w:szCs w:val="22"/>
        </w:rPr>
        <w:t xml:space="preserve">  </w:t>
      </w:r>
      <w:r w:rsidRPr="00225883">
        <w:rPr>
          <w:szCs w:val="22"/>
        </w:rPr>
        <w:t xml:space="preserve">People who regularly gambled on continuous forms had almost </w:t>
      </w:r>
      <w:r w:rsidR="00225883" w:rsidRPr="00225883">
        <w:rPr>
          <w:szCs w:val="22"/>
        </w:rPr>
        <w:t>six</w:t>
      </w:r>
      <w:r w:rsidRPr="00225883">
        <w:rPr>
          <w:szCs w:val="22"/>
        </w:rPr>
        <w:t xml:space="preserve"> times the risk </w:t>
      </w:r>
      <w:r w:rsidR="007E088D">
        <w:rPr>
          <w:szCs w:val="22"/>
        </w:rPr>
        <w:t>compared with</w:t>
      </w:r>
      <w:r w:rsidRPr="00225883">
        <w:rPr>
          <w:szCs w:val="22"/>
        </w:rPr>
        <w:t xml:space="preserve"> people who were infrequent gamblers.  This was evident in the increased risk noted for </w:t>
      </w:r>
      <w:r w:rsidR="00225883" w:rsidRPr="00225883">
        <w:rPr>
          <w:szCs w:val="22"/>
        </w:rPr>
        <w:t>people</w:t>
      </w:r>
      <w:r w:rsidRPr="00225883">
        <w:rPr>
          <w:szCs w:val="22"/>
        </w:rPr>
        <w:t xml:space="preserve"> who </w:t>
      </w:r>
      <w:r w:rsidR="00225883" w:rsidRPr="00225883">
        <w:rPr>
          <w:szCs w:val="22"/>
        </w:rPr>
        <w:t xml:space="preserve">gambled at least weekly and also for people who </w:t>
      </w:r>
      <w:r w:rsidRPr="00225883">
        <w:rPr>
          <w:szCs w:val="22"/>
        </w:rPr>
        <w:t xml:space="preserve">played </w:t>
      </w:r>
      <w:r w:rsidR="00225883" w:rsidRPr="00225883">
        <w:rPr>
          <w:szCs w:val="22"/>
        </w:rPr>
        <w:t>club</w:t>
      </w:r>
      <w:r w:rsidRPr="00225883">
        <w:rPr>
          <w:szCs w:val="22"/>
        </w:rPr>
        <w:t xml:space="preserve"> EGMs for </w:t>
      </w:r>
      <w:r w:rsidR="00225883" w:rsidRPr="00225883">
        <w:rPr>
          <w:szCs w:val="22"/>
        </w:rPr>
        <w:t>between 31 and 60</w:t>
      </w:r>
      <w:r w:rsidRPr="00225883">
        <w:rPr>
          <w:szCs w:val="22"/>
        </w:rPr>
        <w:t xml:space="preserve"> minutes</w:t>
      </w:r>
      <w:r w:rsidR="00225883" w:rsidRPr="00225883">
        <w:rPr>
          <w:szCs w:val="22"/>
        </w:rPr>
        <w:t xml:space="preserve">, although the data were not </w:t>
      </w:r>
      <w:r w:rsidR="00633485">
        <w:rPr>
          <w:szCs w:val="22"/>
        </w:rPr>
        <w:t>conclusive</w:t>
      </w:r>
      <w:r w:rsidR="00225883" w:rsidRPr="00225883">
        <w:rPr>
          <w:szCs w:val="22"/>
        </w:rPr>
        <w:t xml:space="preserve"> due to small sample sizes</w:t>
      </w:r>
      <w:r w:rsidRPr="00225883">
        <w:rPr>
          <w:szCs w:val="22"/>
        </w:rPr>
        <w:t xml:space="preserve">.  </w:t>
      </w:r>
      <w:r w:rsidR="00225883" w:rsidRPr="007C56C7">
        <w:rPr>
          <w:i/>
          <w:szCs w:val="22"/>
        </w:rPr>
        <w:t xml:space="preserve">These results, therefore, indicate a </w:t>
      </w:r>
      <w:r w:rsidR="00496FE5">
        <w:rPr>
          <w:i/>
          <w:szCs w:val="22"/>
        </w:rPr>
        <w:t>relationship</w:t>
      </w:r>
      <w:r w:rsidR="00225883" w:rsidRPr="007C56C7">
        <w:rPr>
          <w:i/>
          <w:szCs w:val="22"/>
        </w:rPr>
        <w:t xml:space="preserve"> but should be treated with caution.</w:t>
      </w:r>
    </w:p>
    <w:p w:rsidR="00633B6D" w:rsidRPr="00CB35E8" w:rsidRDefault="00633B6D" w:rsidP="00633B6D">
      <w:pPr>
        <w:tabs>
          <w:tab w:val="left" w:pos="0"/>
        </w:tabs>
        <w:jc w:val="both"/>
        <w:rPr>
          <w:szCs w:val="22"/>
          <w:highlight w:val="yellow"/>
        </w:rPr>
      </w:pPr>
    </w:p>
    <w:p w:rsidR="00633B6D" w:rsidRPr="00225883" w:rsidRDefault="00633B6D" w:rsidP="00633B6D">
      <w:pPr>
        <w:tabs>
          <w:tab w:val="left" w:pos="0"/>
        </w:tabs>
        <w:jc w:val="both"/>
        <w:rPr>
          <w:szCs w:val="22"/>
        </w:rPr>
      </w:pPr>
      <w:r w:rsidRPr="00225883">
        <w:rPr>
          <w:szCs w:val="22"/>
        </w:rPr>
        <w:t xml:space="preserve">Significantly </w:t>
      </w:r>
      <w:r w:rsidRPr="00225883">
        <w:rPr>
          <w:i/>
          <w:szCs w:val="22"/>
        </w:rPr>
        <w:t>less</w:t>
      </w:r>
      <w:r w:rsidRPr="00225883">
        <w:rPr>
          <w:szCs w:val="22"/>
        </w:rPr>
        <w:t xml:space="preserve"> risk </w:t>
      </w:r>
      <w:r w:rsidR="00225883" w:rsidRPr="00225883">
        <w:rPr>
          <w:szCs w:val="22"/>
        </w:rPr>
        <w:t xml:space="preserve">of staying as a moderate-risk gambler or problem gambler </w:t>
      </w:r>
      <w:r w:rsidRPr="00225883">
        <w:rPr>
          <w:szCs w:val="22"/>
        </w:rPr>
        <w:t xml:space="preserve">was noted for people who </w:t>
      </w:r>
      <w:r w:rsidR="00225883" w:rsidRPr="00225883">
        <w:rPr>
          <w:szCs w:val="22"/>
        </w:rPr>
        <w:t>left ATM and credit cards at home when gambling (approximately 0.2</w:t>
      </w:r>
      <w:r w:rsidRPr="00225883">
        <w:rPr>
          <w:szCs w:val="22"/>
        </w:rPr>
        <w:t xml:space="preserve"> times) in comparison with </w:t>
      </w:r>
      <w:r w:rsidR="00225883" w:rsidRPr="00225883">
        <w:rPr>
          <w:szCs w:val="22"/>
        </w:rPr>
        <w:t>people who did not use this strategy</w:t>
      </w:r>
      <w:r w:rsidRPr="00225883">
        <w:rPr>
          <w:szCs w:val="22"/>
        </w:rPr>
        <w:t>.</w:t>
      </w:r>
    </w:p>
    <w:p w:rsidR="00633B6D" w:rsidRPr="00225883" w:rsidRDefault="00633B6D" w:rsidP="00633B6D">
      <w:pPr>
        <w:tabs>
          <w:tab w:val="left" w:pos="0"/>
        </w:tabs>
        <w:jc w:val="both"/>
        <w:rPr>
          <w:szCs w:val="22"/>
        </w:rPr>
      </w:pPr>
    </w:p>
    <w:p w:rsidR="00633B6D" w:rsidRPr="00225883" w:rsidRDefault="00225883" w:rsidP="00633B6D">
      <w:pPr>
        <w:tabs>
          <w:tab w:val="left" w:pos="0"/>
        </w:tabs>
        <w:jc w:val="both"/>
        <w:rPr>
          <w:szCs w:val="22"/>
        </w:rPr>
      </w:pPr>
      <w:r w:rsidRPr="00225883">
        <w:rPr>
          <w:szCs w:val="22"/>
        </w:rPr>
        <w:t xml:space="preserve">People who had </w:t>
      </w:r>
      <w:r w:rsidRPr="009F5E09">
        <w:rPr>
          <w:szCs w:val="22"/>
        </w:rPr>
        <w:t>sought</w:t>
      </w:r>
      <w:r w:rsidR="00633B6D" w:rsidRPr="009F5E09">
        <w:rPr>
          <w:szCs w:val="22"/>
        </w:rPr>
        <w:t xml:space="preserve"> help </w:t>
      </w:r>
      <w:r w:rsidR="00903A09" w:rsidRPr="009F5E09">
        <w:rPr>
          <w:szCs w:val="22"/>
        </w:rPr>
        <w:t xml:space="preserve">(from formal and informal sources) </w:t>
      </w:r>
      <w:r w:rsidR="00633B6D" w:rsidRPr="009F5E09">
        <w:rPr>
          <w:szCs w:val="22"/>
        </w:rPr>
        <w:t>in the</w:t>
      </w:r>
      <w:r w:rsidR="00633B6D" w:rsidRPr="00225883">
        <w:rPr>
          <w:szCs w:val="22"/>
        </w:rPr>
        <w:t xml:space="preserve"> past year </w:t>
      </w:r>
      <w:r w:rsidRPr="00225883">
        <w:rPr>
          <w:szCs w:val="22"/>
        </w:rPr>
        <w:t xml:space="preserve">had five times the risk </w:t>
      </w:r>
      <w:r w:rsidR="00496FE5">
        <w:rPr>
          <w:szCs w:val="22"/>
        </w:rPr>
        <w:t>of remaining moderate-risk or problem gamblers than</w:t>
      </w:r>
      <w:r w:rsidRPr="00225883">
        <w:rPr>
          <w:szCs w:val="22"/>
        </w:rPr>
        <w:t xml:space="preserve"> people who had not sought help, although due to small sample size, the results are not </w:t>
      </w:r>
      <w:r w:rsidR="00633485">
        <w:rPr>
          <w:szCs w:val="22"/>
        </w:rPr>
        <w:t>conclusive</w:t>
      </w:r>
      <w:r w:rsidRPr="00225883">
        <w:rPr>
          <w:szCs w:val="22"/>
        </w:rPr>
        <w:t>.  Thi</w:t>
      </w:r>
      <w:r w:rsidR="00633B6D" w:rsidRPr="00225883">
        <w:rPr>
          <w:szCs w:val="22"/>
        </w:rPr>
        <w:t xml:space="preserve">s finding </w:t>
      </w:r>
      <w:r>
        <w:rPr>
          <w:szCs w:val="22"/>
        </w:rPr>
        <w:t>probably</w:t>
      </w:r>
      <w:r w:rsidR="00633B6D" w:rsidRPr="00225883">
        <w:rPr>
          <w:szCs w:val="22"/>
        </w:rPr>
        <w:t xml:space="preserve"> reflect</w:t>
      </w:r>
      <w:r>
        <w:rPr>
          <w:szCs w:val="22"/>
        </w:rPr>
        <w:t>s</w:t>
      </w:r>
      <w:r w:rsidR="00633B6D" w:rsidRPr="00225883">
        <w:rPr>
          <w:szCs w:val="22"/>
        </w:rPr>
        <w:t xml:space="preserve"> the fact that the highest risk gamblers are those who are likely to </w:t>
      </w:r>
      <w:r w:rsidRPr="00225883">
        <w:rPr>
          <w:szCs w:val="22"/>
        </w:rPr>
        <w:t>seek help</w:t>
      </w:r>
      <w:r w:rsidR="00FA7721">
        <w:rPr>
          <w:szCs w:val="22"/>
        </w:rPr>
        <w:t xml:space="preserve"> </w:t>
      </w:r>
      <w:r w:rsidR="00FA7721" w:rsidRPr="009F5E09">
        <w:rPr>
          <w:szCs w:val="22"/>
        </w:rPr>
        <w:t>(from formal and informal sources)</w:t>
      </w:r>
      <w:r w:rsidR="00633B6D" w:rsidRPr="00225883">
        <w:rPr>
          <w:szCs w:val="22"/>
        </w:rPr>
        <w:t>.</w:t>
      </w:r>
    </w:p>
    <w:p w:rsidR="00633B6D" w:rsidRPr="00225883" w:rsidRDefault="00633B6D" w:rsidP="00633B6D">
      <w:pPr>
        <w:tabs>
          <w:tab w:val="left" w:pos="0"/>
        </w:tabs>
        <w:jc w:val="both"/>
        <w:rPr>
          <w:szCs w:val="22"/>
        </w:rPr>
      </w:pPr>
    </w:p>
    <w:p w:rsidR="00633B6D" w:rsidRDefault="00C476FB" w:rsidP="00633B6D">
      <w:pPr>
        <w:tabs>
          <w:tab w:val="left" w:pos="0"/>
        </w:tabs>
        <w:jc w:val="both"/>
        <w:rPr>
          <w:szCs w:val="22"/>
        </w:rPr>
      </w:pPr>
      <w:r>
        <w:rPr>
          <w:szCs w:val="22"/>
        </w:rPr>
        <w:t xml:space="preserve">People who smoked tobacco at least once a week had almost ten times the risk of </w:t>
      </w:r>
      <w:r w:rsidRPr="00225883">
        <w:rPr>
          <w:szCs w:val="22"/>
        </w:rPr>
        <w:t>staying as a moderate-risk gambler or problem gambler</w:t>
      </w:r>
      <w:r>
        <w:rPr>
          <w:szCs w:val="22"/>
        </w:rPr>
        <w:t xml:space="preserve"> compared with people who never smoked.  </w:t>
      </w:r>
      <w:r w:rsidRPr="007C56C7">
        <w:rPr>
          <w:i/>
          <w:szCs w:val="22"/>
        </w:rPr>
        <w:t>Again, however, due to small sample size the results are not conclusive and should be treated with caution.</w:t>
      </w:r>
    </w:p>
    <w:p w:rsidR="000432E3" w:rsidRDefault="000432E3" w:rsidP="000432E3">
      <w:pPr>
        <w:tabs>
          <w:tab w:val="left" w:pos="0"/>
        </w:tabs>
        <w:jc w:val="both"/>
        <w:rPr>
          <w:szCs w:val="22"/>
        </w:rPr>
      </w:pPr>
    </w:p>
    <w:p w:rsidR="000432E3" w:rsidRPr="00B61EF6" w:rsidRDefault="000432E3" w:rsidP="000432E3">
      <w:pPr>
        <w:tabs>
          <w:tab w:val="left" w:pos="0"/>
        </w:tabs>
        <w:jc w:val="both"/>
        <w:rPr>
          <w:szCs w:val="22"/>
        </w:rPr>
      </w:pPr>
      <w:r w:rsidRPr="00B61EF6">
        <w:rPr>
          <w:szCs w:val="22"/>
        </w:rPr>
        <w:t>Statistically significant associations are presented in</w:t>
      </w:r>
      <w:r>
        <w:rPr>
          <w:szCs w:val="22"/>
        </w:rPr>
        <w:t xml:space="preserve"> </w:t>
      </w:r>
      <w:r w:rsidRPr="00B61EF6">
        <w:rPr>
          <w:szCs w:val="22"/>
        </w:rPr>
        <w:fldChar w:fldCharType="begin"/>
      </w:r>
      <w:r w:rsidRPr="00B61EF6">
        <w:rPr>
          <w:szCs w:val="22"/>
        </w:rPr>
        <w:instrText xml:space="preserve"> REF _Ref406580977 \h  \* MERGEFORMAT </w:instrText>
      </w:r>
      <w:r w:rsidRPr="00B61EF6">
        <w:rPr>
          <w:szCs w:val="22"/>
        </w:rPr>
      </w:r>
      <w:r w:rsidRPr="00B61EF6">
        <w:rPr>
          <w:szCs w:val="22"/>
        </w:rPr>
        <w:fldChar w:fldCharType="separate"/>
      </w:r>
      <w:r w:rsidR="00B2175B" w:rsidRPr="00B2175B">
        <w:rPr>
          <w:bCs/>
          <w:szCs w:val="22"/>
        </w:rPr>
        <w:t xml:space="preserve">Table </w:t>
      </w:r>
      <w:r w:rsidR="00B2175B" w:rsidRPr="00B2175B">
        <w:rPr>
          <w:bCs/>
          <w:noProof/>
          <w:szCs w:val="22"/>
        </w:rPr>
        <w:t>17</w:t>
      </w:r>
      <w:r w:rsidRPr="00B61EF6">
        <w:rPr>
          <w:szCs w:val="22"/>
        </w:rPr>
        <w:fldChar w:fldCharType="end"/>
      </w:r>
      <w:r w:rsidRPr="00B61EF6">
        <w:rPr>
          <w:szCs w:val="22"/>
        </w:rPr>
        <w:t xml:space="preserve">; all associations (including non-statistically significant) are presented in Appendix </w:t>
      </w:r>
      <w:r>
        <w:rPr>
          <w:szCs w:val="22"/>
        </w:rPr>
        <w:t>10</w:t>
      </w:r>
      <w:r w:rsidRPr="00B61EF6">
        <w:rPr>
          <w:szCs w:val="22"/>
        </w:rPr>
        <w:t>.</w:t>
      </w:r>
    </w:p>
    <w:p w:rsidR="000432E3" w:rsidRDefault="000432E3" w:rsidP="00633B6D">
      <w:pPr>
        <w:tabs>
          <w:tab w:val="left" w:pos="0"/>
        </w:tabs>
        <w:jc w:val="both"/>
        <w:rPr>
          <w:szCs w:val="22"/>
        </w:rPr>
      </w:pPr>
    </w:p>
    <w:p w:rsidR="000432E3" w:rsidRDefault="000432E3" w:rsidP="00633B6D">
      <w:pPr>
        <w:tabs>
          <w:tab w:val="left" w:pos="0"/>
        </w:tabs>
        <w:jc w:val="both"/>
        <w:rPr>
          <w:szCs w:val="22"/>
        </w:rPr>
      </w:pPr>
    </w:p>
    <w:p w:rsidR="00B61EF6" w:rsidRPr="00633B6D" w:rsidRDefault="00B61EF6" w:rsidP="00633B6D">
      <w:pPr>
        <w:tabs>
          <w:tab w:val="left" w:pos="0"/>
        </w:tabs>
        <w:jc w:val="both"/>
        <w:rPr>
          <w:szCs w:val="22"/>
        </w:rPr>
      </w:pPr>
    </w:p>
    <w:p w:rsidR="00B61EF6" w:rsidRPr="00934E6A" w:rsidRDefault="00B61EF6" w:rsidP="00D43047">
      <w:pPr>
        <w:keepNext/>
        <w:keepLines/>
        <w:jc w:val="both"/>
        <w:rPr>
          <w:b/>
          <w:bCs/>
          <w:sz w:val="20"/>
          <w:szCs w:val="20"/>
        </w:rPr>
      </w:pPr>
      <w:bookmarkStart w:id="209" w:name="_Ref406580977"/>
      <w:bookmarkStart w:id="210" w:name="_Toc420393805"/>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17</w:t>
      </w:r>
      <w:r w:rsidRPr="00934E6A">
        <w:rPr>
          <w:b/>
          <w:bCs/>
          <w:sz w:val="20"/>
          <w:szCs w:val="20"/>
        </w:rPr>
        <w:fldChar w:fldCharType="end"/>
      </w:r>
      <w:bookmarkEnd w:id="209"/>
      <w:r w:rsidRPr="00934E6A">
        <w:rPr>
          <w:b/>
          <w:bCs/>
          <w:sz w:val="20"/>
          <w:szCs w:val="20"/>
        </w:rPr>
        <w:t xml:space="preserve">: </w:t>
      </w:r>
      <w:r w:rsidR="007F2FB4">
        <w:rPr>
          <w:b/>
          <w:bCs/>
          <w:sz w:val="20"/>
          <w:szCs w:val="20"/>
        </w:rPr>
        <w:t>Bivariate associations</w:t>
      </w:r>
      <w:r w:rsidRPr="00934E6A">
        <w:rPr>
          <w:b/>
          <w:bCs/>
          <w:sz w:val="20"/>
          <w:szCs w:val="20"/>
        </w:rPr>
        <w:t xml:space="preserve"> for </w:t>
      </w:r>
      <w:r>
        <w:rPr>
          <w:b/>
          <w:bCs/>
          <w:sz w:val="20"/>
          <w:szCs w:val="20"/>
        </w:rPr>
        <w:t>staying as a moderate-risk/problem</w:t>
      </w:r>
      <w:r w:rsidRPr="00934E6A">
        <w:rPr>
          <w:b/>
          <w:bCs/>
          <w:sz w:val="20"/>
          <w:szCs w:val="20"/>
        </w:rPr>
        <w:t xml:space="preserve"> gambler </w:t>
      </w:r>
      <w:r w:rsidR="007C56C7">
        <w:rPr>
          <w:b/>
          <w:bCs/>
          <w:sz w:val="20"/>
          <w:szCs w:val="20"/>
        </w:rPr>
        <w:t>in</w:t>
      </w:r>
      <w:r w:rsidRPr="00934E6A">
        <w:rPr>
          <w:b/>
          <w:bCs/>
          <w:sz w:val="20"/>
          <w:szCs w:val="20"/>
        </w:rPr>
        <w:t xml:space="preserve"> Wave 2</w:t>
      </w:r>
      <w:bookmarkEnd w:id="2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4"/>
        <w:gridCol w:w="1103"/>
        <w:gridCol w:w="851"/>
        <w:gridCol w:w="1089"/>
        <w:gridCol w:w="246"/>
        <w:gridCol w:w="813"/>
      </w:tblGrid>
      <w:tr w:rsidR="00B61EF6" w:rsidRPr="00985F5E" w:rsidTr="00E05935">
        <w:trPr>
          <w:tblHeader/>
        </w:trPr>
        <w:tc>
          <w:tcPr>
            <w:tcW w:w="4204" w:type="dxa"/>
            <w:tcBorders>
              <w:top w:val="single" w:sz="4" w:space="0" w:color="auto"/>
              <w:bottom w:val="single" w:sz="4" w:space="0" w:color="auto"/>
            </w:tcBorders>
            <w:vAlign w:val="bottom"/>
          </w:tcPr>
          <w:p w:rsidR="00B61EF6" w:rsidRPr="00985F5E" w:rsidRDefault="00B61EF6" w:rsidP="00D43047">
            <w:pPr>
              <w:keepNext/>
              <w:keepLines/>
              <w:spacing w:before="20"/>
              <w:jc w:val="both"/>
              <w:rPr>
                <w:b/>
                <w:sz w:val="18"/>
                <w:szCs w:val="18"/>
              </w:rPr>
            </w:pPr>
            <w:r w:rsidRPr="00985F5E">
              <w:rPr>
                <w:b/>
                <w:sz w:val="18"/>
                <w:szCs w:val="18"/>
              </w:rPr>
              <w:t>Variable</w:t>
            </w:r>
          </w:p>
        </w:tc>
        <w:tc>
          <w:tcPr>
            <w:tcW w:w="1103" w:type="dxa"/>
            <w:tcBorders>
              <w:top w:val="single" w:sz="4" w:space="0" w:color="auto"/>
              <w:bottom w:val="single" w:sz="4" w:space="0" w:color="auto"/>
            </w:tcBorders>
            <w:vAlign w:val="center"/>
          </w:tcPr>
          <w:p w:rsidR="00B61EF6" w:rsidRPr="00985F5E" w:rsidRDefault="00B61EF6" w:rsidP="00D43047">
            <w:pPr>
              <w:keepNext/>
              <w:keepLines/>
              <w:spacing w:before="20"/>
              <w:jc w:val="right"/>
              <w:rPr>
                <w:rFonts w:ascii="Calibri" w:hAnsi="Calibri"/>
                <w:b/>
                <w:bCs/>
                <w:color w:val="000000"/>
                <w:sz w:val="18"/>
                <w:szCs w:val="18"/>
              </w:rPr>
            </w:pPr>
            <w:r w:rsidRPr="00985F5E">
              <w:rPr>
                <w:rFonts w:ascii="Calibri" w:hAnsi="Calibri"/>
                <w:b/>
                <w:bCs/>
                <w:color w:val="000000"/>
                <w:sz w:val="18"/>
                <w:szCs w:val="18"/>
              </w:rPr>
              <w:t>%</w:t>
            </w:r>
          </w:p>
        </w:tc>
        <w:tc>
          <w:tcPr>
            <w:tcW w:w="851" w:type="dxa"/>
            <w:tcBorders>
              <w:top w:val="single" w:sz="4" w:space="0" w:color="auto"/>
              <w:bottom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r w:rsidRPr="00985F5E">
              <w:rPr>
                <w:rFonts w:ascii="Calibri" w:hAnsi="Calibri"/>
                <w:b/>
                <w:color w:val="000000"/>
                <w:sz w:val="18"/>
                <w:szCs w:val="18"/>
              </w:rPr>
              <w:t>Odds Ratio</w:t>
            </w:r>
          </w:p>
        </w:tc>
        <w:tc>
          <w:tcPr>
            <w:tcW w:w="1335" w:type="dxa"/>
            <w:gridSpan w:val="2"/>
            <w:tcBorders>
              <w:top w:val="single" w:sz="4" w:space="0" w:color="auto"/>
              <w:bottom w:val="single" w:sz="4" w:space="0" w:color="auto"/>
            </w:tcBorders>
            <w:vAlign w:val="center"/>
          </w:tcPr>
          <w:p w:rsidR="00B61EF6" w:rsidRPr="00985F5E" w:rsidRDefault="00482A4F" w:rsidP="00D43047">
            <w:pPr>
              <w:keepNext/>
              <w:keepLines/>
              <w:spacing w:before="20"/>
              <w:jc w:val="right"/>
              <w:rPr>
                <w:rFonts w:ascii="Calibri" w:hAnsi="Calibri"/>
                <w:b/>
                <w:color w:val="000000"/>
                <w:sz w:val="18"/>
                <w:szCs w:val="18"/>
              </w:rPr>
            </w:pPr>
            <w:r w:rsidRPr="00985F5E">
              <w:rPr>
                <w:rFonts w:ascii="Calibri" w:hAnsi="Calibri"/>
                <w:b/>
                <w:color w:val="000000"/>
                <w:sz w:val="18"/>
                <w:szCs w:val="18"/>
              </w:rPr>
              <w:t>(</w:t>
            </w:r>
            <w:r w:rsidR="00B61EF6" w:rsidRPr="00985F5E">
              <w:rPr>
                <w:rFonts w:ascii="Calibri" w:hAnsi="Calibri"/>
                <w:b/>
                <w:color w:val="000000"/>
                <w:sz w:val="18"/>
                <w:szCs w:val="18"/>
              </w:rPr>
              <w:t>95% CI</w:t>
            </w:r>
            <w:r w:rsidRPr="00985F5E">
              <w:rPr>
                <w:rFonts w:ascii="Calibri" w:hAnsi="Calibri"/>
                <w:b/>
                <w:color w:val="000000"/>
                <w:sz w:val="18"/>
                <w:szCs w:val="18"/>
              </w:rPr>
              <w:t>)</w:t>
            </w:r>
          </w:p>
        </w:tc>
        <w:tc>
          <w:tcPr>
            <w:tcW w:w="813" w:type="dxa"/>
            <w:tcBorders>
              <w:top w:val="single" w:sz="4" w:space="0" w:color="auto"/>
              <w:bottom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r w:rsidRPr="00985F5E">
              <w:rPr>
                <w:rFonts w:ascii="Calibri" w:hAnsi="Calibri"/>
                <w:b/>
                <w:color w:val="000000"/>
                <w:sz w:val="18"/>
                <w:szCs w:val="18"/>
              </w:rPr>
              <w:t>p-value</w:t>
            </w:r>
          </w:p>
        </w:tc>
      </w:tr>
      <w:tr w:rsidR="00B61EF6" w:rsidRPr="00985F5E" w:rsidTr="00E05935">
        <w:tc>
          <w:tcPr>
            <w:tcW w:w="4204" w:type="dxa"/>
            <w:tcBorders>
              <w:top w:val="single" w:sz="4" w:space="0" w:color="auto"/>
            </w:tcBorders>
            <w:vAlign w:val="bottom"/>
          </w:tcPr>
          <w:p w:rsidR="00B61EF6" w:rsidRPr="00985F5E" w:rsidRDefault="00B61EF6" w:rsidP="00D43047">
            <w:pPr>
              <w:keepNext/>
              <w:keepLines/>
              <w:spacing w:before="20"/>
              <w:jc w:val="both"/>
              <w:rPr>
                <w:b/>
                <w:sz w:val="18"/>
                <w:szCs w:val="18"/>
              </w:rPr>
            </w:pPr>
            <w:r w:rsidRPr="00985F5E">
              <w:rPr>
                <w:b/>
                <w:sz w:val="18"/>
                <w:szCs w:val="18"/>
              </w:rPr>
              <w:t>Age group (years)</w:t>
            </w:r>
          </w:p>
        </w:tc>
        <w:tc>
          <w:tcPr>
            <w:tcW w:w="1103" w:type="dxa"/>
            <w:tcBorders>
              <w:top w:val="single" w:sz="4" w:space="0" w:color="auto"/>
            </w:tcBorders>
            <w:vAlign w:val="center"/>
          </w:tcPr>
          <w:p w:rsidR="00B61EF6" w:rsidRPr="00985F5E" w:rsidRDefault="00B61EF6" w:rsidP="00D43047">
            <w:pPr>
              <w:keepNext/>
              <w:keepLines/>
              <w:spacing w:before="20"/>
              <w:jc w:val="right"/>
              <w:rPr>
                <w:rFonts w:ascii="Calibri" w:hAnsi="Calibri"/>
                <w:b/>
                <w:bCs/>
                <w:color w:val="000000"/>
                <w:sz w:val="18"/>
                <w:szCs w:val="18"/>
              </w:rPr>
            </w:pPr>
          </w:p>
        </w:tc>
        <w:tc>
          <w:tcPr>
            <w:tcW w:w="851" w:type="dxa"/>
            <w:tcBorders>
              <w:top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p>
        </w:tc>
        <w:tc>
          <w:tcPr>
            <w:tcW w:w="1089" w:type="dxa"/>
            <w:tcBorders>
              <w:top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p>
        </w:tc>
        <w:tc>
          <w:tcPr>
            <w:tcW w:w="246" w:type="dxa"/>
            <w:tcBorders>
              <w:top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p>
        </w:tc>
        <w:tc>
          <w:tcPr>
            <w:tcW w:w="813" w:type="dxa"/>
            <w:tcBorders>
              <w:top w:val="single" w:sz="4" w:space="0" w:color="auto"/>
            </w:tcBorders>
            <w:vAlign w:val="center"/>
          </w:tcPr>
          <w:p w:rsidR="00B61EF6" w:rsidRPr="00985F5E" w:rsidRDefault="00B61EF6" w:rsidP="00D43047">
            <w:pPr>
              <w:keepNext/>
              <w:keepLines/>
              <w:spacing w:before="20"/>
              <w:jc w:val="right"/>
              <w:rPr>
                <w:rFonts w:ascii="Calibri" w:hAnsi="Calibri"/>
                <w:b/>
                <w:color w:val="000000"/>
                <w:sz w:val="18"/>
                <w:szCs w:val="18"/>
              </w:rPr>
            </w:pPr>
          </w:p>
        </w:tc>
      </w:tr>
      <w:tr w:rsidR="00B61EF6" w:rsidRPr="00985F5E" w:rsidTr="00E05935">
        <w:tc>
          <w:tcPr>
            <w:tcW w:w="4204" w:type="dxa"/>
          </w:tcPr>
          <w:p w:rsidR="00B61EF6" w:rsidRPr="00985F5E" w:rsidRDefault="00B61EF6" w:rsidP="00D43047">
            <w:pPr>
              <w:keepNext/>
              <w:keepLines/>
              <w:spacing w:before="20"/>
              <w:ind w:left="176"/>
              <w:jc w:val="both"/>
              <w:rPr>
                <w:sz w:val="18"/>
                <w:szCs w:val="18"/>
              </w:rPr>
            </w:pPr>
            <w:r w:rsidRPr="00985F5E">
              <w:rPr>
                <w:sz w:val="18"/>
                <w:szCs w:val="18"/>
              </w:rPr>
              <w:t>18 - 24</w:t>
            </w:r>
          </w:p>
        </w:tc>
        <w:tc>
          <w:tcPr>
            <w:tcW w:w="1103" w:type="dxa"/>
          </w:tcPr>
          <w:p w:rsidR="00B61EF6" w:rsidRPr="00985F5E" w:rsidRDefault="009A02F6" w:rsidP="00D43047">
            <w:pPr>
              <w:keepNext/>
              <w:keepLines/>
              <w:adjustRightInd w:val="0"/>
              <w:spacing w:before="20"/>
              <w:jc w:val="right"/>
              <w:rPr>
                <w:color w:val="000000"/>
                <w:sz w:val="18"/>
                <w:szCs w:val="18"/>
              </w:rPr>
            </w:pPr>
            <w:r w:rsidRPr="00985F5E">
              <w:rPr>
                <w:color w:val="000000"/>
                <w:sz w:val="18"/>
                <w:szCs w:val="18"/>
              </w:rPr>
              <w:t>31.2</w:t>
            </w:r>
          </w:p>
        </w:tc>
        <w:tc>
          <w:tcPr>
            <w:tcW w:w="851" w:type="dxa"/>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25 - 34</w:t>
            </w:r>
          </w:p>
        </w:tc>
        <w:tc>
          <w:tcPr>
            <w:tcW w:w="1103"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39.0</w:t>
            </w:r>
          </w:p>
        </w:tc>
        <w:tc>
          <w:tcPr>
            <w:tcW w:w="851"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1.41</w:t>
            </w:r>
          </w:p>
        </w:tc>
        <w:tc>
          <w:tcPr>
            <w:tcW w:w="1335" w:type="dxa"/>
            <w:gridSpan w:val="2"/>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0.25 - 8.10</w:t>
            </w:r>
            <w:r w:rsidRPr="00985F5E">
              <w:rPr>
                <w:color w:val="000000"/>
                <w:sz w:val="18"/>
                <w:szCs w:val="18"/>
              </w:rPr>
              <w:t>)</w:t>
            </w:r>
          </w:p>
        </w:tc>
        <w:tc>
          <w:tcPr>
            <w:tcW w:w="813" w:type="dxa"/>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35 - 44</w:t>
            </w:r>
          </w:p>
        </w:tc>
        <w:tc>
          <w:tcPr>
            <w:tcW w:w="1103"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40.7</w:t>
            </w:r>
          </w:p>
        </w:tc>
        <w:tc>
          <w:tcPr>
            <w:tcW w:w="851"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1.52</w:t>
            </w:r>
          </w:p>
        </w:tc>
        <w:tc>
          <w:tcPr>
            <w:tcW w:w="1335" w:type="dxa"/>
            <w:gridSpan w:val="2"/>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0.26 - 8.79</w:t>
            </w:r>
            <w:r w:rsidRPr="00985F5E">
              <w:rPr>
                <w:color w:val="000000"/>
                <w:sz w:val="18"/>
                <w:szCs w:val="18"/>
              </w:rPr>
              <w:t>)</w:t>
            </w:r>
          </w:p>
        </w:tc>
        <w:tc>
          <w:tcPr>
            <w:tcW w:w="813" w:type="dxa"/>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45 - 54</w:t>
            </w:r>
          </w:p>
        </w:tc>
        <w:tc>
          <w:tcPr>
            <w:tcW w:w="1103"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34.6</w:t>
            </w:r>
          </w:p>
        </w:tc>
        <w:tc>
          <w:tcPr>
            <w:tcW w:w="851"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1.17</w:t>
            </w:r>
          </w:p>
        </w:tc>
        <w:tc>
          <w:tcPr>
            <w:tcW w:w="1335" w:type="dxa"/>
            <w:gridSpan w:val="2"/>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0.20 - 6.83</w:t>
            </w:r>
            <w:r w:rsidRPr="00985F5E">
              <w:rPr>
                <w:color w:val="000000"/>
                <w:sz w:val="18"/>
                <w:szCs w:val="18"/>
              </w:rPr>
              <w:t>)</w:t>
            </w:r>
          </w:p>
        </w:tc>
        <w:tc>
          <w:tcPr>
            <w:tcW w:w="813" w:type="dxa"/>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 xml:space="preserve">55+ </w:t>
            </w:r>
          </w:p>
        </w:tc>
        <w:tc>
          <w:tcPr>
            <w:tcW w:w="1103"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77.3</w:t>
            </w:r>
          </w:p>
        </w:tc>
        <w:tc>
          <w:tcPr>
            <w:tcW w:w="851"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7.54</w:t>
            </w:r>
          </w:p>
        </w:tc>
        <w:tc>
          <w:tcPr>
            <w:tcW w:w="1335" w:type="dxa"/>
            <w:gridSpan w:val="2"/>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0.74 - 77.13</w:t>
            </w:r>
            <w:r w:rsidRPr="00985F5E">
              <w:rPr>
                <w:color w:val="000000"/>
                <w:sz w:val="18"/>
                <w:szCs w:val="18"/>
              </w:rPr>
              <w:t>)</w:t>
            </w:r>
          </w:p>
        </w:tc>
        <w:tc>
          <w:tcPr>
            <w:tcW w:w="813" w:type="dxa"/>
            <w:shd w:val="clear" w:color="auto" w:fill="D9D9D9" w:themeFill="background1" w:themeFillShade="D9"/>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&lt;0.0001</w:t>
            </w:r>
          </w:p>
        </w:tc>
      </w:tr>
      <w:tr w:rsidR="00B61EF6" w:rsidRPr="00985F5E" w:rsidTr="00E05935">
        <w:tc>
          <w:tcPr>
            <w:tcW w:w="4204" w:type="dxa"/>
            <w:vAlign w:val="bottom"/>
          </w:tcPr>
          <w:p w:rsidR="00B61EF6" w:rsidRPr="00985F5E" w:rsidRDefault="00C41FBE" w:rsidP="00D43047">
            <w:pPr>
              <w:keepNext/>
              <w:keepLines/>
              <w:spacing w:before="20"/>
              <w:jc w:val="both"/>
              <w:rPr>
                <w:b/>
                <w:sz w:val="18"/>
                <w:szCs w:val="18"/>
              </w:rPr>
            </w:pPr>
            <w:r w:rsidRPr="00985F5E">
              <w:rPr>
                <w:b/>
                <w:sz w:val="18"/>
                <w:szCs w:val="18"/>
              </w:rPr>
              <w:t>Country of b</w:t>
            </w:r>
            <w:r w:rsidR="00B61EF6" w:rsidRPr="00985F5E">
              <w:rPr>
                <w:b/>
                <w:sz w:val="18"/>
                <w:szCs w:val="18"/>
              </w:rPr>
              <w:t>irth</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p>
        </w:tc>
        <w:tc>
          <w:tcPr>
            <w:tcW w:w="851" w:type="dxa"/>
            <w:vAlign w:val="center"/>
          </w:tcPr>
          <w:p w:rsidR="00B61EF6" w:rsidRPr="00985F5E" w:rsidRDefault="00B61EF6" w:rsidP="00D43047">
            <w:pPr>
              <w:keepNext/>
              <w:keepLines/>
              <w:adjustRightInd w:val="0"/>
              <w:spacing w:before="20"/>
              <w:jc w:val="right"/>
              <w:rPr>
                <w:color w:val="000000"/>
                <w:sz w:val="18"/>
                <w:szCs w:val="18"/>
              </w:rPr>
            </w:pP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B61EF6" w:rsidRPr="00985F5E" w:rsidTr="00E05935">
        <w:tc>
          <w:tcPr>
            <w:tcW w:w="4204" w:type="dxa"/>
          </w:tcPr>
          <w:p w:rsidR="00B61EF6" w:rsidRPr="00985F5E" w:rsidRDefault="00B61EF6" w:rsidP="00D43047">
            <w:pPr>
              <w:keepNext/>
              <w:keepLines/>
              <w:spacing w:before="20"/>
              <w:ind w:left="176"/>
              <w:jc w:val="both"/>
              <w:rPr>
                <w:sz w:val="18"/>
                <w:szCs w:val="18"/>
              </w:rPr>
            </w:pPr>
            <w:r w:rsidRPr="00985F5E">
              <w:rPr>
                <w:sz w:val="18"/>
                <w:szCs w:val="18"/>
              </w:rPr>
              <w:t>NZ</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50.4</w:t>
            </w:r>
          </w:p>
        </w:tc>
        <w:tc>
          <w:tcPr>
            <w:tcW w:w="851"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Other</w:t>
            </w:r>
          </w:p>
        </w:tc>
        <w:tc>
          <w:tcPr>
            <w:tcW w:w="1103"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19.6</w:t>
            </w:r>
          </w:p>
        </w:tc>
        <w:tc>
          <w:tcPr>
            <w:tcW w:w="851"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0.24</w:t>
            </w:r>
          </w:p>
        </w:tc>
        <w:tc>
          <w:tcPr>
            <w:tcW w:w="1335" w:type="dxa"/>
            <w:gridSpan w:val="2"/>
            <w:vAlign w:val="center"/>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0.07 - 0.85</w:t>
            </w:r>
            <w:r w:rsidRPr="00985F5E">
              <w:rPr>
                <w:color w:val="000000"/>
                <w:sz w:val="18"/>
                <w:szCs w:val="18"/>
              </w:rPr>
              <w:t>)</w:t>
            </w:r>
          </w:p>
        </w:tc>
        <w:tc>
          <w:tcPr>
            <w:tcW w:w="813" w:type="dxa"/>
            <w:shd w:val="clear" w:color="auto" w:fill="D9D9D9" w:themeFill="background1" w:themeFillShade="D9"/>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0.03</w:t>
            </w:r>
          </w:p>
        </w:tc>
      </w:tr>
      <w:tr w:rsidR="00B61EF6" w:rsidRPr="00985F5E" w:rsidTr="00E05935">
        <w:tc>
          <w:tcPr>
            <w:tcW w:w="4204" w:type="dxa"/>
            <w:vAlign w:val="bottom"/>
          </w:tcPr>
          <w:p w:rsidR="00B61EF6" w:rsidRPr="00985F5E" w:rsidRDefault="00B61EF6" w:rsidP="00D43047">
            <w:pPr>
              <w:keepNext/>
              <w:keepLines/>
              <w:spacing w:before="20"/>
              <w:jc w:val="both"/>
              <w:rPr>
                <w:b/>
                <w:sz w:val="18"/>
                <w:szCs w:val="18"/>
              </w:rPr>
            </w:pPr>
            <w:r w:rsidRPr="00985F5E">
              <w:rPr>
                <w:b/>
                <w:sz w:val="18"/>
                <w:szCs w:val="18"/>
              </w:rPr>
              <w:t>Pattern of participation</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p>
        </w:tc>
        <w:tc>
          <w:tcPr>
            <w:tcW w:w="851" w:type="dxa"/>
            <w:vAlign w:val="center"/>
          </w:tcPr>
          <w:p w:rsidR="00B61EF6" w:rsidRPr="00985F5E" w:rsidRDefault="00B61EF6" w:rsidP="00D43047">
            <w:pPr>
              <w:keepNext/>
              <w:keepLines/>
              <w:adjustRightInd w:val="0"/>
              <w:spacing w:before="20"/>
              <w:jc w:val="right"/>
              <w:rPr>
                <w:color w:val="000000"/>
                <w:sz w:val="18"/>
                <w:szCs w:val="18"/>
              </w:rPr>
            </w:pP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B61EF6" w:rsidRPr="00985F5E" w:rsidTr="00E05935">
        <w:tc>
          <w:tcPr>
            <w:tcW w:w="4204" w:type="dxa"/>
          </w:tcPr>
          <w:p w:rsidR="00B61EF6" w:rsidRPr="00985F5E" w:rsidRDefault="00B61EF6" w:rsidP="00D43047">
            <w:pPr>
              <w:keepNext/>
              <w:keepLines/>
              <w:spacing w:before="20"/>
              <w:ind w:left="176"/>
              <w:jc w:val="both"/>
              <w:rPr>
                <w:sz w:val="18"/>
                <w:szCs w:val="18"/>
              </w:rPr>
            </w:pPr>
            <w:r w:rsidRPr="00985F5E">
              <w:rPr>
                <w:sz w:val="18"/>
                <w:szCs w:val="18"/>
              </w:rPr>
              <w:t>Infrequent gambler</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23.4</w:t>
            </w:r>
          </w:p>
        </w:tc>
        <w:tc>
          <w:tcPr>
            <w:tcW w:w="851"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Regular non-continuous gambler</w:t>
            </w:r>
          </w:p>
        </w:tc>
        <w:tc>
          <w:tcPr>
            <w:tcW w:w="1103"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45.5</w:t>
            </w:r>
          </w:p>
        </w:tc>
        <w:tc>
          <w:tcPr>
            <w:tcW w:w="851"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2.73</w:t>
            </w:r>
          </w:p>
        </w:tc>
        <w:tc>
          <w:tcPr>
            <w:tcW w:w="1335" w:type="dxa"/>
            <w:gridSpan w:val="2"/>
            <w:vAlign w:val="center"/>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0.71 - 10.52</w:t>
            </w:r>
            <w:r w:rsidRPr="00985F5E">
              <w:rPr>
                <w:color w:val="000000"/>
                <w:sz w:val="18"/>
                <w:szCs w:val="18"/>
              </w:rPr>
              <w:t>)</w:t>
            </w:r>
          </w:p>
        </w:tc>
        <w:tc>
          <w:tcPr>
            <w:tcW w:w="813" w:type="dxa"/>
            <w:vAlign w:val="center"/>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Regular continuous gambler</w:t>
            </w:r>
          </w:p>
        </w:tc>
        <w:tc>
          <w:tcPr>
            <w:tcW w:w="1103"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63.2</w:t>
            </w:r>
          </w:p>
        </w:tc>
        <w:tc>
          <w:tcPr>
            <w:tcW w:w="851"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5.61</w:t>
            </w:r>
          </w:p>
        </w:tc>
        <w:tc>
          <w:tcPr>
            <w:tcW w:w="1335" w:type="dxa"/>
            <w:gridSpan w:val="2"/>
            <w:vAlign w:val="center"/>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1.40 - 22.45</w:t>
            </w:r>
            <w:r w:rsidRPr="00985F5E">
              <w:rPr>
                <w:color w:val="000000"/>
                <w:sz w:val="18"/>
                <w:szCs w:val="18"/>
              </w:rPr>
              <w:t>)</w:t>
            </w:r>
          </w:p>
        </w:tc>
        <w:tc>
          <w:tcPr>
            <w:tcW w:w="813" w:type="dxa"/>
            <w:shd w:val="clear" w:color="auto" w:fill="D9D9D9" w:themeFill="background1" w:themeFillShade="D9"/>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0.05</w:t>
            </w:r>
          </w:p>
        </w:tc>
      </w:tr>
      <w:tr w:rsidR="00B61EF6" w:rsidRPr="00985F5E" w:rsidTr="00E05935">
        <w:tc>
          <w:tcPr>
            <w:tcW w:w="4204" w:type="dxa"/>
            <w:vAlign w:val="bottom"/>
          </w:tcPr>
          <w:p w:rsidR="00B61EF6" w:rsidRPr="00985F5E" w:rsidRDefault="00B61EF6" w:rsidP="00D43047">
            <w:pPr>
              <w:keepNext/>
              <w:keepLines/>
              <w:spacing w:before="20"/>
              <w:jc w:val="both"/>
              <w:rPr>
                <w:b/>
                <w:sz w:val="18"/>
                <w:szCs w:val="18"/>
              </w:rPr>
            </w:pPr>
            <w:r w:rsidRPr="00985F5E">
              <w:rPr>
                <w:b/>
                <w:sz w:val="18"/>
                <w:szCs w:val="18"/>
              </w:rPr>
              <w:t>Gambling frequency</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p>
        </w:tc>
        <w:tc>
          <w:tcPr>
            <w:tcW w:w="851" w:type="dxa"/>
          </w:tcPr>
          <w:p w:rsidR="00B61EF6" w:rsidRPr="00985F5E" w:rsidRDefault="00B61EF6" w:rsidP="00D43047">
            <w:pPr>
              <w:keepNext/>
              <w:keepLines/>
              <w:adjustRightInd w:val="0"/>
              <w:spacing w:before="20"/>
              <w:jc w:val="right"/>
              <w:rPr>
                <w:color w:val="000000"/>
                <w:sz w:val="18"/>
                <w:szCs w:val="18"/>
              </w:rPr>
            </w:pPr>
          </w:p>
        </w:tc>
        <w:tc>
          <w:tcPr>
            <w:tcW w:w="1089" w:type="dxa"/>
          </w:tcPr>
          <w:p w:rsidR="00B61EF6" w:rsidRPr="00985F5E" w:rsidRDefault="00B61EF6" w:rsidP="00D43047">
            <w:pPr>
              <w:keepNext/>
              <w:keepLines/>
              <w:adjustRightInd w:val="0"/>
              <w:spacing w:before="20"/>
              <w:jc w:val="right"/>
              <w:rPr>
                <w:color w:val="000000"/>
                <w:sz w:val="18"/>
                <w:szCs w:val="18"/>
              </w:rPr>
            </w:pPr>
          </w:p>
        </w:tc>
        <w:tc>
          <w:tcPr>
            <w:tcW w:w="246" w:type="dxa"/>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At least weekly</w:t>
            </w:r>
          </w:p>
        </w:tc>
        <w:tc>
          <w:tcPr>
            <w:tcW w:w="1103"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58.6</w:t>
            </w:r>
          </w:p>
        </w:tc>
        <w:tc>
          <w:tcPr>
            <w:tcW w:w="851"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4.53</w:t>
            </w:r>
          </w:p>
        </w:tc>
        <w:tc>
          <w:tcPr>
            <w:tcW w:w="1335" w:type="dxa"/>
            <w:gridSpan w:val="2"/>
            <w:vAlign w:val="center"/>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0.57 - 36.25</w:t>
            </w:r>
            <w:r w:rsidRPr="00985F5E">
              <w:rPr>
                <w:color w:val="000000"/>
                <w:sz w:val="18"/>
                <w:szCs w:val="18"/>
              </w:rPr>
              <w:t>)</w:t>
            </w:r>
          </w:p>
        </w:tc>
        <w:tc>
          <w:tcPr>
            <w:tcW w:w="813" w:type="dxa"/>
            <w:vAlign w:val="center"/>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At least monthly</w:t>
            </w:r>
          </w:p>
        </w:tc>
        <w:tc>
          <w:tcPr>
            <w:tcW w:w="1103"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16.4</w:t>
            </w:r>
          </w:p>
        </w:tc>
        <w:tc>
          <w:tcPr>
            <w:tcW w:w="851" w:type="dxa"/>
            <w:vAlign w:val="center"/>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0.63</w:t>
            </w:r>
          </w:p>
        </w:tc>
        <w:tc>
          <w:tcPr>
            <w:tcW w:w="1335" w:type="dxa"/>
            <w:gridSpan w:val="2"/>
            <w:vAlign w:val="center"/>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0.07 - 5.76</w:t>
            </w:r>
            <w:r w:rsidRPr="00985F5E">
              <w:rPr>
                <w:color w:val="000000"/>
                <w:sz w:val="18"/>
                <w:szCs w:val="18"/>
              </w:rPr>
              <w:t>)</w:t>
            </w:r>
          </w:p>
        </w:tc>
        <w:tc>
          <w:tcPr>
            <w:tcW w:w="813" w:type="dxa"/>
            <w:vAlign w:val="center"/>
          </w:tcPr>
          <w:p w:rsidR="00C476FB" w:rsidRPr="00985F5E" w:rsidRDefault="00C476FB" w:rsidP="00D43047">
            <w:pPr>
              <w:keepNext/>
              <w:keepLines/>
              <w:adjustRightInd w:val="0"/>
              <w:spacing w:before="20"/>
              <w:jc w:val="right"/>
              <w:rPr>
                <w:color w:val="000000"/>
                <w:sz w:val="18"/>
                <w:szCs w:val="18"/>
              </w:rPr>
            </w:pPr>
          </w:p>
        </w:tc>
      </w:tr>
      <w:tr w:rsidR="00B61EF6" w:rsidRPr="00985F5E" w:rsidTr="00E05935">
        <w:tc>
          <w:tcPr>
            <w:tcW w:w="4204" w:type="dxa"/>
          </w:tcPr>
          <w:p w:rsidR="00B61EF6" w:rsidRPr="00985F5E" w:rsidRDefault="00B61EF6" w:rsidP="00D43047">
            <w:pPr>
              <w:keepNext/>
              <w:keepLines/>
              <w:spacing w:before="20"/>
              <w:ind w:left="176"/>
              <w:jc w:val="both"/>
              <w:rPr>
                <w:sz w:val="18"/>
                <w:szCs w:val="18"/>
              </w:rPr>
            </w:pPr>
            <w:r w:rsidRPr="00985F5E">
              <w:rPr>
                <w:sz w:val="18"/>
                <w:szCs w:val="18"/>
              </w:rPr>
              <w:t>At least once in past year</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23.8</w:t>
            </w:r>
          </w:p>
        </w:tc>
        <w:tc>
          <w:tcPr>
            <w:tcW w:w="851"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shd w:val="clear" w:color="auto" w:fill="D9D9D9" w:themeFill="background1" w:themeFillShade="D9"/>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0.01</w:t>
            </w:r>
          </w:p>
        </w:tc>
      </w:tr>
      <w:tr w:rsidR="00B61EF6" w:rsidRPr="00985F5E" w:rsidTr="00E05935">
        <w:tc>
          <w:tcPr>
            <w:tcW w:w="4204" w:type="dxa"/>
            <w:vAlign w:val="bottom"/>
          </w:tcPr>
          <w:p w:rsidR="00B61EF6" w:rsidRPr="00985F5E" w:rsidRDefault="00B61EF6" w:rsidP="00D43047">
            <w:pPr>
              <w:keepNext/>
              <w:keepLines/>
              <w:spacing w:before="20"/>
              <w:jc w:val="both"/>
              <w:rPr>
                <w:b/>
                <w:sz w:val="18"/>
                <w:szCs w:val="18"/>
              </w:rPr>
            </w:pPr>
            <w:r w:rsidRPr="00985F5E">
              <w:rPr>
                <w:b/>
                <w:bCs/>
                <w:color w:val="000000"/>
                <w:sz w:val="18"/>
                <w:szCs w:val="18"/>
              </w:rPr>
              <w:t>Time spent playing EGMs in an average day (club)</w:t>
            </w:r>
          </w:p>
        </w:tc>
        <w:tc>
          <w:tcPr>
            <w:tcW w:w="1103" w:type="dxa"/>
            <w:vAlign w:val="center"/>
          </w:tcPr>
          <w:p w:rsidR="00B61EF6" w:rsidRPr="00985F5E" w:rsidRDefault="00B61EF6" w:rsidP="00D43047">
            <w:pPr>
              <w:keepNext/>
              <w:keepLines/>
              <w:adjustRightInd w:val="0"/>
              <w:spacing w:before="20"/>
              <w:jc w:val="right"/>
              <w:rPr>
                <w:color w:val="000000"/>
                <w:sz w:val="18"/>
                <w:szCs w:val="18"/>
              </w:rPr>
            </w:pPr>
          </w:p>
        </w:tc>
        <w:tc>
          <w:tcPr>
            <w:tcW w:w="851" w:type="dxa"/>
            <w:vAlign w:val="center"/>
          </w:tcPr>
          <w:p w:rsidR="00B61EF6" w:rsidRPr="00985F5E" w:rsidRDefault="00B61EF6" w:rsidP="00D43047">
            <w:pPr>
              <w:keepNext/>
              <w:keepLines/>
              <w:adjustRightInd w:val="0"/>
              <w:spacing w:before="20"/>
              <w:jc w:val="right"/>
              <w:rPr>
                <w:color w:val="000000"/>
                <w:sz w:val="18"/>
                <w:szCs w:val="18"/>
              </w:rPr>
            </w:pP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B61EF6" w:rsidRPr="00985F5E" w:rsidTr="00E05935">
        <w:tc>
          <w:tcPr>
            <w:tcW w:w="4204" w:type="dxa"/>
          </w:tcPr>
          <w:p w:rsidR="00B61EF6" w:rsidRPr="00985F5E" w:rsidRDefault="00B61EF6" w:rsidP="00D43047">
            <w:pPr>
              <w:keepNext/>
              <w:keepLines/>
              <w:spacing w:before="20"/>
              <w:ind w:left="176"/>
              <w:jc w:val="both"/>
              <w:rPr>
                <w:sz w:val="18"/>
                <w:szCs w:val="18"/>
              </w:rPr>
            </w:pPr>
            <w:r w:rsidRPr="00985F5E">
              <w:rPr>
                <w:sz w:val="18"/>
                <w:szCs w:val="18"/>
              </w:rPr>
              <w:t>No time</w:t>
            </w:r>
          </w:p>
        </w:tc>
        <w:tc>
          <w:tcPr>
            <w:tcW w:w="1103" w:type="dxa"/>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40.8</w:t>
            </w:r>
          </w:p>
        </w:tc>
        <w:tc>
          <w:tcPr>
            <w:tcW w:w="851" w:type="dxa"/>
            <w:vAlign w:val="center"/>
          </w:tcPr>
          <w:p w:rsidR="00B61EF6" w:rsidRPr="00985F5E" w:rsidRDefault="00B61EF6" w:rsidP="00D43047">
            <w:pPr>
              <w:keepNext/>
              <w:keepLines/>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D43047">
            <w:pPr>
              <w:keepNext/>
              <w:keepLines/>
              <w:adjustRightInd w:val="0"/>
              <w:spacing w:before="20"/>
              <w:jc w:val="right"/>
              <w:rPr>
                <w:color w:val="000000"/>
                <w:sz w:val="18"/>
                <w:szCs w:val="18"/>
              </w:rPr>
            </w:pPr>
          </w:p>
        </w:tc>
        <w:tc>
          <w:tcPr>
            <w:tcW w:w="246" w:type="dxa"/>
            <w:vAlign w:val="center"/>
          </w:tcPr>
          <w:p w:rsidR="00B61EF6" w:rsidRPr="00985F5E" w:rsidRDefault="00B61EF6" w:rsidP="00D43047">
            <w:pPr>
              <w:keepNext/>
              <w:keepLines/>
              <w:adjustRightInd w:val="0"/>
              <w:spacing w:before="20"/>
              <w:jc w:val="right"/>
              <w:rPr>
                <w:color w:val="000000"/>
                <w:sz w:val="18"/>
                <w:szCs w:val="18"/>
              </w:rPr>
            </w:pPr>
          </w:p>
        </w:tc>
        <w:tc>
          <w:tcPr>
            <w:tcW w:w="813" w:type="dxa"/>
            <w:vAlign w:val="center"/>
          </w:tcPr>
          <w:p w:rsidR="00B61EF6" w:rsidRPr="00985F5E" w:rsidRDefault="00B61EF6"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D43047">
            <w:pPr>
              <w:keepNext/>
              <w:keepLines/>
              <w:spacing w:before="20"/>
              <w:ind w:left="176"/>
              <w:jc w:val="both"/>
              <w:rPr>
                <w:sz w:val="18"/>
                <w:szCs w:val="18"/>
              </w:rPr>
            </w:pPr>
            <w:r w:rsidRPr="00985F5E">
              <w:rPr>
                <w:sz w:val="18"/>
                <w:szCs w:val="18"/>
              </w:rPr>
              <w:t>Up to 15 minutes</w:t>
            </w:r>
          </w:p>
        </w:tc>
        <w:tc>
          <w:tcPr>
            <w:tcW w:w="1103"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24.8</w:t>
            </w:r>
          </w:p>
        </w:tc>
        <w:tc>
          <w:tcPr>
            <w:tcW w:w="851" w:type="dxa"/>
          </w:tcPr>
          <w:p w:rsidR="00C476FB" w:rsidRPr="00985F5E" w:rsidRDefault="00C476FB" w:rsidP="00D43047">
            <w:pPr>
              <w:keepNext/>
              <w:keepLines/>
              <w:adjustRightInd w:val="0"/>
              <w:spacing w:before="20"/>
              <w:jc w:val="right"/>
              <w:rPr>
                <w:color w:val="000000"/>
                <w:sz w:val="18"/>
                <w:szCs w:val="18"/>
              </w:rPr>
            </w:pPr>
            <w:r w:rsidRPr="00985F5E">
              <w:rPr>
                <w:color w:val="000000"/>
                <w:sz w:val="18"/>
                <w:szCs w:val="18"/>
              </w:rPr>
              <w:t>0.48</w:t>
            </w:r>
          </w:p>
        </w:tc>
        <w:tc>
          <w:tcPr>
            <w:tcW w:w="1335" w:type="dxa"/>
            <w:gridSpan w:val="2"/>
          </w:tcPr>
          <w:p w:rsidR="00C476FB" w:rsidRPr="00985F5E" w:rsidRDefault="00E07EB2" w:rsidP="00D43047">
            <w:pPr>
              <w:keepNext/>
              <w:keepLines/>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0.08 - 2.75</w:t>
            </w:r>
            <w:r w:rsidRPr="00985F5E">
              <w:rPr>
                <w:color w:val="000000"/>
                <w:sz w:val="18"/>
                <w:szCs w:val="18"/>
              </w:rPr>
              <w:t>)</w:t>
            </w:r>
          </w:p>
        </w:tc>
        <w:tc>
          <w:tcPr>
            <w:tcW w:w="813" w:type="dxa"/>
            <w:vAlign w:val="center"/>
          </w:tcPr>
          <w:p w:rsidR="00C476FB" w:rsidRPr="00985F5E" w:rsidRDefault="00C476FB" w:rsidP="00D43047">
            <w:pPr>
              <w:keepNext/>
              <w:keepLines/>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16 to 30 minutes</w:t>
            </w:r>
          </w:p>
        </w:tc>
        <w:tc>
          <w:tcPr>
            <w:tcW w:w="1103" w:type="dxa"/>
          </w:tcPr>
          <w:p w:rsidR="00C476FB" w:rsidRPr="00985F5E" w:rsidRDefault="00C476FB" w:rsidP="00C476FB">
            <w:pPr>
              <w:adjustRightInd w:val="0"/>
              <w:spacing w:before="20"/>
              <w:jc w:val="right"/>
              <w:rPr>
                <w:color w:val="000000"/>
                <w:sz w:val="18"/>
                <w:szCs w:val="18"/>
              </w:rPr>
            </w:pPr>
            <w:r w:rsidRPr="00985F5E">
              <w:rPr>
                <w:color w:val="000000"/>
                <w:sz w:val="18"/>
                <w:szCs w:val="18"/>
              </w:rPr>
              <w:t>52.6</w:t>
            </w:r>
          </w:p>
        </w:tc>
        <w:tc>
          <w:tcPr>
            <w:tcW w:w="851" w:type="dxa"/>
          </w:tcPr>
          <w:p w:rsidR="00C476FB" w:rsidRPr="00985F5E" w:rsidRDefault="00C476FB" w:rsidP="00C476FB">
            <w:pPr>
              <w:adjustRightInd w:val="0"/>
              <w:spacing w:before="20"/>
              <w:jc w:val="right"/>
              <w:rPr>
                <w:color w:val="000000"/>
                <w:sz w:val="18"/>
                <w:szCs w:val="18"/>
              </w:rPr>
            </w:pPr>
            <w:r w:rsidRPr="00985F5E">
              <w:rPr>
                <w:color w:val="000000"/>
                <w:sz w:val="18"/>
                <w:szCs w:val="18"/>
              </w:rPr>
              <w:t>1.61</w:t>
            </w:r>
          </w:p>
        </w:tc>
        <w:tc>
          <w:tcPr>
            <w:tcW w:w="1335" w:type="dxa"/>
            <w:gridSpan w:val="2"/>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0.25 - 10.21</w:t>
            </w:r>
            <w:r w:rsidRPr="00985F5E">
              <w:rPr>
                <w:color w:val="000000"/>
                <w:sz w:val="18"/>
                <w:szCs w:val="18"/>
              </w:rPr>
              <w:t>)</w:t>
            </w:r>
          </w:p>
        </w:tc>
        <w:tc>
          <w:tcPr>
            <w:tcW w:w="813" w:type="dxa"/>
            <w:vAlign w:val="center"/>
          </w:tcPr>
          <w:p w:rsidR="00C476FB" w:rsidRPr="00985F5E" w:rsidRDefault="00C476FB"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31 to 60 minutes</w:t>
            </w:r>
          </w:p>
        </w:tc>
        <w:tc>
          <w:tcPr>
            <w:tcW w:w="1103" w:type="dxa"/>
          </w:tcPr>
          <w:p w:rsidR="00C476FB" w:rsidRPr="00985F5E" w:rsidRDefault="00C476FB" w:rsidP="00C476FB">
            <w:pPr>
              <w:adjustRightInd w:val="0"/>
              <w:spacing w:before="20"/>
              <w:jc w:val="right"/>
              <w:rPr>
                <w:color w:val="000000"/>
                <w:sz w:val="18"/>
                <w:szCs w:val="18"/>
              </w:rPr>
            </w:pPr>
            <w:r w:rsidRPr="00985F5E">
              <w:rPr>
                <w:color w:val="000000"/>
                <w:sz w:val="18"/>
                <w:szCs w:val="18"/>
              </w:rPr>
              <w:t>69.4</w:t>
            </w:r>
          </w:p>
        </w:tc>
        <w:tc>
          <w:tcPr>
            <w:tcW w:w="851" w:type="dxa"/>
          </w:tcPr>
          <w:p w:rsidR="00C476FB" w:rsidRPr="00985F5E" w:rsidRDefault="00C476FB" w:rsidP="00C476FB">
            <w:pPr>
              <w:adjustRightInd w:val="0"/>
              <w:spacing w:before="20"/>
              <w:jc w:val="right"/>
              <w:rPr>
                <w:color w:val="000000"/>
                <w:sz w:val="18"/>
                <w:szCs w:val="18"/>
              </w:rPr>
            </w:pPr>
            <w:r w:rsidRPr="00985F5E">
              <w:rPr>
                <w:color w:val="000000"/>
                <w:sz w:val="18"/>
                <w:szCs w:val="18"/>
              </w:rPr>
              <w:t>3.29</w:t>
            </w:r>
          </w:p>
        </w:tc>
        <w:tc>
          <w:tcPr>
            <w:tcW w:w="1335" w:type="dxa"/>
            <w:gridSpan w:val="2"/>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0.64 - 19.95</w:t>
            </w:r>
            <w:r w:rsidRPr="00985F5E">
              <w:rPr>
                <w:color w:val="000000"/>
                <w:sz w:val="18"/>
                <w:szCs w:val="18"/>
              </w:rPr>
              <w:t>)</w:t>
            </w:r>
          </w:p>
        </w:tc>
        <w:tc>
          <w:tcPr>
            <w:tcW w:w="813" w:type="dxa"/>
            <w:shd w:val="clear" w:color="auto" w:fill="D9D9D9" w:themeFill="background1" w:themeFillShade="D9"/>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&lt;0.0001</w:t>
            </w:r>
          </w:p>
        </w:tc>
      </w:tr>
      <w:tr w:rsidR="00B61EF6" w:rsidRPr="00985F5E" w:rsidTr="00E05935">
        <w:tc>
          <w:tcPr>
            <w:tcW w:w="4204" w:type="dxa"/>
            <w:vAlign w:val="bottom"/>
          </w:tcPr>
          <w:p w:rsidR="00B61EF6" w:rsidRPr="00985F5E" w:rsidRDefault="00B61EF6" w:rsidP="00C44A98">
            <w:pPr>
              <w:spacing w:before="20"/>
              <w:jc w:val="both"/>
              <w:rPr>
                <w:b/>
                <w:sz w:val="18"/>
                <w:szCs w:val="18"/>
              </w:rPr>
            </w:pPr>
            <w:r w:rsidRPr="00985F5E">
              <w:rPr>
                <w:b/>
                <w:bCs/>
                <w:color w:val="000000"/>
                <w:sz w:val="18"/>
                <w:szCs w:val="18"/>
              </w:rPr>
              <w:t>Methods - Leaving ATM and credit cards at home</w:t>
            </w:r>
          </w:p>
        </w:tc>
        <w:tc>
          <w:tcPr>
            <w:tcW w:w="1103" w:type="dxa"/>
            <w:vAlign w:val="center"/>
          </w:tcPr>
          <w:p w:rsidR="00B61EF6" w:rsidRPr="00985F5E" w:rsidRDefault="00B61EF6" w:rsidP="00C476FB">
            <w:pPr>
              <w:adjustRightInd w:val="0"/>
              <w:spacing w:before="20"/>
              <w:jc w:val="right"/>
              <w:rPr>
                <w:color w:val="000000"/>
                <w:sz w:val="18"/>
                <w:szCs w:val="18"/>
              </w:rPr>
            </w:pPr>
          </w:p>
        </w:tc>
        <w:tc>
          <w:tcPr>
            <w:tcW w:w="851" w:type="dxa"/>
            <w:vAlign w:val="center"/>
          </w:tcPr>
          <w:p w:rsidR="00B61EF6" w:rsidRPr="00985F5E" w:rsidRDefault="00B61EF6" w:rsidP="00C476FB">
            <w:pPr>
              <w:adjustRightInd w:val="0"/>
              <w:spacing w:before="20"/>
              <w:jc w:val="right"/>
              <w:rPr>
                <w:color w:val="000000"/>
                <w:sz w:val="18"/>
                <w:szCs w:val="18"/>
              </w:rPr>
            </w:pPr>
          </w:p>
        </w:tc>
        <w:tc>
          <w:tcPr>
            <w:tcW w:w="1089" w:type="dxa"/>
            <w:vAlign w:val="center"/>
          </w:tcPr>
          <w:p w:rsidR="00B61EF6" w:rsidRPr="00985F5E" w:rsidRDefault="00B61EF6" w:rsidP="00C476FB">
            <w:pPr>
              <w:adjustRightInd w:val="0"/>
              <w:spacing w:before="20"/>
              <w:jc w:val="right"/>
              <w:rPr>
                <w:color w:val="000000"/>
                <w:sz w:val="18"/>
                <w:szCs w:val="18"/>
              </w:rPr>
            </w:pPr>
          </w:p>
        </w:tc>
        <w:tc>
          <w:tcPr>
            <w:tcW w:w="246" w:type="dxa"/>
            <w:vAlign w:val="center"/>
          </w:tcPr>
          <w:p w:rsidR="00B61EF6" w:rsidRPr="00985F5E" w:rsidRDefault="00B61EF6" w:rsidP="00C476FB">
            <w:pPr>
              <w:adjustRightInd w:val="0"/>
              <w:spacing w:before="20"/>
              <w:jc w:val="right"/>
              <w:rPr>
                <w:color w:val="000000"/>
                <w:sz w:val="18"/>
                <w:szCs w:val="18"/>
              </w:rPr>
            </w:pPr>
          </w:p>
        </w:tc>
        <w:tc>
          <w:tcPr>
            <w:tcW w:w="813" w:type="dxa"/>
            <w:vAlign w:val="center"/>
          </w:tcPr>
          <w:p w:rsidR="00B61EF6" w:rsidRPr="00985F5E" w:rsidRDefault="00B61EF6" w:rsidP="00C476FB">
            <w:pPr>
              <w:adjustRightInd w:val="0"/>
              <w:spacing w:before="20"/>
              <w:jc w:val="right"/>
              <w:rPr>
                <w:color w:val="000000"/>
                <w:sz w:val="18"/>
                <w:szCs w:val="18"/>
              </w:rPr>
            </w:pPr>
          </w:p>
        </w:tc>
      </w:tr>
      <w:tr w:rsidR="00B61EF6" w:rsidRPr="00985F5E" w:rsidTr="00E05935">
        <w:tc>
          <w:tcPr>
            <w:tcW w:w="4204" w:type="dxa"/>
          </w:tcPr>
          <w:p w:rsidR="00B61EF6" w:rsidRPr="00985F5E" w:rsidRDefault="00B61EF6" w:rsidP="00C44A98">
            <w:pPr>
              <w:spacing w:before="20"/>
              <w:ind w:left="176"/>
              <w:jc w:val="both"/>
              <w:rPr>
                <w:sz w:val="18"/>
                <w:szCs w:val="18"/>
              </w:rPr>
            </w:pPr>
            <w:r w:rsidRPr="00985F5E">
              <w:rPr>
                <w:sz w:val="18"/>
                <w:szCs w:val="18"/>
              </w:rPr>
              <w:t>No</w:t>
            </w:r>
          </w:p>
        </w:tc>
        <w:tc>
          <w:tcPr>
            <w:tcW w:w="1103" w:type="dxa"/>
            <w:vAlign w:val="center"/>
          </w:tcPr>
          <w:p w:rsidR="00B61EF6" w:rsidRPr="00985F5E" w:rsidRDefault="009A02F6" w:rsidP="00C476FB">
            <w:pPr>
              <w:adjustRightInd w:val="0"/>
              <w:spacing w:before="20"/>
              <w:jc w:val="right"/>
              <w:rPr>
                <w:color w:val="000000"/>
                <w:sz w:val="18"/>
                <w:szCs w:val="18"/>
              </w:rPr>
            </w:pPr>
            <w:r w:rsidRPr="00985F5E">
              <w:rPr>
                <w:color w:val="000000"/>
                <w:sz w:val="18"/>
                <w:szCs w:val="18"/>
              </w:rPr>
              <w:t>47.5</w:t>
            </w:r>
          </w:p>
        </w:tc>
        <w:tc>
          <w:tcPr>
            <w:tcW w:w="851" w:type="dxa"/>
            <w:vAlign w:val="center"/>
          </w:tcPr>
          <w:p w:rsidR="00B61EF6" w:rsidRPr="00985F5E" w:rsidRDefault="00B61EF6" w:rsidP="00C476FB">
            <w:pPr>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C476FB">
            <w:pPr>
              <w:adjustRightInd w:val="0"/>
              <w:spacing w:before="20"/>
              <w:jc w:val="right"/>
              <w:rPr>
                <w:color w:val="000000"/>
                <w:sz w:val="18"/>
                <w:szCs w:val="18"/>
              </w:rPr>
            </w:pPr>
          </w:p>
        </w:tc>
        <w:tc>
          <w:tcPr>
            <w:tcW w:w="246" w:type="dxa"/>
            <w:vAlign w:val="center"/>
          </w:tcPr>
          <w:p w:rsidR="00B61EF6" w:rsidRPr="00985F5E" w:rsidRDefault="00B61EF6" w:rsidP="00C476FB">
            <w:pPr>
              <w:adjustRightInd w:val="0"/>
              <w:spacing w:before="20"/>
              <w:jc w:val="right"/>
              <w:rPr>
                <w:color w:val="000000"/>
                <w:sz w:val="18"/>
                <w:szCs w:val="18"/>
              </w:rPr>
            </w:pPr>
          </w:p>
        </w:tc>
        <w:tc>
          <w:tcPr>
            <w:tcW w:w="813" w:type="dxa"/>
            <w:vAlign w:val="center"/>
          </w:tcPr>
          <w:p w:rsidR="00B61EF6" w:rsidRPr="00985F5E" w:rsidRDefault="00B61EF6"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Yes</w:t>
            </w:r>
          </w:p>
        </w:tc>
        <w:tc>
          <w:tcPr>
            <w:tcW w:w="1103"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13.3</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0.17</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0.05 - 0.62</w:t>
            </w:r>
            <w:r w:rsidRPr="00985F5E">
              <w:rPr>
                <w:color w:val="000000"/>
                <w:sz w:val="18"/>
                <w:szCs w:val="18"/>
              </w:rPr>
              <w:t>)</w:t>
            </w:r>
          </w:p>
        </w:tc>
        <w:tc>
          <w:tcPr>
            <w:tcW w:w="813" w:type="dxa"/>
            <w:shd w:val="clear" w:color="auto" w:fill="D9D9D9" w:themeFill="background1" w:themeFillShade="D9"/>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0.01</w:t>
            </w:r>
          </w:p>
        </w:tc>
      </w:tr>
      <w:tr w:rsidR="00FA7721" w:rsidRPr="00985F5E" w:rsidTr="00FA7721">
        <w:tc>
          <w:tcPr>
            <w:tcW w:w="5307" w:type="dxa"/>
            <w:gridSpan w:val="2"/>
            <w:vAlign w:val="bottom"/>
          </w:tcPr>
          <w:p w:rsidR="00FA7721" w:rsidRPr="00985F5E" w:rsidRDefault="00FA7721" w:rsidP="00FA7721">
            <w:pPr>
              <w:adjustRightInd w:val="0"/>
              <w:spacing w:before="20"/>
              <w:rPr>
                <w:color w:val="000000"/>
                <w:sz w:val="18"/>
                <w:szCs w:val="18"/>
              </w:rPr>
            </w:pPr>
            <w:r w:rsidRPr="00985F5E">
              <w:rPr>
                <w:b/>
                <w:sz w:val="18"/>
                <w:szCs w:val="18"/>
              </w:rPr>
              <w:t xml:space="preserve">Sought help </w:t>
            </w:r>
            <w:r w:rsidRPr="00FA7721">
              <w:rPr>
                <w:b/>
                <w:sz w:val="18"/>
                <w:szCs w:val="18"/>
              </w:rPr>
              <w:t xml:space="preserve">(from formal and informal sources) </w:t>
            </w:r>
            <w:r w:rsidRPr="00985F5E">
              <w:rPr>
                <w:b/>
                <w:sz w:val="18"/>
                <w:szCs w:val="18"/>
              </w:rPr>
              <w:t>in last year</w:t>
            </w:r>
          </w:p>
        </w:tc>
        <w:tc>
          <w:tcPr>
            <w:tcW w:w="851" w:type="dxa"/>
            <w:vAlign w:val="center"/>
          </w:tcPr>
          <w:p w:rsidR="00FA7721" w:rsidRPr="00985F5E" w:rsidRDefault="00FA7721" w:rsidP="00C476FB">
            <w:pPr>
              <w:adjustRightInd w:val="0"/>
              <w:spacing w:before="20"/>
              <w:jc w:val="right"/>
              <w:rPr>
                <w:color w:val="000000"/>
                <w:sz w:val="18"/>
                <w:szCs w:val="18"/>
              </w:rPr>
            </w:pPr>
          </w:p>
        </w:tc>
        <w:tc>
          <w:tcPr>
            <w:tcW w:w="1089" w:type="dxa"/>
            <w:vAlign w:val="center"/>
          </w:tcPr>
          <w:p w:rsidR="00FA7721" w:rsidRPr="00985F5E" w:rsidRDefault="00FA7721" w:rsidP="00C476FB">
            <w:pPr>
              <w:adjustRightInd w:val="0"/>
              <w:spacing w:before="20"/>
              <w:jc w:val="right"/>
              <w:rPr>
                <w:color w:val="000000"/>
                <w:sz w:val="18"/>
                <w:szCs w:val="18"/>
              </w:rPr>
            </w:pPr>
          </w:p>
        </w:tc>
        <w:tc>
          <w:tcPr>
            <w:tcW w:w="246" w:type="dxa"/>
            <w:vAlign w:val="center"/>
          </w:tcPr>
          <w:p w:rsidR="00FA7721" w:rsidRPr="00985F5E" w:rsidRDefault="00FA7721" w:rsidP="00C476FB">
            <w:pPr>
              <w:adjustRightInd w:val="0"/>
              <w:spacing w:before="20"/>
              <w:jc w:val="right"/>
              <w:rPr>
                <w:color w:val="000000"/>
                <w:sz w:val="18"/>
                <w:szCs w:val="18"/>
              </w:rPr>
            </w:pPr>
          </w:p>
        </w:tc>
        <w:tc>
          <w:tcPr>
            <w:tcW w:w="813" w:type="dxa"/>
            <w:vAlign w:val="center"/>
          </w:tcPr>
          <w:p w:rsidR="00FA7721" w:rsidRPr="00985F5E" w:rsidRDefault="00FA7721" w:rsidP="00C476FB">
            <w:pPr>
              <w:adjustRightInd w:val="0"/>
              <w:spacing w:before="20"/>
              <w:jc w:val="right"/>
              <w:rPr>
                <w:color w:val="000000"/>
                <w:sz w:val="18"/>
                <w:szCs w:val="18"/>
              </w:rPr>
            </w:pPr>
          </w:p>
        </w:tc>
      </w:tr>
      <w:tr w:rsidR="00B61EF6" w:rsidRPr="00985F5E" w:rsidTr="00E05935">
        <w:tc>
          <w:tcPr>
            <w:tcW w:w="4204" w:type="dxa"/>
          </w:tcPr>
          <w:p w:rsidR="00B61EF6" w:rsidRPr="00985F5E" w:rsidRDefault="00B61EF6" w:rsidP="00C44A98">
            <w:pPr>
              <w:spacing w:before="20"/>
              <w:ind w:left="176"/>
              <w:jc w:val="both"/>
              <w:rPr>
                <w:sz w:val="18"/>
                <w:szCs w:val="18"/>
              </w:rPr>
            </w:pPr>
            <w:r w:rsidRPr="00985F5E">
              <w:rPr>
                <w:sz w:val="18"/>
                <w:szCs w:val="18"/>
              </w:rPr>
              <w:t>No</w:t>
            </w:r>
          </w:p>
        </w:tc>
        <w:tc>
          <w:tcPr>
            <w:tcW w:w="1103" w:type="dxa"/>
            <w:vAlign w:val="center"/>
          </w:tcPr>
          <w:p w:rsidR="00B61EF6" w:rsidRPr="00985F5E" w:rsidRDefault="009A02F6" w:rsidP="00C476FB">
            <w:pPr>
              <w:adjustRightInd w:val="0"/>
              <w:spacing w:before="20"/>
              <w:jc w:val="right"/>
              <w:rPr>
                <w:color w:val="000000"/>
                <w:sz w:val="18"/>
                <w:szCs w:val="18"/>
              </w:rPr>
            </w:pPr>
            <w:r w:rsidRPr="00985F5E">
              <w:rPr>
                <w:color w:val="000000"/>
                <w:sz w:val="18"/>
                <w:szCs w:val="18"/>
              </w:rPr>
              <w:t>40.9</w:t>
            </w:r>
          </w:p>
        </w:tc>
        <w:tc>
          <w:tcPr>
            <w:tcW w:w="851" w:type="dxa"/>
            <w:vAlign w:val="center"/>
          </w:tcPr>
          <w:p w:rsidR="00B61EF6" w:rsidRPr="00985F5E" w:rsidRDefault="00B61EF6" w:rsidP="00C476FB">
            <w:pPr>
              <w:adjustRightInd w:val="0"/>
              <w:spacing w:before="20"/>
              <w:jc w:val="right"/>
              <w:rPr>
                <w:color w:val="000000"/>
                <w:sz w:val="18"/>
                <w:szCs w:val="18"/>
              </w:rPr>
            </w:pPr>
            <w:r w:rsidRPr="00985F5E">
              <w:rPr>
                <w:color w:val="000000"/>
                <w:sz w:val="18"/>
                <w:szCs w:val="18"/>
              </w:rPr>
              <w:t>1.00</w:t>
            </w:r>
          </w:p>
        </w:tc>
        <w:tc>
          <w:tcPr>
            <w:tcW w:w="1089" w:type="dxa"/>
            <w:vAlign w:val="center"/>
          </w:tcPr>
          <w:p w:rsidR="00B61EF6" w:rsidRPr="00985F5E" w:rsidRDefault="00B61EF6" w:rsidP="00C476FB">
            <w:pPr>
              <w:adjustRightInd w:val="0"/>
              <w:spacing w:before="20"/>
              <w:jc w:val="right"/>
              <w:rPr>
                <w:color w:val="000000"/>
                <w:sz w:val="18"/>
                <w:szCs w:val="18"/>
              </w:rPr>
            </w:pPr>
          </w:p>
        </w:tc>
        <w:tc>
          <w:tcPr>
            <w:tcW w:w="246" w:type="dxa"/>
            <w:vAlign w:val="center"/>
          </w:tcPr>
          <w:p w:rsidR="00B61EF6" w:rsidRPr="00985F5E" w:rsidRDefault="00B61EF6" w:rsidP="00C476FB">
            <w:pPr>
              <w:adjustRightInd w:val="0"/>
              <w:spacing w:before="20"/>
              <w:jc w:val="right"/>
              <w:rPr>
                <w:color w:val="000000"/>
                <w:sz w:val="18"/>
                <w:szCs w:val="18"/>
              </w:rPr>
            </w:pPr>
          </w:p>
        </w:tc>
        <w:tc>
          <w:tcPr>
            <w:tcW w:w="813" w:type="dxa"/>
            <w:vAlign w:val="center"/>
          </w:tcPr>
          <w:p w:rsidR="00B61EF6" w:rsidRPr="00985F5E" w:rsidRDefault="00B61EF6"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Yes</w:t>
            </w:r>
          </w:p>
        </w:tc>
        <w:tc>
          <w:tcPr>
            <w:tcW w:w="1103"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78.1</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5.15</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0.85 - 31.33</w:t>
            </w:r>
            <w:r w:rsidRPr="00985F5E">
              <w:rPr>
                <w:color w:val="000000"/>
                <w:sz w:val="18"/>
                <w:szCs w:val="18"/>
              </w:rPr>
              <w:t>)</w:t>
            </w:r>
          </w:p>
        </w:tc>
        <w:tc>
          <w:tcPr>
            <w:tcW w:w="813" w:type="dxa"/>
            <w:shd w:val="clear" w:color="auto" w:fill="D9D9D9" w:themeFill="background1" w:themeFillShade="D9"/>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0.08</w:t>
            </w:r>
          </w:p>
        </w:tc>
      </w:tr>
      <w:tr w:rsidR="00B61EF6" w:rsidRPr="00985F5E" w:rsidTr="00E05935">
        <w:tc>
          <w:tcPr>
            <w:tcW w:w="4204" w:type="dxa"/>
            <w:vAlign w:val="bottom"/>
          </w:tcPr>
          <w:p w:rsidR="00B61EF6" w:rsidRPr="00985F5E" w:rsidRDefault="00B61EF6" w:rsidP="00C44A98">
            <w:pPr>
              <w:spacing w:before="20"/>
              <w:jc w:val="both"/>
              <w:rPr>
                <w:b/>
                <w:sz w:val="18"/>
                <w:szCs w:val="18"/>
              </w:rPr>
            </w:pPr>
            <w:r w:rsidRPr="00985F5E">
              <w:rPr>
                <w:b/>
                <w:bCs/>
                <w:color w:val="000000"/>
                <w:sz w:val="18"/>
                <w:szCs w:val="18"/>
              </w:rPr>
              <w:t>Current tobacco use</w:t>
            </w:r>
          </w:p>
        </w:tc>
        <w:tc>
          <w:tcPr>
            <w:tcW w:w="1103" w:type="dxa"/>
            <w:vAlign w:val="center"/>
          </w:tcPr>
          <w:p w:rsidR="00B61EF6" w:rsidRPr="00985F5E" w:rsidRDefault="00B61EF6" w:rsidP="00C476FB">
            <w:pPr>
              <w:adjustRightInd w:val="0"/>
              <w:spacing w:before="20"/>
              <w:jc w:val="right"/>
              <w:rPr>
                <w:color w:val="000000"/>
                <w:sz w:val="18"/>
                <w:szCs w:val="18"/>
              </w:rPr>
            </w:pPr>
          </w:p>
        </w:tc>
        <w:tc>
          <w:tcPr>
            <w:tcW w:w="851" w:type="dxa"/>
            <w:vAlign w:val="center"/>
          </w:tcPr>
          <w:p w:rsidR="00B61EF6" w:rsidRPr="00985F5E" w:rsidRDefault="00B61EF6" w:rsidP="00C476FB">
            <w:pPr>
              <w:adjustRightInd w:val="0"/>
              <w:spacing w:before="20"/>
              <w:jc w:val="right"/>
              <w:rPr>
                <w:color w:val="000000"/>
                <w:sz w:val="18"/>
                <w:szCs w:val="18"/>
              </w:rPr>
            </w:pPr>
          </w:p>
        </w:tc>
        <w:tc>
          <w:tcPr>
            <w:tcW w:w="1089" w:type="dxa"/>
            <w:vAlign w:val="center"/>
          </w:tcPr>
          <w:p w:rsidR="00B61EF6" w:rsidRPr="00985F5E" w:rsidRDefault="00B61EF6" w:rsidP="00C476FB">
            <w:pPr>
              <w:adjustRightInd w:val="0"/>
              <w:spacing w:before="20"/>
              <w:jc w:val="right"/>
              <w:rPr>
                <w:color w:val="000000"/>
                <w:sz w:val="18"/>
                <w:szCs w:val="18"/>
              </w:rPr>
            </w:pPr>
          </w:p>
        </w:tc>
        <w:tc>
          <w:tcPr>
            <w:tcW w:w="246" w:type="dxa"/>
            <w:vAlign w:val="center"/>
          </w:tcPr>
          <w:p w:rsidR="00B61EF6" w:rsidRPr="00985F5E" w:rsidRDefault="00B61EF6" w:rsidP="00C476FB">
            <w:pPr>
              <w:adjustRightInd w:val="0"/>
              <w:spacing w:before="20"/>
              <w:jc w:val="right"/>
              <w:rPr>
                <w:color w:val="000000"/>
                <w:sz w:val="18"/>
                <w:szCs w:val="18"/>
              </w:rPr>
            </w:pPr>
          </w:p>
        </w:tc>
        <w:tc>
          <w:tcPr>
            <w:tcW w:w="813" w:type="dxa"/>
            <w:vAlign w:val="center"/>
          </w:tcPr>
          <w:p w:rsidR="00B61EF6" w:rsidRPr="00985F5E" w:rsidRDefault="00B61EF6"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Does not smoke now</w:t>
            </w:r>
          </w:p>
        </w:tc>
        <w:tc>
          <w:tcPr>
            <w:tcW w:w="1103"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43.2</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1.61</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0.36 - 7.10</w:t>
            </w:r>
            <w:r w:rsidRPr="00985F5E">
              <w:rPr>
                <w:color w:val="000000"/>
                <w:sz w:val="18"/>
                <w:szCs w:val="18"/>
              </w:rPr>
              <w:t>)</w:t>
            </w:r>
          </w:p>
        </w:tc>
        <w:tc>
          <w:tcPr>
            <w:tcW w:w="813" w:type="dxa"/>
            <w:vAlign w:val="center"/>
          </w:tcPr>
          <w:p w:rsidR="00C476FB" w:rsidRPr="00985F5E" w:rsidRDefault="00C476FB"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Smokes at least once a day</w:t>
            </w:r>
          </w:p>
        </w:tc>
        <w:tc>
          <w:tcPr>
            <w:tcW w:w="1103"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52.4</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2.33</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0.65 - 8.40</w:t>
            </w:r>
            <w:r w:rsidRPr="00985F5E">
              <w:rPr>
                <w:color w:val="000000"/>
                <w:sz w:val="18"/>
                <w:szCs w:val="18"/>
              </w:rPr>
              <w:t>)</w:t>
            </w:r>
          </w:p>
        </w:tc>
        <w:tc>
          <w:tcPr>
            <w:tcW w:w="813" w:type="dxa"/>
            <w:vAlign w:val="center"/>
          </w:tcPr>
          <w:p w:rsidR="00C476FB" w:rsidRPr="00985F5E" w:rsidRDefault="00C476FB"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Smokes at least once a week</w:t>
            </w:r>
          </w:p>
        </w:tc>
        <w:tc>
          <w:tcPr>
            <w:tcW w:w="1103"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82.2</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9.79</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0.77 - 122.04</w:t>
            </w:r>
            <w:r w:rsidRPr="00985F5E">
              <w:rPr>
                <w:color w:val="000000"/>
                <w:sz w:val="18"/>
                <w:szCs w:val="18"/>
              </w:rPr>
              <w:t>)</w:t>
            </w:r>
          </w:p>
        </w:tc>
        <w:tc>
          <w:tcPr>
            <w:tcW w:w="813" w:type="dxa"/>
            <w:vAlign w:val="center"/>
          </w:tcPr>
          <w:p w:rsidR="00C476FB" w:rsidRPr="00985F5E" w:rsidRDefault="00C476FB" w:rsidP="00C476FB">
            <w:pPr>
              <w:adjustRightInd w:val="0"/>
              <w:spacing w:before="20"/>
              <w:jc w:val="right"/>
              <w:rPr>
                <w:color w:val="000000"/>
                <w:sz w:val="18"/>
                <w:szCs w:val="18"/>
              </w:rPr>
            </w:pPr>
          </w:p>
        </w:tc>
      </w:tr>
      <w:tr w:rsidR="00C476FB" w:rsidRPr="00985F5E" w:rsidTr="00E05935">
        <w:tc>
          <w:tcPr>
            <w:tcW w:w="4204" w:type="dxa"/>
          </w:tcPr>
          <w:p w:rsidR="00C476FB" w:rsidRPr="00985F5E" w:rsidRDefault="00C476FB" w:rsidP="00C44A98">
            <w:pPr>
              <w:spacing w:before="20"/>
              <w:ind w:left="176"/>
              <w:jc w:val="both"/>
              <w:rPr>
                <w:sz w:val="18"/>
                <w:szCs w:val="18"/>
              </w:rPr>
            </w:pPr>
            <w:r w:rsidRPr="00985F5E">
              <w:rPr>
                <w:sz w:val="18"/>
                <w:szCs w:val="18"/>
              </w:rPr>
              <w:t>Smokes at least once a month</w:t>
            </w:r>
          </w:p>
        </w:tc>
        <w:tc>
          <w:tcPr>
            <w:tcW w:w="1103" w:type="dxa"/>
            <w:vAlign w:val="center"/>
          </w:tcPr>
          <w:p w:rsidR="00C476FB" w:rsidRPr="00985F5E" w:rsidRDefault="00D5332D" w:rsidP="00C476FB">
            <w:pPr>
              <w:adjustRightInd w:val="0"/>
              <w:spacing w:before="20"/>
              <w:jc w:val="right"/>
              <w:rPr>
                <w:color w:val="000000"/>
                <w:sz w:val="18"/>
                <w:szCs w:val="18"/>
              </w:rPr>
            </w:pPr>
            <w:r w:rsidRPr="00985F5E">
              <w:rPr>
                <w:color w:val="000000"/>
                <w:sz w:val="18"/>
                <w:szCs w:val="18"/>
              </w:rPr>
              <w:t>55.3</w:t>
            </w:r>
          </w:p>
        </w:tc>
        <w:tc>
          <w:tcPr>
            <w:tcW w:w="851" w:type="dxa"/>
            <w:vAlign w:val="center"/>
          </w:tcPr>
          <w:p w:rsidR="00C476FB" w:rsidRPr="00985F5E" w:rsidRDefault="00C476FB" w:rsidP="00C476FB">
            <w:pPr>
              <w:adjustRightInd w:val="0"/>
              <w:spacing w:before="20"/>
              <w:jc w:val="right"/>
              <w:rPr>
                <w:color w:val="000000"/>
                <w:sz w:val="18"/>
                <w:szCs w:val="18"/>
              </w:rPr>
            </w:pPr>
            <w:r w:rsidRPr="00985F5E">
              <w:rPr>
                <w:color w:val="000000"/>
                <w:sz w:val="18"/>
                <w:szCs w:val="18"/>
              </w:rPr>
              <w:t>2.62</w:t>
            </w:r>
          </w:p>
        </w:tc>
        <w:tc>
          <w:tcPr>
            <w:tcW w:w="1335" w:type="dxa"/>
            <w:gridSpan w:val="2"/>
            <w:vAlign w:val="center"/>
          </w:tcPr>
          <w:p w:rsidR="00C476FB" w:rsidRPr="00985F5E" w:rsidRDefault="00E07EB2" w:rsidP="00C476FB">
            <w:pPr>
              <w:adjustRightInd w:val="0"/>
              <w:spacing w:before="20"/>
              <w:jc w:val="right"/>
              <w:rPr>
                <w:color w:val="000000"/>
                <w:sz w:val="18"/>
                <w:szCs w:val="18"/>
              </w:rPr>
            </w:pPr>
            <w:r w:rsidRPr="00985F5E">
              <w:rPr>
                <w:color w:val="000000"/>
                <w:sz w:val="18"/>
                <w:szCs w:val="18"/>
              </w:rPr>
              <w:t>(</w:t>
            </w:r>
            <w:r w:rsidR="00C476FB" w:rsidRPr="00985F5E">
              <w:rPr>
                <w:color w:val="000000"/>
                <w:sz w:val="18"/>
                <w:szCs w:val="18"/>
              </w:rPr>
              <w:t>0.16 - 43.68</w:t>
            </w:r>
            <w:r w:rsidRPr="00985F5E">
              <w:rPr>
                <w:color w:val="000000"/>
                <w:sz w:val="18"/>
                <w:szCs w:val="18"/>
              </w:rPr>
              <w:t>)</w:t>
            </w:r>
          </w:p>
        </w:tc>
        <w:tc>
          <w:tcPr>
            <w:tcW w:w="813" w:type="dxa"/>
            <w:vAlign w:val="center"/>
          </w:tcPr>
          <w:p w:rsidR="00C476FB" w:rsidRPr="00985F5E" w:rsidRDefault="00C476FB" w:rsidP="00C476FB">
            <w:pPr>
              <w:adjustRightInd w:val="0"/>
              <w:spacing w:before="20"/>
              <w:jc w:val="right"/>
              <w:rPr>
                <w:color w:val="000000"/>
                <w:sz w:val="18"/>
                <w:szCs w:val="18"/>
              </w:rPr>
            </w:pPr>
          </w:p>
        </w:tc>
      </w:tr>
      <w:tr w:rsidR="00B61EF6" w:rsidRPr="00985F5E" w:rsidTr="00E05935">
        <w:tc>
          <w:tcPr>
            <w:tcW w:w="4204" w:type="dxa"/>
            <w:tcBorders>
              <w:bottom w:val="single" w:sz="4" w:space="0" w:color="auto"/>
            </w:tcBorders>
          </w:tcPr>
          <w:p w:rsidR="00B61EF6" w:rsidRPr="00985F5E" w:rsidRDefault="00B61EF6" w:rsidP="00C44A98">
            <w:pPr>
              <w:spacing w:before="20"/>
              <w:ind w:left="176"/>
              <w:jc w:val="both"/>
              <w:rPr>
                <w:sz w:val="18"/>
                <w:szCs w:val="18"/>
              </w:rPr>
            </w:pPr>
            <w:r w:rsidRPr="00985F5E">
              <w:rPr>
                <w:sz w:val="18"/>
                <w:szCs w:val="18"/>
              </w:rPr>
              <w:t>Never smoked</w:t>
            </w:r>
          </w:p>
        </w:tc>
        <w:tc>
          <w:tcPr>
            <w:tcW w:w="1103" w:type="dxa"/>
            <w:tcBorders>
              <w:bottom w:val="single" w:sz="4" w:space="0" w:color="auto"/>
            </w:tcBorders>
            <w:vAlign w:val="center"/>
          </w:tcPr>
          <w:p w:rsidR="00B61EF6" w:rsidRPr="00985F5E" w:rsidRDefault="009A02F6" w:rsidP="00C476FB">
            <w:pPr>
              <w:adjustRightInd w:val="0"/>
              <w:spacing w:before="20"/>
              <w:jc w:val="right"/>
              <w:rPr>
                <w:color w:val="000000"/>
                <w:sz w:val="18"/>
                <w:szCs w:val="18"/>
              </w:rPr>
            </w:pPr>
            <w:r w:rsidRPr="00985F5E">
              <w:rPr>
                <w:color w:val="000000"/>
                <w:sz w:val="18"/>
                <w:szCs w:val="18"/>
              </w:rPr>
              <w:t>32.1</w:t>
            </w:r>
          </w:p>
        </w:tc>
        <w:tc>
          <w:tcPr>
            <w:tcW w:w="851" w:type="dxa"/>
            <w:tcBorders>
              <w:bottom w:val="single" w:sz="4" w:space="0" w:color="auto"/>
            </w:tcBorders>
            <w:vAlign w:val="center"/>
          </w:tcPr>
          <w:p w:rsidR="00B61EF6" w:rsidRPr="00985F5E" w:rsidRDefault="00B61EF6" w:rsidP="00C476FB">
            <w:pPr>
              <w:adjustRightInd w:val="0"/>
              <w:spacing w:before="20"/>
              <w:jc w:val="right"/>
              <w:rPr>
                <w:color w:val="000000"/>
                <w:sz w:val="18"/>
                <w:szCs w:val="18"/>
              </w:rPr>
            </w:pPr>
            <w:r w:rsidRPr="00985F5E">
              <w:rPr>
                <w:color w:val="000000"/>
                <w:sz w:val="18"/>
                <w:szCs w:val="18"/>
              </w:rPr>
              <w:t>1.00</w:t>
            </w:r>
          </w:p>
        </w:tc>
        <w:tc>
          <w:tcPr>
            <w:tcW w:w="1089" w:type="dxa"/>
            <w:tcBorders>
              <w:bottom w:val="single" w:sz="4" w:space="0" w:color="auto"/>
            </w:tcBorders>
            <w:vAlign w:val="center"/>
          </w:tcPr>
          <w:p w:rsidR="00B61EF6" w:rsidRPr="00985F5E" w:rsidRDefault="00B61EF6" w:rsidP="00C476FB">
            <w:pPr>
              <w:adjustRightInd w:val="0"/>
              <w:spacing w:before="20"/>
              <w:jc w:val="right"/>
              <w:rPr>
                <w:color w:val="000000"/>
                <w:sz w:val="18"/>
                <w:szCs w:val="18"/>
              </w:rPr>
            </w:pPr>
          </w:p>
        </w:tc>
        <w:tc>
          <w:tcPr>
            <w:tcW w:w="246" w:type="dxa"/>
            <w:tcBorders>
              <w:bottom w:val="single" w:sz="4" w:space="0" w:color="auto"/>
            </w:tcBorders>
            <w:vAlign w:val="center"/>
          </w:tcPr>
          <w:p w:rsidR="00B61EF6" w:rsidRPr="00985F5E" w:rsidRDefault="00B61EF6" w:rsidP="00C476FB">
            <w:pPr>
              <w:adjustRightInd w:val="0"/>
              <w:spacing w:before="20"/>
              <w:jc w:val="right"/>
              <w:rPr>
                <w:color w:val="000000"/>
                <w:sz w:val="18"/>
                <w:szCs w:val="18"/>
              </w:rPr>
            </w:pPr>
          </w:p>
        </w:tc>
        <w:tc>
          <w:tcPr>
            <w:tcW w:w="813" w:type="dxa"/>
            <w:tcBorders>
              <w:bottom w:val="single" w:sz="4" w:space="0" w:color="auto"/>
            </w:tcBorders>
            <w:shd w:val="clear" w:color="auto" w:fill="D9D9D9" w:themeFill="background1" w:themeFillShade="D9"/>
            <w:vAlign w:val="center"/>
          </w:tcPr>
          <w:p w:rsidR="00B61EF6" w:rsidRPr="00985F5E" w:rsidRDefault="00B61EF6" w:rsidP="00C476FB">
            <w:pPr>
              <w:adjustRightInd w:val="0"/>
              <w:spacing w:before="20"/>
              <w:jc w:val="right"/>
              <w:rPr>
                <w:color w:val="000000"/>
                <w:sz w:val="18"/>
                <w:szCs w:val="18"/>
              </w:rPr>
            </w:pPr>
            <w:r w:rsidRPr="00985F5E">
              <w:rPr>
                <w:color w:val="000000"/>
                <w:sz w:val="18"/>
                <w:szCs w:val="18"/>
              </w:rPr>
              <w:t>&lt;0.0001</w:t>
            </w:r>
          </w:p>
        </w:tc>
      </w:tr>
    </w:tbl>
    <w:p w:rsidR="00B61EF6" w:rsidRPr="0034241E" w:rsidRDefault="00B61EF6" w:rsidP="00B61EF6">
      <w:pPr>
        <w:rPr>
          <w:sz w:val="18"/>
        </w:rPr>
      </w:pPr>
      <w:r>
        <w:rPr>
          <w:sz w:val="18"/>
        </w:rPr>
        <w:t>Data</w:t>
      </w:r>
      <w:r w:rsidRPr="0034241E">
        <w:rPr>
          <w:sz w:val="18"/>
        </w:rPr>
        <w:t xml:space="preserve"> weighted for 2013 Census data (both Waves) and attrition (Wave 2)</w:t>
      </w:r>
    </w:p>
    <w:p w:rsidR="00D8324A" w:rsidRDefault="00D8324A" w:rsidP="00FD12E4">
      <w:pPr>
        <w:tabs>
          <w:tab w:val="left" w:pos="0"/>
        </w:tabs>
        <w:jc w:val="both"/>
        <w:rPr>
          <w:szCs w:val="22"/>
        </w:rPr>
      </w:pPr>
    </w:p>
    <w:p w:rsidR="00985F5E" w:rsidRDefault="00985F5E" w:rsidP="00FD12E4">
      <w:pPr>
        <w:tabs>
          <w:tab w:val="left" w:pos="0"/>
        </w:tabs>
        <w:jc w:val="both"/>
        <w:rPr>
          <w:szCs w:val="22"/>
        </w:rPr>
      </w:pPr>
    </w:p>
    <w:p w:rsidR="00985F5E" w:rsidRPr="000432E3" w:rsidRDefault="007F2FB4" w:rsidP="00985F5E">
      <w:pPr>
        <w:tabs>
          <w:tab w:val="left" w:pos="0"/>
        </w:tabs>
        <w:jc w:val="both"/>
        <w:rPr>
          <w:b/>
          <w:szCs w:val="22"/>
        </w:rPr>
      </w:pPr>
      <w:r>
        <w:rPr>
          <w:b/>
          <w:szCs w:val="22"/>
        </w:rPr>
        <w:t>Multiple logistic regression</w:t>
      </w:r>
    </w:p>
    <w:p w:rsidR="00985F5E" w:rsidRDefault="00985F5E" w:rsidP="00985F5E">
      <w:pPr>
        <w:tabs>
          <w:tab w:val="left" w:pos="0"/>
        </w:tabs>
        <w:jc w:val="both"/>
        <w:rPr>
          <w:szCs w:val="22"/>
        </w:rPr>
      </w:pPr>
    </w:p>
    <w:p w:rsidR="00985F5E" w:rsidRDefault="00985F5E" w:rsidP="00985F5E">
      <w:pPr>
        <w:tabs>
          <w:tab w:val="left" w:pos="0"/>
        </w:tabs>
        <w:jc w:val="both"/>
        <w:rPr>
          <w:szCs w:val="22"/>
        </w:rPr>
      </w:pPr>
      <w:r>
        <w:rPr>
          <w:szCs w:val="22"/>
        </w:rPr>
        <w:t>Frequency of gambling was the only variable which retained a level of statistical significance in the multi</w:t>
      </w:r>
      <w:r w:rsidR="007F2FB4">
        <w:rPr>
          <w:szCs w:val="22"/>
        </w:rPr>
        <w:t>ple</w:t>
      </w:r>
      <w:r>
        <w:rPr>
          <w:szCs w:val="22"/>
        </w:rPr>
        <w:t xml:space="preserve"> logistic regression analyses.  People who gambled at least weekly were at 4.53 times the risk of staying as moderate-risk or problem gamblers compared with people who gambled less frequently than monthly (at least once in the past year).  Again, </w:t>
      </w:r>
      <w:r w:rsidRPr="00225883">
        <w:rPr>
          <w:szCs w:val="22"/>
        </w:rPr>
        <w:t xml:space="preserve">the data were not </w:t>
      </w:r>
      <w:r>
        <w:rPr>
          <w:szCs w:val="22"/>
        </w:rPr>
        <w:t>conclusive</w:t>
      </w:r>
      <w:r w:rsidRPr="00225883">
        <w:rPr>
          <w:szCs w:val="22"/>
        </w:rPr>
        <w:t xml:space="preserve"> due to small sample sizes </w:t>
      </w:r>
      <w:r w:rsidRPr="00696369">
        <w:rPr>
          <w:szCs w:val="22"/>
        </w:rPr>
        <w:t>(</w:t>
      </w:r>
      <w:r w:rsidRPr="00696369">
        <w:rPr>
          <w:sz w:val="24"/>
          <w:szCs w:val="22"/>
        </w:rPr>
        <w:fldChar w:fldCharType="begin"/>
      </w:r>
      <w:r w:rsidRPr="00696369">
        <w:rPr>
          <w:sz w:val="24"/>
          <w:szCs w:val="22"/>
        </w:rPr>
        <w:instrText xml:space="preserve"> REF _Ref406664736 \h  \* MERGEFORMAT </w:instrText>
      </w:r>
      <w:r w:rsidRPr="00696369">
        <w:rPr>
          <w:sz w:val="24"/>
          <w:szCs w:val="22"/>
        </w:rPr>
      </w:r>
      <w:r w:rsidRPr="00696369">
        <w:rPr>
          <w:sz w:val="24"/>
          <w:szCs w:val="22"/>
        </w:rPr>
        <w:fldChar w:fldCharType="separate"/>
      </w:r>
      <w:r w:rsidR="00B2175B" w:rsidRPr="00B2175B">
        <w:rPr>
          <w:bCs/>
          <w:szCs w:val="20"/>
        </w:rPr>
        <w:t xml:space="preserve">Table </w:t>
      </w:r>
      <w:r w:rsidR="00B2175B" w:rsidRPr="00B2175B">
        <w:rPr>
          <w:bCs/>
          <w:noProof/>
          <w:szCs w:val="20"/>
        </w:rPr>
        <w:t>18</w:t>
      </w:r>
      <w:r w:rsidRPr="00696369">
        <w:rPr>
          <w:sz w:val="24"/>
          <w:szCs w:val="22"/>
        </w:rPr>
        <w:fldChar w:fldCharType="end"/>
      </w:r>
      <w:r w:rsidRPr="00696369">
        <w:rPr>
          <w:szCs w:val="22"/>
        </w:rPr>
        <w:t>).</w:t>
      </w:r>
    </w:p>
    <w:p w:rsidR="005256F4" w:rsidRDefault="005256F4" w:rsidP="00FD12E4">
      <w:pPr>
        <w:tabs>
          <w:tab w:val="left" w:pos="0"/>
        </w:tabs>
        <w:jc w:val="both"/>
        <w:rPr>
          <w:szCs w:val="22"/>
        </w:rPr>
      </w:pPr>
    </w:p>
    <w:p w:rsidR="005256F4" w:rsidRPr="00934E6A" w:rsidRDefault="005256F4" w:rsidP="007F2FB4">
      <w:pPr>
        <w:keepNext/>
        <w:keepLines/>
        <w:jc w:val="both"/>
        <w:rPr>
          <w:b/>
          <w:bCs/>
          <w:sz w:val="20"/>
          <w:szCs w:val="20"/>
        </w:rPr>
      </w:pPr>
      <w:bookmarkStart w:id="211" w:name="_Ref406664736"/>
      <w:bookmarkStart w:id="212" w:name="_Toc420393806"/>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18</w:t>
      </w:r>
      <w:r w:rsidRPr="00934E6A">
        <w:rPr>
          <w:b/>
          <w:bCs/>
          <w:sz w:val="20"/>
          <w:szCs w:val="20"/>
        </w:rPr>
        <w:fldChar w:fldCharType="end"/>
      </w:r>
      <w:bookmarkEnd w:id="211"/>
      <w:r w:rsidRPr="00934E6A">
        <w:rPr>
          <w:b/>
          <w:bCs/>
          <w:sz w:val="20"/>
          <w:szCs w:val="20"/>
        </w:rPr>
        <w:t xml:space="preserve">: </w:t>
      </w:r>
      <w:r>
        <w:rPr>
          <w:b/>
          <w:bCs/>
          <w:sz w:val="20"/>
          <w:szCs w:val="20"/>
        </w:rPr>
        <w:t>Multi</w:t>
      </w:r>
      <w:r w:rsidR="007F2FB4">
        <w:rPr>
          <w:b/>
          <w:bCs/>
          <w:sz w:val="20"/>
          <w:szCs w:val="20"/>
        </w:rPr>
        <w:t>ple</w:t>
      </w:r>
      <w:r>
        <w:rPr>
          <w:b/>
          <w:bCs/>
          <w:sz w:val="20"/>
          <w:szCs w:val="20"/>
        </w:rPr>
        <w:t xml:space="preserve"> l</w:t>
      </w:r>
      <w:r w:rsidRPr="00934E6A">
        <w:rPr>
          <w:b/>
          <w:bCs/>
          <w:sz w:val="20"/>
          <w:szCs w:val="20"/>
        </w:rPr>
        <w:t xml:space="preserve">ogistic regression for </w:t>
      </w:r>
      <w:r>
        <w:rPr>
          <w:b/>
          <w:bCs/>
          <w:sz w:val="20"/>
          <w:szCs w:val="20"/>
        </w:rPr>
        <w:t>staying as a moderate-risk/problem</w:t>
      </w:r>
      <w:r w:rsidRPr="00934E6A">
        <w:rPr>
          <w:b/>
          <w:bCs/>
          <w:sz w:val="20"/>
          <w:szCs w:val="20"/>
        </w:rPr>
        <w:t xml:space="preserve"> gambler </w:t>
      </w:r>
      <w:r w:rsidR="007C56C7">
        <w:rPr>
          <w:b/>
          <w:bCs/>
          <w:sz w:val="20"/>
          <w:szCs w:val="20"/>
        </w:rPr>
        <w:t>in</w:t>
      </w:r>
      <w:r w:rsidRPr="00934E6A">
        <w:rPr>
          <w:b/>
          <w:bCs/>
          <w:sz w:val="20"/>
          <w:szCs w:val="20"/>
        </w:rPr>
        <w:t xml:space="preserve"> Wave 2</w:t>
      </w:r>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1116"/>
        <w:gridCol w:w="842"/>
        <w:gridCol w:w="973"/>
        <w:gridCol w:w="282"/>
        <w:gridCol w:w="843"/>
      </w:tblGrid>
      <w:tr w:rsidR="005256F4" w:rsidRPr="00985F5E" w:rsidTr="00E05935">
        <w:trPr>
          <w:tblHeader/>
        </w:trPr>
        <w:tc>
          <w:tcPr>
            <w:tcW w:w="4250" w:type="dxa"/>
            <w:tcBorders>
              <w:top w:val="single" w:sz="4" w:space="0" w:color="auto"/>
              <w:bottom w:val="single" w:sz="4" w:space="0" w:color="auto"/>
            </w:tcBorders>
            <w:vAlign w:val="bottom"/>
          </w:tcPr>
          <w:p w:rsidR="005256F4" w:rsidRPr="00985F5E" w:rsidRDefault="005256F4" w:rsidP="007F2FB4">
            <w:pPr>
              <w:keepNext/>
              <w:keepLines/>
              <w:spacing w:before="20" w:after="20"/>
              <w:jc w:val="both"/>
              <w:rPr>
                <w:b/>
                <w:sz w:val="18"/>
                <w:szCs w:val="18"/>
              </w:rPr>
            </w:pPr>
            <w:r w:rsidRPr="00985F5E">
              <w:rPr>
                <w:b/>
                <w:sz w:val="18"/>
                <w:szCs w:val="18"/>
              </w:rPr>
              <w:t>Variable</w:t>
            </w:r>
          </w:p>
        </w:tc>
        <w:tc>
          <w:tcPr>
            <w:tcW w:w="1116" w:type="dxa"/>
            <w:tcBorders>
              <w:top w:val="single" w:sz="4" w:space="0" w:color="auto"/>
              <w:bottom w:val="single" w:sz="4" w:space="0" w:color="auto"/>
            </w:tcBorders>
            <w:vAlign w:val="center"/>
          </w:tcPr>
          <w:p w:rsidR="005256F4" w:rsidRPr="00985F5E" w:rsidRDefault="005256F4" w:rsidP="007F2FB4">
            <w:pPr>
              <w:keepNext/>
              <w:keepLines/>
              <w:spacing w:before="20" w:after="20"/>
              <w:jc w:val="right"/>
              <w:rPr>
                <w:rFonts w:ascii="Calibri" w:hAnsi="Calibri"/>
                <w:b/>
                <w:bCs/>
                <w:color w:val="000000"/>
                <w:sz w:val="18"/>
                <w:szCs w:val="18"/>
              </w:rPr>
            </w:pPr>
            <w:r w:rsidRPr="00985F5E">
              <w:rPr>
                <w:rFonts w:ascii="Calibri" w:hAnsi="Calibri"/>
                <w:b/>
                <w:bCs/>
                <w:color w:val="000000"/>
                <w:sz w:val="18"/>
                <w:szCs w:val="18"/>
              </w:rPr>
              <w:t>%</w:t>
            </w:r>
          </w:p>
        </w:tc>
        <w:tc>
          <w:tcPr>
            <w:tcW w:w="842" w:type="dxa"/>
            <w:tcBorders>
              <w:top w:val="single" w:sz="4" w:space="0" w:color="auto"/>
              <w:bottom w:val="single" w:sz="4" w:space="0" w:color="auto"/>
            </w:tcBorders>
            <w:vAlign w:val="center"/>
          </w:tcPr>
          <w:p w:rsidR="005256F4" w:rsidRPr="00985F5E" w:rsidRDefault="005256F4" w:rsidP="007F2FB4">
            <w:pPr>
              <w:keepNext/>
              <w:keepLines/>
              <w:spacing w:before="20" w:after="20"/>
              <w:jc w:val="right"/>
              <w:rPr>
                <w:rFonts w:ascii="Calibri" w:hAnsi="Calibri"/>
                <w:b/>
                <w:color w:val="000000"/>
                <w:sz w:val="18"/>
                <w:szCs w:val="18"/>
              </w:rPr>
            </w:pPr>
            <w:r w:rsidRPr="00985F5E">
              <w:rPr>
                <w:rFonts w:ascii="Calibri" w:hAnsi="Calibri"/>
                <w:b/>
                <w:color w:val="000000"/>
                <w:sz w:val="18"/>
                <w:szCs w:val="18"/>
              </w:rPr>
              <w:t>Odds Ratio</w:t>
            </w:r>
          </w:p>
        </w:tc>
        <w:tc>
          <w:tcPr>
            <w:tcW w:w="1255" w:type="dxa"/>
            <w:gridSpan w:val="2"/>
            <w:tcBorders>
              <w:top w:val="single" w:sz="4" w:space="0" w:color="auto"/>
              <w:bottom w:val="single" w:sz="4" w:space="0" w:color="auto"/>
            </w:tcBorders>
            <w:vAlign w:val="center"/>
          </w:tcPr>
          <w:p w:rsidR="005256F4" w:rsidRPr="00985F5E" w:rsidRDefault="00482A4F" w:rsidP="007F2FB4">
            <w:pPr>
              <w:keepNext/>
              <w:keepLines/>
              <w:spacing w:before="20" w:after="20"/>
              <w:jc w:val="right"/>
              <w:rPr>
                <w:rFonts w:ascii="Calibri" w:hAnsi="Calibri"/>
                <w:b/>
                <w:color w:val="000000"/>
                <w:sz w:val="18"/>
                <w:szCs w:val="18"/>
              </w:rPr>
            </w:pPr>
            <w:r w:rsidRPr="00985F5E">
              <w:rPr>
                <w:rFonts w:ascii="Calibri" w:hAnsi="Calibri"/>
                <w:b/>
                <w:color w:val="000000"/>
                <w:sz w:val="18"/>
                <w:szCs w:val="18"/>
              </w:rPr>
              <w:t>(</w:t>
            </w:r>
            <w:r w:rsidR="005256F4" w:rsidRPr="00985F5E">
              <w:rPr>
                <w:rFonts w:ascii="Calibri" w:hAnsi="Calibri"/>
                <w:b/>
                <w:color w:val="000000"/>
                <w:sz w:val="18"/>
                <w:szCs w:val="18"/>
              </w:rPr>
              <w:t>95% CI</w:t>
            </w:r>
            <w:r w:rsidRPr="00985F5E">
              <w:rPr>
                <w:rFonts w:ascii="Calibri" w:hAnsi="Calibri"/>
                <w:b/>
                <w:color w:val="000000"/>
                <w:sz w:val="18"/>
                <w:szCs w:val="18"/>
              </w:rPr>
              <w:t>)</w:t>
            </w:r>
          </w:p>
        </w:tc>
        <w:tc>
          <w:tcPr>
            <w:tcW w:w="843" w:type="dxa"/>
            <w:tcBorders>
              <w:top w:val="single" w:sz="4" w:space="0" w:color="auto"/>
              <w:bottom w:val="single" w:sz="4" w:space="0" w:color="auto"/>
            </w:tcBorders>
            <w:vAlign w:val="center"/>
          </w:tcPr>
          <w:p w:rsidR="005256F4" w:rsidRPr="00985F5E" w:rsidRDefault="005256F4" w:rsidP="007F2FB4">
            <w:pPr>
              <w:keepNext/>
              <w:keepLines/>
              <w:spacing w:before="20" w:after="20"/>
              <w:jc w:val="right"/>
              <w:rPr>
                <w:rFonts w:ascii="Calibri" w:hAnsi="Calibri"/>
                <w:b/>
                <w:color w:val="000000"/>
                <w:sz w:val="18"/>
                <w:szCs w:val="18"/>
              </w:rPr>
            </w:pPr>
            <w:r w:rsidRPr="00985F5E">
              <w:rPr>
                <w:rFonts w:ascii="Calibri" w:hAnsi="Calibri"/>
                <w:b/>
                <w:color w:val="000000"/>
                <w:sz w:val="18"/>
                <w:szCs w:val="18"/>
              </w:rPr>
              <w:t>p-value</w:t>
            </w:r>
          </w:p>
        </w:tc>
      </w:tr>
      <w:tr w:rsidR="005256F4" w:rsidRPr="00985F5E" w:rsidTr="00E05935">
        <w:tc>
          <w:tcPr>
            <w:tcW w:w="4250" w:type="dxa"/>
            <w:vAlign w:val="bottom"/>
          </w:tcPr>
          <w:p w:rsidR="005256F4" w:rsidRPr="00985F5E" w:rsidRDefault="005256F4" w:rsidP="007F2FB4">
            <w:pPr>
              <w:keepNext/>
              <w:spacing w:before="20" w:after="20"/>
              <w:jc w:val="both"/>
              <w:rPr>
                <w:b/>
                <w:sz w:val="18"/>
                <w:szCs w:val="18"/>
              </w:rPr>
            </w:pPr>
            <w:r w:rsidRPr="00985F5E">
              <w:rPr>
                <w:b/>
                <w:sz w:val="18"/>
                <w:szCs w:val="18"/>
              </w:rPr>
              <w:t>Gambling frequency</w:t>
            </w:r>
          </w:p>
        </w:tc>
        <w:tc>
          <w:tcPr>
            <w:tcW w:w="1116" w:type="dxa"/>
            <w:vAlign w:val="center"/>
          </w:tcPr>
          <w:p w:rsidR="005256F4" w:rsidRPr="00985F5E" w:rsidRDefault="005256F4" w:rsidP="007F2FB4">
            <w:pPr>
              <w:keepNext/>
              <w:adjustRightInd w:val="0"/>
              <w:spacing w:before="20" w:after="20"/>
              <w:jc w:val="right"/>
              <w:rPr>
                <w:color w:val="000000"/>
                <w:sz w:val="18"/>
                <w:szCs w:val="18"/>
              </w:rPr>
            </w:pPr>
          </w:p>
        </w:tc>
        <w:tc>
          <w:tcPr>
            <w:tcW w:w="842" w:type="dxa"/>
          </w:tcPr>
          <w:p w:rsidR="005256F4" w:rsidRPr="00985F5E" w:rsidRDefault="005256F4" w:rsidP="007F2FB4">
            <w:pPr>
              <w:keepNext/>
              <w:adjustRightInd w:val="0"/>
              <w:spacing w:before="20" w:after="20"/>
              <w:jc w:val="right"/>
              <w:rPr>
                <w:color w:val="000000"/>
                <w:sz w:val="18"/>
                <w:szCs w:val="18"/>
              </w:rPr>
            </w:pPr>
          </w:p>
        </w:tc>
        <w:tc>
          <w:tcPr>
            <w:tcW w:w="973" w:type="dxa"/>
          </w:tcPr>
          <w:p w:rsidR="005256F4" w:rsidRPr="00985F5E" w:rsidRDefault="005256F4" w:rsidP="007F2FB4">
            <w:pPr>
              <w:keepNext/>
              <w:adjustRightInd w:val="0"/>
              <w:spacing w:before="20" w:after="20"/>
              <w:jc w:val="right"/>
              <w:rPr>
                <w:color w:val="000000"/>
                <w:sz w:val="18"/>
                <w:szCs w:val="18"/>
              </w:rPr>
            </w:pPr>
          </w:p>
        </w:tc>
        <w:tc>
          <w:tcPr>
            <w:tcW w:w="282" w:type="dxa"/>
          </w:tcPr>
          <w:p w:rsidR="005256F4" w:rsidRPr="00985F5E" w:rsidRDefault="005256F4" w:rsidP="007F2FB4">
            <w:pPr>
              <w:keepNext/>
              <w:adjustRightInd w:val="0"/>
              <w:spacing w:before="20" w:after="20"/>
              <w:jc w:val="right"/>
              <w:rPr>
                <w:color w:val="000000"/>
                <w:sz w:val="18"/>
                <w:szCs w:val="18"/>
              </w:rPr>
            </w:pPr>
          </w:p>
        </w:tc>
        <w:tc>
          <w:tcPr>
            <w:tcW w:w="843" w:type="dxa"/>
            <w:vAlign w:val="center"/>
          </w:tcPr>
          <w:p w:rsidR="005256F4" w:rsidRPr="00985F5E" w:rsidRDefault="005256F4" w:rsidP="007F2FB4">
            <w:pPr>
              <w:keepNext/>
              <w:adjustRightInd w:val="0"/>
              <w:spacing w:before="20" w:after="20"/>
              <w:jc w:val="right"/>
              <w:rPr>
                <w:color w:val="000000"/>
                <w:sz w:val="18"/>
                <w:szCs w:val="18"/>
              </w:rPr>
            </w:pPr>
          </w:p>
        </w:tc>
      </w:tr>
      <w:tr w:rsidR="00696369" w:rsidRPr="00985F5E" w:rsidTr="00E05935">
        <w:tc>
          <w:tcPr>
            <w:tcW w:w="4250" w:type="dxa"/>
          </w:tcPr>
          <w:p w:rsidR="00696369" w:rsidRPr="00985F5E" w:rsidRDefault="00696369" w:rsidP="007F2FB4">
            <w:pPr>
              <w:keepNext/>
              <w:spacing w:before="20" w:after="20"/>
              <w:ind w:left="176"/>
              <w:jc w:val="both"/>
              <w:rPr>
                <w:sz w:val="18"/>
                <w:szCs w:val="18"/>
              </w:rPr>
            </w:pPr>
            <w:r w:rsidRPr="00985F5E">
              <w:rPr>
                <w:sz w:val="18"/>
                <w:szCs w:val="18"/>
              </w:rPr>
              <w:t>At least weekly</w:t>
            </w:r>
          </w:p>
        </w:tc>
        <w:tc>
          <w:tcPr>
            <w:tcW w:w="1116" w:type="dxa"/>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58.62</w:t>
            </w:r>
          </w:p>
        </w:tc>
        <w:tc>
          <w:tcPr>
            <w:tcW w:w="842" w:type="dxa"/>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4.53</w:t>
            </w:r>
          </w:p>
        </w:tc>
        <w:tc>
          <w:tcPr>
            <w:tcW w:w="1255" w:type="dxa"/>
            <w:gridSpan w:val="2"/>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(0.57 - 36.25)</w:t>
            </w:r>
          </w:p>
        </w:tc>
        <w:tc>
          <w:tcPr>
            <w:tcW w:w="843" w:type="dxa"/>
            <w:vAlign w:val="center"/>
          </w:tcPr>
          <w:p w:rsidR="00696369" w:rsidRPr="00985F5E" w:rsidRDefault="00696369" w:rsidP="007F2FB4">
            <w:pPr>
              <w:keepNext/>
              <w:adjustRightInd w:val="0"/>
              <w:spacing w:before="20" w:after="20"/>
              <w:jc w:val="right"/>
              <w:rPr>
                <w:color w:val="000000"/>
                <w:sz w:val="18"/>
                <w:szCs w:val="18"/>
              </w:rPr>
            </w:pPr>
          </w:p>
        </w:tc>
      </w:tr>
      <w:tr w:rsidR="00696369" w:rsidRPr="00985F5E" w:rsidTr="00E05935">
        <w:tc>
          <w:tcPr>
            <w:tcW w:w="4250" w:type="dxa"/>
          </w:tcPr>
          <w:p w:rsidR="00696369" w:rsidRPr="00985F5E" w:rsidRDefault="00696369" w:rsidP="007F2FB4">
            <w:pPr>
              <w:keepNext/>
              <w:spacing w:before="20" w:after="20"/>
              <w:ind w:left="176"/>
              <w:jc w:val="both"/>
              <w:rPr>
                <w:sz w:val="18"/>
                <w:szCs w:val="18"/>
              </w:rPr>
            </w:pPr>
            <w:r w:rsidRPr="00985F5E">
              <w:rPr>
                <w:sz w:val="18"/>
                <w:szCs w:val="18"/>
              </w:rPr>
              <w:t>At least monthly</w:t>
            </w:r>
          </w:p>
        </w:tc>
        <w:tc>
          <w:tcPr>
            <w:tcW w:w="1116" w:type="dxa"/>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16.39</w:t>
            </w:r>
          </w:p>
        </w:tc>
        <w:tc>
          <w:tcPr>
            <w:tcW w:w="842" w:type="dxa"/>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0.63</w:t>
            </w:r>
          </w:p>
        </w:tc>
        <w:tc>
          <w:tcPr>
            <w:tcW w:w="1255" w:type="dxa"/>
            <w:gridSpan w:val="2"/>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(0.07 - 5.76)</w:t>
            </w:r>
          </w:p>
        </w:tc>
        <w:tc>
          <w:tcPr>
            <w:tcW w:w="843" w:type="dxa"/>
            <w:vAlign w:val="center"/>
          </w:tcPr>
          <w:p w:rsidR="00696369" w:rsidRPr="00985F5E" w:rsidRDefault="00696369" w:rsidP="007F2FB4">
            <w:pPr>
              <w:keepNext/>
              <w:adjustRightInd w:val="0"/>
              <w:spacing w:before="20" w:after="20"/>
              <w:jc w:val="right"/>
              <w:rPr>
                <w:color w:val="000000"/>
                <w:sz w:val="18"/>
                <w:szCs w:val="18"/>
              </w:rPr>
            </w:pPr>
          </w:p>
        </w:tc>
      </w:tr>
      <w:tr w:rsidR="00696369" w:rsidRPr="00985F5E" w:rsidTr="00E05935">
        <w:tc>
          <w:tcPr>
            <w:tcW w:w="4250" w:type="dxa"/>
            <w:tcBorders>
              <w:bottom w:val="single" w:sz="4" w:space="0" w:color="auto"/>
            </w:tcBorders>
          </w:tcPr>
          <w:p w:rsidR="00696369" w:rsidRPr="00985F5E" w:rsidRDefault="00696369" w:rsidP="007F2FB4">
            <w:pPr>
              <w:keepNext/>
              <w:spacing w:before="20" w:after="20"/>
              <w:ind w:left="176"/>
              <w:jc w:val="both"/>
              <w:rPr>
                <w:sz w:val="18"/>
                <w:szCs w:val="18"/>
              </w:rPr>
            </w:pPr>
            <w:r w:rsidRPr="00985F5E">
              <w:rPr>
                <w:sz w:val="18"/>
                <w:szCs w:val="18"/>
              </w:rPr>
              <w:t>At least once in past year</w:t>
            </w:r>
          </w:p>
        </w:tc>
        <w:tc>
          <w:tcPr>
            <w:tcW w:w="1116" w:type="dxa"/>
            <w:tcBorders>
              <w:bottom w:val="single" w:sz="4" w:space="0" w:color="auto"/>
            </w:tcBorders>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23.84</w:t>
            </w:r>
          </w:p>
        </w:tc>
        <w:tc>
          <w:tcPr>
            <w:tcW w:w="842" w:type="dxa"/>
            <w:tcBorders>
              <w:bottom w:val="single" w:sz="4" w:space="0" w:color="auto"/>
            </w:tcBorders>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1.00</w:t>
            </w:r>
          </w:p>
        </w:tc>
        <w:tc>
          <w:tcPr>
            <w:tcW w:w="973" w:type="dxa"/>
            <w:tcBorders>
              <w:bottom w:val="single" w:sz="4" w:space="0" w:color="auto"/>
            </w:tcBorders>
            <w:vAlign w:val="center"/>
          </w:tcPr>
          <w:p w:rsidR="00696369" w:rsidRPr="00985F5E" w:rsidRDefault="00696369" w:rsidP="007F2FB4">
            <w:pPr>
              <w:keepNext/>
              <w:adjustRightInd w:val="0"/>
              <w:spacing w:before="20" w:after="20"/>
              <w:jc w:val="right"/>
              <w:rPr>
                <w:color w:val="000000"/>
                <w:sz w:val="18"/>
                <w:szCs w:val="18"/>
              </w:rPr>
            </w:pPr>
          </w:p>
        </w:tc>
        <w:tc>
          <w:tcPr>
            <w:tcW w:w="282" w:type="dxa"/>
            <w:tcBorders>
              <w:bottom w:val="single" w:sz="4" w:space="0" w:color="auto"/>
            </w:tcBorders>
            <w:vAlign w:val="center"/>
          </w:tcPr>
          <w:p w:rsidR="00696369" w:rsidRPr="00985F5E" w:rsidRDefault="00696369" w:rsidP="007F2FB4">
            <w:pPr>
              <w:keepNext/>
              <w:adjustRightInd w:val="0"/>
              <w:spacing w:before="20" w:after="20"/>
              <w:jc w:val="right"/>
              <w:rPr>
                <w:color w:val="000000"/>
                <w:sz w:val="18"/>
                <w:szCs w:val="18"/>
              </w:rPr>
            </w:pPr>
          </w:p>
        </w:tc>
        <w:tc>
          <w:tcPr>
            <w:tcW w:w="843" w:type="dxa"/>
            <w:tcBorders>
              <w:bottom w:val="single" w:sz="4" w:space="0" w:color="auto"/>
            </w:tcBorders>
            <w:shd w:val="clear" w:color="auto" w:fill="D9D9D9" w:themeFill="background1" w:themeFillShade="D9"/>
            <w:vAlign w:val="center"/>
          </w:tcPr>
          <w:p w:rsidR="00696369" w:rsidRPr="00985F5E" w:rsidRDefault="00696369" w:rsidP="007F2FB4">
            <w:pPr>
              <w:keepNext/>
              <w:adjustRightInd w:val="0"/>
              <w:spacing w:before="20" w:after="20"/>
              <w:jc w:val="right"/>
              <w:rPr>
                <w:color w:val="000000"/>
                <w:sz w:val="18"/>
                <w:szCs w:val="18"/>
              </w:rPr>
            </w:pPr>
            <w:r w:rsidRPr="00985F5E">
              <w:rPr>
                <w:color w:val="000000"/>
                <w:sz w:val="18"/>
                <w:szCs w:val="18"/>
              </w:rPr>
              <w:t>0.01</w:t>
            </w:r>
          </w:p>
        </w:tc>
      </w:tr>
    </w:tbl>
    <w:p w:rsidR="005256F4" w:rsidRPr="0034241E" w:rsidRDefault="005256F4" w:rsidP="005256F4">
      <w:pPr>
        <w:rPr>
          <w:sz w:val="18"/>
        </w:rPr>
      </w:pPr>
      <w:r>
        <w:rPr>
          <w:sz w:val="18"/>
        </w:rPr>
        <w:t>Data</w:t>
      </w:r>
      <w:r w:rsidRPr="0034241E">
        <w:rPr>
          <w:sz w:val="18"/>
        </w:rPr>
        <w:t xml:space="preserve"> weighted for 2013 Census data (both Waves) and attrition (Wave 2)</w:t>
      </w:r>
    </w:p>
    <w:p w:rsidR="00D8324A" w:rsidRDefault="00D8324A" w:rsidP="00FD12E4">
      <w:pPr>
        <w:tabs>
          <w:tab w:val="left" w:pos="0"/>
        </w:tabs>
        <w:jc w:val="both"/>
        <w:rPr>
          <w:szCs w:val="22"/>
        </w:rPr>
      </w:pPr>
    </w:p>
    <w:p w:rsidR="00F93F9B" w:rsidRPr="00DE7450" w:rsidRDefault="00F93F9B" w:rsidP="00F93F9B">
      <w:pPr>
        <w:pStyle w:val="Heading3b"/>
        <w:numPr>
          <w:ilvl w:val="2"/>
          <w:numId w:val="40"/>
        </w:numPr>
        <w:tabs>
          <w:tab w:val="clear" w:pos="1146"/>
        </w:tabs>
        <w:ind w:left="709"/>
        <w:rPr>
          <w:rFonts w:ascii="Times New Roman" w:hAnsi="Times New Roman" w:cs="Times New Roman"/>
          <w:b/>
        </w:rPr>
      </w:pPr>
      <w:bookmarkStart w:id="213" w:name="_Toc420392617"/>
      <w:r>
        <w:rPr>
          <w:rFonts w:ascii="Times New Roman" w:hAnsi="Times New Roman" w:cs="Times New Roman"/>
          <w:b/>
        </w:rPr>
        <w:t>Transition to low-risk/moderate-risk/problem gambler</w:t>
      </w:r>
      <w:bookmarkEnd w:id="213"/>
    </w:p>
    <w:p w:rsidR="00FA2407" w:rsidRDefault="00FA2407" w:rsidP="00FA2407">
      <w:pPr>
        <w:jc w:val="both"/>
        <w:rPr>
          <w:szCs w:val="22"/>
        </w:rPr>
      </w:pPr>
    </w:p>
    <w:p w:rsidR="008279B4" w:rsidRPr="008279B4" w:rsidRDefault="008279B4" w:rsidP="008279B4">
      <w:pPr>
        <w:tabs>
          <w:tab w:val="left" w:pos="0"/>
        </w:tabs>
        <w:jc w:val="both"/>
        <w:rPr>
          <w:szCs w:val="22"/>
        </w:rPr>
      </w:pPr>
      <w:r w:rsidRPr="008279B4">
        <w:rPr>
          <w:szCs w:val="22"/>
        </w:rPr>
        <w:t>In Wave 2, 155 participants (adjusted data) transitioned into the low-risk/moderate-risk/ problem gambler categories from being non-problem gamblers in Wave 1.  A further 2,267 participants stayed as non-problem gamblers.</w:t>
      </w:r>
    </w:p>
    <w:p w:rsidR="008279B4" w:rsidRPr="008279B4" w:rsidRDefault="008279B4" w:rsidP="008279B4">
      <w:pPr>
        <w:tabs>
          <w:tab w:val="left" w:pos="0"/>
        </w:tabs>
        <w:jc w:val="both"/>
        <w:rPr>
          <w:szCs w:val="22"/>
        </w:rPr>
      </w:pPr>
    </w:p>
    <w:p w:rsidR="008279B4" w:rsidRPr="008279B4" w:rsidRDefault="008279B4" w:rsidP="008279B4">
      <w:pPr>
        <w:tabs>
          <w:tab w:val="left" w:pos="0"/>
        </w:tabs>
        <w:jc w:val="both"/>
        <w:rPr>
          <w:szCs w:val="22"/>
        </w:rPr>
      </w:pPr>
    </w:p>
    <w:p w:rsidR="008279B4" w:rsidRPr="008279B4" w:rsidRDefault="007F2FB4" w:rsidP="00E9638E">
      <w:pPr>
        <w:keepNext/>
        <w:tabs>
          <w:tab w:val="left" w:pos="0"/>
        </w:tabs>
        <w:jc w:val="both"/>
        <w:rPr>
          <w:szCs w:val="22"/>
        </w:rPr>
      </w:pPr>
      <w:r>
        <w:rPr>
          <w:b/>
          <w:szCs w:val="22"/>
        </w:rPr>
        <w:t>B</w:t>
      </w:r>
      <w:r w:rsidR="008279B4" w:rsidRPr="008279B4">
        <w:rPr>
          <w:b/>
          <w:szCs w:val="22"/>
        </w:rPr>
        <w:t xml:space="preserve">ivariate </w:t>
      </w:r>
      <w:r>
        <w:rPr>
          <w:b/>
          <w:szCs w:val="22"/>
        </w:rPr>
        <w:t>associations</w:t>
      </w:r>
    </w:p>
    <w:p w:rsidR="008279B4" w:rsidRPr="008279B4" w:rsidRDefault="008279B4" w:rsidP="00E9638E">
      <w:pPr>
        <w:keepNext/>
        <w:tabs>
          <w:tab w:val="left" w:pos="0"/>
        </w:tabs>
        <w:jc w:val="both"/>
        <w:rPr>
          <w:szCs w:val="22"/>
        </w:rPr>
      </w:pPr>
    </w:p>
    <w:p w:rsidR="008279B4" w:rsidRDefault="007F2FB4" w:rsidP="00E9638E">
      <w:pPr>
        <w:keepNext/>
        <w:tabs>
          <w:tab w:val="left" w:pos="0"/>
        </w:tabs>
        <w:jc w:val="both"/>
        <w:rPr>
          <w:szCs w:val="22"/>
        </w:rPr>
      </w:pPr>
      <w:r>
        <w:rPr>
          <w:szCs w:val="22"/>
        </w:rPr>
        <w:t>Bivariate associations examined by l</w:t>
      </w:r>
      <w:r w:rsidR="008279B4" w:rsidRPr="009217BA">
        <w:rPr>
          <w:szCs w:val="22"/>
        </w:rPr>
        <w:t xml:space="preserve">ogistic regression indicated that ethnicity, </w:t>
      </w:r>
      <w:r w:rsidR="009217BA" w:rsidRPr="009217BA">
        <w:rPr>
          <w:szCs w:val="22"/>
        </w:rPr>
        <w:t>age, religion and area of residence</w:t>
      </w:r>
      <w:r w:rsidR="008279B4" w:rsidRPr="009217BA">
        <w:rPr>
          <w:szCs w:val="22"/>
        </w:rPr>
        <w:t xml:space="preserve"> were the demographic variables</w:t>
      </w:r>
      <w:r w:rsidR="00B03978">
        <w:rPr>
          <w:rStyle w:val="FootnoteReference"/>
          <w:szCs w:val="22"/>
        </w:rPr>
        <w:footnoteReference w:id="5"/>
      </w:r>
      <w:r w:rsidR="008279B4" w:rsidRPr="009217BA">
        <w:rPr>
          <w:szCs w:val="22"/>
        </w:rPr>
        <w:t xml:space="preserve"> significantly associated with the transition to</w:t>
      </w:r>
      <w:r w:rsidR="009217BA" w:rsidRPr="009217BA">
        <w:rPr>
          <w:szCs w:val="22"/>
        </w:rPr>
        <w:t xml:space="preserve"> low-risk gambler,</w:t>
      </w:r>
      <w:r w:rsidR="008279B4" w:rsidRPr="009217BA">
        <w:rPr>
          <w:szCs w:val="22"/>
        </w:rPr>
        <w:t xml:space="preserve"> moderate-risk gambler or problem gambler.  Being of Māori</w:t>
      </w:r>
      <w:r w:rsidR="009217BA" w:rsidRPr="009217BA">
        <w:rPr>
          <w:szCs w:val="22"/>
        </w:rPr>
        <w:t>,</w:t>
      </w:r>
      <w:r w:rsidR="008279B4" w:rsidRPr="009217BA">
        <w:rPr>
          <w:szCs w:val="22"/>
        </w:rPr>
        <w:t xml:space="preserve"> Pacific</w:t>
      </w:r>
      <w:r w:rsidR="009217BA" w:rsidRPr="009217BA">
        <w:rPr>
          <w:szCs w:val="22"/>
        </w:rPr>
        <w:t xml:space="preserve"> or Asian</w:t>
      </w:r>
      <w:r w:rsidR="008279B4" w:rsidRPr="009217BA">
        <w:rPr>
          <w:szCs w:val="22"/>
        </w:rPr>
        <w:t xml:space="preserve"> ethnicity was associated with </w:t>
      </w:r>
      <w:r w:rsidR="009217BA" w:rsidRPr="009217BA">
        <w:rPr>
          <w:szCs w:val="22"/>
        </w:rPr>
        <w:t>3.21, 4.07 and 2.58</w:t>
      </w:r>
      <w:r w:rsidR="008279B4" w:rsidRPr="009217BA">
        <w:rPr>
          <w:szCs w:val="22"/>
        </w:rPr>
        <w:t xml:space="preserve"> times the risk of transitioning to</w:t>
      </w:r>
      <w:r w:rsidR="009217BA" w:rsidRPr="009217BA">
        <w:rPr>
          <w:szCs w:val="22"/>
        </w:rPr>
        <w:t xml:space="preserve"> low-risk, </w:t>
      </w:r>
      <w:r w:rsidR="008279B4" w:rsidRPr="009217BA">
        <w:rPr>
          <w:szCs w:val="22"/>
        </w:rPr>
        <w:t xml:space="preserve">moderate-risk or problem gambler </w:t>
      </w:r>
      <w:r w:rsidR="00B03978">
        <w:rPr>
          <w:szCs w:val="22"/>
        </w:rPr>
        <w:t>compared with</w:t>
      </w:r>
      <w:r w:rsidR="008279B4" w:rsidRPr="009217BA">
        <w:rPr>
          <w:szCs w:val="22"/>
        </w:rPr>
        <w:t xml:space="preserve"> European/Other.  </w:t>
      </w:r>
      <w:r w:rsidR="009217BA">
        <w:rPr>
          <w:szCs w:val="22"/>
        </w:rPr>
        <w:t>People of Other Christian and Other religions had twice the risk of people with no religion.</w:t>
      </w:r>
    </w:p>
    <w:p w:rsidR="009217BA" w:rsidRDefault="009217BA" w:rsidP="008279B4">
      <w:pPr>
        <w:tabs>
          <w:tab w:val="left" w:pos="0"/>
        </w:tabs>
        <w:jc w:val="both"/>
        <w:rPr>
          <w:szCs w:val="22"/>
        </w:rPr>
      </w:pPr>
    </w:p>
    <w:p w:rsidR="009217BA" w:rsidRDefault="009217BA" w:rsidP="008279B4">
      <w:pPr>
        <w:tabs>
          <w:tab w:val="left" w:pos="0"/>
        </w:tabs>
        <w:jc w:val="both"/>
        <w:rPr>
          <w:szCs w:val="22"/>
        </w:rPr>
      </w:pPr>
      <w:r>
        <w:rPr>
          <w:szCs w:val="22"/>
        </w:rPr>
        <w:t xml:space="preserve">People in the older age groups (55 years and older) were at </w:t>
      </w:r>
      <w:r>
        <w:rPr>
          <w:i/>
          <w:szCs w:val="22"/>
        </w:rPr>
        <w:t>lower</w:t>
      </w:r>
      <w:r>
        <w:rPr>
          <w:szCs w:val="22"/>
        </w:rPr>
        <w:t xml:space="preserve"> risk of transitioning to </w:t>
      </w:r>
      <w:r w:rsidRPr="009217BA">
        <w:rPr>
          <w:szCs w:val="22"/>
        </w:rPr>
        <w:t>low-risk, moderate-risk or problem gambler status</w:t>
      </w:r>
      <w:r w:rsidR="005B05BA">
        <w:rPr>
          <w:szCs w:val="22"/>
        </w:rPr>
        <w:t xml:space="preserve"> than peopl</w:t>
      </w:r>
      <w:r w:rsidR="00B03978">
        <w:rPr>
          <w:szCs w:val="22"/>
        </w:rPr>
        <w:t>e in the youngest age group (18</w:t>
      </w:r>
      <w:r w:rsidR="005B05BA">
        <w:rPr>
          <w:szCs w:val="22"/>
        </w:rPr>
        <w:t>-24 years).  People residing in Wellington and Christchurch were also at lower risk than people residing in Auckland.</w:t>
      </w:r>
    </w:p>
    <w:p w:rsidR="005B05BA" w:rsidRDefault="005B05BA" w:rsidP="008279B4">
      <w:pPr>
        <w:tabs>
          <w:tab w:val="left" w:pos="0"/>
        </w:tabs>
        <w:jc w:val="both"/>
        <w:rPr>
          <w:szCs w:val="22"/>
        </w:rPr>
      </w:pPr>
    </w:p>
    <w:p w:rsidR="008279B4" w:rsidRPr="00E91EFA" w:rsidRDefault="008279B4" w:rsidP="008279B4">
      <w:pPr>
        <w:tabs>
          <w:tab w:val="left" w:pos="0"/>
        </w:tabs>
        <w:jc w:val="both"/>
        <w:rPr>
          <w:szCs w:val="22"/>
        </w:rPr>
      </w:pPr>
      <w:r w:rsidRPr="00E91EFA">
        <w:rPr>
          <w:szCs w:val="22"/>
        </w:rPr>
        <w:t xml:space="preserve">Gambling-related factors significantly associated with the transition were the number of activities gambled on, pattern </w:t>
      </w:r>
      <w:r w:rsidR="00E91EFA" w:rsidRPr="00E91EFA">
        <w:rPr>
          <w:szCs w:val="22"/>
        </w:rPr>
        <w:t xml:space="preserve">and frequency </w:t>
      </w:r>
      <w:r w:rsidRPr="00E91EFA">
        <w:rPr>
          <w:szCs w:val="22"/>
        </w:rPr>
        <w:t xml:space="preserve">of gambling, gambling expenditure, </w:t>
      </w:r>
      <w:r w:rsidR="00E91EFA" w:rsidRPr="00E91EFA">
        <w:rPr>
          <w:szCs w:val="22"/>
        </w:rPr>
        <w:t xml:space="preserve">participating in most forms of gambling either annually or monthly, </w:t>
      </w:r>
      <w:r w:rsidRPr="00E91EFA">
        <w:rPr>
          <w:szCs w:val="22"/>
        </w:rPr>
        <w:t xml:space="preserve">time spent gambling in a typical session (casino table games and EGMs, non-casino EGMs), </w:t>
      </w:r>
      <w:r w:rsidR="00E91EFA" w:rsidRPr="00E91EFA">
        <w:rPr>
          <w:szCs w:val="22"/>
        </w:rPr>
        <w:t>and knowing people with gambling problems</w:t>
      </w:r>
      <w:r w:rsidRPr="00E91EFA">
        <w:rPr>
          <w:szCs w:val="22"/>
        </w:rPr>
        <w:t>.</w:t>
      </w:r>
    </w:p>
    <w:p w:rsidR="008279B4" w:rsidRPr="00E91EFA" w:rsidRDefault="008279B4" w:rsidP="008279B4">
      <w:pPr>
        <w:tabs>
          <w:tab w:val="left" w:pos="0"/>
        </w:tabs>
        <w:jc w:val="both"/>
        <w:rPr>
          <w:szCs w:val="22"/>
        </w:rPr>
      </w:pPr>
    </w:p>
    <w:p w:rsidR="008279B4" w:rsidRPr="00F52F7E" w:rsidRDefault="008279B4" w:rsidP="008279B4">
      <w:pPr>
        <w:tabs>
          <w:tab w:val="left" w:pos="0"/>
        </w:tabs>
        <w:jc w:val="both"/>
        <w:rPr>
          <w:szCs w:val="22"/>
        </w:rPr>
      </w:pPr>
      <w:r w:rsidRPr="00F52F7E">
        <w:rPr>
          <w:szCs w:val="22"/>
        </w:rPr>
        <w:t xml:space="preserve">People who had participated in </w:t>
      </w:r>
      <w:r w:rsidR="00E91EFA" w:rsidRPr="00F52F7E">
        <w:rPr>
          <w:szCs w:val="22"/>
        </w:rPr>
        <w:t xml:space="preserve">four to six, </w:t>
      </w:r>
      <w:r w:rsidRPr="00F52F7E">
        <w:rPr>
          <w:szCs w:val="22"/>
        </w:rPr>
        <w:t xml:space="preserve">seven to nine or 10 or more gambling activities in the previous 12 months were </w:t>
      </w:r>
      <w:r w:rsidR="00E91EFA" w:rsidRPr="00F52F7E">
        <w:rPr>
          <w:szCs w:val="22"/>
        </w:rPr>
        <w:t>two to three</w:t>
      </w:r>
      <w:r w:rsidRPr="00F52F7E">
        <w:rPr>
          <w:szCs w:val="22"/>
        </w:rPr>
        <w:t xml:space="preserve"> times at greater risk of transitioning to </w:t>
      </w:r>
      <w:r w:rsidR="00E91EFA" w:rsidRPr="00F52F7E">
        <w:rPr>
          <w:szCs w:val="22"/>
        </w:rPr>
        <w:t xml:space="preserve">low-risk, </w:t>
      </w:r>
      <w:r w:rsidRPr="00F52F7E">
        <w:rPr>
          <w:szCs w:val="22"/>
        </w:rPr>
        <w:t xml:space="preserve">moderate-risk or problem gambler than people who had only participated in one gambling activity.  </w:t>
      </w:r>
      <w:r w:rsidR="00E91EFA" w:rsidRPr="00F52F7E">
        <w:rPr>
          <w:szCs w:val="22"/>
        </w:rPr>
        <w:t xml:space="preserve">Interestingly, people who had gambled on two activities were also at slightly greater risk (1.25 times).  </w:t>
      </w:r>
      <w:r w:rsidRPr="00F52F7E">
        <w:rPr>
          <w:szCs w:val="22"/>
        </w:rPr>
        <w:t>People whose typical monthly gambling expenditure was $</w:t>
      </w:r>
      <w:r w:rsidR="00E91EFA" w:rsidRPr="00F52F7E">
        <w:rPr>
          <w:szCs w:val="22"/>
        </w:rPr>
        <w:t>5</w:t>
      </w:r>
      <w:r w:rsidRPr="00F52F7E">
        <w:rPr>
          <w:szCs w:val="22"/>
        </w:rPr>
        <w:t xml:space="preserve">1 </w:t>
      </w:r>
      <w:r w:rsidR="00E91EFA" w:rsidRPr="00F52F7E">
        <w:rPr>
          <w:szCs w:val="22"/>
        </w:rPr>
        <w:t>or greater</w:t>
      </w:r>
      <w:r w:rsidRPr="00F52F7E">
        <w:rPr>
          <w:szCs w:val="22"/>
        </w:rPr>
        <w:t xml:space="preserve"> had </w:t>
      </w:r>
      <w:r w:rsidR="00F52F7E" w:rsidRPr="00F52F7E">
        <w:rPr>
          <w:szCs w:val="22"/>
        </w:rPr>
        <w:t>three to five</w:t>
      </w:r>
      <w:r w:rsidRPr="00F52F7E">
        <w:rPr>
          <w:szCs w:val="22"/>
        </w:rPr>
        <w:t xml:space="preserve"> times the risk of those who gambled $10 or less.</w:t>
      </w:r>
    </w:p>
    <w:p w:rsidR="008279B4" w:rsidRPr="00F52F7E" w:rsidRDefault="008279B4" w:rsidP="008279B4">
      <w:pPr>
        <w:tabs>
          <w:tab w:val="left" w:pos="0"/>
        </w:tabs>
        <w:jc w:val="both"/>
        <w:rPr>
          <w:szCs w:val="22"/>
        </w:rPr>
      </w:pPr>
    </w:p>
    <w:p w:rsidR="008279B4" w:rsidRDefault="008279B4" w:rsidP="008279B4">
      <w:pPr>
        <w:tabs>
          <w:tab w:val="left" w:pos="0"/>
        </w:tabs>
        <w:jc w:val="both"/>
        <w:rPr>
          <w:szCs w:val="22"/>
        </w:rPr>
      </w:pPr>
      <w:r w:rsidRPr="00F52F7E">
        <w:rPr>
          <w:szCs w:val="22"/>
        </w:rPr>
        <w:lastRenderedPageBreak/>
        <w:t xml:space="preserve">People who regularly gambled on continuous forms had </w:t>
      </w:r>
      <w:r w:rsidR="00F52F7E" w:rsidRPr="00F52F7E">
        <w:rPr>
          <w:szCs w:val="22"/>
        </w:rPr>
        <w:t>four</w:t>
      </w:r>
      <w:r w:rsidRPr="00F52F7E">
        <w:rPr>
          <w:szCs w:val="22"/>
        </w:rPr>
        <w:t xml:space="preserve"> times the risk </w:t>
      </w:r>
      <w:r w:rsidR="00B03978">
        <w:rPr>
          <w:szCs w:val="22"/>
        </w:rPr>
        <w:t>compared with</w:t>
      </w:r>
      <w:r w:rsidRPr="00F52F7E">
        <w:rPr>
          <w:szCs w:val="22"/>
        </w:rPr>
        <w:t xml:space="preserve"> people who were infrequent gamblers</w:t>
      </w:r>
      <w:r w:rsidR="00F52F7E" w:rsidRPr="00F52F7E">
        <w:rPr>
          <w:szCs w:val="22"/>
        </w:rPr>
        <w:t xml:space="preserve">, with an increased risk (about three times greater) noted for people who gambled at </w:t>
      </w:r>
      <w:r w:rsidR="00B03978">
        <w:rPr>
          <w:szCs w:val="22"/>
        </w:rPr>
        <w:t>l</w:t>
      </w:r>
      <w:r w:rsidR="00F52F7E" w:rsidRPr="00F52F7E">
        <w:rPr>
          <w:szCs w:val="22"/>
        </w:rPr>
        <w:t>east weekly or at least monthly compared with people who had gambled at least once in the past year</w:t>
      </w:r>
      <w:r w:rsidRPr="00F52F7E">
        <w:rPr>
          <w:szCs w:val="22"/>
        </w:rPr>
        <w:t xml:space="preserve">.  This was </w:t>
      </w:r>
      <w:r w:rsidR="00F52F7E" w:rsidRPr="00F52F7E">
        <w:rPr>
          <w:szCs w:val="22"/>
        </w:rPr>
        <w:t xml:space="preserve">also </w:t>
      </w:r>
      <w:r w:rsidRPr="00F52F7E">
        <w:rPr>
          <w:szCs w:val="22"/>
        </w:rPr>
        <w:t xml:space="preserve">evident in the increased risk noted for </w:t>
      </w:r>
      <w:r w:rsidR="007C56C7">
        <w:rPr>
          <w:szCs w:val="22"/>
        </w:rPr>
        <w:t>most</w:t>
      </w:r>
      <w:r w:rsidRPr="00F52F7E">
        <w:rPr>
          <w:szCs w:val="22"/>
        </w:rPr>
        <w:t xml:space="preserve"> forms of gambling participated in annually or monthly, with the greatest risk noted for monthly gambling on casino EGMs (</w:t>
      </w:r>
      <w:r w:rsidR="00F52F7E" w:rsidRPr="00F52F7E">
        <w:rPr>
          <w:szCs w:val="22"/>
        </w:rPr>
        <w:t>14.70</w:t>
      </w:r>
      <w:r w:rsidRPr="00F52F7E">
        <w:rPr>
          <w:szCs w:val="22"/>
        </w:rPr>
        <w:t xml:space="preserve"> times)</w:t>
      </w:r>
      <w:r w:rsidR="00B03978">
        <w:rPr>
          <w:szCs w:val="22"/>
        </w:rPr>
        <w:t>, pub EGMS (10.05 </w:t>
      </w:r>
      <w:r w:rsidR="00F52F7E" w:rsidRPr="00F52F7E">
        <w:rPr>
          <w:szCs w:val="22"/>
        </w:rPr>
        <w:t>times),</w:t>
      </w:r>
      <w:r w:rsidRPr="00F52F7E">
        <w:rPr>
          <w:szCs w:val="22"/>
        </w:rPr>
        <w:t xml:space="preserve"> club EGMs (</w:t>
      </w:r>
      <w:r w:rsidR="00F52F7E" w:rsidRPr="00F52F7E">
        <w:rPr>
          <w:szCs w:val="22"/>
        </w:rPr>
        <w:t>8.22</w:t>
      </w:r>
      <w:r w:rsidRPr="00F52F7E">
        <w:rPr>
          <w:szCs w:val="22"/>
        </w:rPr>
        <w:t xml:space="preserve"> times)</w:t>
      </w:r>
      <w:r w:rsidR="00F52F7E" w:rsidRPr="00F52F7E">
        <w:rPr>
          <w:szCs w:val="22"/>
        </w:rPr>
        <w:t xml:space="preserve"> and housie/bingo (9.41 times)</w:t>
      </w:r>
      <w:r w:rsidRPr="00F52F7E">
        <w:rPr>
          <w:szCs w:val="22"/>
        </w:rPr>
        <w:t xml:space="preserve">.  Similarly, increased risk was noted with increased time spent </w:t>
      </w:r>
      <w:r w:rsidR="00B03978">
        <w:rPr>
          <w:szCs w:val="22"/>
        </w:rPr>
        <w:t>gambling on</w:t>
      </w:r>
      <w:r w:rsidRPr="00F52F7E">
        <w:rPr>
          <w:szCs w:val="22"/>
        </w:rPr>
        <w:t xml:space="preserve"> EGMs in an average day.  People who played casino EGMs for more than </w:t>
      </w:r>
      <w:r w:rsidR="00F52F7E" w:rsidRPr="00F52F7E">
        <w:rPr>
          <w:szCs w:val="22"/>
        </w:rPr>
        <w:t>30</w:t>
      </w:r>
      <w:r w:rsidRPr="00F52F7E">
        <w:rPr>
          <w:szCs w:val="22"/>
        </w:rPr>
        <w:t xml:space="preserve"> minutes </w:t>
      </w:r>
      <w:r w:rsidR="00B03978">
        <w:rPr>
          <w:szCs w:val="22"/>
        </w:rPr>
        <w:t>had</w:t>
      </w:r>
      <w:r w:rsidRPr="00F52F7E">
        <w:rPr>
          <w:szCs w:val="22"/>
        </w:rPr>
        <w:t xml:space="preserve"> </w:t>
      </w:r>
      <w:r w:rsidR="00F52F7E" w:rsidRPr="00F52F7E">
        <w:rPr>
          <w:szCs w:val="22"/>
        </w:rPr>
        <w:t xml:space="preserve">about </w:t>
      </w:r>
      <w:r w:rsidRPr="00F52F7E">
        <w:rPr>
          <w:szCs w:val="22"/>
        </w:rPr>
        <w:t xml:space="preserve">four times the risk compared with people who did not gamble on casino EGMs.  For </w:t>
      </w:r>
      <w:r w:rsidR="00F52F7E" w:rsidRPr="00F52F7E">
        <w:rPr>
          <w:szCs w:val="22"/>
        </w:rPr>
        <w:t xml:space="preserve">pub and </w:t>
      </w:r>
      <w:r w:rsidRPr="00F52F7E">
        <w:rPr>
          <w:szCs w:val="22"/>
        </w:rPr>
        <w:t xml:space="preserve">club EGM gamblers, the risk increased to nearly </w:t>
      </w:r>
      <w:r w:rsidR="00F52F7E" w:rsidRPr="00F52F7E">
        <w:rPr>
          <w:szCs w:val="22"/>
        </w:rPr>
        <w:t>10 or 11 </w:t>
      </w:r>
      <w:r w:rsidRPr="00F52F7E">
        <w:rPr>
          <w:szCs w:val="22"/>
        </w:rPr>
        <w:t>times</w:t>
      </w:r>
      <w:r w:rsidR="00F52F7E" w:rsidRPr="00F52F7E">
        <w:rPr>
          <w:szCs w:val="22"/>
        </w:rPr>
        <w:t xml:space="preserve"> higher respectively, for people gambling for more than 60</w:t>
      </w:r>
      <w:r w:rsidR="00B03978">
        <w:rPr>
          <w:szCs w:val="22"/>
        </w:rPr>
        <w:t> </w:t>
      </w:r>
      <w:r w:rsidR="00F52F7E" w:rsidRPr="00F52F7E">
        <w:rPr>
          <w:szCs w:val="22"/>
        </w:rPr>
        <w:t>minutes</w:t>
      </w:r>
      <w:r w:rsidRPr="00F52F7E">
        <w:rPr>
          <w:szCs w:val="22"/>
        </w:rPr>
        <w:t xml:space="preserve">.  </w:t>
      </w:r>
      <w:r w:rsidR="00F52F7E" w:rsidRPr="00F52F7E">
        <w:rPr>
          <w:szCs w:val="22"/>
        </w:rPr>
        <w:t>With</w:t>
      </w:r>
      <w:r w:rsidRPr="00F52F7E">
        <w:rPr>
          <w:szCs w:val="22"/>
        </w:rPr>
        <w:t xml:space="preserve"> pub EGM gambl</w:t>
      </w:r>
      <w:r w:rsidR="00F52F7E" w:rsidRPr="00F52F7E">
        <w:rPr>
          <w:szCs w:val="22"/>
        </w:rPr>
        <w:t>ing</w:t>
      </w:r>
      <w:r w:rsidRPr="00F52F7E">
        <w:rPr>
          <w:szCs w:val="22"/>
        </w:rPr>
        <w:t xml:space="preserve">, </w:t>
      </w:r>
      <w:r w:rsidR="00F52F7E" w:rsidRPr="00F52F7E">
        <w:rPr>
          <w:szCs w:val="22"/>
        </w:rPr>
        <w:t xml:space="preserve">even gambling for up to 15 minutes was associated with almost three times the risk compared with people who did not gamble on pub EGMs. </w:t>
      </w:r>
    </w:p>
    <w:p w:rsidR="00B4187F" w:rsidRPr="00085C0C" w:rsidRDefault="00B4187F" w:rsidP="008279B4">
      <w:pPr>
        <w:tabs>
          <w:tab w:val="left" w:pos="0"/>
        </w:tabs>
        <w:jc w:val="both"/>
        <w:rPr>
          <w:sz w:val="20"/>
          <w:szCs w:val="22"/>
        </w:rPr>
      </w:pPr>
    </w:p>
    <w:p w:rsidR="00B4187F" w:rsidRPr="00F52F7E" w:rsidRDefault="00B4187F" w:rsidP="008279B4">
      <w:pPr>
        <w:tabs>
          <w:tab w:val="left" w:pos="0"/>
        </w:tabs>
        <w:jc w:val="both"/>
        <w:rPr>
          <w:szCs w:val="22"/>
        </w:rPr>
      </w:pPr>
      <w:r>
        <w:rPr>
          <w:szCs w:val="22"/>
        </w:rPr>
        <w:t>A slightly increased risk (1.84 times) of transitioning to low-risk, moderate-risk or problem gambler status was noted for people who knew other people with gambling problems.</w:t>
      </w:r>
    </w:p>
    <w:p w:rsidR="008279B4" w:rsidRPr="00085C0C" w:rsidRDefault="008279B4" w:rsidP="008279B4">
      <w:pPr>
        <w:tabs>
          <w:tab w:val="left" w:pos="0"/>
        </w:tabs>
        <w:jc w:val="both"/>
        <w:rPr>
          <w:sz w:val="20"/>
          <w:szCs w:val="22"/>
        </w:rPr>
      </w:pPr>
    </w:p>
    <w:p w:rsidR="008279B4" w:rsidRDefault="008279B4" w:rsidP="008279B4">
      <w:pPr>
        <w:tabs>
          <w:tab w:val="left" w:pos="0"/>
        </w:tabs>
        <w:jc w:val="both"/>
        <w:rPr>
          <w:szCs w:val="22"/>
        </w:rPr>
      </w:pPr>
      <w:r w:rsidRPr="00A16C11">
        <w:rPr>
          <w:szCs w:val="22"/>
        </w:rPr>
        <w:t>Behaviour-related variables significantly associated with the transitions were setting a dollar limit for gambling before leaving home and sticking to it (</w:t>
      </w:r>
      <w:r w:rsidR="00A16C11" w:rsidRPr="00A16C11">
        <w:rPr>
          <w:szCs w:val="22"/>
        </w:rPr>
        <w:t>twice as</w:t>
      </w:r>
      <w:r w:rsidRPr="00A16C11">
        <w:rPr>
          <w:szCs w:val="22"/>
        </w:rPr>
        <w:t xml:space="preserve"> </w:t>
      </w:r>
      <w:r w:rsidR="00A16C11" w:rsidRPr="00A16C11">
        <w:rPr>
          <w:szCs w:val="22"/>
        </w:rPr>
        <w:t>high</w:t>
      </w:r>
      <w:r w:rsidRPr="00A16C11">
        <w:rPr>
          <w:szCs w:val="22"/>
        </w:rPr>
        <w:t xml:space="preserve">), </w:t>
      </w:r>
      <w:r w:rsidR="00A16C11" w:rsidRPr="00A16C11">
        <w:rPr>
          <w:szCs w:val="22"/>
        </w:rPr>
        <w:t xml:space="preserve">separating money from gambling from other money and stopping gambling when the money is used (over three times as high), </w:t>
      </w:r>
      <w:r w:rsidRPr="00A16C11">
        <w:rPr>
          <w:szCs w:val="22"/>
        </w:rPr>
        <w:t xml:space="preserve">and </w:t>
      </w:r>
      <w:r w:rsidR="00A16C11" w:rsidRPr="00A16C11">
        <w:rPr>
          <w:szCs w:val="22"/>
        </w:rPr>
        <w:t>setting a time limit for gambling and</w:t>
      </w:r>
      <w:r w:rsidR="00B03978">
        <w:rPr>
          <w:szCs w:val="22"/>
        </w:rPr>
        <w:t xml:space="preserve"> sticking to it</w:t>
      </w:r>
      <w:r w:rsidRPr="00A16C11">
        <w:rPr>
          <w:szCs w:val="22"/>
        </w:rPr>
        <w:t xml:space="preserve"> (</w:t>
      </w:r>
      <w:r w:rsidR="00A16C11" w:rsidRPr="00A16C11">
        <w:rPr>
          <w:szCs w:val="22"/>
        </w:rPr>
        <w:t>four</w:t>
      </w:r>
      <w:r w:rsidRPr="00A16C11">
        <w:rPr>
          <w:szCs w:val="22"/>
        </w:rPr>
        <w:t xml:space="preserve"> times higher).  These findings are likely to reflect the fact that the </w:t>
      </w:r>
      <w:r w:rsidR="00A16C11" w:rsidRPr="00A16C11">
        <w:rPr>
          <w:szCs w:val="22"/>
        </w:rPr>
        <w:t>at-</w:t>
      </w:r>
      <w:r w:rsidRPr="00A16C11">
        <w:rPr>
          <w:szCs w:val="22"/>
        </w:rPr>
        <w:t>risk gamblers are those who are likely to have exhibited these particular behaviours.</w:t>
      </w:r>
    </w:p>
    <w:p w:rsidR="00A16C11" w:rsidRPr="00085C0C" w:rsidRDefault="00A16C11" w:rsidP="008279B4">
      <w:pPr>
        <w:tabs>
          <w:tab w:val="left" w:pos="0"/>
        </w:tabs>
        <w:jc w:val="both"/>
        <w:rPr>
          <w:sz w:val="20"/>
          <w:szCs w:val="22"/>
        </w:rPr>
      </w:pPr>
    </w:p>
    <w:p w:rsidR="008279B4" w:rsidRDefault="00A16C11" w:rsidP="008279B4">
      <w:pPr>
        <w:tabs>
          <w:tab w:val="left" w:pos="0"/>
        </w:tabs>
        <w:jc w:val="both"/>
        <w:rPr>
          <w:szCs w:val="22"/>
        </w:rPr>
      </w:pPr>
      <w:r>
        <w:rPr>
          <w:szCs w:val="22"/>
        </w:rPr>
        <w:t xml:space="preserve">People who had experienced one, two or three major life events in the past 12 months </w:t>
      </w:r>
      <w:r w:rsidR="00B03978">
        <w:rPr>
          <w:szCs w:val="22"/>
        </w:rPr>
        <w:t>had</w:t>
      </w:r>
      <w:r w:rsidR="00B16D1B">
        <w:rPr>
          <w:szCs w:val="22"/>
        </w:rPr>
        <w:t xml:space="preserve"> about twice the risk for transitioning </w:t>
      </w:r>
      <w:r w:rsidR="00790501">
        <w:rPr>
          <w:szCs w:val="22"/>
        </w:rPr>
        <w:t xml:space="preserve">to </w:t>
      </w:r>
      <w:r w:rsidR="00B16D1B">
        <w:rPr>
          <w:szCs w:val="22"/>
        </w:rPr>
        <w:t xml:space="preserve">low-risk, moderate-risk or problem gambler compared with people who had not experienced any major life events.  People who experienced five or more life events </w:t>
      </w:r>
      <w:r w:rsidR="00B03978">
        <w:rPr>
          <w:szCs w:val="22"/>
        </w:rPr>
        <w:t>had</w:t>
      </w:r>
      <w:r w:rsidR="00B16D1B">
        <w:rPr>
          <w:szCs w:val="22"/>
        </w:rPr>
        <w:t xml:space="preserve"> almost four times the risk.  Similarly, people whose quality of life was below or at the median score were twice at risk compared to people whose quality of life was above the median.</w:t>
      </w:r>
    </w:p>
    <w:p w:rsidR="00A16C11" w:rsidRPr="00085C0C" w:rsidRDefault="00A16C11" w:rsidP="008279B4">
      <w:pPr>
        <w:tabs>
          <w:tab w:val="left" w:pos="0"/>
        </w:tabs>
        <w:jc w:val="both"/>
        <w:rPr>
          <w:sz w:val="18"/>
          <w:szCs w:val="22"/>
        </w:rPr>
      </w:pPr>
    </w:p>
    <w:p w:rsidR="008279B4" w:rsidRPr="00B16D1B" w:rsidRDefault="00B16D1B" w:rsidP="008279B4">
      <w:pPr>
        <w:tabs>
          <w:tab w:val="left" w:pos="0"/>
        </w:tabs>
        <w:jc w:val="both"/>
        <w:rPr>
          <w:szCs w:val="22"/>
        </w:rPr>
      </w:pPr>
      <w:r w:rsidRPr="00B16D1B">
        <w:rPr>
          <w:szCs w:val="22"/>
        </w:rPr>
        <w:t>H</w:t>
      </w:r>
      <w:r w:rsidR="008279B4" w:rsidRPr="00B16D1B">
        <w:rPr>
          <w:szCs w:val="22"/>
        </w:rPr>
        <w:t>ealth-related variable</w:t>
      </w:r>
      <w:r w:rsidRPr="00B16D1B">
        <w:rPr>
          <w:szCs w:val="22"/>
        </w:rPr>
        <w:t>s</w:t>
      </w:r>
      <w:r w:rsidR="008279B4" w:rsidRPr="00B16D1B">
        <w:rPr>
          <w:szCs w:val="22"/>
        </w:rPr>
        <w:t xml:space="preserve"> significantly associated with the transition to </w:t>
      </w:r>
      <w:r w:rsidRPr="00B16D1B">
        <w:rPr>
          <w:szCs w:val="22"/>
        </w:rPr>
        <w:t xml:space="preserve">low-risk, </w:t>
      </w:r>
      <w:r w:rsidR="008279B4" w:rsidRPr="00B16D1B">
        <w:rPr>
          <w:szCs w:val="22"/>
        </w:rPr>
        <w:t>moderate-risk or problem gambler</w:t>
      </w:r>
      <w:r w:rsidRPr="00B16D1B">
        <w:rPr>
          <w:szCs w:val="22"/>
        </w:rPr>
        <w:t xml:space="preserve"> included psychological distress, drug use and tobacco use</w:t>
      </w:r>
      <w:r w:rsidR="008279B4" w:rsidRPr="00B16D1B">
        <w:rPr>
          <w:szCs w:val="22"/>
        </w:rPr>
        <w:t xml:space="preserve">.  People who scored in the mid-high </w:t>
      </w:r>
      <w:r w:rsidRPr="00B16D1B">
        <w:rPr>
          <w:szCs w:val="22"/>
        </w:rPr>
        <w:t xml:space="preserve">and high </w:t>
      </w:r>
      <w:r w:rsidR="008279B4" w:rsidRPr="00B16D1B">
        <w:rPr>
          <w:szCs w:val="22"/>
        </w:rPr>
        <w:t>range</w:t>
      </w:r>
      <w:r w:rsidRPr="00B16D1B">
        <w:rPr>
          <w:szCs w:val="22"/>
        </w:rPr>
        <w:t>s</w:t>
      </w:r>
      <w:r w:rsidR="008279B4" w:rsidRPr="00B16D1B">
        <w:rPr>
          <w:szCs w:val="22"/>
        </w:rPr>
        <w:t xml:space="preserve"> of p</w:t>
      </w:r>
      <w:r w:rsidR="00B03978">
        <w:rPr>
          <w:szCs w:val="22"/>
        </w:rPr>
        <w:t>sychological distress (score 12</w:t>
      </w:r>
      <w:r w:rsidR="008279B4" w:rsidRPr="00B16D1B">
        <w:rPr>
          <w:szCs w:val="22"/>
        </w:rPr>
        <w:t>-19</w:t>
      </w:r>
      <w:r w:rsidR="00B03978">
        <w:rPr>
          <w:szCs w:val="22"/>
        </w:rPr>
        <w:t xml:space="preserve"> and 20</w:t>
      </w:r>
      <w:r w:rsidRPr="00B16D1B">
        <w:rPr>
          <w:szCs w:val="22"/>
        </w:rPr>
        <w:t>-40</w:t>
      </w:r>
      <w:r w:rsidR="008279B4" w:rsidRPr="00B16D1B">
        <w:rPr>
          <w:szCs w:val="22"/>
        </w:rPr>
        <w:t xml:space="preserve">) had </w:t>
      </w:r>
      <w:r w:rsidRPr="00B16D1B">
        <w:rPr>
          <w:szCs w:val="22"/>
        </w:rPr>
        <w:t xml:space="preserve">almost three and </w:t>
      </w:r>
      <w:r w:rsidR="008279B4" w:rsidRPr="00B16D1B">
        <w:rPr>
          <w:szCs w:val="22"/>
        </w:rPr>
        <w:t xml:space="preserve">five times the risk </w:t>
      </w:r>
      <w:r w:rsidRPr="00B16D1B">
        <w:rPr>
          <w:szCs w:val="22"/>
        </w:rPr>
        <w:t xml:space="preserve">respectively, </w:t>
      </w:r>
      <w:r w:rsidR="008279B4" w:rsidRPr="00B16D1B">
        <w:rPr>
          <w:szCs w:val="22"/>
        </w:rPr>
        <w:t>compared with people who had the lowest level of psychological distress.</w:t>
      </w:r>
      <w:r>
        <w:rPr>
          <w:szCs w:val="22"/>
        </w:rPr>
        <w:t xml:space="preserve">  People who used cannabis </w:t>
      </w:r>
      <w:r w:rsidR="00B03978">
        <w:rPr>
          <w:szCs w:val="22"/>
        </w:rPr>
        <w:t>had</w:t>
      </w:r>
      <w:r>
        <w:rPr>
          <w:szCs w:val="22"/>
        </w:rPr>
        <w:t xml:space="preserve"> almost three times the risk compared with people who did not use cannabis; similarly people who did not use any drugs were at </w:t>
      </w:r>
      <w:r>
        <w:rPr>
          <w:i/>
          <w:szCs w:val="22"/>
        </w:rPr>
        <w:t>lower</w:t>
      </w:r>
      <w:r>
        <w:rPr>
          <w:szCs w:val="22"/>
        </w:rPr>
        <w:t xml:space="preserve"> risk (0.37 times) tha</w:t>
      </w:r>
      <w:r w:rsidR="00B03978">
        <w:rPr>
          <w:szCs w:val="22"/>
        </w:rPr>
        <w:t>n</w:t>
      </w:r>
      <w:r>
        <w:rPr>
          <w:szCs w:val="22"/>
        </w:rPr>
        <w:t xml:space="preserve"> people who did use drugs.  Daily smokers of tobacco were at twice the risk compared with people who never smoked.</w:t>
      </w:r>
    </w:p>
    <w:p w:rsidR="008279B4" w:rsidRPr="00085C0C" w:rsidRDefault="008279B4" w:rsidP="008279B4">
      <w:pPr>
        <w:tabs>
          <w:tab w:val="left" w:pos="0"/>
        </w:tabs>
        <w:jc w:val="both"/>
        <w:rPr>
          <w:sz w:val="18"/>
          <w:szCs w:val="22"/>
        </w:rPr>
      </w:pPr>
    </w:p>
    <w:p w:rsidR="008279B4" w:rsidRPr="00934E6A" w:rsidRDefault="008279B4" w:rsidP="008279B4">
      <w:pPr>
        <w:tabs>
          <w:tab w:val="left" w:pos="0"/>
        </w:tabs>
        <w:jc w:val="both"/>
        <w:rPr>
          <w:szCs w:val="22"/>
        </w:rPr>
      </w:pPr>
      <w:r w:rsidRPr="00B16D1B">
        <w:rPr>
          <w:szCs w:val="22"/>
        </w:rPr>
        <w:t xml:space="preserve">Statistically significant associations are presented in </w:t>
      </w:r>
      <w:r w:rsidR="00B16D1B" w:rsidRPr="00B16D1B">
        <w:rPr>
          <w:szCs w:val="22"/>
        </w:rPr>
        <w:fldChar w:fldCharType="begin"/>
      </w:r>
      <w:r w:rsidR="00B16D1B" w:rsidRPr="00B16D1B">
        <w:rPr>
          <w:szCs w:val="22"/>
        </w:rPr>
        <w:instrText xml:space="preserve"> REF _Ref406681519 \h  \* MERGEFORMAT </w:instrText>
      </w:r>
      <w:r w:rsidR="00B16D1B" w:rsidRPr="00B16D1B">
        <w:rPr>
          <w:szCs w:val="22"/>
        </w:rPr>
      </w:r>
      <w:r w:rsidR="00B16D1B" w:rsidRPr="00B16D1B">
        <w:rPr>
          <w:szCs w:val="22"/>
        </w:rPr>
        <w:fldChar w:fldCharType="separate"/>
      </w:r>
      <w:r w:rsidR="00B2175B" w:rsidRPr="00B2175B">
        <w:rPr>
          <w:bCs/>
          <w:szCs w:val="22"/>
        </w:rPr>
        <w:t xml:space="preserve">Table </w:t>
      </w:r>
      <w:r w:rsidR="00B2175B" w:rsidRPr="00B2175B">
        <w:rPr>
          <w:bCs/>
          <w:noProof/>
          <w:szCs w:val="22"/>
        </w:rPr>
        <w:t>19</w:t>
      </w:r>
      <w:r w:rsidR="00B16D1B" w:rsidRPr="00B16D1B">
        <w:rPr>
          <w:szCs w:val="22"/>
        </w:rPr>
        <w:fldChar w:fldCharType="end"/>
      </w:r>
      <w:r w:rsidRPr="00B16D1B">
        <w:rPr>
          <w:szCs w:val="22"/>
        </w:rPr>
        <w:t xml:space="preserve">; all associations (including non-statistically significant) are presented in </w:t>
      </w:r>
      <w:r w:rsidRPr="00B16D1B">
        <w:t xml:space="preserve">Appendix </w:t>
      </w:r>
      <w:r w:rsidR="00B16D1B" w:rsidRPr="00B16D1B">
        <w:t>11</w:t>
      </w:r>
      <w:r w:rsidRPr="00B16D1B">
        <w:t>.</w:t>
      </w:r>
    </w:p>
    <w:p w:rsidR="008279B4" w:rsidRPr="00085C0C" w:rsidRDefault="008279B4" w:rsidP="008279B4">
      <w:pPr>
        <w:tabs>
          <w:tab w:val="left" w:pos="0"/>
        </w:tabs>
        <w:jc w:val="both"/>
        <w:rPr>
          <w:sz w:val="18"/>
          <w:szCs w:val="22"/>
        </w:rPr>
      </w:pPr>
    </w:p>
    <w:p w:rsidR="00B16D1B" w:rsidRPr="00934E6A" w:rsidRDefault="00B16D1B" w:rsidP="00985F5E">
      <w:pPr>
        <w:keepNext/>
        <w:keepLines/>
        <w:jc w:val="both"/>
        <w:rPr>
          <w:b/>
          <w:bCs/>
          <w:sz w:val="20"/>
          <w:szCs w:val="20"/>
        </w:rPr>
      </w:pPr>
      <w:bookmarkStart w:id="214" w:name="_Ref406681519"/>
      <w:bookmarkStart w:id="215" w:name="_Toc420393807"/>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19</w:t>
      </w:r>
      <w:r w:rsidRPr="00934E6A">
        <w:rPr>
          <w:b/>
          <w:bCs/>
          <w:sz w:val="20"/>
          <w:szCs w:val="20"/>
        </w:rPr>
        <w:fldChar w:fldCharType="end"/>
      </w:r>
      <w:bookmarkEnd w:id="214"/>
      <w:r w:rsidRPr="00934E6A">
        <w:rPr>
          <w:b/>
          <w:bCs/>
          <w:sz w:val="20"/>
          <w:szCs w:val="20"/>
        </w:rPr>
        <w:t xml:space="preserve">: </w:t>
      </w:r>
      <w:r w:rsidR="007F2FB4">
        <w:rPr>
          <w:b/>
          <w:bCs/>
          <w:sz w:val="20"/>
          <w:szCs w:val="20"/>
        </w:rPr>
        <w:t>Bivariate associations</w:t>
      </w:r>
      <w:r w:rsidRPr="00934E6A">
        <w:rPr>
          <w:b/>
          <w:bCs/>
          <w:sz w:val="20"/>
          <w:szCs w:val="20"/>
        </w:rPr>
        <w:t xml:space="preserve"> for transition from non-problem gambler </w:t>
      </w:r>
      <w:r w:rsidR="007C56C7">
        <w:rPr>
          <w:b/>
          <w:bCs/>
          <w:sz w:val="20"/>
          <w:szCs w:val="20"/>
        </w:rPr>
        <w:t>in</w:t>
      </w:r>
      <w:r w:rsidRPr="00934E6A">
        <w:rPr>
          <w:b/>
          <w:bCs/>
          <w:sz w:val="20"/>
          <w:szCs w:val="20"/>
        </w:rPr>
        <w:t xml:space="preserve"> Wave 1 to </w:t>
      </w:r>
      <w:r>
        <w:rPr>
          <w:b/>
          <w:bCs/>
          <w:sz w:val="20"/>
          <w:szCs w:val="20"/>
        </w:rPr>
        <w:t xml:space="preserve">low-risk/ </w:t>
      </w:r>
      <w:r w:rsidRPr="00934E6A">
        <w:rPr>
          <w:b/>
          <w:bCs/>
          <w:sz w:val="20"/>
          <w:szCs w:val="20"/>
        </w:rPr>
        <w:t xml:space="preserve">moderate-risk/problem gambler </w:t>
      </w:r>
      <w:r w:rsidR="007C56C7">
        <w:rPr>
          <w:b/>
          <w:bCs/>
          <w:sz w:val="20"/>
          <w:szCs w:val="20"/>
        </w:rPr>
        <w:t>in</w:t>
      </w:r>
      <w:r w:rsidRPr="00934E6A">
        <w:rPr>
          <w:b/>
          <w:bCs/>
          <w:sz w:val="20"/>
          <w:szCs w:val="20"/>
        </w:rPr>
        <w:t xml:space="preserve"> Wave 2</w:t>
      </w:r>
      <w:bookmarkEnd w:id="215"/>
    </w:p>
    <w:tbl>
      <w:tblPr>
        <w:tblStyle w:val="TableGrid"/>
        <w:tblW w:w="8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0"/>
        <w:gridCol w:w="1837"/>
        <w:gridCol w:w="850"/>
        <w:gridCol w:w="992"/>
        <w:gridCol w:w="242"/>
        <w:gridCol w:w="747"/>
      </w:tblGrid>
      <w:tr w:rsidR="00435C08" w:rsidRPr="009B1415" w:rsidTr="00E05935">
        <w:trPr>
          <w:tblHeader/>
        </w:trPr>
        <w:tc>
          <w:tcPr>
            <w:tcW w:w="3800" w:type="dxa"/>
            <w:tcBorders>
              <w:top w:val="single" w:sz="4" w:space="0" w:color="auto"/>
              <w:bottom w:val="single" w:sz="4" w:space="0" w:color="auto"/>
            </w:tcBorders>
            <w:vAlign w:val="bottom"/>
          </w:tcPr>
          <w:p w:rsidR="00435C08" w:rsidRPr="009B1415" w:rsidRDefault="00435C08" w:rsidP="00985F5E">
            <w:pPr>
              <w:keepNext/>
              <w:keepLines/>
              <w:spacing w:before="20"/>
              <w:jc w:val="both"/>
              <w:rPr>
                <w:b/>
                <w:sz w:val="16"/>
                <w:szCs w:val="16"/>
              </w:rPr>
            </w:pPr>
            <w:r w:rsidRPr="009B1415">
              <w:rPr>
                <w:b/>
                <w:sz w:val="16"/>
                <w:szCs w:val="16"/>
              </w:rPr>
              <w:t>Variable</w:t>
            </w:r>
          </w:p>
        </w:tc>
        <w:tc>
          <w:tcPr>
            <w:tcW w:w="1837" w:type="dxa"/>
            <w:tcBorders>
              <w:top w:val="single" w:sz="4" w:space="0" w:color="auto"/>
              <w:bottom w:val="single" w:sz="4" w:space="0" w:color="auto"/>
            </w:tcBorders>
            <w:vAlign w:val="center"/>
          </w:tcPr>
          <w:p w:rsidR="00435C08" w:rsidRPr="009B1415" w:rsidRDefault="00435C08" w:rsidP="00985F5E">
            <w:pPr>
              <w:keepNext/>
              <w:keepLines/>
              <w:spacing w:before="20"/>
              <w:jc w:val="right"/>
              <w:rPr>
                <w:rFonts w:ascii="Calibri" w:hAnsi="Calibri"/>
                <w:b/>
                <w:bCs/>
                <w:color w:val="000000"/>
                <w:sz w:val="16"/>
                <w:szCs w:val="16"/>
              </w:rPr>
            </w:pPr>
            <w:r w:rsidRPr="009B1415">
              <w:rPr>
                <w:rFonts w:ascii="Calibri" w:hAnsi="Calibri"/>
                <w:b/>
                <w:bCs/>
                <w:color w:val="000000"/>
                <w:sz w:val="16"/>
                <w:szCs w:val="16"/>
              </w:rPr>
              <w:t>%</w:t>
            </w:r>
          </w:p>
        </w:tc>
        <w:tc>
          <w:tcPr>
            <w:tcW w:w="850" w:type="dxa"/>
            <w:tcBorders>
              <w:top w:val="single" w:sz="4" w:space="0" w:color="auto"/>
              <w:bottom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r w:rsidRPr="009B1415">
              <w:rPr>
                <w:rFonts w:ascii="Calibri" w:hAnsi="Calibri"/>
                <w:b/>
                <w:color w:val="000000"/>
                <w:sz w:val="16"/>
                <w:szCs w:val="16"/>
              </w:rPr>
              <w:t>Odds Ratio</w:t>
            </w:r>
          </w:p>
        </w:tc>
        <w:tc>
          <w:tcPr>
            <w:tcW w:w="1234" w:type="dxa"/>
            <w:gridSpan w:val="2"/>
            <w:tcBorders>
              <w:top w:val="single" w:sz="4" w:space="0" w:color="auto"/>
              <w:bottom w:val="single" w:sz="4" w:space="0" w:color="auto"/>
            </w:tcBorders>
            <w:vAlign w:val="center"/>
          </w:tcPr>
          <w:p w:rsidR="00435C08" w:rsidRPr="009B1415" w:rsidRDefault="0081083E" w:rsidP="00985F5E">
            <w:pPr>
              <w:keepNext/>
              <w:keepLines/>
              <w:spacing w:before="20"/>
              <w:jc w:val="right"/>
              <w:rPr>
                <w:rFonts w:ascii="Calibri" w:hAnsi="Calibri"/>
                <w:b/>
                <w:color w:val="000000"/>
                <w:sz w:val="16"/>
                <w:szCs w:val="16"/>
              </w:rPr>
            </w:pPr>
            <w:r>
              <w:rPr>
                <w:rFonts w:ascii="Calibri" w:hAnsi="Calibri"/>
                <w:b/>
                <w:color w:val="000000"/>
                <w:sz w:val="16"/>
                <w:szCs w:val="16"/>
              </w:rPr>
              <w:t>(</w:t>
            </w:r>
            <w:r w:rsidR="00435C08" w:rsidRPr="009B1415">
              <w:rPr>
                <w:rFonts w:ascii="Calibri" w:hAnsi="Calibri"/>
                <w:b/>
                <w:color w:val="000000"/>
                <w:sz w:val="16"/>
                <w:szCs w:val="16"/>
              </w:rPr>
              <w:t>95% CI</w:t>
            </w:r>
            <w:r>
              <w:rPr>
                <w:rFonts w:ascii="Calibri" w:hAnsi="Calibri"/>
                <w:b/>
                <w:color w:val="000000"/>
                <w:sz w:val="16"/>
                <w:szCs w:val="16"/>
              </w:rPr>
              <w:t>)</w:t>
            </w:r>
          </w:p>
        </w:tc>
        <w:tc>
          <w:tcPr>
            <w:tcW w:w="747" w:type="dxa"/>
            <w:tcBorders>
              <w:top w:val="single" w:sz="4" w:space="0" w:color="auto"/>
              <w:bottom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r w:rsidRPr="009B1415">
              <w:rPr>
                <w:rFonts w:ascii="Calibri" w:hAnsi="Calibri"/>
                <w:b/>
                <w:color w:val="000000"/>
                <w:sz w:val="16"/>
                <w:szCs w:val="16"/>
              </w:rPr>
              <w:t>p-value</w:t>
            </w:r>
          </w:p>
        </w:tc>
      </w:tr>
      <w:tr w:rsidR="00435C08" w:rsidRPr="009B1415" w:rsidTr="00E05935">
        <w:tc>
          <w:tcPr>
            <w:tcW w:w="3800" w:type="dxa"/>
            <w:tcBorders>
              <w:top w:val="single" w:sz="4" w:space="0" w:color="auto"/>
            </w:tcBorders>
            <w:vAlign w:val="bottom"/>
          </w:tcPr>
          <w:p w:rsidR="00435C08" w:rsidRPr="009B1415" w:rsidRDefault="00435C08" w:rsidP="00985F5E">
            <w:pPr>
              <w:keepNext/>
              <w:keepLines/>
              <w:spacing w:before="20"/>
              <w:jc w:val="both"/>
              <w:rPr>
                <w:b/>
                <w:sz w:val="16"/>
                <w:szCs w:val="16"/>
              </w:rPr>
            </w:pPr>
            <w:r w:rsidRPr="009B1415">
              <w:rPr>
                <w:b/>
                <w:sz w:val="16"/>
                <w:szCs w:val="16"/>
              </w:rPr>
              <w:t>Age group (years)</w:t>
            </w:r>
          </w:p>
        </w:tc>
        <w:tc>
          <w:tcPr>
            <w:tcW w:w="1837" w:type="dxa"/>
            <w:tcBorders>
              <w:top w:val="single" w:sz="4" w:space="0" w:color="auto"/>
            </w:tcBorders>
            <w:vAlign w:val="center"/>
          </w:tcPr>
          <w:p w:rsidR="00435C08" w:rsidRPr="009B1415" w:rsidRDefault="00435C08" w:rsidP="00985F5E">
            <w:pPr>
              <w:keepNext/>
              <w:keepLines/>
              <w:spacing w:before="20"/>
              <w:jc w:val="right"/>
              <w:rPr>
                <w:rFonts w:ascii="Calibri" w:hAnsi="Calibri"/>
                <w:b/>
                <w:bCs/>
                <w:color w:val="000000"/>
                <w:sz w:val="16"/>
                <w:szCs w:val="16"/>
              </w:rPr>
            </w:pPr>
          </w:p>
        </w:tc>
        <w:tc>
          <w:tcPr>
            <w:tcW w:w="850" w:type="dxa"/>
            <w:tcBorders>
              <w:top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p>
        </w:tc>
        <w:tc>
          <w:tcPr>
            <w:tcW w:w="992" w:type="dxa"/>
            <w:tcBorders>
              <w:top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p>
        </w:tc>
        <w:tc>
          <w:tcPr>
            <w:tcW w:w="242" w:type="dxa"/>
            <w:tcBorders>
              <w:top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p>
        </w:tc>
        <w:tc>
          <w:tcPr>
            <w:tcW w:w="747" w:type="dxa"/>
            <w:tcBorders>
              <w:top w:val="single" w:sz="4" w:space="0" w:color="auto"/>
            </w:tcBorders>
            <w:vAlign w:val="center"/>
          </w:tcPr>
          <w:p w:rsidR="00435C08" w:rsidRPr="009B1415" w:rsidRDefault="00435C08" w:rsidP="00985F5E">
            <w:pPr>
              <w:keepNext/>
              <w:keepLines/>
              <w:spacing w:before="20"/>
              <w:jc w:val="right"/>
              <w:rPr>
                <w:rFonts w:ascii="Calibri" w:hAnsi="Calibri"/>
                <w:b/>
                <w:color w:val="000000"/>
                <w:sz w:val="16"/>
                <w:szCs w:val="16"/>
              </w:rPr>
            </w:pPr>
          </w:p>
        </w:tc>
      </w:tr>
      <w:tr w:rsidR="00435C08" w:rsidRPr="009B1415" w:rsidTr="00E05935">
        <w:tc>
          <w:tcPr>
            <w:tcW w:w="3800" w:type="dxa"/>
          </w:tcPr>
          <w:p w:rsidR="00435C08" w:rsidRPr="009B1415" w:rsidRDefault="00435C08" w:rsidP="00985F5E">
            <w:pPr>
              <w:keepNext/>
              <w:keepLines/>
              <w:spacing w:before="20"/>
              <w:ind w:left="176"/>
              <w:jc w:val="both"/>
              <w:rPr>
                <w:sz w:val="16"/>
                <w:szCs w:val="16"/>
              </w:rPr>
            </w:pPr>
            <w:r w:rsidRPr="009B1415">
              <w:rPr>
                <w:sz w:val="16"/>
                <w:szCs w:val="16"/>
              </w:rPr>
              <w:t>18 - 24</w:t>
            </w:r>
          </w:p>
        </w:tc>
        <w:tc>
          <w:tcPr>
            <w:tcW w:w="1837" w:type="dxa"/>
            <w:vAlign w:val="center"/>
          </w:tcPr>
          <w:p w:rsidR="00435C08" w:rsidRPr="00B41811" w:rsidRDefault="00435C08" w:rsidP="00985F5E">
            <w:pPr>
              <w:keepNext/>
              <w:keepLines/>
              <w:adjustRightInd w:val="0"/>
              <w:spacing w:before="20"/>
              <w:jc w:val="right"/>
              <w:rPr>
                <w:color w:val="000000"/>
                <w:sz w:val="16"/>
                <w:szCs w:val="16"/>
              </w:rPr>
            </w:pPr>
            <w:r>
              <w:rPr>
                <w:color w:val="000000"/>
                <w:sz w:val="16"/>
                <w:szCs w:val="16"/>
              </w:rPr>
              <w:t>8.9</w:t>
            </w:r>
          </w:p>
        </w:tc>
        <w:tc>
          <w:tcPr>
            <w:tcW w:w="850" w:type="dxa"/>
            <w:vAlign w:val="center"/>
          </w:tcPr>
          <w:p w:rsidR="00435C08" w:rsidRPr="00B41811" w:rsidRDefault="00435C08" w:rsidP="00985F5E">
            <w:pPr>
              <w:keepNext/>
              <w:keepLines/>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985F5E">
            <w:pPr>
              <w:keepNext/>
              <w:keepLines/>
              <w:adjustRightInd w:val="0"/>
              <w:spacing w:before="20"/>
              <w:jc w:val="right"/>
              <w:rPr>
                <w:color w:val="000000"/>
                <w:sz w:val="16"/>
                <w:szCs w:val="16"/>
              </w:rPr>
            </w:pPr>
          </w:p>
        </w:tc>
        <w:tc>
          <w:tcPr>
            <w:tcW w:w="242" w:type="dxa"/>
            <w:vAlign w:val="center"/>
          </w:tcPr>
          <w:p w:rsidR="00435C08" w:rsidRPr="00B41811" w:rsidRDefault="00435C08" w:rsidP="00985F5E">
            <w:pPr>
              <w:keepNext/>
              <w:keepLines/>
              <w:adjustRightInd w:val="0"/>
              <w:spacing w:before="20"/>
              <w:jc w:val="right"/>
              <w:rPr>
                <w:color w:val="000000"/>
                <w:sz w:val="16"/>
                <w:szCs w:val="16"/>
              </w:rPr>
            </w:pPr>
          </w:p>
        </w:tc>
        <w:tc>
          <w:tcPr>
            <w:tcW w:w="747" w:type="dxa"/>
            <w:vAlign w:val="center"/>
          </w:tcPr>
          <w:p w:rsidR="00435C08" w:rsidRPr="00B41811" w:rsidRDefault="00435C08" w:rsidP="00985F5E">
            <w:pPr>
              <w:keepNext/>
              <w:keepLines/>
              <w:adjustRightInd w:val="0"/>
              <w:spacing w:before="20"/>
              <w:jc w:val="right"/>
              <w:rPr>
                <w:color w:val="000000"/>
                <w:sz w:val="16"/>
                <w:szCs w:val="16"/>
              </w:rPr>
            </w:pPr>
          </w:p>
        </w:tc>
      </w:tr>
      <w:tr w:rsidR="002B4A56" w:rsidRPr="009B1415" w:rsidTr="00E05935">
        <w:tc>
          <w:tcPr>
            <w:tcW w:w="3800" w:type="dxa"/>
          </w:tcPr>
          <w:p w:rsidR="002B4A56" w:rsidRPr="009B1415" w:rsidRDefault="002B4A56" w:rsidP="00985F5E">
            <w:pPr>
              <w:keepNext/>
              <w:keepLines/>
              <w:spacing w:before="20"/>
              <w:ind w:left="176"/>
              <w:jc w:val="both"/>
              <w:rPr>
                <w:sz w:val="16"/>
                <w:szCs w:val="16"/>
              </w:rPr>
            </w:pPr>
            <w:r w:rsidRPr="009B1415">
              <w:rPr>
                <w:sz w:val="16"/>
                <w:szCs w:val="16"/>
              </w:rPr>
              <w:t>25 - 34</w:t>
            </w:r>
          </w:p>
        </w:tc>
        <w:tc>
          <w:tcPr>
            <w:tcW w:w="1837" w:type="dxa"/>
            <w:vAlign w:val="center"/>
          </w:tcPr>
          <w:p w:rsidR="002B4A56" w:rsidRPr="00B41811" w:rsidRDefault="002B4A56" w:rsidP="00985F5E">
            <w:pPr>
              <w:keepNext/>
              <w:keepLines/>
              <w:adjustRightInd w:val="0"/>
              <w:spacing w:before="20"/>
              <w:jc w:val="right"/>
              <w:rPr>
                <w:color w:val="000000"/>
                <w:sz w:val="16"/>
                <w:szCs w:val="16"/>
              </w:rPr>
            </w:pPr>
            <w:r>
              <w:rPr>
                <w:color w:val="000000"/>
                <w:sz w:val="16"/>
                <w:szCs w:val="16"/>
              </w:rPr>
              <w:t>11.7</w:t>
            </w:r>
          </w:p>
        </w:tc>
        <w:tc>
          <w:tcPr>
            <w:tcW w:w="850" w:type="dxa"/>
            <w:vAlign w:val="center"/>
          </w:tcPr>
          <w:p w:rsidR="002B4A56" w:rsidRPr="00B41811" w:rsidRDefault="002B4A56" w:rsidP="00985F5E">
            <w:pPr>
              <w:keepNext/>
              <w:keepLines/>
              <w:adjustRightInd w:val="0"/>
              <w:spacing w:before="20"/>
              <w:jc w:val="right"/>
              <w:rPr>
                <w:color w:val="000000"/>
                <w:sz w:val="16"/>
                <w:szCs w:val="16"/>
              </w:rPr>
            </w:pPr>
            <w:r w:rsidRPr="00B41811">
              <w:rPr>
                <w:color w:val="000000"/>
                <w:sz w:val="16"/>
                <w:szCs w:val="16"/>
              </w:rPr>
              <w:t>1.35</w:t>
            </w:r>
          </w:p>
        </w:tc>
        <w:tc>
          <w:tcPr>
            <w:tcW w:w="1234" w:type="dxa"/>
            <w:gridSpan w:val="2"/>
            <w:vAlign w:val="center"/>
          </w:tcPr>
          <w:p w:rsidR="002B4A56" w:rsidRPr="00B41811" w:rsidRDefault="00085C0C" w:rsidP="00985F5E">
            <w:pPr>
              <w:keepNext/>
              <w:keepLines/>
              <w:adjustRightInd w:val="0"/>
              <w:spacing w:before="20"/>
              <w:jc w:val="right"/>
              <w:rPr>
                <w:color w:val="000000"/>
                <w:sz w:val="16"/>
                <w:szCs w:val="16"/>
              </w:rPr>
            </w:pPr>
            <w:r>
              <w:rPr>
                <w:color w:val="000000"/>
                <w:sz w:val="16"/>
                <w:szCs w:val="16"/>
              </w:rPr>
              <w:t>(</w:t>
            </w:r>
            <w:r w:rsidR="002B4A56" w:rsidRPr="00B41811">
              <w:rPr>
                <w:color w:val="000000"/>
                <w:sz w:val="16"/>
                <w:szCs w:val="16"/>
              </w:rPr>
              <w:t>0.63</w:t>
            </w:r>
            <w:r w:rsidR="002B4A56">
              <w:rPr>
                <w:color w:val="000000"/>
                <w:sz w:val="16"/>
                <w:szCs w:val="16"/>
              </w:rPr>
              <w:t xml:space="preserve"> - </w:t>
            </w:r>
            <w:r w:rsidR="002B4A56" w:rsidRPr="00B41811">
              <w:rPr>
                <w:color w:val="000000"/>
                <w:sz w:val="16"/>
                <w:szCs w:val="16"/>
              </w:rPr>
              <w:t>2.89</w:t>
            </w:r>
            <w:r>
              <w:rPr>
                <w:color w:val="000000"/>
                <w:sz w:val="16"/>
                <w:szCs w:val="16"/>
              </w:rPr>
              <w:t>)</w:t>
            </w:r>
          </w:p>
        </w:tc>
        <w:tc>
          <w:tcPr>
            <w:tcW w:w="747" w:type="dxa"/>
            <w:vAlign w:val="center"/>
          </w:tcPr>
          <w:p w:rsidR="002B4A56" w:rsidRPr="00B41811" w:rsidRDefault="002B4A56" w:rsidP="00985F5E">
            <w:pPr>
              <w:keepNext/>
              <w:keepLines/>
              <w:adjustRightInd w:val="0"/>
              <w:spacing w:before="20"/>
              <w:jc w:val="right"/>
              <w:rPr>
                <w:color w:val="000000"/>
                <w:sz w:val="16"/>
                <w:szCs w:val="16"/>
              </w:rPr>
            </w:pPr>
          </w:p>
        </w:tc>
      </w:tr>
      <w:tr w:rsidR="002B4A56" w:rsidRPr="009B1415" w:rsidTr="00E05935">
        <w:tc>
          <w:tcPr>
            <w:tcW w:w="3800" w:type="dxa"/>
          </w:tcPr>
          <w:p w:rsidR="002B4A56" w:rsidRPr="009B1415" w:rsidRDefault="002B4A56" w:rsidP="00985F5E">
            <w:pPr>
              <w:keepNext/>
              <w:keepLines/>
              <w:spacing w:before="20"/>
              <w:ind w:left="176"/>
              <w:jc w:val="both"/>
              <w:rPr>
                <w:sz w:val="16"/>
                <w:szCs w:val="16"/>
              </w:rPr>
            </w:pPr>
            <w:r w:rsidRPr="009B1415">
              <w:rPr>
                <w:sz w:val="16"/>
                <w:szCs w:val="16"/>
              </w:rPr>
              <w:t>35 - 44</w:t>
            </w:r>
          </w:p>
        </w:tc>
        <w:tc>
          <w:tcPr>
            <w:tcW w:w="1837" w:type="dxa"/>
            <w:vAlign w:val="center"/>
          </w:tcPr>
          <w:p w:rsidR="002B4A56" w:rsidRPr="00B41811" w:rsidRDefault="002B4A56" w:rsidP="00985F5E">
            <w:pPr>
              <w:keepNext/>
              <w:keepLines/>
              <w:adjustRightInd w:val="0"/>
              <w:spacing w:before="20"/>
              <w:jc w:val="right"/>
              <w:rPr>
                <w:color w:val="000000"/>
                <w:sz w:val="16"/>
                <w:szCs w:val="16"/>
              </w:rPr>
            </w:pPr>
            <w:r>
              <w:rPr>
                <w:color w:val="000000"/>
                <w:sz w:val="16"/>
                <w:szCs w:val="16"/>
              </w:rPr>
              <w:t>7.0</w:t>
            </w:r>
          </w:p>
        </w:tc>
        <w:tc>
          <w:tcPr>
            <w:tcW w:w="850" w:type="dxa"/>
            <w:vAlign w:val="center"/>
          </w:tcPr>
          <w:p w:rsidR="002B4A56" w:rsidRPr="00B41811" w:rsidRDefault="002B4A56" w:rsidP="00985F5E">
            <w:pPr>
              <w:keepNext/>
              <w:keepLines/>
              <w:adjustRightInd w:val="0"/>
              <w:spacing w:before="20"/>
              <w:jc w:val="right"/>
              <w:rPr>
                <w:color w:val="000000"/>
                <w:sz w:val="16"/>
                <w:szCs w:val="16"/>
              </w:rPr>
            </w:pPr>
            <w:r w:rsidRPr="00B41811">
              <w:rPr>
                <w:color w:val="000000"/>
                <w:sz w:val="16"/>
                <w:szCs w:val="16"/>
              </w:rPr>
              <w:t>0.77</w:t>
            </w:r>
          </w:p>
        </w:tc>
        <w:tc>
          <w:tcPr>
            <w:tcW w:w="1234" w:type="dxa"/>
            <w:gridSpan w:val="2"/>
            <w:vAlign w:val="center"/>
          </w:tcPr>
          <w:p w:rsidR="002B4A56" w:rsidRPr="00B41811" w:rsidRDefault="00085C0C" w:rsidP="00985F5E">
            <w:pPr>
              <w:keepNext/>
              <w:keepLines/>
              <w:adjustRightInd w:val="0"/>
              <w:spacing w:before="20"/>
              <w:jc w:val="right"/>
              <w:rPr>
                <w:color w:val="000000"/>
                <w:sz w:val="16"/>
                <w:szCs w:val="16"/>
              </w:rPr>
            </w:pPr>
            <w:r>
              <w:rPr>
                <w:color w:val="000000"/>
                <w:sz w:val="16"/>
                <w:szCs w:val="16"/>
              </w:rPr>
              <w:t>(</w:t>
            </w:r>
            <w:r w:rsidR="002B4A56" w:rsidRPr="00B41811">
              <w:rPr>
                <w:color w:val="000000"/>
                <w:sz w:val="16"/>
                <w:szCs w:val="16"/>
              </w:rPr>
              <w:t>0.36</w:t>
            </w:r>
            <w:r w:rsidR="002B4A56">
              <w:rPr>
                <w:color w:val="000000"/>
                <w:sz w:val="16"/>
                <w:szCs w:val="16"/>
              </w:rPr>
              <w:t xml:space="preserve"> - </w:t>
            </w:r>
            <w:r w:rsidR="002B4A56" w:rsidRPr="00B41811">
              <w:rPr>
                <w:color w:val="000000"/>
                <w:sz w:val="16"/>
                <w:szCs w:val="16"/>
              </w:rPr>
              <w:t>1.63</w:t>
            </w:r>
            <w:r>
              <w:rPr>
                <w:color w:val="000000"/>
                <w:sz w:val="16"/>
                <w:szCs w:val="16"/>
              </w:rPr>
              <w:t>)</w:t>
            </w:r>
          </w:p>
        </w:tc>
        <w:tc>
          <w:tcPr>
            <w:tcW w:w="747" w:type="dxa"/>
            <w:vAlign w:val="center"/>
          </w:tcPr>
          <w:p w:rsidR="002B4A56" w:rsidRPr="00B41811" w:rsidRDefault="002B4A56" w:rsidP="00985F5E">
            <w:pPr>
              <w:keepNext/>
              <w:keepLines/>
              <w:adjustRightInd w:val="0"/>
              <w:spacing w:before="20"/>
              <w:jc w:val="right"/>
              <w:rPr>
                <w:color w:val="000000"/>
                <w:sz w:val="16"/>
                <w:szCs w:val="16"/>
              </w:rPr>
            </w:pPr>
          </w:p>
        </w:tc>
      </w:tr>
      <w:tr w:rsidR="002B4A56" w:rsidRPr="009B1415" w:rsidTr="00E05935">
        <w:tc>
          <w:tcPr>
            <w:tcW w:w="3800" w:type="dxa"/>
          </w:tcPr>
          <w:p w:rsidR="002B4A56" w:rsidRPr="009B1415" w:rsidRDefault="002B4A56" w:rsidP="00985F5E">
            <w:pPr>
              <w:keepNext/>
              <w:keepLines/>
              <w:spacing w:before="20"/>
              <w:ind w:left="176"/>
              <w:jc w:val="both"/>
              <w:rPr>
                <w:sz w:val="16"/>
                <w:szCs w:val="16"/>
              </w:rPr>
            </w:pPr>
            <w:r w:rsidRPr="009B1415">
              <w:rPr>
                <w:sz w:val="16"/>
                <w:szCs w:val="16"/>
              </w:rPr>
              <w:t>45 - 54</w:t>
            </w:r>
          </w:p>
        </w:tc>
        <w:tc>
          <w:tcPr>
            <w:tcW w:w="1837" w:type="dxa"/>
            <w:vAlign w:val="center"/>
          </w:tcPr>
          <w:p w:rsidR="002B4A56" w:rsidRPr="00B41811" w:rsidRDefault="002B4A56" w:rsidP="00985F5E">
            <w:pPr>
              <w:keepNext/>
              <w:keepLines/>
              <w:adjustRightInd w:val="0"/>
              <w:spacing w:before="20"/>
              <w:jc w:val="right"/>
              <w:rPr>
                <w:color w:val="000000"/>
                <w:sz w:val="16"/>
                <w:szCs w:val="16"/>
              </w:rPr>
            </w:pPr>
            <w:r>
              <w:rPr>
                <w:color w:val="000000"/>
                <w:sz w:val="16"/>
                <w:szCs w:val="16"/>
              </w:rPr>
              <w:t>5.6</w:t>
            </w:r>
          </w:p>
        </w:tc>
        <w:tc>
          <w:tcPr>
            <w:tcW w:w="850" w:type="dxa"/>
            <w:vAlign w:val="center"/>
          </w:tcPr>
          <w:p w:rsidR="002B4A56" w:rsidRPr="00B41811" w:rsidRDefault="002B4A56" w:rsidP="00985F5E">
            <w:pPr>
              <w:keepNext/>
              <w:keepLines/>
              <w:adjustRightInd w:val="0"/>
              <w:spacing w:before="20"/>
              <w:jc w:val="right"/>
              <w:rPr>
                <w:color w:val="000000"/>
                <w:sz w:val="16"/>
                <w:szCs w:val="16"/>
              </w:rPr>
            </w:pPr>
            <w:r w:rsidRPr="00B41811">
              <w:rPr>
                <w:color w:val="000000"/>
                <w:sz w:val="16"/>
                <w:szCs w:val="16"/>
              </w:rPr>
              <w:t>0.60</w:t>
            </w:r>
          </w:p>
        </w:tc>
        <w:tc>
          <w:tcPr>
            <w:tcW w:w="1234" w:type="dxa"/>
            <w:gridSpan w:val="2"/>
            <w:vAlign w:val="center"/>
          </w:tcPr>
          <w:p w:rsidR="002B4A56" w:rsidRPr="00B41811" w:rsidRDefault="00085C0C" w:rsidP="00985F5E">
            <w:pPr>
              <w:keepNext/>
              <w:keepLines/>
              <w:adjustRightInd w:val="0"/>
              <w:spacing w:before="20"/>
              <w:jc w:val="right"/>
              <w:rPr>
                <w:color w:val="000000"/>
                <w:sz w:val="16"/>
                <w:szCs w:val="16"/>
              </w:rPr>
            </w:pPr>
            <w:r>
              <w:rPr>
                <w:color w:val="000000"/>
                <w:sz w:val="16"/>
                <w:szCs w:val="16"/>
              </w:rPr>
              <w:t>(</w:t>
            </w:r>
            <w:r w:rsidR="002B4A56" w:rsidRPr="00B41811">
              <w:rPr>
                <w:color w:val="000000"/>
                <w:sz w:val="16"/>
                <w:szCs w:val="16"/>
              </w:rPr>
              <w:t>0.28</w:t>
            </w:r>
            <w:r w:rsidR="002B4A56">
              <w:rPr>
                <w:color w:val="000000"/>
                <w:sz w:val="16"/>
                <w:szCs w:val="16"/>
              </w:rPr>
              <w:t xml:space="preserve"> - </w:t>
            </w:r>
            <w:r w:rsidR="002B4A56" w:rsidRPr="00B41811">
              <w:rPr>
                <w:color w:val="000000"/>
                <w:sz w:val="16"/>
                <w:szCs w:val="16"/>
              </w:rPr>
              <w:t>1.31</w:t>
            </w:r>
            <w:r>
              <w:rPr>
                <w:color w:val="000000"/>
                <w:sz w:val="16"/>
                <w:szCs w:val="16"/>
              </w:rPr>
              <w:t>)</w:t>
            </w:r>
          </w:p>
        </w:tc>
        <w:tc>
          <w:tcPr>
            <w:tcW w:w="747" w:type="dxa"/>
            <w:vAlign w:val="center"/>
          </w:tcPr>
          <w:p w:rsidR="002B4A56" w:rsidRPr="00B41811" w:rsidRDefault="002B4A56" w:rsidP="00985F5E">
            <w:pPr>
              <w:keepNext/>
              <w:keepLines/>
              <w:adjustRightInd w:val="0"/>
              <w:spacing w:before="20"/>
              <w:jc w:val="right"/>
              <w:rPr>
                <w:color w:val="000000"/>
                <w:sz w:val="16"/>
                <w:szCs w:val="16"/>
              </w:rPr>
            </w:pPr>
          </w:p>
        </w:tc>
      </w:tr>
      <w:tr w:rsidR="002B4A56" w:rsidRPr="009B1415" w:rsidTr="00E05935">
        <w:tc>
          <w:tcPr>
            <w:tcW w:w="3800" w:type="dxa"/>
          </w:tcPr>
          <w:p w:rsidR="002B4A56" w:rsidRPr="009B1415" w:rsidRDefault="002B4A56" w:rsidP="00985F5E">
            <w:pPr>
              <w:keepNext/>
              <w:keepLines/>
              <w:spacing w:before="20"/>
              <w:ind w:left="176"/>
              <w:jc w:val="both"/>
              <w:rPr>
                <w:sz w:val="16"/>
                <w:szCs w:val="16"/>
              </w:rPr>
            </w:pPr>
            <w:r w:rsidRPr="009B1415">
              <w:rPr>
                <w:sz w:val="16"/>
                <w:szCs w:val="16"/>
              </w:rPr>
              <w:t>55</w:t>
            </w:r>
            <w:r>
              <w:rPr>
                <w:sz w:val="16"/>
                <w:szCs w:val="16"/>
              </w:rPr>
              <w:t xml:space="preserve"> - 64</w:t>
            </w:r>
            <w:r w:rsidRPr="009B1415">
              <w:rPr>
                <w:sz w:val="16"/>
                <w:szCs w:val="16"/>
              </w:rPr>
              <w:t xml:space="preserve"> </w:t>
            </w:r>
          </w:p>
        </w:tc>
        <w:tc>
          <w:tcPr>
            <w:tcW w:w="1837" w:type="dxa"/>
            <w:vAlign w:val="center"/>
          </w:tcPr>
          <w:p w:rsidR="002B4A56" w:rsidRPr="00B41811" w:rsidRDefault="002B4A56" w:rsidP="00985F5E">
            <w:pPr>
              <w:keepNext/>
              <w:keepLines/>
              <w:adjustRightInd w:val="0"/>
              <w:spacing w:before="20"/>
              <w:jc w:val="right"/>
              <w:rPr>
                <w:color w:val="000000"/>
                <w:sz w:val="16"/>
                <w:szCs w:val="16"/>
              </w:rPr>
            </w:pPr>
            <w:r>
              <w:rPr>
                <w:color w:val="000000"/>
                <w:sz w:val="16"/>
                <w:szCs w:val="16"/>
              </w:rPr>
              <w:t>3.7</w:t>
            </w:r>
          </w:p>
        </w:tc>
        <w:tc>
          <w:tcPr>
            <w:tcW w:w="850" w:type="dxa"/>
            <w:vAlign w:val="center"/>
          </w:tcPr>
          <w:p w:rsidR="002B4A56" w:rsidRPr="00B41811" w:rsidRDefault="002B4A56" w:rsidP="00985F5E">
            <w:pPr>
              <w:keepNext/>
              <w:keepLines/>
              <w:adjustRightInd w:val="0"/>
              <w:spacing w:before="20"/>
              <w:jc w:val="right"/>
              <w:rPr>
                <w:color w:val="000000"/>
                <w:sz w:val="16"/>
                <w:szCs w:val="16"/>
              </w:rPr>
            </w:pPr>
            <w:r w:rsidRPr="00B41811">
              <w:rPr>
                <w:color w:val="000000"/>
                <w:sz w:val="16"/>
                <w:szCs w:val="16"/>
              </w:rPr>
              <w:t>0.39</w:t>
            </w:r>
          </w:p>
        </w:tc>
        <w:tc>
          <w:tcPr>
            <w:tcW w:w="1234" w:type="dxa"/>
            <w:gridSpan w:val="2"/>
            <w:vAlign w:val="center"/>
          </w:tcPr>
          <w:p w:rsidR="002B4A56" w:rsidRPr="00B41811" w:rsidRDefault="00085C0C" w:rsidP="00985F5E">
            <w:pPr>
              <w:keepNext/>
              <w:keepLines/>
              <w:adjustRightInd w:val="0"/>
              <w:spacing w:before="20"/>
              <w:jc w:val="right"/>
              <w:rPr>
                <w:color w:val="000000"/>
                <w:sz w:val="16"/>
                <w:szCs w:val="16"/>
              </w:rPr>
            </w:pPr>
            <w:r>
              <w:rPr>
                <w:color w:val="000000"/>
                <w:sz w:val="16"/>
                <w:szCs w:val="16"/>
              </w:rPr>
              <w:t>(</w:t>
            </w:r>
            <w:r w:rsidR="002B4A56" w:rsidRPr="00B41811">
              <w:rPr>
                <w:color w:val="000000"/>
                <w:sz w:val="16"/>
                <w:szCs w:val="16"/>
              </w:rPr>
              <w:t>0.17</w:t>
            </w:r>
            <w:r w:rsidR="002B4A56">
              <w:rPr>
                <w:color w:val="000000"/>
                <w:sz w:val="16"/>
                <w:szCs w:val="16"/>
              </w:rPr>
              <w:t xml:space="preserve"> - </w:t>
            </w:r>
            <w:r w:rsidR="002B4A56" w:rsidRPr="00B41811">
              <w:rPr>
                <w:color w:val="000000"/>
                <w:sz w:val="16"/>
                <w:szCs w:val="16"/>
              </w:rPr>
              <w:t>0.90</w:t>
            </w:r>
            <w:r>
              <w:rPr>
                <w:color w:val="000000"/>
                <w:sz w:val="16"/>
                <w:szCs w:val="16"/>
              </w:rPr>
              <w:t>)</w:t>
            </w:r>
          </w:p>
        </w:tc>
        <w:tc>
          <w:tcPr>
            <w:tcW w:w="747" w:type="dxa"/>
            <w:shd w:val="clear" w:color="auto" w:fill="auto"/>
            <w:vAlign w:val="center"/>
          </w:tcPr>
          <w:p w:rsidR="002B4A56" w:rsidRPr="00B41811" w:rsidRDefault="002B4A56" w:rsidP="00985F5E">
            <w:pPr>
              <w:keepNext/>
              <w:keepLines/>
              <w:adjustRightInd w:val="0"/>
              <w:spacing w:before="20"/>
              <w:jc w:val="right"/>
              <w:rPr>
                <w:color w:val="000000"/>
                <w:sz w:val="16"/>
                <w:szCs w:val="16"/>
              </w:rPr>
            </w:pPr>
          </w:p>
        </w:tc>
      </w:tr>
      <w:tr w:rsidR="002B4A56" w:rsidRPr="009B1415" w:rsidTr="00E05935">
        <w:tc>
          <w:tcPr>
            <w:tcW w:w="3800" w:type="dxa"/>
          </w:tcPr>
          <w:p w:rsidR="002B4A56" w:rsidRPr="009B1415" w:rsidRDefault="002B4A56" w:rsidP="00435C08">
            <w:pPr>
              <w:spacing w:before="20"/>
              <w:ind w:left="176"/>
              <w:jc w:val="both"/>
              <w:rPr>
                <w:sz w:val="16"/>
                <w:szCs w:val="16"/>
              </w:rPr>
            </w:pPr>
            <w:r>
              <w:rPr>
                <w:sz w:val="16"/>
                <w:szCs w:val="16"/>
              </w:rPr>
              <w:t>65+</w:t>
            </w:r>
          </w:p>
        </w:tc>
        <w:tc>
          <w:tcPr>
            <w:tcW w:w="1837" w:type="dxa"/>
            <w:vAlign w:val="center"/>
          </w:tcPr>
          <w:p w:rsidR="002B4A56" w:rsidRPr="00B41811" w:rsidRDefault="002B4A56" w:rsidP="0081083E">
            <w:pPr>
              <w:adjustRightInd w:val="0"/>
              <w:spacing w:before="20"/>
              <w:jc w:val="right"/>
              <w:rPr>
                <w:color w:val="000000"/>
                <w:sz w:val="16"/>
                <w:szCs w:val="16"/>
              </w:rPr>
            </w:pPr>
            <w:r>
              <w:rPr>
                <w:color w:val="000000"/>
                <w:sz w:val="16"/>
                <w:szCs w:val="16"/>
              </w:rPr>
              <w:t>4.2</w:t>
            </w:r>
          </w:p>
        </w:tc>
        <w:tc>
          <w:tcPr>
            <w:tcW w:w="850" w:type="dxa"/>
            <w:vAlign w:val="center"/>
          </w:tcPr>
          <w:p w:rsidR="002B4A56" w:rsidRPr="00B41811" w:rsidRDefault="002B4A56" w:rsidP="0081083E">
            <w:pPr>
              <w:adjustRightInd w:val="0"/>
              <w:spacing w:before="20"/>
              <w:jc w:val="right"/>
              <w:rPr>
                <w:color w:val="000000"/>
                <w:sz w:val="16"/>
                <w:szCs w:val="16"/>
              </w:rPr>
            </w:pPr>
            <w:r w:rsidRPr="00B41811">
              <w:rPr>
                <w:color w:val="000000"/>
                <w:sz w:val="16"/>
                <w:szCs w:val="16"/>
              </w:rPr>
              <w:t>0.44</w:t>
            </w:r>
          </w:p>
        </w:tc>
        <w:tc>
          <w:tcPr>
            <w:tcW w:w="1234" w:type="dxa"/>
            <w:gridSpan w:val="2"/>
            <w:vAlign w:val="center"/>
          </w:tcPr>
          <w:p w:rsidR="002B4A56" w:rsidRPr="00B41811" w:rsidRDefault="00085C0C" w:rsidP="002B4A56">
            <w:pPr>
              <w:adjustRightInd w:val="0"/>
              <w:spacing w:before="20"/>
              <w:jc w:val="right"/>
              <w:rPr>
                <w:color w:val="000000"/>
                <w:sz w:val="16"/>
                <w:szCs w:val="16"/>
              </w:rPr>
            </w:pPr>
            <w:r>
              <w:rPr>
                <w:color w:val="000000"/>
                <w:sz w:val="16"/>
                <w:szCs w:val="16"/>
              </w:rPr>
              <w:t>(</w:t>
            </w:r>
            <w:r w:rsidR="002B4A56" w:rsidRPr="00B41811">
              <w:rPr>
                <w:color w:val="000000"/>
                <w:sz w:val="16"/>
                <w:szCs w:val="16"/>
              </w:rPr>
              <w:t>0.20</w:t>
            </w:r>
            <w:r w:rsidR="002B4A56">
              <w:rPr>
                <w:color w:val="000000"/>
                <w:sz w:val="16"/>
                <w:szCs w:val="16"/>
              </w:rPr>
              <w:t xml:space="preserve"> - </w:t>
            </w:r>
            <w:r w:rsidR="002B4A56" w:rsidRPr="00B41811">
              <w:rPr>
                <w:color w:val="000000"/>
                <w:sz w:val="16"/>
                <w:szCs w:val="16"/>
              </w:rPr>
              <w:t>0.99</w:t>
            </w:r>
            <w:r>
              <w:rPr>
                <w:color w:val="000000"/>
                <w:sz w:val="16"/>
                <w:szCs w:val="16"/>
              </w:rPr>
              <w:t>)</w:t>
            </w:r>
          </w:p>
        </w:tc>
        <w:tc>
          <w:tcPr>
            <w:tcW w:w="747" w:type="dxa"/>
            <w:shd w:val="clear" w:color="auto" w:fill="D9D9D9" w:themeFill="background1" w:themeFillShade="D9"/>
            <w:vAlign w:val="center"/>
          </w:tcPr>
          <w:p w:rsidR="002B4A56" w:rsidRPr="00B41811" w:rsidRDefault="002B4A56" w:rsidP="0081083E">
            <w:pPr>
              <w:adjustRightInd w:val="0"/>
              <w:spacing w:before="20"/>
              <w:jc w:val="right"/>
              <w:rPr>
                <w:color w:val="000000"/>
                <w:sz w:val="16"/>
                <w:szCs w:val="16"/>
              </w:rPr>
            </w:pPr>
            <w:r w:rsidRPr="00B41811">
              <w:rPr>
                <w:color w:val="000000"/>
                <w:sz w:val="16"/>
                <w:szCs w:val="16"/>
              </w:rPr>
              <w:t>0.0004</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Ethnic group (prioritised)</w:t>
            </w:r>
          </w:p>
        </w:tc>
        <w:tc>
          <w:tcPr>
            <w:tcW w:w="1837" w:type="dxa"/>
            <w:vAlign w:val="center"/>
          </w:tcPr>
          <w:p w:rsidR="00435C08" w:rsidRPr="00B41811" w:rsidRDefault="00435C08" w:rsidP="0081083E">
            <w:pPr>
              <w:adjustRightInd w:val="0"/>
              <w:spacing w:before="20"/>
              <w:jc w:val="right"/>
              <w:rPr>
                <w:color w:val="000000"/>
                <w:sz w:val="16"/>
                <w:szCs w:val="16"/>
              </w:rPr>
            </w:pPr>
          </w:p>
        </w:tc>
        <w:tc>
          <w:tcPr>
            <w:tcW w:w="850" w:type="dxa"/>
            <w:vAlign w:val="center"/>
          </w:tcPr>
          <w:p w:rsidR="00435C08" w:rsidRPr="00B41811" w:rsidRDefault="00435C08" w:rsidP="0081083E">
            <w:pPr>
              <w:adjustRightInd w:val="0"/>
              <w:spacing w:before="20"/>
              <w:jc w:val="right"/>
              <w:rPr>
                <w:color w:val="000000"/>
                <w:sz w:val="16"/>
                <w:szCs w:val="16"/>
              </w:rPr>
            </w:pP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Māori</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13.6</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3.21</w:t>
            </w:r>
          </w:p>
        </w:tc>
        <w:tc>
          <w:tcPr>
            <w:tcW w:w="1234" w:type="dxa"/>
            <w:gridSpan w:val="2"/>
            <w:vAlign w:val="center"/>
          </w:tcPr>
          <w:p w:rsidR="00D347DF" w:rsidRPr="00D347DF" w:rsidRDefault="00085C0C" w:rsidP="00D347DF">
            <w:pPr>
              <w:adjustRightInd w:val="0"/>
              <w:spacing w:before="20"/>
              <w:jc w:val="right"/>
              <w:rPr>
                <w:color w:val="000000"/>
                <w:sz w:val="16"/>
                <w:szCs w:val="16"/>
              </w:rPr>
            </w:pPr>
            <w:r>
              <w:rPr>
                <w:color w:val="000000"/>
                <w:sz w:val="16"/>
                <w:szCs w:val="16"/>
              </w:rPr>
              <w:t>(</w:t>
            </w:r>
            <w:r w:rsidR="00D347DF" w:rsidRPr="00D347DF">
              <w:rPr>
                <w:color w:val="000000"/>
                <w:sz w:val="16"/>
                <w:szCs w:val="16"/>
              </w:rPr>
              <w:t>2.10</w:t>
            </w:r>
            <w:r w:rsidR="00D347DF">
              <w:rPr>
                <w:color w:val="000000"/>
                <w:sz w:val="16"/>
                <w:szCs w:val="16"/>
              </w:rPr>
              <w:t xml:space="preserve"> - </w:t>
            </w:r>
            <w:r w:rsidR="00D347DF" w:rsidRPr="00D347DF">
              <w:rPr>
                <w:color w:val="000000"/>
                <w:sz w:val="16"/>
                <w:szCs w:val="16"/>
              </w:rPr>
              <w:t>4.91</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Pacific</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16.7</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4.07</w:t>
            </w:r>
          </w:p>
        </w:tc>
        <w:tc>
          <w:tcPr>
            <w:tcW w:w="1234" w:type="dxa"/>
            <w:gridSpan w:val="2"/>
            <w:vAlign w:val="center"/>
          </w:tcPr>
          <w:p w:rsidR="00D347DF" w:rsidRPr="00D347DF" w:rsidRDefault="00085C0C" w:rsidP="00D347DF">
            <w:pPr>
              <w:adjustRightInd w:val="0"/>
              <w:spacing w:before="20"/>
              <w:jc w:val="right"/>
              <w:rPr>
                <w:color w:val="000000"/>
                <w:sz w:val="16"/>
                <w:szCs w:val="16"/>
              </w:rPr>
            </w:pPr>
            <w:r>
              <w:rPr>
                <w:color w:val="000000"/>
                <w:sz w:val="16"/>
                <w:szCs w:val="16"/>
              </w:rPr>
              <w:t>(</w:t>
            </w:r>
            <w:r w:rsidR="00D347DF" w:rsidRPr="00D347DF">
              <w:rPr>
                <w:color w:val="000000"/>
                <w:sz w:val="16"/>
                <w:szCs w:val="16"/>
              </w:rPr>
              <w:t>2.57</w:t>
            </w:r>
            <w:r w:rsidR="00D347DF">
              <w:rPr>
                <w:color w:val="000000"/>
                <w:sz w:val="16"/>
                <w:szCs w:val="16"/>
              </w:rPr>
              <w:t xml:space="preserve"> - </w:t>
            </w:r>
            <w:r w:rsidR="00D347DF" w:rsidRPr="00D347DF">
              <w:rPr>
                <w:color w:val="000000"/>
                <w:sz w:val="16"/>
                <w:szCs w:val="16"/>
              </w:rPr>
              <w:t>6.47</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Asian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11.2</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2.58</w:t>
            </w:r>
          </w:p>
        </w:tc>
        <w:tc>
          <w:tcPr>
            <w:tcW w:w="1234" w:type="dxa"/>
            <w:gridSpan w:val="2"/>
            <w:vAlign w:val="center"/>
          </w:tcPr>
          <w:p w:rsidR="00D347DF" w:rsidRPr="00D347DF" w:rsidRDefault="00085C0C" w:rsidP="00D347DF">
            <w:pPr>
              <w:adjustRightInd w:val="0"/>
              <w:spacing w:before="20"/>
              <w:jc w:val="right"/>
              <w:rPr>
                <w:color w:val="000000"/>
                <w:sz w:val="16"/>
                <w:szCs w:val="16"/>
              </w:rPr>
            </w:pPr>
            <w:r>
              <w:rPr>
                <w:color w:val="000000"/>
                <w:sz w:val="16"/>
                <w:szCs w:val="16"/>
              </w:rPr>
              <w:t>(</w:t>
            </w:r>
            <w:r w:rsidR="00D347DF" w:rsidRPr="00D347DF">
              <w:rPr>
                <w:color w:val="000000"/>
                <w:sz w:val="16"/>
                <w:szCs w:val="16"/>
              </w:rPr>
              <w:t>1.46</w:t>
            </w:r>
            <w:r w:rsidR="00D347DF">
              <w:rPr>
                <w:color w:val="000000"/>
                <w:sz w:val="16"/>
                <w:szCs w:val="16"/>
              </w:rPr>
              <w:t xml:space="preserve"> - </w:t>
            </w:r>
            <w:r w:rsidR="00D347DF" w:rsidRPr="00D347DF">
              <w:rPr>
                <w:color w:val="000000"/>
                <w:sz w:val="16"/>
                <w:szCs w:val="16"/>
              </w:rPr>
              <w:t>4.56</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European/Other</w:t>
            </w:r>
          </w:p>
        </w:tc>
        <w:tc>
          <w:tcPr>
            <w:tcW w:w="1837" w:type="dxa"/>
            <w:vAlign w:val="center"/>
          </w:tcPr>
          <w:p w:rsidR="00435C08" w:rsidRPr="00B41811" w:rsidRDefault="00435C08" w:rsidP="0081083E">
            <w:pPr>
              <w:adjustRightInd w:val="0"/>
              <w:spacing w:before="20"/>
              <w:jc w:val="right"/>
              <w:rPr>
                <w:color w:val="000000"/>
                <w:sz w:val="16"/>
                <w:szCs w:val="16"/>
              </w:rPr>
            </w:pPr>
            <w:r>
              <w:rPr>
                <w:color w:val="000000"/>
                <w:sz w:val="16"/>
                <w:szCs w:val="16"/>
              </w:rPr>
              <w:t>4.7</w:t>
            </w:r>
          </w:p>
        </w:tc>
        <w:tc>
          <w:tcPr>
            <w:tcW w:w="850" w:type="dxa"/>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shd w:val="clear" w:color="auto" w:fill="D9D9D9" w:themeFill="background1" w:themeFillShade="D9"/>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Religion</w:t>
            </w:r>
          </w:p>
        </w:tc>
        <w:tc>
          <w:tcPr>
            <w:tcW w:w="1837" w:type="dxa"/>
            <w:vAlign w:val="center"/>
          </w:tcPr>
          <w:p w:rsidR="00435C08" w:rsidRPr="00B41811" w:rsidRDefault="00435C08" w:rsidP="0081083E">
            <w:pPr>
              <w:adjustRightInd w:val="0"/>
              <w:spacing w:before="20"/>
              <w:jc w:val="right"/>
              <w:rPr>
                <w:color w:val="000000"/>
                <w:sz w:val="16"/>
                <w:szCs w:val="16"/>
              </w:rPr>
            </w:pPr>
          </w:p>
        </w:tc>
        <w:tc>
          <w:tcPr>
            <w:tcW w:w="850" w:type="dxa"/>
            <w:vAlign w:val="center"/>
          </w:tcPr>
          <w:p w:rsidR="00435C08" w:rsidRPr="00B41811" w:rsidRDefault="00435C08" w:rsidP="0081083E">
            <w:pPr>
              <w:adjustRightInd w:val="0"/>
              <w:spacing w:before="20"/>
              <w:jc w:val="right"/>
              <w:rPr>
                <w:color w:val="000000"/>
                <w:sz w:val="16"/>
                <w:szCs w:val="16"/>
              </w:rPr>
            </w:pP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Pr>
                <w:sz w:val="16"/>
                <w:szCs w:val="16"/>
              </w:rPr>
              <w:t>No r</w:t>
            </w:r>
            <w:r w:rsidRPr="009B1415">
              <w:rPr>
                <w:sz w:val="16"/>
                <w:szCs w:val="16"/>
              </w:rPr>
              <w:t>eligion</w:t>
            </w:r>
          </w:p>
        </w:tc>
        <w:tc>
          <w:tcPr>
            <w:tcW w:w="1837" w:type="dxa"/>
            <w:vAlign w:val="center"/>
          </w:tcPr>
          <w:p w:rsidR="00435C08" w:rsidRPr="00B41811" w:rsidRDefault="00435C08" w:rsidP="0081083E">
            <w:pPr>
              <w:adjustRightInd w:val="0"/>
              <w:spacing w:before="20"/>
              <w:jc w:val="right"/>
              <w:rPr>
                <w:color w:val="000000"/>
                <w:sz w:val="16"/>
                <w:szCs w:val="16"/>
              </w:rPr>
            </w:pPr>
            <w:r>
              <w:rPr>
                <w:color w:val="000000"/>
                <w:sz w:val="16"/>
                <w:szCs w:val="16"/>
              </w:rPr>
              <w:t>5.1</w:t>
            </w:r>
          </w:p>
        </w:tc>
        <w:tc>
          <w:tcPr>
            <w:tcW w:w="850" w:type="dxa"/>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Anglican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4.3</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0.83</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0.47</w:t>
            </w:r>
            <w:r w:rsidR="00D347DF">
              <w:rPr>
                <w:color w:val="000000"/>
                <w:sz w:val="16"/>
                <w:szCs w:val="16"/>
              </w:rPr>
              <w:t xml:space="preserve"> - </w:t>
            </w:r>
            <w:r w:rsidR="00D347DF" w:rsidRPr="00B41811">
              <w:rPr>
                <w:color w:val="000000"/>
                <w:sz w:val="16"/>
                <w:szCs w:val="16"/>
              </w:rPr>
              <w:t>1.48</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Catholic</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7.3</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1.47</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0.83</w:t>
            </w:r>
            <w:r w:rsidR="00D347DF">
              <w:rPr>
                <w:color w:val="000000"/>
                <w:sz w:val="16"/>
                <w:szCs w:val="16"/>
              </w:rPr>
              <w:t xml:space="preserve"> - </w:t>
            </w:r>
            <w:r w:rsidR="00D347DF" w:rsidRPr="00B41811">
              <w:rPr>
                <w:color w:val="000000"/>
                <w:sz w:val="16"/>
                <w:szCs w:val="16"/>
              </w:rPr>
              <w:t>2.61</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Presbyterian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6.9</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1.37</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0.75</w:t>
            </w:r>
            <w:r w:rsidR="00D347DF">
              <w:rPr>
                <w:color w:val="000000"/>
                <w:sz w:val="16"/>
                <w:szCs w:val="16"/>
              </w:rPr>
              <w:t xml:space="preserve"> - </w:t>
            </w:r>
            <w:r w:rsidR="00D347DF" w:rsidRPr="00B41811">
              <w:rPr>
                <w:color w:val="000000"/>
                <w:sz w:val="16"/>
                <w:szCs w:val="16"/>
              </w:rPr>
              <w:t>2.51</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Other Christian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10.4</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2.15</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1.27</w:t>
            </w:r>
            <w:r w:rsidR="00D347DF">
              <w:rPr>
                <w:color w:val="000000"/>
                <w:sz w:val="16"/>
                <w:szCs w:val="16"/>
              </w:rPr>
              <w:t xml:space="preserve"> - </w:t>
            </w:r>
            <w:r w:rsidR="00D347DF" w:rsidRPr="00B41811">
              <w:rPr>
                <w:color w:val="000000"/>
                <w:sz w:val="16"/>
                <w:szCs w:val="16"/>
              </w:rPr>
              <w:t>3.63</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Pr>
                <w:sz w:val="16"/>
                <w:szCs w:val="16"/>
              </w:rPr>
              <w:t>Other r</w:t>
            </w:r>
            <w:r w:rsidRPr="009B1415">
              <w:rPr>
                <w:sz w:val="16"/>
                <w:szCs w:val="16"/>
              </w:rPr>
              <w:t>eligion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10.5</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2.17</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1.10</w:t>
            </w:r>
            <w:r w:rsidR="00D347DF">
              <w:rPr>
                <w:color w:val="000000"/>
                <w:sz w:val="16"/>
                <w:szCs w:val="16"/>
              </w:rPr>
              <w:t xml:space="preserve"> - </w:t>
            </w:r>
            <w:r w:rsidR="00D347DF" w:rsidRPr="00B41811">
              <w:rPr>
                <w:color w:val="000000"/>
                <w:sz w:val="16"/>
                <w:szCs w:val="16"/>
              </w:rPr>
              <w:t>4.30</w:t>
            </w:r>
            <w:r>
              <w:rPr>
                <w:color w:val="000000"/>
                <w:sz w:val="16"/>
                <w:szCs w:val="16"/>
              </w:rPr>
              <w:t>)</w:t>
            </w:r>
          </w:p>
        </w:tc>
        <w:tc>
          <w:tcPr>
            <w:tcW w:w="747" w:type="dxa"/>
            <w:shd w:val="clear" w:color="auto" w:fill="D9D9D9" w:themeFill="background1" w:themeFillShade="D9"/>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Highest qualification</w:t>
            </w:r>
          </w:p>
        </w:tc>
        <w:tc>
          <w:tcPr>
            <w:tcW w:w="1837" w:type="dxa"/>
            <w:vAlign w:val="center"/>
          </w:tcPr>
          <w:p w:rsidR="00435C08" w:rsidRPr="00B41811" w:rsidRDefault="00435C08" w:rsidP="0081083E">
            <w:pPr>
              <w:adjustRightInd w:val="0"/>
              <w:spacing w:before="20"/>
              <w:jc w:val="right"/>
              <w:rPr>
                <w:color w:val="000000"/>
                <w:sz w:val="16"/>
                <w:szCs w:val="16"/>
              </w:rPr>
            </w:pPr>
          </w:p>
        </w:tc>
        <w:tc>
          <w:tcPr>
            <w:tcW w:w="850" w:type="dxa"/>
            <w:vAlign w:val="center"/>
          </w:tcPr>
          <w:p w:rsidR="00435C08" w:rsidRPr="00B41811" w:rsidRDefault="00435C08" w:rsidP="0081083E">
            <w:pPr>
              <w:adjustRightInd w:val="0"/>
              <w:spacing w:before="20"/>
              <w:jc w:val="right"/>
              <w:rPr>
                <w:color w:val="000000"/>
                <w:sz w:val="16"/>
                <w:szCs w:val="16"/>
              </w:rPr>
            </w:pP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 formal qualification</w:t>
            </w:r>
          </w:p>
        </w:tc>
        <w:tc>
          <w:tcPr>
            <w:tcW w:w="1837" w:type="dxa"/>
            <w:vAlign w:val="center"/>
          </w:tcPr>
          <w:p w:rsidR="00435C08" w:rsidRPr="00B41811" w:rsidRDefault="00435C08" w:rsidP="0081083E">
            <w:pPr>
              <w:adjustRightInd w:val="0"/>
              <w:spacing w:before="20"/>
              <w:jc w:val="right"/>
              <w:rPr>
                <w:color w:val="000000"/>
                <w:sz w:val="16"/>
                <w:szCs w:val="16"/>
              </w:rPr>
            </w:pPr>
            <w:r>
              <w:rPr>
                <w:color w:val="000000"/>
                <w:sz w:val="16"/>
                <w:szCs w:val="16"/>
              </w:rPr>
              <w:t>6.3</w:t>
            </w:r>
          </w:p>
        </w:tc>
        <w:tc>
          <w:tcPr>
            <w:tcW w:w="850" w:type="dxa"/>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C41FBE" w:rsidP="00435C08">
            <w:pPr>
              <w:spacing w:before="20"/>
              <w:ind w:left="176"/>
              <w:jc w:val="both"/>
              <w:rPr>
                <w:sz w:val="16"/>
                <w:szCs w:val="16"/>
              </w:rPr>
            </w:pPr>
            <w:r>
              <w:rPr>
                <w:sz w:val="16"/>
                <w:szCs w:val="16"/>
              </w:rPr>
              <w:t>Secondary s</w:t>
            </w:r>
            <w:r w:rsidR="00D347DF" w:rsidRPr="009B1415">
              <w:rPr>
                <w:sz w:val="16"/>
                <w:szCs w:val="16"/>
              </w:rPr>
              <w:t>chool qualification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8.8</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1.44</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0.82</w:t>
            </w:r>
            <w:r w:rsidR="00D347DF">
              <w:rPr>
                <w:color w:val="000000"/>
                <w:sz w:val="16"/>
                <w:szCs w:val="16"/>
              </w:rPr>
              <w:t xml:space="preserve"> - </w:t>
            </w:r>
            <w:r w:rsidR="00D347DF" w:rsidRPr="00B41811">
              <w:rPr>
                <w:color w:val="000000"/>
                <w:sz w:val="16"/>
                <w:szCs w:val="16"/>
              </w:rPr>
              <w:t>2.53</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Vocational or Trade qualification</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7.2</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1.16</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0.66</w:t>
            </w:r>
            <w:r w:rsidR="00D347DF">
              <w:rPr>
                <w:color w:val="000000"/>
                <w:sz w:val="16"/>
                <w:szCs w:val="16"/>
              </w:rPr>
              <w:t xml:space="preserve"> - </w:t>
            </w:r>
            <w:r w:rsidR="00D347DF" w:rsidRPr="00B41811">
              <w:rPr>
                <w:color w:val="000000"/>
                <w:sz w:val="16"/>
                <w:szCs w:val="16"/>
              </w:rPr>
              <w:t>2.05</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C41FBE" w:rsidP="00435C08">
            <w:pPr>
              <w:spacing w:before="20"/>
              <w:ind w:left="176"/>
              <w:jc w:val="both"/>
              <w:rPr>
                <w:sz w:val="16"/>
                <w:szCs w:val="16"/>
              </w:rPr>
            </w:pPr>
            <w:r>
              <w:rPr>
                <w:sz w:val="16"/>
                <w:szCs w:val="16"/>
              </w:rPr>
              <w:t>University d</w:t>
            </w:r>
            <w:r w:rsidR="00D347DF" w:rsidRPr="009B1415">
              <w:rPr>
                <w:sz w:val="16"/>
                <w:szCs w:val="16"/>
              </w:rPr>
              <w:t>egree or higher</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4.5</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0.70</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0.40</w:t>
            </w:r>
            <w:r w:rsidR="00D347DF">
              <w:rPr>
                <w:color w:val="000000"/>
                <w:sz w:val="16"/>
                <w:szCs w:val="16"/>
              </w:rPr>
              <w:t xml:space="preserve"> - </w:t>
            </w:r>
            <w:r w:rsidR="00D347DF" w:rsidRPr="00B41811">
              <w:rPr>
                <w:color w:val="000000"/>
                <w:sz w:val="16"/>
                <w:szCs w:val="16"/>
              </w:rPr>
              <w:t>1.23</w:t>
            </w:r>
            <w:r>
              <w:rPr>
                <w:color w:val="000000"/>
                <w:sz w:val="16"/>
                <w:szCs w:val="16"/>
              </w:rPr>
              <w:t>)</w:t>
            </w:r>
          </w:p>
        </w:tc>
        <w:tc>
          <w:tcPr>
            <w:tcW w:w="747" w:type="dxa"/>
            <w:shd w:val="clear" w:color="auto" w:fill="D9D9D9" w:themeFill="background1" w:themeFillShade="D9"/>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0.03</w:t>
            </w:r>
          </w:p>
        </w:tc>
      </w:tr>
      <w:tr w:rsidR="00435C08" w:rsidRPr="009B1415" w:rsidTr="00E05935">
        <w:tc>
          <w:tcPr>
            <w:tcW w:w="3800" w:type="dxa"/>
            <w:vAlign w:val="bottom"/>
          </w:tcPr>
          <w:p w:rsidR="00435C08" w:rsidRPr="009B1415" w:rsidRDefault="00435C08" w:rsidP="00E9638E">
            <w:pPr>
              <w:keepNext/>
              <w:spacing w:before="20"/>
              <w:jc w:val="both"/>
              <w:rPr>
                <w:b/>
                <w:sz w:val="16"/>
                <w:szCs w:val="16"/>
              </w:rPr>
            </w:pPr>
            <w:r w:rsidRPr="009B1415">
              <w:rPr>
                <w:b/>
                <w:sz w:val="16"/>
                <w:szCs w:val="16"/>
              </w:rPr>
              <w:t>Area of residence</w:t>
            </w:r>
          </w:p>
        </w:tc>
        <w:tc>
          <w:tcPr>
            <w:tcW w:w="1837" w:type="dxa"/>
            <w:vAlign w:val="center"/>
          </w:tcPr>
          <w:p w:rsidR="00435C08" w:rsidRPr="00B41811" w:rsidRDefault="00435C08" w:rsidP="00E9638E">
            <w:pPr>
              <w:keepNext/>
              <w:adjustRightInd w:val="0"/>
              <w:spacing w:before="20"/>
              <w:jc w:val="right"/>
              <w:rPr>
                <w:color w:val="000000"/>
                <w:sz w:val="16"/>
                <w:szCs w:val="16"/>
              </w:rPr>
            </w:pPr>
          </w:p>
        </w:tc>
        <w:tc>
          <w:tcPr>
            <w:tcW w:w="850" w:type="dxa"/>
            <w:vAlign w:val="center"/>
          </w:tcPr>
          <w:p w:rsidR="00435C08" w:rsidRPr="00B41811" w:rsidRDefault="00435C08" w:rsidP="00E9638E">
            <w:pPr>
              <w:keepNext/>
              <w:adjustRightInd w:val="0"/>
              <w:spacing w:before="20"/>
              <w:jc w:val="right"/>
              <w:rPr>
                <w:color w:val="000000"/>
                <w:sz w:val="16"/>
                <w:szCs w:val="16"/>
              </w:rPr>
            </w:pPr>
          </w:p>
        </w:tc>
        <w:tc>
          <w:tcPr>
            <w:tcW w:w="992" w:type="dxa"/>
            <w:vAlign w:val="center"/>
          </w:tcPr>
          <w:p w:rsidR="00435C08" w:rsidRPr="00B41811" w:rsidRDefault="00435C08" w:rsidP="00E9638E">
            <w:pPr>
              <w:keepNext/>
              <w:adjustRightInd w:val="0"/>
              <w:spacing w:before="20"/>
              <w:jc w:val="right"/>
              <w:rPr>
                <w:color w:val="000000"/>
                <w:sz w:val="16"/>
                <w:szCs w:val="16"/>
              </w:rPr>
            </w:pPr>
          </w:p>
        </w:tc>
        <w:tc>
          <w:tcPr>
            <w:tcW w:w="242" w:type="dxa"/>
            <w:vAlign w:val="center"/>
          </w:tcPr>
          <w:p w:rsidR="00435C08" w:rsidRPr="00B41811" w:rsidRDefault="00435C08" w:rsidP="00E9638E">
            <w:pPr>
              <w:keepNext/>
              <w:adjustRightInd w:val="0"/>
              <w:spacing w:before="20"/>
              <w:jc w:val="right"/>
              <w:rPr>
                <w:color w:val="000000"/>
                <w:sz w:val="16"/>
                <w:szCs w:val="16"/>
              </w:rPr>
            </w:pPr>
          </w:p>
        </w:tc>
        <w:tc>
          <w:tcPr>
            <w:tcW w:w="747" w:type="dxa"/>
            <w:vAlign w:val="center"/>
          </w:tcPr>
          <w:p w:rsidR="00435C08" w:rsidRPr="00B41811" w:rsidRDefault="00435C08" w:rsidP="00E9638E">
            <w:pPr>
              <w:keepNext/>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keepNext/>
              <w:spacing w:before="20"/>
              <w:ind w:left="176"/>
              <w:jc w:val="both"/>
              <w:rPr>
                <w:sz w:val="16"/>
                <w:szCs w:val="16"/>
              </w:rPr>
            </w:pPr>
            <w:r w:rsidRPr="009B1415">
              <w:rPr>
                <w:sz w:val="16"/>
                <w:szCs w:val="16"/>
              </w:rPr>
              <w:t>Auckland</w:t>
            </w:r>
          </w:p>
        </w:tc>
        <w:tc>
          <w:tcPr>
            <w:tcW w:w="1837" w:type="dxa"/>
            <w:vAlign w:val="center"/>
          </w:tcPr>
          <w:p w:rsidR="00435C08" w:rsidRPr="00B41811" w:rsidRDefault="00435C08" w:rsidP="00E9638E">
            <w:pPr>
              <w:keepNext/>
              <w:adjustRightInd w:val="0"/>
              <w:spacing w:before="20"/>
              <w:jc w:val="right"/>
              <w:rPr>
                <w:color w:val="000000"/>
                <w:sz w:val="16"/>
                <w:szCs w:val="16"/>
              </w:rPr>
            </w:pPr>
            <w:r>
              <w:rPr>
                <w:color w:val="000000"/>
                <w:sz w:val="16"/>
                <w:szCs w:val="16"/>
              </w:rPr>
              <w:t>8.4</w:t>
            </w:r>
          </w:p>
        </w:tc>
        <w:tc>
          <w:tcPr>
            <w:tcW w:w="850" w:type="dxa"/>
            <w:vAlign w:val="center"/>
          </w:tcPr>
          <w:p w:rsidR="00435C08" w:rsidRPr="00B41811" w:rsidRDefault="00435C08" w:rsidP="00E9638E">
            <w:pPr>
              <w:keepNext/>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E9638E">
            <w:pPr>
              <w:keepNext/>
              <w:adjustRightInd w:val="0"/>
              <w:spacing w:before="20"/>
              <w:jc w:val="right"/>
              <w:rPr>
                <w:color w:val="000000"/>
                <w:sz w:val="16"/>
                <w:szCs w:val="16"/>
              </w:rPr>
            </w:pPr>
          </w:p>
        </w:tc>
        <w:tc>
          <w:tcPr>
            <w:tcW w:w="242" w:type="dxa"/>
            <w:vAlign w:val="center"/>
          </w:tcPr>
          <w:p w:rsidR="00435C08" w:rsidRPr="00B41811" w:rsidRDefault="00435C08" w:rsidP="00E9638E">
            <w:pPr>
              <w:keepNext/>
              <w:adjustRightInd w:val="0"/>
              <w:spacing w:before="20"/>
              <w:jc w:val="right"/>
              <w:rPr>
                <w:color w:val="000000"/>
                <w:sz w:val="16"/>
                <w:szCs w:val="16"/>
              </w:rPr>
            </w:pPr>
          </w:p>
        </w:tc>
        <w:tc>
          <w:tcPr>
            <w:tcW w:w="747" w:type="dxa"/>
            <w:vAlign w:val="center"/>
          </w:tcPr>
          <w:p w:rsidR="00435C08" w:rsidRPr="00B41811" w:rsidRDefault="00435C08" w:rsidP="00E9638E">
            <w:pPr>
              <w:keepNext/>
              <w:adjustRightInd w:val="0"/>
              <w:spacing w:before="20"/>
              <w:jc w:val="right"/>
              <w:rPr>
                <w:color w:val="000000"/>
                <w:sz w:val="16"/>
                <w:szCs w:val="16"/>
              </w:rPr>
            </w:pPr>
          </w:p>
        </w:tc>
      </w:tr>
      <w:tr w:rsidR="00D347DF" w:rsidRPr="009B1415" w:rsidTr="00E05935">
        <w:tc>
          <w:tcPr>
            <w:tcW w:w="3800" w:type="dxa"/>
          </w:tcPr>
          <w:p w:rsidR="00D347DF" w:rsidRPr="009B1415" w:rsidRDefault="00D347DF" w:rsidP="00E9638E">
            <w:pPr>
              <w:keepNext/>
              <w:spacing w:before="20"/>
              <w:ind w:left="176"/>
              <w:jc w:val="both"/>
              <w:rPr>
                <w:sz w:val="16"/>
                <w:szCs w:val="16"/>
              </w:rPr>
            </w:pPr>
            <w:r w:rsidRPr="009B1415">
              <w:rPr>
                <w:sz w:val="16"/>
                <w:szCs w:val="16"/>
              </w:rPr>
              <w:t>Wellington</w:t>
            </w:r>
          </w:p>
        </w:tc>
        <w:tc>
          <w:tcPr>
            <w:tcW w:w="1837" w:type="dxa"/>
            <w:vAlign w:val="center"/>
          </w:tcPr>
          <w:p w:rsidR="00D347DF" w:rsidRPr="00B41811" w:rsidRDefault="00D347DF" w:rsidP="00E9638E">
            <w:pPr>
              <w:keepNext/>
              <w:adjustRightInd w:val="0"/>
              <w:spacing w:before="20"/>
              <w:jc w:val="right"/>
              <w:rPr>
                <w:color w:val="000000"/>
                <w:sz w:val="16"/>
                <w:szCs w:val="16"/>
              </w:rPr>
            </w:pPr>
            <w:r>
              <w:rPr>
                <w:color w:val="000000"/>
                <w:sz w:val="16"/>
                <w:szCs w:val="16"/>
              </w:rPr>
              <w:t>4.4</w:t>
            </w:r>
          </w:p>
        </w:tc>
        <w:tc>
          <w:tcPr>
            <w:tcW w:w="850" w:type="dxa"/>
            <w:vAlign w:val="center"/>
          </w:tcPr>
          <w:p w:rsidR="00D347DF" w:rsidRPr="00B41811" w:rsidRDefault="00D347DF" w:rsidP="00E9638E">
            <w:pPr>
              <w:keepNext/>
              <w:adjustRightInd w:val="0"/>
              <w:spacing w:before="20"/>
              <w:jc w:val="right"/>
              <w:rPr>
                <w:color w:val="000000"/>
                <w:sz w:val="16"/>
                <w:szCs w:val="16"/>
              </w:rPr>
            </w:pPr>
            <w:r w:rsidRPr="00B41811">
              <w:rPr>
                <w:color w:val="000000"/>
                <w:sz w:val="16"/>
                <w:szCs w:val="16"/>
              </w:rPr>
              <w:t>0.50</w:t>
            </w:r>
          </w:p>
        </w:tc>
        <w:tc>
          <w:tcPr>
            <w:tcW w:w="1234" w:type="dxa"/>
            <w:gridSpan w:val="2"/>
            <w:vAlign w:val="center"/>
          </w:tcPr>
          <w:p w:rsidR="00D347DF" w:rsidRPr="00B41811" w:rsidRDefault="00085C0C" w:rsidP="00E9638E">
            <w:pPr>
              <w:keepNext/>
              <w:adjustRightInd w:val="0"/>
              <w:spacing w:before="20"/>
              <w:jc w:val="right"/>
              <w:rPr>
                <w:color w:val="000000"/>
                <w:sz w:val="16"/>
                <w:szCs w:val="16"/>
              </w:rPr>
            </w:pPr>
            <w:r>
              <w:rPr>
                <w:color w:val="000000"/>
                <w:sz w:val="16"/>
                <w:szCs w:val="16"/>
              </w:rPr>
              <w:t>(</w:t>
            </w:r>
            <w:r w:rsidR="00D347DF" w:rsidRPr="00B41811">
              <w:rPr>
                <w:color w:val="000000"/>
                <w:sz w:val="16"/>
                <w:szCs w:val="16"/>
              </w:rPr>
              <w:t>0.27</w:t>
            </w:r>
            <w:r w:rsidR="00D347DF">
              <w:rPr>
                <w:color w:val="000000"/>
                <w:sz w:val="16"/>
                <w:szCs w:val="16"/>
              </w:rPr>
              <w:t xml:space="preserve"> - </w:t>
            </w:r>
            <w:r w:rsidR="00D347DF" w:rsidRPr="00B41811">
              <w:rPr>
                <w:color w:val="000000"/>
                <w:sz w:val="16"/>
                <w:szCs w:val="16"/>
              </w:rPr>
              <w:t>0.95</w:t>
            </w:r>
            <w:r>
              <w:rPr>
                <w:color w:val="000000"/>
                <w:sz w:val="16"/>
                <w:szCs w:val="16"/>
              </w:rPr>
              <w:t>)</w:t>
            </w:r>
          </w:p>
        </w:tc>
        <w:tc>
          <w:tcPr>
            <w:tcW w:w="747" w:type="dxa"/>
            <w:vAlign w:val="center"/>
          </w:tcPr>
          <w:p w:rsidR="00D347DF" w:rsidRPr="00B41811" w:rsidRDefault="00D347DF" w:rsidP="00E9638E">
            <w:pPr>
              <w:keepNext/>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Christchurch</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2.5</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0.29</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0.11</w:t>
            </w:r>
            <w:r w:rsidR="00D347DF">
              <w:rPr>
                <w:color w:val="000000"/>
                <w:sz w:val="16"/>
                <w:szCs w:val="16"/>
              </w:rPr>
              <w:t xml:space="preserve"> - </w:t>
            </w:r>
            <w:r w:rsidR="00D347DF" w:rsidRPr="00B41811">
              <w:rPr>
                <w:color w:val="000000"/>
                <w:sz w:val="16"/>
                <w:szCs w:val="16"/>
              </w:rPr>
              <w:t>0.73</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Rest of NZ</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6.4</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0.75</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0.50</w:t>
            </w:r>
            <w:r w:rsidR="00D347DF">
              <w:rPr>
                <w:color w:val="000000"/>
                <w:sz w:val="16"/>
                <w:szCs w:val="16"/>
              </w:rPr>
              <w:t xml:space="preserve"> - </w:t>
            </w:r>
            <w:r w:rsidR="00D347DF" w:rsidRPr="00B41811">
              <w:rPr>
                <w:color w:val="000000"/>
                <w:sz w:val="16"/>
                <w:szCs w:val="16"/>
              </w:rPr>
              <w:t>1.12</w:t>
            </w:r>
            <w:r>
              <w:rPr>
                <w:color w:val="000000"/>
                <w:sz w:val="16"/>
                <w:szCs w:val="16"/>
              </w:rPr>
              <w:t>)</w:t>
            </w:r>
          </w:p>
        </w:tc>
        <w:tc>
          <w:tcPr>
            <w:tcW w:w="747" w:type="dxa"/>
            <w:shd w:val="clear" w:color="auto" w:fill="D9D9D9" w:themeFill="background1" w:themeFillShade="D9"/>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0.02</w:t>
            </w:r>
          </w:p>
        </w:tc>
      </w:tr>
      <w:tr w:rsidR="00435C08" w:rsidRPr="009B1415" w:rsidTr="00E05935">
        <w:tc>
          <w:tcPr>
            <w:tcW w:w="3800" w:type="dxa"/>
            <w:vAlign w:val="center"/>
          </w:tcPr>
          <w:p w:rsidR="00435C08" w:rsidRPr="009B1415" w:rsidRDefault="00435C08" w:rsidP="00435C08">
            <w:pPr>
              <w:spacing w:before="20"/>
              <w:rPr>
                <w:rFonts w:eastAsiaTheme="minorEastAsia"/>
                <w:b/>
                <w:sz w:val="16"/>
                <w:szCs w:val="16"/>
                <w:lang w:eastAsia="en-US"/>
              </w:rPr>
            </w:pPr>
            <w:r w:rsidRPr="009B1415">
              <w:rPr>
                <w:rFonts w:eastAsiaTheme="minorEastAsia"/>
                <w:b/>
                <w:sz w:val="16"/>
                <w:szCs w:val="16"/>
                <w:lang w:eastAsia="en-US"/>
              </w:rPr>
              <w:t>Number of gambling activities participated in</w:t>
            </w:r>
          </w:p>
        </w:tc>
        <w:tc>
          <w:tcPr>
            <w:tcW w:w="1837" w:type="dxa"/>
            <w:vAlign w:val="center"/>
          </w:tcPr>
          <w:p w:rsidR="00435C08" w:rsidRPr="00B41811" w:rsidRDefault="00435C08" w:rsidP="0081083E">
            <w:pPr>
              <w:adjustRightInd w:val="0"/>
              <w:spacing w:before="20"/>
              <w:jc w:val="right"/>
              <w:rPr>
                <w:color w:val="000000"/>
                <w:sz w:val="16"/>
                <w:szCs w:val="16"/>
              </w:rPr>
            </w:pPr>
          </w:p>
        </w:tc>
        <w:tc>
          <w:tcPr>
            <w:tcW w:w="850" w:type="dxa"/>
            <w:vAlign w:val="center"/>
          </w:tcPr>
          <w:p w:rsidR="00435C08" w:rsidRPr="00B41811" w:rsidRDefault="00435C08" w:rsidP="0081083E">
            <w:pPr>
              <w:adjustRightInd w:val="0"/>
              <w:spacing w:before="20"/>
              <w:jc w:val="right"/>
              <w:rPr>
                <w:color w:val="000000"/>
                <w:sz w:val="16"/>
                <w:szCs w:val="16"/>
              </w:rPr>
            </w:pP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1</w:t>
            </w:r>
          </w:p>
        </w:tc>
        <w:tc>
          <w:tcPr>
            <w:tcW w:w="1837" w:type="dxa"/>
            <w:vAlign w:val="center"/>
          </w:tcPr>
          <w:p w:rsidR="00435C08" w:rsidRPr="00B41811" w:rsidRDefault="00435C08" w:rsidP="0081083E">
            <w:pPr>
              <w:adjustRightInd w:val="0"/>
              <w:spacing w:before="20"/>
              <w:jc w:val="right"/>
              <w:rPr>
                <w:color w:val="000000"/>
                <w:sz w:val="16"/>
                <w:szCs w:val="16"/>
              </w:rPr>
            </w:pPr>
            <w:r>
              <w:rPr>
                <w:color w:val="000000"/>
                <w:sz w:val="16"/>
                <w:szCs w:val="16"/>
              </w:rPr>
              <w:t>2.9</w:t>
            </w:r>
          </w:p>
        </w:tc>
        <w:tc>
          <w:tcPr>
            <w:tcW w:w="850" w:type="dxa"/>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2</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6.4</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2.27</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1.25</w:t>
            </w:r>
            <w:r w:rsidR="00D347DF">
              <w:rPr>
                <w:color w:val="000000"/>
                <w:sz w:val="16"/>
                <w:szCs w:val="16"/>
              </w:rPr>
              <w:t xml:space="preserve"> - </w:t>
            </w:r>
            <w:r w:rsidR="00D347DF" w:rsidRPr="00B41811">
              <w:rPr>
                <w:color w:val="000000"/>
                <w:sz w:val="16"/>
                <w:szCs w:val="16"/>
              </w:rPr>
              <w:t>4.13</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3</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4.4</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1.56</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0.82</w:t>
            </w:r>
            <w:r w:rsidR="00D347DF">
              <w:rPr>
                <w:color w:val="000000"/>
                <w:sz w:val="16"/>
                <w:szCs w:val="16"/>
              </w:rPr>
              <w:t xml:space="preserve"> - </w:t>
            </w:r>
            <w:r w:rsidR="00D347DF" w:rsidRPr="00B41811">
              <w:rPr>
                <w:color w:val="000000"/>
                <w:sz w:val="16"/>
                <w:szCs w:val="16"/>
              </w:rPr>
              <w:t>2.99</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4-6</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9.7</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3.62</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2.08</w:t>
            </w:r>
            <w:r w:rsidR="00D347DF">
              <w:rPr>
                <w:color w:val="000000"/>
                <w:sz w:val="16"/>
                <w:szCs w:val="16"/>
              </w:rPr>
              <w:t xml:space="preserve"> - </w:t>
            </w:r>
            <w:r w:rsidR="00D347DF" w:rsidRPr="00B41811">
              <w:rPr>
                <w:color w:val="000000"/>
                <w:sz w:val="16"/>
                <w:szCs w:val="16"/>
              </w:rPr>
              <w:t>6.29</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7-9</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17.4</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7.05</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2.98</w:t>
            </w:r>
            <w:r w:rsidR="00D347DF">
              <w:rPr>
                <w:color w:val="000000"/>
                <w:sz w:val="16"/>
                <w:szCs w:val="16"/>
              </w:rPr>
              <w:t xml:space="preserve"> - </w:t>
            </w:r>
            <w:r w:rsidR="00D347DF" w:rsidRPr="00B41811">
              <w:rPr>
                <w:color w:val="000000"/>
                <w:sz w:val="16"/>
                <w:szCs w:val="16"/>
              </w:rPr>
              <w:t>16.70</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10+</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33.7</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17.07</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3.03</w:t>
            </w:r>
            <w:r w:rsidR="00D347DF">
              <w:rPr>
                <w:color w:val="000000"/>
                <w:sz w:val="16"/>
                <w:szCs w:val="16"/>
              </w:rPr>
              <w:t xml:space="preserve"> - </w:t>
            </w:r>
            <w:r w:rsidR="00D347DF" w:rsidRPr="00B41811">
              <w:rPr>
                <w:color w:val="000000"/>
                <w:sz w:val="16"/>
                <w:szCs w:val="16"/>
              </w:rPr>
              <w:t>96.02</w:t>
            </w:r>
            <w:r>
              <w:rPr>
                <w:color w:val="000000"/>
                <w:sz w:val="16"/>
                <w:szCs w:val="16"/>
              </w:rPr>
              <w:t>)</w:t>
            </w:r>
          </w:p>
        </w:tc>
        <w:tc>
          <w:tcPr>
            <w:tcW w:w="747" w:type="dxa"/>
            <w:shd w:val="clear" w:color="auto" w:fill="D9D9D9" w:themeFill="background1" w:themeFillShade="D9"/>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Pattern of participation</w:t>
            </w:r>
          </w:p>
        </w:tc>
        <w:tc>
          <w:tcPr>
            <w:tcW w:w="1837" w:type="dxa"/>
            <w:vAlign w:val="center"/>
          </w:tcPr>
          <w:p w:rsidR="00435C08" w:rsidRPr="00B41811" w:rsidRDefault="00435C08" w:rsidP="0081083E">
            <w:pPr>
              <w:adjustRightInd w:val="0"/>
              <w:spacing w:before="20"/>
              <w:jc w:val="right"/>
              <w:rPr>
                <w:color w:val="000000"/>
                <w:sz w:val="16"/>
                <w:szCs w:val="16"/>
              </w:rPr>
            </w:pPr>
          </w:p>
        </w:tc>
        <w:tc>
          <w:tcPr>
            <w:tcW w:w="850" w:type="dxa"/>
            <w:vAlign w:val="center"/>
          </w:tcPr>
          <w:p w:rsidR="00435C08" w:rsidRPr="00B41811" w:rsidRDefault="00435C08" w:rsidP="0081083E">
            <w:pPr>
              <w:adjustRightInd w:val="0"/>
              <w:spacing w:before="20"/>
              <w:jc w:val="right"/>
              <w:rPr>
                <w:color w:val="000000"/>
                <w:sz w:val="16"/>
                <w:szCs w:val="16"/>
              </w:rPr>
            </w:pP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Infrequent gambler</w:t>
            </w:r>
          </w:p>
        </w:tc>
        <w:tc>
          <w:tcPr>
            <w:tcW w:w="1837" w:type="dxa"/>
            <w:vAlign w:val="center"/>
          </w:tcPr>
          <w:p w:rsidR="00435C08" w:rsidRPr="00B41811" w:rsidRDefault="00435C08" w:rsidP="0081083E">
            <w:pPr>
              <w:adjustRightInd w:val="0"/>
              <w:spacing w:before="20"/>
              <w:jc w:val="right"/>
              <w:rPr>
                <w:color w:val="000000"/>
                <w:sz w:val="16"/>
                <w:szCs w:val="16"/>
              </w:rPr>
            </w:pPr>
            <w:r>
              <w:rPr>
                <w:color w:val="000000"/>
                <w:sz w:val="16"/>
                <w:szCs w:val="16"/>
              </w:rPr>
              <w:t>5.4</w:t>
            </w:r>
          </w:p>
        </w:tc>
        <w:tc>
          <w:tcPr>
            <w:tcW w:w="850" w:type="dxa"/>
            <w:vAlign w:val="center"/>
          </w:tcPr>
          <w:p w:rsidR="00435C08" w:rsidRPr="00B41811" w:rsidRDefault="00435C08" w:rsidP="0081083E">
            <w:pPr>
              <w:adjustRightInd w:val="0"/>
              <w:spacing w:before="20"/>
              <w:jc w:val="right"/>
              <w:rPr>
                <w:color w:val="000000"/>
                <w:sz w:val="16"/>
                <w:szCs w:val="16"/>
              </w:rPr>
            </w:pPr>
            <w:r w:rsidRPr="00B41811">
              <w:rPr>
                <w:color w:val="000000"/>
                <w:sz w:val="16"/>
                <w:szCs w:val="16"/>
              </w:rPr>
              <w:t>1.00</w:t>
            </w:r>
          </w:p>
        </w:tc>
        <w:tc>
          <w:tcPr>
            <w:tcW w:w="992" w:type="dxa"/>
            <w:vAlign w:val="center"/>
          </w:tcPr>
          <w:p w:rsidR="00435C08" w:rsidRPr="00B41811" w:rsidRDefault="00435C08" w:rsidP="0081083E">
            <w:pPr>
              <w:adjustRightInd w:val="0"/>
              <w:spacing w:before="20"/>
              <w:jc w:val="right"/>
              <w:rPr>
                <w:color w:val="000000"/>
                <w:sz w:val="16"/>
                <w:szCs w:val="16"/>
              </w:rPr>
            </w:pPr>
          </w:p>
        </w:tc>
        <w:tc>
          <w:tcPr>
            <w:tcW w:w="242" w:type="dxa"/>
            <w:vAlign w:val="center"/>
          </w:tcPr>
          <w:p w:rsidR="00435C08" w:rsidRPr="00B41811" w:rsidRDefault="00435C08" w:rsidP="0081083E">
            <w:pPr>
              <w:adjustRightInd w:val="0"/>
              <w:spacing w:before="20"/>
              <w:jc w:val="right"/>
              <w:rPr>
                <w:color w:val="000000"/>
                <w:sz w:val="16"/>
                <w:szCs w:val="16"/>
              </w:rPr>
            </w:pPr>
          </w:p>
        </w:tc>
        <w:tc>
          <w:tcPr>
            <w:tcW w:w="747" w:type="dxa"/>
            <w:vAlign w:val="center"/>
          </w:tcPr>
          <w:p w:rsidR="00435C08" w:rsidRPr="00B4181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Regular non-continuous gambler</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6.0</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1.11</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0.72</w:t>
            </w:r>
            <w:r w:rsidR="00D347DF">
              <w:rPr>
                <w:color w:val="000000"/>
                <w:sz w:val="16"/>
                <w:szCs w:val="16"/>
              </w:rPr>
              <w:t xml:space="preserve"> - </w:t>
            </w:r>
            <w:r w:rsidR="00D347DF" w:rsidRPr="00B41811">
              <w:rPr>
                <w:color w:val="000000"/>
                <w:sz w:val="16"/>
                <w:szCs w:val="16"/>
              </w:rPr>
              <w:t>1.71</w:t>
            </w:r>
            <w:r>
              <w:rPr>
                <w:color w:val="000000"/>
                <w:sz w:val="16"/>
                <w:szCs w:val="16"/>
              </w:rPr>
              <w:t>)</w:t>
            </w:r>
          </w:p>
        </w:tc>
        <w:tc>
          <w:tcPr>
            <w:tcW w:w="747" w:type="dxa"/>
            <w:vAlign w:val="center"/>
          </w:tcPr>
          <w:p w:rsidR="00D347DF" w:rsidRPr="00B41811"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Regular continuous gambler</w:t>
            </w:r>
          </w:p>
        </w:tc>
        <w:tc>
          <w:tcPr>
            <w:tcW w:w="1837" w:type="dxa"/>
            <w:vAlign w:val="center"/>
          </w:tcPr>
          <w:p w:rsidR="00D347DF" w:rsidRPr="00B41811" w:rsidRDefault="00D347DF" w:rsidP="0081083E">
            <w:pPr>
              <w:adjustRightInd w:val="0"/>
              <w:spacing w:before="20"/>
              <w:jc w:val="right"/>
              <w:rPr>
                <w:color w:val="000000"/>
                <w:sz w:val="16"/>
                <w:szCs w:val="16"/>
              </w:rPr>
            </w:pPr>
            <w:r>
              <w:rPr>
                <w:color w:val="000000"/>
                <w:sz w:val="16"/>
                <w:szCs w:val="16"/>
              </w:rPr>
              <w:t>18.7</w:t>
            </w:r>
          </w:p>
        </w:tc>
        <w:tc>
          <w:tcPr>
            <w:tcW w:w="850" w:type="dxa"/>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4.01</w:t>
            </w:r>
          </w:p>
        </w:tc>
        <w:tc>
          <w:tcPr>
            <w:tcW w:w="1234" w:type="dxa"/>
            <w:gridSpan w:val="2"/>
            <w:vAlign w:val="center"/>
          </w:tcPr>
          <w:p w:rsidR="00D347DF" w:rsidRPr="00B41811" w:rsidRDefault="00085C0C" w:rsidP="00D347DF">
            <w:pPr>
              <w:adjustRightInd w:val="0"/>
              <w:spacing w:before="20"/>
              <w:jc w:val="right"/>
              <w:rPr>
                <w:color w:val="000000"/>
                <w:sz w:val="16"/>
                <w:szCs w:val="16"/>
              </w:rPr>
            </w:pPr>
            <w:r>
              <w:rPr>
                <w:color w:val="000000"/>
                <w:sz w:val="16"/>
                <w:szCs w:val="16"/>
              </w:rPr>
              <w:t>(</w:t>
            </w:r>
            <w:r w:rsidR="00D347DF" w:rsidRPr="00B41811">
              <w:rPr>
                <w:color w:val="000000"/>
                <w:sz w:val="16"/>
                <w:szCs w:val="16"/>
              </w:rPr>
              <w:t>2.43</w:t>
            </w:r>
            <w:r w:rsidR="00D347DF">
              <w:rPr>
                <w:color w:val="000000"/>
                <w:sz w:val="16"/>
                <w:szCs w:val="16"/>
              </w:rPr>
              <w:t xml:space="preserve"> - </w:t>
            </w:r>
            <w:r w:rsidR="00D347DF" w:rsidRPr="00B41811">
              <w:rPr>
                <w:color w:val="000000"/>
                <w:sz w:val="16"/>
                <w:szCs w:val="16"/>
              </w:rPr>
              <w:t>6.61</w:t>
            </w:r>
            <w:r>
              <w:rPr>
                <w:color w:val="000000"/>
                <w:sz w:val="16"/>
                <w:szCs w:val="16"/>
              </w:rPr>
              <w:t>)</w:t>
            </w:r>
          </w:p>
        </w:tc>
        <w:tc>
          <w:tcPr>
            <w:tcW w:w="747" w:type="dxa"/>
            <w:shd w:val="clear" w:color="auto" w:fill="D9D9D9" w:themeFill="background1" w:themeFillShade="D9"/>
            <w:vAlign w:val="center"/>
          </w:tcPr>
          <w:p w:rsidR="00D347DF" w:rsidRPr="00B41811" w:rsidRDefault="00D347DF" w:rsidP="0081083E">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Gambling frequency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tcPr>
          <w:p w:rsidR="00435C08" w:rsidRPr="009B1415" w:rsidRDefault="00435C08" w:rsidP="0081083E">
            <w:pPr>
              <w:adjustRightInd w:val="0"/>
              <w:spacing w:before="20"/>
              <w:jc w:val="right"/>
              <w:rPr>
                <w:color w:val="000000"/>
                <w:sz w:val="16"/>
                <w:szCs w:val="16"/>
              </w:rPr>
            </w:pPr>
          </w:p>
        </w:tc>
        <w:tc>
          <w:tcPr>
            <w:tcW w:w="992" w:type="dxa"/>
          </w:tcPr>
          <w:p w:rsidR="00435C08" w:rsidRPr="009B1415" w:rsidRDefault="00435C08" w:rsidP="0081083E">
            <w:pPr>
              <w:adjustRightInd w:val="0"/>
              <w:spacing w:before="20"/>
              <w:jc w:val="right"/>
              <w:rPr>
                <w:color w:val="000000"/>
                <w:sz w:val="16"/>
                <w:szCs w:val="16"/>
              </w:rPr>
            </w:pPr>
          </w:p>
        </w:tc>
        <w:tc>
          <w:tcPr>
            <w:tcW w:w="242" w:type="dxa"/>
          </w:tcPr>
          <w:p w:rsidR="00435C08" w:rsidRPr="009B1415"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At least weekly</w:t>
            </w:r>
          </w:p>
        </w:tc>
        <w:tc>
          <w:tcPr>
            <w:tcW w:w="1837" w:type="dxa"/>
            <w:vAlign w:val="center"/>
          </w:tcPr>
          <w:p w:rsidR="00D347DF" w:rsidRPr="00BE2C60" w:rsidRDefault="00D347DF" w:rsidP="0081083E">
            <w:pPr>
              <w:adjustRightInd w:val="0"/>
              <w:spacing w:before="20"/>
              <w:jc w:val="right"/>
              <w:rPr>
                <w:color w:val="000000"/>
                <w:sz w:val="16"/>
                <w:szCs w:val="16"/>
              </w:rPr>
            </w:pPr>
            <w:r>
              <w:rPr>
                <w:color w:val="000000"/>
                <w:sz w:val="16"/>
                <w:szCs w:val="16"/>
              </w:rPr>
              <w:t>9.0</w:t>
            </w:r>
          </w:p>
        </w:tc>
        <w:tc>
          <w:tcPr>
            <w:tcW w:w="850" w:type="dxa"/>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2.94</w:t>
            </w:r>
          </w:p>
        </w:tc>
        <w:tc>
          <w:tcPr>
            <w:tcW w:w="1234" w:type="dxa"/>
            <w:gridSpan w:val="2"/>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1.82</w:t>
            </w:r>
            <w:r w:rsidR="00D347DF">
              <w:rPr>
                <w:color w:val="000000"/>
                <w:sz w:val="16"/>
                <w:szCs w:val="16"/>
              </w:rPr>
              <w:t xml:space="preserve"> - </w:t>
            </w:r>
            <w:r w:rsidR="00D347DF" w:rsidRPr="00BE2C60">
              <w:rPr>
                <w:color w:val="000000"/>
                <w:sz w:val="16"/>
                <w:szCs w:val="16"/>
              </w:rPr>
              <w:t>4.74</w:t>
            </w:r>
            <w:r>
              <w:rPr>
                <w:color w:val="000000"/>
                <w:sz w:val="16"/>
                <w:szCs w:val="16"/>
              </w:rPr>
              <w:t>)</w:t>
            </w:r>
          </w:p>
        </w:tc>
        <w:tc>
          <w:tcPr>
            <w:tcW w:w="747" w:type="dxa"/>
            <w:vAlign w:val="center"/>
          </w:tcPr>
          <w:p w:rsidR="00D347DF" w:rsidRPr="00BE2C60"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At least monthly</w:t>
            </w:r>
          </w:p>
        </w:tc>
        <w:tc>
          <w:tcPr>
            <w:tcW w:w="1837" w:type="dxa"/>
            <w:vAlign w:val="center"/>
          </w:tcPr>
          <w:p w:rsidR="00D347DF" w:rsidRPr="00BE2C60" w:rsidRDefault="00D347DF" w:rsidP="0081083E">
            <w:pPr>
              <w:adjustRightInd w:val="0"/>
              <w:spacing w:before="20"/>
              <w:jc w:val="right"/>
              <w:rPr>
                <w:color w:val="000000"/>
                <w:sz w:val="16"/>
                <w:szCs w:val="16"/>
              </w:rPr>
            </w:pPr>
            <w:r>
              <w:rPr>
                <w:color w:val="000000"/>
                <w:sz w:val="16"/>
                <w:szCs w:val="16"/>
              </w:rPr>
              <w:t>8.3</w:t>
            </w:r>
          </w:p>
        </w:tc>
        <w:tc>
          <w:tcPr>
            <w:tcW w:w="850" w:type="dxa"/>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2.69</w:t>
            </w:r>
          </w:p>
        </w:tc>
        <w:tc>
          <w:tcPr>
            <w:tcW w:w="1234" w:type="dxa"/>
            <w:gridSpan w:val="2"/>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1.64</w:t>
            </w:r>
            <w:r w:rsidR="00D347DF">
              <w:rPr>
                <w:color w:val="000000"/>
                <w:sz w:val="16"/>
                <w:szCs w:val="16"/>
              </w:rPr>
              <w:t xml:space="preserve"> - </w:t>
            </w:r>
            <w:r w:rsidR="00D347DF" w:rsidRPr="00BE2C60">
              <w:rPr>
                <w:color w:val="000000"/>
                <w:sz w:val="16"/>
                <w:szCs w:val="16"/>
              </w:rPr>
              <w:t>4.43</w:t>
            </w:r>
            <w:r>
              <w:rPr>
                <w:color w:val="000000"/>
                <w:sz w:val="16"/>
                <w:szCs w:val="16"/>
              </w:rPr>
              <w:t>)</w:t>
            </w:r>
          </w:p>
        </w:tc>
        <w:tc>
          <w:tcPr>
            <w:tcW w:w="747" w:type="dxa"/>
            <w:vAlign w:val="center"/>
          </w:tcPr>
          <w:p w:rsidR="00D347DF" w:rsidRPr="00BE2C60" w:rsidRDefault="00D347DF"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At least once in past year</w:t>
            </w:r>
          </w:p>
        </w:tc>
        <w:tc>
          <w:tcPr>
            <w:tcW w:w="1837"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3.3</w:t>
            </w:r>
          </w:p>
        </w:tc>
        <w:tc>
          <w:tcPr>
            <w:tcW w:w="850" w:type="dxa"/>
            <w:vAlign w:val="center"/>
          </w:tcPr>
          <w:p w:rsidR="00435C08" w:rsidRPr="00BE2C60" w:rsidRDefault="00435C08" w:rsidP="0081083E">
            <w:pPr>
              <w:adjustRightInd w:val="0"/>
              <w:spacing w:before="20"/>
              <w:jc w:val="right"/>
              <w:rPr>
                <w:color w:val="000000"/>
                <w:sz w:val="16"/>
                <w:szCs w:val="16"/>
              </w:rPr>
            </w:pPr>
            <w:r w:rsidRPr="00BE2C60">
              <w:rPr>
                <w:color w:val="000000"/>
                <w:sz w:val="16"/>
                <w:szCs w:val="16"/>
              </w:rPr>
              <w:t>1.00</w:t>
            </w: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shd w:val="clear" w:color="auto" w:fill="D9D9D9" w:themeFill="background1" w:themeFillShade="D9"/>
            <w:vAlign w:val="center"/>
          </w:tcPr>
          <w:p w:rsidR="00435C08" w:rsidRPr="00BE2C60" w:rsidRDefault="00435C08" w:rsidP="0081083E">
            <w:pPr>
              <w:adjustRightInd w:val="0"/>
              <w:spacing w:before="20"/>
              <w:jc w:val="right"/>
              <w:rPr>
                <w:color w:val="000000"/>
                <w:sz w:val="16"/>
                <w:szCs w:val="16"/>
              </w:rPr>
            </w:pPr>
            <w:r w:rsidRPr="00BE2C60">
              <w:rPr>
                <w:color w:val="000000"/>
                <w:sz w:val="16"/>
                <w:szCs w:val="16"/>
              </w:rPr>
              <w:t>&lt;</w:t>
            </w:r>
            <w:r>
              <w:rPr>
                <w:color w:val="000000"/>
                <w:sz w:val="16"/>
                <w:szCs w:val="16"/>
              </w:rPr>
              <w:t>0</w:t>
            </w:r>
            <w:r w:rsidRPr="00BE2C60">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rFonts w:eastAsiaTheme="minorEastAsia"/>
                <w:b/>
                <w:sz w:val="16"/>
                <w:szCs w:val="16"/>
                <w:lang w:eastAsia="en-US"/>
              </w:rPr>
              <w:t>Typical monthly gambling expenditure</w:t>
            </w:r>
          </w:p>
        </w:tc>
        <w:tc>
          <w:tcPr>
            <w:tcW w:w="1837" w:type="dxa"/>
            <w:vAlign w:val="center"/>
          </w:tcPr>
          <w:p w:rsidR="00435C08" w:rsidRPr="00BE2C60" w:rsidRDefault="00435C08" w:rsidP="00E9638E">
            <w:pPr>
              <w:adjustRightInd w:val="0"/>
              <w:spacing w:before="20"/>
              <w:jc w:val="right"/>
              <w:rPr>
                <w:color w:val="000000"/>
                <w:sz w:val="16"/>
                <w:szCs w:val="16"/>
              </w:rPr>
            </w:pPr>
          </w:p>
        </w:tc>
        <w:tc>
          <w:tcPr>
            <w:tcW w:w="850" w:type="dxa"/>
            <w:vAlign w:val="center"/>
          </w:tcPr>
          <w:p w:rsidR="00435C08" w:rsidRPr="00BE2C60" w:rsidRDefault="00435C08" w:rsidP="00E9638E">
            <w:pPr>
              <w:adjustRightInd w:val="0"/>
              <w:spacing w:before="20"/>
              <w:jc w:val="right"/>
              <w:rPr>
                <w:color w:val="000000"/>
                <w:sz w:val="16"/>
                <w:szCs w:val="16"/>
              </w:rPr>
            </w:pPr>
          </w:p>
        </w:tc>
        <w:tc>
          <w:tcPr>
            <w:tcW w:w="992" w:type="dxa"/>
            <w:vAlign w:val="center"/>
          </w:tcPr>
          <w:p w:rsidR="00435C08" w:rsidRPr="00BE2C60" w:rsidRDefault="00435C08" w:rsidP="00E9638E">
            <w:pPr>
              <w:adjustRightInd w:val="0"/>
              <w:spacing w:before="20"/>
              <w:jc w:val="right"/>
              <w:rPr>
                <w:color w:val="000000"/>
                <w:sz w:val="16"/>
                <w:szCs w:val="16"/>
              </w:rPr>
            </w:pPr>
          </w:p>
        </w:tc>
        <w:tc>
          <w:tcPr>
            <w:tcW w:w="242" w:type="dxa"/>
            <w:vAlign w:val="center"/>
          </w:tcPr>
          <w:p w:rsidR="00435C08" w:rsidRPr="00BE2C60" w:rsidRDefault="00435C08" w:rsidP="00E9638E">
            <w:pPr>
              <w:adjustRightInd w:val="0"/>
              <w:spacing w:before="20"/>
              <w:jc w:val="right"/>
              <w:rPr>
                <w:color w:val="000000"/>
                <w:sz w:val="16"/>
                <w:szCs w:val="16"/>
              </w:rPr>
            </w:pPr>
          </w:p>
        </w:tc>
        <w:tc>
          <w:tcPr>
            <w:tcW w:w="747" w:type="dxa"/>
            <w:vAlign w:val="center"/>
          </w:tcPr>
          <w:p w:rsidR="00435C08" w:rsidRPr="00BE2C60"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$1 - $10</w:t>
            </w:r>
          </w:p>
        </w:tc>
        <w:tc>
          <w:tcPr>
            <w:tcW w:w="1837" w:type="dxa"/>
          </w:tcPr>
          <w:p w:rsidR="00435C08" w:rsidRPr="00BE2C60" w:rsidRDefault="00435C08" w:rsidP="0081083E">
            <w:pPr>
              <w:adjustRightInd w:val="0"/>
              <w:spacing w:before="20"/>
              <w:jc w:val="right"/>
              <w:rPr>
                <w:color w:val="000000"/>
                <w:sz w:val="16"/>
                <w:szCs w:val="16"/>
              </w:rPr>
            </w:pPr>
            <w:r>
              <w:rPr>
                <w:color w:val="000000"/>
                <w:sz w:val="16"/>
                <w:szCs w:val="16"/>
              </w:rPr>
              <w:t>3.1</w:t>
            </w:r>
          </w:p>
        </w:tc>
        <w:tc>
          <w:tcPr>
            <w:tcW w:w="850" w:type="dxa"/>
            <w:vAlign w:val="center"/>
          </w:tcPr>
          <w:p w:rsidR="00435C08" w:rsidRPr="00BE2C60" w:rsidRDefault="00435C08" w:rsidP="0081083E">
            <w:pPr>
              <w:spacing w:before="20"/>
              <w:jc w:val="right"/>
              <w:rPr>
                <w:color w:val="000000"/>
                <w:sz w:val="16"/>
                <w:szCs w:val="16"/>
              </w:rPr>
            </w:pPr>
            <w:r w:rsidRPr="00BE2C60">
              <w:rPr>
                <w:color w:val="000000"/>
                <w:sz w:val="16"/>
                <w:szCs w:val="16"/>
              </w:rPr>
              <w:t>1.00</w:t>
            </w:r>
          </w:p>
        </w:tc>
        <w:tc>
          <w:tcPr>
            <w:tcW w:w="992" w:type="dxa"/>
            <w:vAlign w:val="center"/>
          </w:tcPr>
          <w:p w:rsidR="00435C08" w:rsidRPr="00BE2C60" w:rsidRDefault="00435C08" w:rsidP="0081083E">
            <w:pPr>
              <w:spacing w:before="20"/>
              <w:jc w:val="right"/>
              <w:rPr>
                <w:color w:val="000000"/>
                <w:sz w:val="16"/>
                <w:szCs w:val="16"/>
              </w:rPr>
            </w:pPr>
          </w:p>
        </w:tc>
        <w:tc>
          <w:tcPr>
            <w:tcW w:w="242" w:type="dxa"/>
            <w:vAlign w:val="center"/>
          </w:tcPr>
          <w:p w:rsidR="00435C08" w:rsidRPr="00BE2C60" w:rsidRDefault="00435C08" w:rsidP="0081083E">
            <w:pPr>
              <w:spacing w:before="20"/>
              <w:jc w:val="right"/>
              <w:rPr>
                <w:color w:val="000000"/>
                <w:sz w:val="16"/>
                <w:szCs w:val="16"/>
              </w:rPr>
            </w:pPr>
          </w:p>
        </w:tc>
        <w:tc>
          <w:tcPr>
            <w:tcW w:w="747" w:type="dxa"/>
            <w:vAlign w:val="center"/>
          </w:tcPr>
          <w:p w:rsidR="00435C08" w:rsidRPr="00BE2C60" w:rsidRDefault="00435C08"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$11 - $20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3.2</w:t>
            </w:r>
          </w:p>
        </w:tc>
        <w:tc>
          <w:tcPr>
            <w:tcW w:w="850" w:type="dxa"/>
          </w:tcPr>
          <w:p w:rsidR="00D347DF" w:rsidRPr="00BE2C60" w:rsidRDefault="00D347DF" w:rsidP="0081083E">
            <w:pPr>
              <w:keepNext/>
              <w:adjustRightInd w:val="0"/>
              <w:spacing w:before="20"/>
              <w:jc w:val="right"/>
              <w:rPr>
                <w:color w:val="000000"/>
                <w:sz w:val="16"/>
                <w:szCs w:val="16"/>
              </w:rPr>
            </w:pPr>
            <w:r w:rsidRPr="00BE2C60">
              <w:rPr>
                <w:color w:val="000000"/>
                <w:sz w:val="16"/>
                <w:szCs w:val="16"/>
              </w:rPr>
              <w:t>1.05</w:t>
            </w:r>
          </w:p>
        </w:tc>
        <w:tc>
          <w:tcPr>
            <w:tcW w:w="1234" w:type="dxa"/>
            <w:gridSpan w:val="2"/>
          </w:tcPr>
          <w:p w:rsidR="00D347DF" w:rsidRPr="00BE2C60" w:rsidRDefault="00085C0C" w:rsidP="00D347DF">
            <w:pPr>
              <w:keepNext/>
              <w:adjustRightInd w:val="0"/>
              <w:spacing w:before="20"/>
              <w:jc w:val="right"/>
              <w:rPr>
                <w:color w:val="000000"/>
                <w:sz w:val="16"/>
                <w:szCs w:val="16"/>
              </w:rPr>
            </w:pPr>
            <w:r>
              <w:rPr>
                <w:color w:val="000000"/>
                <w:sz w:val="16"/>
                <w:szCs w:val="16"/>
              </w:rPr>
              <w:t>(</w:t>
            </w:r>
            <w:r w:rsidR="00D347DF" w:rsidRPr="00BE2C60">
              <w:rPr>
                <w:color w:val="000000"/>
                <w:sz w:val="16"/>
                <w:szCs w:val="16"/>
              </w:rPr>
              <w:t>0.44</w:t>
            </w:r>
            <w:r w:rsidR="00D347DF">
              <w:rPr>
                <w:color w:val="000000"/>
                <w:sz w:val="16"/>
                <w:szCs w:val="16"/>
              </w:rPr>
              <w:t xml:space="preserve"> - </w:t>
            </w:r>
            <w:r w:rsidR="00D347DF" w:rsidRPr="00BE2C60">
              <w:rPr>
                <w:color w:val="000000"/>
                <w:sz w:val="16"/>
                <w:szCs w:val="16"/>
              </w:rPr>
              <w:t>2.51</w:t>
            </w:r>
            <w:r>
              <w:rPr>
                <w:color w:val="000000"/>
                <w:sz w:val="16"/>
                <w:szCs w:val="16"/>
              </w:rPr>
              <w:t>)</w:t>
            </w:r>
          </w:p>
        </w:tc>
        <w:tc>
          <w:tcPr>
            <w:tcW w:w="747" w:type="dxa"/>
            <w:vAlign w:val="center"/>
          </w:tcPr>
          <w:p w:rsidR="00D347DF" w:rsidRPr="00BE2C60"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$21 - $30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3.9</w:t>
            </w:r>
          </w:p>
        </w:tc>
        <w:tc>
          <w:tcPr>
            <w:tcW w:w="850" w:type="dxa"/>
          </w:tcPr>
          <w:p w:rsidR="00D347DF" w:rsidRPr="00BE2C60" w:rsidRDefault="00D347DF" w:rsidP="0081083E">
            <w:pPr>
              <w:adjustRightInd w:val="0"/>
              <w:spacing w:before="20"/>
              <w:jc w:val="right"/>
              <w:rPr>
                <w:color w:val="000000"/>
                <w:sz w:val="16"/>
                <w:szCs w:val="16"/>
              </w:rPr>
            </w:pPr>
            <w:r w:rsidRPr="00BE2C60">
              <w:rPr>
                <w:color w:val="000000"/>
                <w:sz w:val="16"/>
                <w:szCs w:val="16"/>
              </w:rPr>
              <w:t>1.26</w:t>
            </w:r>
          </w:p>
        </w:tc>
        <w:tc>
          <w:tcPr>
            <w:tcW w:w="1234" w:type="dxa"/>
            <w:gridSpan w:val="2"/>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0.50</w:t>
            </w:r>
            <w:r w:rsidR="00D347DF">
              <w:rPr>
                <w:color w:val="000000"/>
                <w:sz w:val="16"/>
                <w:szCs w:val="16"/>
              </w:rPr>
              <w:t xml:space="preserve"> - </w:t>
            </w:r>
            <w:r w:rsidR="00D347DF" w:rsidRPr="00BE2C60">
              <w:rPr>
                <w:color w:val="000000"/>
                <w:sz w:val="16"/>
                <w:szCs w:val="16"/>
              </w:rPr>
              <w:t>3.17</w:t>
            </w:r>
            <w:r>
              <w:rPr>
                <w:color w:val="000000"/>
                <w:sz w:val="16"/>
                <w:szCs w:val="16"/>
              </w:rPr>
              <w:t>)</w:t>
            </w:r>
          </w:p>
        </w:tc>
        <w:tc>
          <w:tcPr>
            <w:tcW w:w="747" w:type="dxa"/>
            <w:vAlign w:val="center"/>
          </w:tcPr>
          <w:p w:rsidR="00D347DF" w:rsidRPr="00BE2C60"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$31 - $50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5.3</w:t>
            </w:r>
          </w:p>
        </w:tc>
        <w:tc>
          <w:tcPr>
            <w:tcW w:w="850" w:type="dxa"/>
          </w:tcPr>
          <w:p w:rsidR="00D347DF" w:rsidRPr="00BE2C60" w:rsidRDefault="00D347DF" w:rsidP="0081083E">
            <w:pPr>
              <w:adjustRightInd w:val="0"/>
              <w:spacing w:before="20"/>
              <w:jc w:val="right"/>
              <w:rPr>
                <w:color w:val="000000"/>
                <w:sz w:val="16"/>
                <w:szCs w:val="16"/>
              </w:rPr>
            </w:pPr>
            <w:r w:rsidRPr="00BE2C60">
              <w:rPr>
                <w:color w:val="000000"/>
                <w:sz w:val="16"/>
                <w:szCs w:val="16"/>
              </w:rPr>
              <w:t>1.75</w:t>
            </w:r>
          </w:p>
        </w:tc>
        <w:tc>
          <w:tcPr>
            <w:tcW w:w="1234" w:type="dxa"/>
            <w:gridSpan w:val="2"/>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0.75</w:t>
            </w:r>
            <w:r w:rsidR="00D347DF">
              <w:rPr>
                <w:color w:val="000000"/>
                <w:sz w:val="16"/>
                <w:szCs w:val="16"/>
              </w:rPr>
              <w:t xml:space="preserve"> - </w:t>
            </w:r>
            <w:r w:rsidR="00D347DF" w:rsidRPr="00BE2C60">
              <w:rPr>
                <w:color w:val="000000"/>
                <w:sz w:val="16"/>
                <w:szCs w:val="16"/>
              </w:rPr>
              <w:t>4.12</w:t>
            </w:r>
            <w:r>
              <w:rPr>
                <w:color w:val="000000"/>
                <w:sz w:val="16"/>
                <w:szCs w:val="16"/>
              </w:rPr>
              <w:t>)</w:t>
            </w:r>
          </w:p>
        </w:tc>
        <w:tc>
          <w:tcPr>
            <w:tcW w:w="747" w:type="dxa"/>
            <w:vAlign w:val="center"/>
          </w:tcPr>
          <w:p w:rsidR="00D347DF" w:rsidRPr="00BE2C60"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$51 - $100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9.9</w:t>
            </w:r>
          </w:p>
        </w:tc>
        <w:tc>
          <w:tcPr>
            <w:tcW w:w="850" w:type="dxa"/>
          </w:tcPr>
          <w:p w:rsidR="00D347DF" w:rsidRPr="00BE2C60" w:rsidRDefault="00D347DF" w:rsidP="0081083E">
            <w:pPr>
              <w:keepNext/>
              <w:adjustRightInd w:val="0"/>
              <w:spacing w:before="20"/>
              <w:jc w:val="right"/>
              <w:rPr>
                <w:color w:val="000000"/>
                <w:sz w:val="16"/>
                <w:szCs w:val="16"/>
              </w:rPr>
            </w:pPr>
            <w:r w:rsidRPr="00BE2C60">
              <w:rPr>
                <w:color w:val="000000"/>
                <w:sz w:val="16"/>
                <w:szCs w:val="16"/>
              </w:rPr>
              <w:t>3.42</w:t>
            </w:r>
          </w:p>
        </w:tc>
        <w:tc>
          <w:tcPr>
            <w:tcW w:w="1234" w:type="dxa"/>
            <w:gridSpan w:val="2"/>
          </w:tcPr>
          <w:p w:rsidR="00D347DF" w:rsidRPr="00BE2C60" w:rsidRDefault="00085C0C" w:rsidP="00D347DF">
            <w:pPr>
              <w:keepNext/>
              <w:adjustRightInd w:val="0"/>
              <w:spacing w:before="20"/>
              <w:jc w:val="right"/>
              <w:rPr>
                <w:color w:val="000000"/>
                <w:sz w:val="16"/>
                <w:szCs w:val="16"/>
              </w:rPr>
            </w:pPr>
            <w:r>
              <w:rPr>
                <w:color w:val="000000"/>
                <w:sz w:val="16"/>
                <w:szCs w:val="16"/>
              </w:rPr>
              <w:t>(</w:t>
            </w:r>
            <w:r w:rsidR="00D347DF" w:rsidRPr="00BE2C60">
              <w:rPr>
                <w:color w:val="000000"/>
                <w:sz w:val="16"/>
                <w:szCs w:val="16"/>
              </w:rPr>
              <w:t>1.55</w:t>
            </w:r>
            <w:r w:rsidR="00D347DF">
              <w:rPr>
                <w:color w:val="000000"/>
                <w:sz w:val="16"/>
                <w:szCs w:val="16"/>
              </w:rPr>
              <w:t xml:space="preserve"> - </w:t>
            </w:r>
            <w:r w:rsidR="00D347DF" w:rsidRPr="00BE2C60">
              <w:rPr>
                <w:color w:val="000000"/>
                <w:sz w:val="16"/>
                <w:szCs w:val="16"/>
              </w:rPr>
              <w:t>7.55</w:t>
            </w:r>
            <w:r>
              <w:rPr>
                <w:color w:val="000000"/>
                <w:sz w:val="16"/>
                <w:szCs w:val="16"/>
              </w:rPr>
              <w:t>)</w:t>
            </w:r>
          </w:p>
        </w:tc>
        <w:tc>
          <w:tcPr>
            <w:tcW w:w="747" w:type="dxa"/>
            <w:vAlign w:val="center"/>
          </w:tcPr>
          <w:p w:rsidR="00D347DF" w:rsidRPr="00BE2C60"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$101 - $500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14.8</w:t>
            </w:r>
          </w:p>
        </w:tc>
        <w:tc>
          <w:tcPr>
            <w:tcW w:w="850" w:type="dxa"/>
          </w:tcPr>
          <w:p w:rsidR="00D347DF" w:rsidRPr="00BE2C60" w:rsidRDefault="00D347DF" w:rsidP="0081083E">
            <w:pPr>
              <w:adjustRightInd w:val="0"/>
              <w:spacing w:before="20"/>
              <w:jc w:val="right"/>
              <w:rPr>
                <w:color w:val="000000"/>
                <w:sz w:val="16"/>
                <w:szCs w:val="16"/>
              </w:rPr>
            </w:pPr>
            <w:r w:rsidRPr="00BE2C60">
              <w:rPr>
                <w:color w:val="000000"/>
                <w:sz w:val="16"/>
                <w:szCs w:val="16"/>
              </w:rPr>
              <w:t>5.45</w:t>
            </w:r>
          </w:p>
        </w:tc>
        <w:tc>
          <w:tcPr>
            <w:tcW w:w="1234" w:type="dxa"/>
            <w:gridSpan w:val="2"/>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2.45</w:t>
            </w:r>
            <w:r w:rsidR="00D347DF">
              <w:rPr>
                <w:color w:val="000000"/>
                <w:sz w:val="16"/>
                <w:szCs w:val="16"/>
              </w:rPr>
              <w:t xml:space="preserve"> - </w:t>
            </w:r>
            <w:r w:rsidR="00D347DF" w:rsidRPr="00BE2C60">
              <w:rPr>
                <w:color w:val="000000"/>
                <w:sz w:val="16"/>
                <w:szCs w:val="16"/>
              </w:rPr>
              <w:t>12.05</w:t>
            </w:r>
            <w:r>
              <w:rPr>
                <w:color w:val="000000"/>
                <w:sz w:val="16"/>
                <w:szCs w:val="16"/>
              </w:rPr>
              <w:t>)</w:t>
            </w:r>
          </w:p>
        </w:tc>
        <w:tc>
          <w:tcPr>
            <w:tcW w:w="747" w:type="dxa"/>
            <w:vAlign w:val="center"/>
          </w:tcPr>
          <w:p w:rsidR="00D347DF" w:rsidRPr="00BE2C60"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&gt;$500</w:t>
            </w:r>
          </w:p>
        </w:tc>
        <w:tc>
          <w:tcPr>
            <w:tcW w:w="1837" w:type="dxa"/>
          </w:tcPr>
          <w:p w:rsidR="00D347DF" w:rsidRPr="00BE2C60" w:rsidRDefault="00D347DF" w:rsidP="0081083E">
            <w:pPr>
              <w:adjustRightInd w:val="0"/>
              <w:spacing w:before="20"/>
              <w:jc w:val="right"/>
              <w:rPr>
                <w:color w:val="000000"/>
                <w:sz w:val="16"/>
                <w:szCs w:val="16"/>
              </w:rPr>
            </w:pPr>
            <w:r>
              <w:rPr>
                <w:color w:val="000000"/>
                <w:sz w:val="16"/>
                <w:szCs w:val="16"/>
              </w:rPr>
              <w:t>13.7</w:t>
            </w:r>
          </w:p>
        </w:tc>
        <w:tc>
          <w:tcPr>
            <w:tcW w:w="850" w:type="dxa"/>
          </w:tcPr>
          <w:p w:rsidR="00D347DF" w:rsidRPr="00BE2C60" w:rsidRDefault="00D347DF" w:rsidP="0081083E">
            <w:pPr>
              <w:adjustRightInd w:val="0"/>
              <w:spacing w:before="20"/>
              <w:jc w:val="right"/>
              <w:rPr>
                <w:color w:val="000000"/>
                <w:sz w:val="16"/>
                <w:szCs w:val="16"/>
              </w:rPr>
            </w:pPr>
            <w:r w:rsidRPr="00BE2C60">
              <w:rPr>
                <w:color w:val="000000"/>
                <w:sz w:val="16"/>
                <w:szCs w:val="16"/>
              </w:rPr>
              <w:t>4.96</w:t>
            </w:r>
          </w:p>
        </w:tc>
        <w:tc>
          <w:tcPr>
            <w:tcW w:w="1234" w:type="dxa"/>
            <w:gridSpan w:val="2"/>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1.28</w:t>
            </w:r>
            <w:r w:rsidR="00D347DF">
              <w:rPr>
                <w:color w:val="000000"/>
                <w:sz w:val="16"/>
                <w:szCs w:val="16"/>
              </w:rPr>
              <w:t xml:space="preserve"> - </w:t>
            </w:r>
            <w:r w:rsidR="00D347DF" w:rsidRPr="00BE2C60">
              <w:rPr>
                <w:color w:val="000000"/>
                <w:sz w:val="16"/>
                <w:szCs w:val="16"/>
              </w:rPr>
              <w:t>19.23</w:t>
            </w:r>
            <w:r>
              <w:rPr>
                <w:color w:val="000000"/>
                <w:sz w:val="16"/>
                <w:szCs w:val="16"/>
              </w:rPr>
              <w:t>)</w:t>
            </w:r>
          </w:p>
        </w:tc>
        <w:tc>
          <w:tcPr>
            <w:tcW w:w="747" w:type="dxa"/>
            <w:shd w:val="clear" w:color="auto" w:fill="D9D9D9" w:themeFill="background1" w:themeFillShade="D9"/>
            <w:vAlign w:val="center"/>
          </w:tcPr>
          <w:p w:rsidR="00D347DF" w:rsidRPr="00BE2C60" w:rsidRDefault="00D347DF" w:rsidP="0081083E">
            <w:pPr>
              <w:spacing w:before="20"/>
              <w:jc w:val="right"/>
              <w:rPr>
                <w:color w:val="000000"/>
                <w:sz w:val="16"/>
                <w:szCs w:val="16"/>
              </w:rPr>
            </w:pPr>
            <w:r w:rsidRPr="00BE2C60">
              <w:rPr>
                <w:color w:val="000000"/>
                <w:sz w:val="16"/>
                <w:szCs w:val="16"/>
              </w:rPr>
              <w:t>&lt;</w:t>
            </w:r>
            <w:r>
              <w:rPr>
                <w:color w:val="000000"/>
                <w:sz w:val="16"/>
                <w:szCs w:val="16"/>
              </w:rPr>
              <w:t>0</w:t>
            </w:r>
            <w:r w:rsidRPr="00BE2C60">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Text game or competition - annual</w:t>
            </w:r>
          </w:p>
        </w:tc>
        <w:tc>
          <w:tcPr>
            <w:tcW w:w="1837" w:type="dxa"/>
            <w:vAlign w:val="center"/>
          </w:tcPr>
          <w:p w:rsidR="00435C08" w:rsidRPr="00BE2C60" w:rsidRDefault="00435C08" w:rsidP="0081083E">
            <w:pPr>
              <w:adjustRightInd w:val="0"/>
              <w:spacing w:before="20"/>
              <w:jc w:val="right"/>
              <w:rPr>
                <w:color w:val="000000"/>
                <w:sz w:val="16"/>
                <w:szCs w:val="16"/>
              </w:rPr>
            </w:pPr>
          </w:p>
        </w:tc>
        <w:tc>
          <w:tcPr>
            <w:tcW w:w="850" w:type="dxa"/>
            <w:vAlign w:val="center"/>
          </w:tcPr>
          <w:p w:rsidR="00435C08" w:rsidRPr="00BE2C60" w:rsidRDefault="00435C08" w:rsidP="0081083E">
            <w:pPr>
              <w:adjustRightInd w:val="0"/>
              <w:spacing w:before="20"/>
              <w:jc w:val="right"/>
              <w:rPr>
                <w:color w:val="000000"/>
                <w:sz w:val="16"/>
                <w:szCs w:val="16"/>
              </w:rPr>
            </w:pP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6.</w:t>
            </w:r>
            <w:r w:rsidRPr="00BE2C60">
              <w:rPr>
                <w:color w:val="000000"/>
                <w:sz w:val="16"/>
                <w:szCs w:val="16"/>
              </w:rPr>
              <w:t>6</w:t>
            </w:r>
          </w:p>
        </w:tc>
        <w:tc>
          <w:tcPr>
            <w:tcW w:w="850" w:type="dxa"/>
            <w:vAlign w:val="center"/>
          </w:tcPr>
          <w:p w:rsidR="00435C08" w:rsidRPr="00BE2C60" w:rsidRDefault="00435C08" w:rsidP="0081083E">
            <w:pPr>
              <w:adjustRightInd w:val="0"/>
              <w:spacing w:before="20"/>
              <w:jc w:val="right"/>
              <w:rPr>
                <w:color w:val="000000"/>
                <w:sz w:val="16"/>
                <w:szCs w:val="16"/>
              </w:rPr>
            </w:pPr>
            <w:r w:rsidRPr="00BE2C60">
              <w:rPr>
                <w:color w:val="000000"/>
                <w:sz w:val="16"/>
                <w:szCs w:val="16"/>
              </w:rPr>
              <w:t>1.00</w:t>
            </w: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D347DF" w:rsidRPr="009B1415" w:rsidTr="00E05935">
        <w:tc>
          <w:tcPr>
            <w:tcW w:w="3800" w:type="dxa"/>
            <w:tcBorders>
              <w:bottom w:val="single" w:sz="4" w:space="0" w:color="auto"/>
            </w:tcBorders>
          </w:tcPr>
          <w:p w:rsidR="00D347DF" w:rsidRPr="009B1415" w:rsidRDefault="00D347DF" w:rsidP="00435C08">
            <w:pPr>
              <w:spacing w:before="20"/>
              <w:ind w:left="176"/>
              <w:jc w:val="both"/>
              <w:rPr>
                <w:sz w:val="16"/>
                <w:szCs w:val="16"/>
              </w:rPr>
            </w:pPr>
            <w:r w:rsidRPr="009B1415">
              <w:rPr>
                <w:sz w:val="16"/>
                <w:szCs w:val="16"/>
              </w:rPr>
              <w:t>Yes</w:t>
            </w:r>
          </w:p>
        </w:tc>
        <w:tc>
          <w:tcPr>
            <w:tcW w:w="1837" w:type="dxa"/>
            <w:tcBorders>
              <w:bottom w:val="single" w:sz="4" w:space="0" w:color="auto"/>
            </w:tcBorders>
            <w:vAlign w:val="center"/>
          </w:tcPr>
          <w:p w:rsidR="00D347DF" w:rsidRPr="00BE2C60" w:rsidRDefault="00D347DF" w:rsidP="0081083E">
            <w:pPr>
              <w:adjustRightInd w:val="0"/>
              <w:spacing w:before="20"/>
              <w:jc w:val="right"/>
              <w:rPr>
                <w:color w:val="000000"/>
                <w:sz w:val="16"/>
                <w:szCs w:val="16"/>
              </w:rPr>
            </w:pPr>
            <w:r>
              <w:rPr>
                <w:color w:val="000000"/>
                <w:sz w:val="16"/>
                <w:szCs w:val="16"/>
              </w:rPr>
              <w:t>1.7</w:t>
            </w:r>
          </w:p>
        </w:tc>
        <w:tc>
          <w:tcPr>
            <w:tcW w:w="850" w:type="dxa"/>
            <w:tcBorders>
              <w:bottom w:val="single" w:sz="4" w:space="0" w:color="auto"/>
            </w:tcBorders>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0.24</w:t>
            </w:r>
          </w:p>
        </w:tc>
        <w:tc>
          <w:tcPr>
            <w:tcW w:w="1234" w:type="dxa"/>
            <w:gridSpan w:val="2"/>
            <w:tcBorders>
              <w:bottom w:val="single" w:sz="4" w:space="0" w:color="auto"/>
            </w:tcBorders>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0.07</w:t>
            </w:r>
            <w:r w:rsidR="00D347DF">
              <w:rPr>
                <w:color w:val="000000"/>
                <w:sz w:val="16"/>
                <w:szCs w:val="16"/>
              </w:rPr>
              <w:t xml:space="preserve"> - </w:t>
            </w:r>
            <w:r w:rsidR="00D347DF" w:rsidRPr="00BE2C60">
              <w:rPr>
                <w:color w:val="000000"/>
                <w:sz w:val="16"/>
                <w:szCs w:val="16"/>
              </w:rPr>
              <w:t>0.82</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0.02</w:t>
            </w:r>
          </w:p>
        </w:tc>
      </w:tr>
      <w:tr w:rsidR="00435C08" w:rsidRPr="009B1415" w:rsidTr="00E05935">
        <w:tc>
          <w:tcPr>
            <w:tcW w:w="3800" w:type="dxa"/>
            <w:tcBorders>
              <w:top w:val="single" w:sz="4" w:space="0" w:color="auto"/>
            </w:tcBorders>
            <w:vAlign w:val="bottom"/>
          </w:tcPr>
          <w:p w:rsidR="00435C08" w:rsidRPr="009B1415" w:rsidRDefault="00435C08" w:rsidP="00985F5E">
            <w:pPr>
              <w:keepNext/>
              <w:keepLines/>
              <w:spacing w:before="20"/>
              <w:jc w:val="both"/>
              <w:rPr>
                <w:b/>
                <w:sz w:val="16"/>
                <w:szCs w:val="16"/>
              </w:rPr>
            </w:pPr>
            <w:r w:rsidRPr="009B1415">
              <w:rPr>
                <w:b/>
                <w:sz w:val="16"/>
                <w:szCs w:val="16"/>
              </w:rPr>
              <w:lastRenderedPageBreak/>
              <w:t>Keno overall - annual</w:t>
            </w:r>
          </w:p>
        </w:tc>
        <w:tc>
          <w:tcPr>
            <w:tcW w:w="1837" w:type="dxa"/>
            <w:tcBorders>
              <w:top w:val="single" w:sz="4" w:space="0" w:color="auto"/>
            </w:tcBorders>
            <w:vAlign w:val="center"/>
          </w:tcPr>
          <w:p w:rsidR="00435C08" w:rsidRPr="00CB35E8" w:rsidRDefault="00435C08" w:rsidP="00985F5E">
            <w:pPr>
              <w:keepNext/>
              <w:keepLines/>
              <w:adjustRightInd w:val="0"/>
              <w:spacing w:before="20"/>
              <w:jc w:val="right"/>
              <w:rPr>
                <w:color w:val="000000"/>
                <w:sz w:val="16"/>
                <w:szCs w:val="16"/>
              </w:rPr>
            </w:pPr>
          </w:p>
        </w:tc>
        <w:tc>
          <w:tcPr>
            <w:tcW w:w="850" w:type="dxa"/>
            <w:tcBorders>
              <w:top w:val="single" w:sz="4" w:space="0" w:color="auto"/>
            </w:tcBorders>
            <w:vAlign w:val="center"/>
          </w:tcPr>
          <w:p w:rsidR="00435C08" w:rsidRPr="00CB35E8" w:rsidRDefault="00435C08" w:rsidP="00985F5E">
            <w:pPr>
              <w:keepNext/>
              <w:keepLines/>
              <w:adjustRightInd w:val="0"/>
              <w:spacing w:before="20"/>
              <w:jc w:val="right"/>
              <w:rPr>
                <w:color w:val="000000"/>
                <w:sz w:val="16"/>
                <w:szCs w:val="16"/>
              </w:rPr>
            </w:pPr>
          </w:p>
        </w:tc>
        <w:tc>
          <w:tcPr>
            <w:tcW w:w="992" w:type="dxa"/>
            <w:tcBorders>
              <w:top w:val="single" w:sz="4" w:space="0" w:color="auto"/>
            </w:tcBorders>
            <w:vAlign w:val="center"/>
          </w:tcPr>
          <w:p w:rsidR="00435C08" w:rsidRPr="00CB35E8" w:rsidRDefault="00435C08" w:rsidP="00985F5E">
            <w:pPr>
              <w:keepNext/>
              <w:keepLines/>
              <w:adjustRightInd w:val="0"/>
              <w:spacing w:before="20"/>
              <w:jc w:val="right"/>
              <w:rPr>
                <w:color w:val="000000"/>
                <w:sz w:val="16"/>
                <w:szCs w:val="16"/>
              </w:rPr>
            </w:pPr>
          </w:p>
        </w:tc>
        <w:tc>
          <w:tcPr>
            <w:tcW w:w="242" w:type="dxa"/>
            <w:tcBorders>
              <w:top w:val="single" w:sz="4" w:space="0" w:color="auto"/>
            </w:tcBorders>
            <w:vAlign w:val="center"/>
          </w:tcPr>
          <w:p w:rsidR="00435C08" w:rsidRPr="00CB35E8" w:rsidRDefault="00435C08" w:rsidP="00985F5E">
            <w:pPr>
              <w:keepNext/>
              <w:keepLines/>
              <w:adjustRightInd w:val="0"/>
              <w:spacing w:before="20"/>
              <w:jc w:val="right"/>
              <w:rPr>
                <w:color w:val="000000"/>
                <w:sz w:val="16"/>
                <w:szCs w:val="16"/>
              </w:rPr>
            </w:pPr>
          </w:p>
        </w:tc>
        <w:tc>
          <w:tcPr>
            <w:tcW w:w="747" w:type="dxa"/>
            <w:tcBorders>
              <w:top w:val="single" w:sz="4" w:space="0" w:color="auto"/>
            </w:tcBorders>
            <w:vAlign w:val="center"/>
          </w:tcPr>
          <w:p w:rsidR="00435C08" w:rsidRPr="00CB35E8" w:rsidRDefault="00435C08" w:rsidP="00985F5E">
            <w:pPr>
              <w:keepNext/>
              <w:keepLines/>
              <w:adjustRightInd w:val="0"/>
              <w:spacing w:before="20"/>
              <w:jc w:val="right"/>
              <w:rPr>
                <w:color w:val="000000"/>
                <w:sz w:val="16"/>
                <w:szCs w:val="16"/>
              </w:rPr>
            </w:pPr>
          </w:p>
        </w:tc>
      </w:tr>
      <w:tr w:rsidR="00435C08" w:rsidRPr="009B1415" w:rsidTr="00E05935">
        <w:tc>
          <w:tcPr>
            <w:tcW w:w="3800" w:type="dxa"/>
          </w:tcPr>
          <w:p w:rsidR="00435C08" w:rsidRPr="009B1415" w:rsidRDefault="00435C08" w:rsidP="00985F5E">
            <w:pPr>
              <w:keepNext/>
              <w:keepLines/>
              <w:spacing w:before="20"/>
              <w:ind w:left="176"/>
              <w:jc w:val="both"/>
              <w:rPr>
                <w:sz w:val="16"/>
                <w:szCs w:val="16"/>
              </w:rPr>
            </w:pPr>
            <w:r w:rsidRPr="009B1415">
              <w:rPr>
                <w:sz w:val="16"/>
                <w:szCs w:val="16"/>
              </w:rPr>
              <w:t>No</w:t>
            </w:r>
          </w:p>
        </w:tc>
        <w:tc>
          <w:tcPr>
            <w:tcW w:w="1837" w:type="dxa"/>
            <w:vAlign w:val="center"/>
          </w:tcPr>
          <w:p w:rsidR="00435C08" w:rsidRPr="00BE2C60" w:rsidRDefault="00435C08" w:rsidP="00985F5E">
            <w:pPr>
              <w:keepNext/>
              <w:keepLines/>
              <w:adjustRightInd w:val="0"/>
              <w:spacing w:before="20"/>
              <w:jc w:val="right"/>
              <w:rPr>
                <w:color w:val="000000"/>
                <w:sz w:val="16"/>
                <w:szCs w:val="16"/>
              </w:rPr>
            </w:pPr>
            <w:r>
              <w:rPr>
                <w:color w:val="000000"/>
                <w:sz w:val="16"/>
                <w:szCs w:val="16"/>
              </w:rPr>
              <w:t>6.1</w:t>
            </w:r>
          </w:p>
        </w:tc>
        <w:tc>
          <w:tcPr>
            <w:tcW w:w="850" w:type="dxa"/>
            <w:vAlign w:val="center"/>
          </w:tcPr>
          <w:p w:rsidR="00435C08" w:rsidRPr="00BE2C60" w:rsidRDefault="00435C08" w:rsidP="00985F5E">
            <w:pPr>
              <w:keepNext/>
              <w:keepLines/>
              <w:adjustRightInd w:val="0"/>
              <w:spacing w:before="20"/>
              <w:jc w:val="right"/>
              <w:rPr>
                <w:color w:val="000000"/>
                <w:sz w:val="16"/>
                <w:szCs w:val="16"/>
              </w:rPr>
            </w:pPr>
            <w:r>
              <w:rPr>
                <w:color w:val="000000"/>
                <w:sz w:val="16"/>
                <w:szCs w:val="16"/>
              </w:rPr>
              <w:t>1.00</w:t>
            </w:r>
          </w:p>
        </w:tc>
        <w:tc>
          <w:tcPr>
            <w:tcW w:w="992" w:type="dxa"/>
            <w:vAlign w:val="center"/>
          </w:tcPr>
          <w:p w:rsidR="00435C08" w:rsidRPr="00BE2C60" w:rsidRDefault="00435C08" w:rsidP="00985F5E">
            <w:pPr>
              <w:keepNext/>
              <w:keepLines/>
              <w:adjustRightInd w:val="0"/>
              <w:spacing w:before="20"/>
              <w:jc w:val="right"/>
              <w:rPr>
                <w:color w:val="000000"/>
                <w:sz w:val="16"/>
                <w:szCs w:val="16"/>
              </w:rPr>
            </w:pPr>
          </w:p>
        </w:tc>
        <w:tc>
          <w:tcPr>
            <w:tcW w:w="242" w:type="dxa"/>
            <w:vAlign w:val="center"/>
          </w:tcPr>
          <w:p w:rsidR="00435C08" w:rsidRPr="00BE2C60" w:rsidRDefault="00435C08" w:rsidP="00985F5E">
            <w:pPr>
              <w:keepNext/>
              <w:keepLines/>
              <w:adjustRightInd w:val="0"/>
              <w:spacing w:before="20"/>
              <w:jc w:val="right"/>
              <w:rPr>
                <w:color w:val="000000"/>
                <w:sz w:val="16"/>
                <w:szCs w:val="16"/>
              </w:rPr>
            </w:pPr>
          </w:p>
        </w:tc>
        <w:tc>
          <w:tcPr>
            <w:tcW w:w="747" w:type="dxa"/>
            <w:vAlign w:val="center"/>
          </w:tcPr>
          <w:p w:rsidR="00435C08" w:rsidRPr="00BE2C60" w:rsidRDefault="00435C08" w:rsidP="00985F5E">
            <w:pPr>
              <w:keepNext/>
              <w:keepLines/>
              <w:adjustRightInd w:val="0"/>
              <w:spacing w:before="20"/>
              <w:jc w:val="right"/>
              <w:rPr>
                <w:color w:val="000000"/>
                <w:sz w:val="16"/>
                <w:szCs w:val="16"/>
              </w:rPr>
            </w:pPr>
          </w:p>
        </w:tc>
      </w:tr>
      <w:tr w:rsidR="00D347DF" w:rsidRPr="009B1415" w:rsidTr="00E05935">
        <w:tc>
          <w:tcPr>
            <w:tcW w:w="3800" w:type="dxa"/>
          </w:tcPr>
          <w:p w:rsidR="00D347DF" w:rsidRPr="009B1415" w:rsidRDefault="00D347DF" w:rsidP="00985F5E">
            <w:pPr>
              <w:keepNext/>
              <w:keepLines/>
              <w:spacing w:before="20"/>
              <w:ind w:left="176"/>
              <w:jc w:val="both"/>
              <w:rPr>
                <w:sz w:val="16"/>
                <w:szCs w:val="16"/>
              </w:rPr>
            </w:pPr>
            <w:r w:rsidRPr="009B1415">
              <w:rPr>
                <w:sz w:val="16"/>
                <w:szCs w:val="16"/>
              </w:rPr>
              <w:t>Yes</w:t>
            </w:r>
          </w:p>
        </w:tc>
        <w:tc>
          <w:tcPr>
            <w:tcW w:w="1837" w:type="dxa"/>
            <w:vAlign w:val="center"/>
          </w:tcPr>
          <w:p w:rsidR="00D347DF" w:rsidRPr="00BE2C60" w:rsidRDefault="00D347DF" w:rsidP="00985F5E">
            <w:pPr>
              <w:keepNext/>
              <w:keepLines/>
              <w:adjustRightInd w:val="0"/>
              <w:spacing w:before="20"/>
              <w:jc w:val="right"/>
              <w:rPr>
                <w:color w:val="000000"/>
                <w:sz w:val="16"/>
                <w:szCs w:val="16"/>
              </w:rPr>
            </w:pPr>
            <w:r>
              <w:rPr>
                <w:color w:val="000000"/>
                <w:sz w:val="16"/>
                <w:szCs w:val="16"/>
              </w:rPr>
              <w:t>15.1</w:t>
            </w:r>
          </w:p>
        </w:tc>
        <w:tc>
          <w:tcPr>
            <w:tcW w:w="850" w:type="dxa"/>
            <w:vAlign w:val="center"/>
          </w:tcPr>
          <w:p w:rsidR="00D347DF" w:rsidRPr="00BE2C60" w:rsidRDefault="00D347DF" w:rsidP="00985F5E">
            <w:pPr>
              <w:keepNext/>
              <w:keepLines/>
              <w:adjustRightInd w:val="0"/>
              <w:spacing w:before="20"/>
              <w:jc w:val="right"/>
              <w:rPr>
                <w:color w:val="000000"/>
                <w:sz w:val="16"/>
                <w:szCs w:val="16"/>
              </w:rPr>
            </w:pPr>
            <w:r w:rsidRPr="00BE2C60">
              <w:rPr>
                <w:color w:val="000000"/>
                <w:sz w:val="16"/>
                <w:szCs w:val="16"/>
              </w:rPr>
              <w:t>2.73</w:t>
            </w:r>
          </w:p>
        </w:tc>
        <w:tc>
          <w:tcPr>
            <w:tcW w:w="1234" w:type="dxa"/>
            <w:gridSpan w:val="2"/>
            <w:vAlign w:val="center"/>
          </w:tcPr>
          <w:p w:rsidR="00D347DF" w:rsidRPr="00BE2C60" w:rsidRDefault="00085C0C" w:rsidP="00985F5E">
            <w:pPr>
              <w:keepNext/>
              <w:keepLines/>
              <w:adjustRightInd w:val="0"/>
              <w:spacing w:before="20"/>
              <w:jc w:val="right"/>
              <w:rPr>
                <w:color w:val="000000"/>
                <w:sz w:val="16"/>
                <w:szCs w:val="16"/>
              </w:rPr>
            </w:pPr>
            <w:r>
              <w:rPr>
                <w:color w:val="000000"/>
                <w:sz w:val="16"/>
                <w:szCs w:val="16"/>
              </w:rPr>
              <w:t>(</w:t>
            </w:r>
            <w:r w:rsidR="00D347DF" w:rsidRPr="00BE2C60">
              <w:rPr>
                <w:color w:val="000000"/>
                <w:sz w:val="16"/>
                <w:szCs w:val="16"/>
              </w:rPr>
              <w:t>1.45</w:t>
            </w:r>
            <w:r w:rsidR="00D347DF">
              <w:rPr>
                <w:color w:val="000000"/>
                <w:sz w:val="16"/>
                <w:szCs w:val="16"/>
              </w:rPr>
              <w:t xml:space="preserve"> - </w:t>
            </w:r>
            <w:r w:rsidR="00D347DF" w:rsidRPr="00BE2C60">
              <w:rPr>
                <w:color w:val="000000"/>
                <w:sz w:val="16"/>
                <w:szCs w:val="16"/>
              </w:rPr>
              <w:t>5.17</w:t>
            </w:r>
            <w:r>
              <w:rPr>
                <w:color w:val="000000"/>
                <w:sz w:val="16"/>
                <w:szCs w:val="16"/>
              </w:rPr>
              <w:t>)</w:t>
            </w:r>
          </w:p>
        </w:tc>
        <w:tc>
          <w:tcPr>
            <w:tcW w:w="747" w:type="dxa"/>
            <w:shd w:val="clear" w:color="auto" w:fill="D9D9D9" w:themeFill="background1" w:themeFillShade="D9"/>
            <w:vAlign w:val="center"/>
          </w:tcPr>
          <w:p w:rsidR="00D347DF" w:rsidRPr="00BE2C60" w:rsidRDefault="00D347DF" w:rsidP="00985F5E">
            <w:pPr>
              <w:keepNext/>
              <w:keepLines/>
              <w:adjustRightInd w:val="0"/>
              <w:spacing w:before="20"/>
              <w:jc w:val="right"/>
              <w:rPr>
                <w:color w:val="000000"/>
                <w:sz w:val="16"/>
                <w:szCs w:val="16"/>
              </w:rPr>
            </w:pPr>
            <w:r w:rsidRPr="00BE2C60">
              <w:rPr>
                <w:color w:val="000000"/>
                <w:sz w:val="16"/>
                <w:szCs w:val="16"/>
              </w:rPr>
              <w:t>0.002</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Instant Kiwi/other scratch tickets - annual</w:t>
            </w:r>
          </w:p>
        </w:tc>
        <w:tc>
          <w:tcPr>
            <w:tcW w:w="1837" w:type="dxa"/>
            <w:vAlign w:val="center"/>
          </w:tcPr>
          <w:p w:rsidR="00435C08" w:rsidRPr="00BE2C60" w:rsidRDefault="00435C08" w:rsidP="0081083E">
            <w:pPr>
              <w:adjustRightInd w:val="0"/>
              <w:spacing w:before="20"/>
              <w:jc w:val="right"/>
              <w:rPr>
                <w:color w:val="000000"/>
                <w:sz w:val="16"/>
                <w:szCs w:val="16"/>
              </w:rPr>
            </w:pPr>
          </w:p>
        </w:tc>
        <w:tc>
          <w:tcPr>
            <w:tcW w:w="850" w:type="dxa"/>
            <w:vAlign w:val="center"/>
          </w:tcPr>
          <w:p w:rsidR="00435C08" w:rsidRPr="00BE2C60" w:rsidRDefault="00435C08" w:rsidP="0081083E">
            <w:pPr>
              <w:adjustRightInd w:val="0"/>
              <w:spacing w:before="20"/>
              <w:jc w:val="right"/>
              <w:rPr>
                <w:color w:val="000000"/>
                <w:sz w:val="16"/>
                <w:szCs w:val="16"/>
              </w:rPr>
            </w:pP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5.3</w:t>
            </w:r>
          </w:p>
        </w:tc>
        <w:tc>
          <w:tcPr>
            <w:tcW w:w="850"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1.00</w:t>
            </w: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BE2C60" w:rsidRDefault="00D347DF" w:rsidP="0081083E">
            <w:pPr>
              <w:adjustRightInd w:val="0"/>
              <w:spacing w:before="20"/>
              <w:jc w:val="right"/>
              <w:rPr>
                <w:color w:val="000000"/>
                <w:sz w:val="16"/>
                <w:szCs w:val="16"/>
              </w:rPr>
            </w:pPr>
            <w:r>
              <w:rPr>
                <w:color w:val="000000"/>
                <w:sz w:val="16"/>
                <w:szCs w:val="16"/>
              </w:rPr>
              <w:t>8.0</w:t>
            </w:r>
          </w:p>
        </w:tc>
        <w:tc>
          <w:tcPr>
            <w:tcW w:w="850" w:type="dxa"/>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1.56</w:t>
            </w:r>
          </w:p>
        </w:tc>
        <w:tc>
          <w:tcPr>
            <w:tcW w:w="1234" w:type="dxa"/>
            <w:gridSpan w:val="2"/>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1.09</w:t>
            </w:r>
            <w:r w:rsidR="00D347DF">
              <w:rPr>
                <w:color w:val="000000"/>
                <w:sz w:val="16"/>
                <w:szCs w:val="16"/>
              </w:rPr>
              <w:t xml:space="preserve"> - </w:t>
            </w:r>
            <w:r w:rsidR="00D347DF" w:rsidRPr="00BE2C60">
              <w:rPr>
                <w:color w:val="000000"/>
                <w:sz w:val="16"/>
                <w:szCs w:val="16"/>
              </w:rPr>
              <w:t>2.24</w:t>
            </w:r>
            <w:r>
              <w:rPr>
                <w:color w:val="000000"/>
                <w:sz w:val="16"/>
                <w:szCs w:val="16"/>
              </w:rPr>
              <w:t>)</w:t>
            </w:r>
          </w:p>
        </w:tc>
        <w:tc>
          <w:tcPr>
            <w:tcW w:w="747" w:type="dxa"/>
            <w:shd w:val="clear" w:color="auto" w:fill="D9D9D9" w:themeFill="background1" w:themeFillShade="D9"/>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Housie or bingo - annual</w:t>
            </w:r>
          </w:p>
        </w:tc>
        <w:tc>
          <w:tcPr>
            <w:tcW w:w="1837" w:type="dxa"/>
            <w:vAlign w:val="center"/>
          </w:tcPr>
          <w:p w:rsidR="00435C08" w:rsidRPr="00BE2C60" w:rsidRDefault="00435C08" w:rsidP="0081083E">
            <w:pPr>
              <w:adjustRightInd w:val="0"/>
              <w:spacing w:before="20"/>
              <w:jc w:val="right"/>
              <w:rPr>
                <w:color w:val="000000"/>
                <w:sz w:val="16"/>
                <w:szCs w:val="16"/>
              </w:rPr>
            </w:pPr>
          </w:p>
        </w:tc>
        <w:tc>
          <w:tcPr>
            <w:tcW w:w="850" w:type="dxa"/>
            <w:vAlign w:val="center"/>
          </w:tcPr>
          <w:p w:rsidR="00435C08" w:rsidRPr="00BE2C60" w:rsidRDefault="00435C08" w:rsidP="0081083E">
            <w:pPr>
              <w:adjustRightInd w:val="0"/>
              <w:spacing w:before="20"/>
              <w:jc w:val="right"/>
              <w:rPr>
                <w:color w:val="000000"/>
                <w:sz w:val="16"/>
                <w:szCs w:val="16"/>
              </w:rPr>
            </w:pP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6.3</w:t>
            </w:r>
          </w:p>
        </w:tc>
        <w:tc>
          <w:tcPr>
            <w:tcW w:w="850"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1.00</w:t>
            </w: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BE2C60" w:rsidRDefault="00D347DF" w:rsidP="0081083E">
            <w:pPr>
              <w:adjustRightInd w:val="0"/>
              <w:spacing w:before="20"/>
              <w:jc w:val="right"/>
              <w:rPr>
                <w:color w:val="000000"/>
                <w:sz w:val="16"/>
                <w:szCs w:val="16"/>
              </w:rPr>
            </w:pPr>
            <w:r>
              <w:rPr>
                <w:color w:val="000000"/>
                <w:sz w:val="16"/>
                <w:szCs w:val="16"/>
              </w:rPr>
              <w:t>15.4</w:t>
            </w:r>
          </w:p>
        </w:tc>
        <w:tc>
          <w:tcPr>
            <w:tcW w:w="850" w:type="dxa"/>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2.73</w:t>
            </w:r>
          </w:p>
        </w:tc>
        <w:tc>
          <w:tcPr>
            <w:tcW w:w="1234" w:type="dxa"/>
            <w:gridSpan w:val="2"/>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1.22</w:t>
            </w:r>
            <w:r w:rsidR="00D347DF">
              <w:rPr>
                <w:color w:val="000000"/>
                <w:sz w:val="16"/>
                <w:szCs w:val="16"/>
              </w:rPr>
              <w:t xml:space="preserve"> - </w:t>
            </w:r>
            <w:r w:rsidR="00D347DF" w:rsidRPr="00BE2C60">
              <w:rPr>
                <w:color w:val="000000"/>
                <w:sz w:val="16"/>
                <w:szCs w:val="16"/>
              </w:rPr>
              <w:t>6.11</w:t>
            </w:r>
            <w:r>
              <w:rPr>
                <w:color w:val="000000"/>
                <w:sz w:val="16"/>
                <w:szCs w:val="16"/>
              </w:rPr>
              <w:t>)</w:t>
            </w:r>
          </w:p>
        </w:tc>
        <w:tc>
          <w:tcPr>
            <w:tcW w:w="747" w:type="dxa"/>
            <w:shd w:val="clear" w:color="auto" w:fill="D9D9D9" w:themeFill="background1" w:themeFillShade="D9"/>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Horse/dog race betting - annual</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6.0</w:t>
            </w:r>
          </w:p>
        </w:tc>
        <w:tc>
          <w:tcPr>
            <w:tcW w:w="850"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1.00</w:t>
            </w:r>
          </w:p>
        </w:tc>
        <w:tc>
          <w:tcPr>
            <w:tcW w:w="992" w:type="dxa"/>
            <w:vAlign w:val="center"/>
          </w:tcPr>
          <w:p w:rsidR="00435C08" w:rsidRPr="00BE2C60" w:rsidRDefault="00435C08" w:rsidP="0081083E">
            <w:pPr>
              <w:adjustRightInd w:val="0"/>
              <w:spacing w:before="20"/>
              <w:jc w:val="right"/>
              <w:rPr>
                <w:color w:val="000000"/>
                <w:sz w:val="16"/>
                <w:szCs w:val="16"/>
              </w:rPr>
            </w:pPr>
          </w:p>
        </w:tc>
        <w:tc>
          <w:tcPr>
            <w:tcW w:w="242" w:type="dxa"/>
            <w:vAlign w:val="center"/>
          </w:tcPr>
          <w:p w:rsidR="00435C08" w:rsidRPr="00BE2C60" w:rsidRDefault="00435C08" w:rsidP="0081083E">
            <w:pPr>
              <w:adjustRightInd w:val="0"/>
              <w:spacing w:before="20"/>
              <w:jc w:val="right"/>
              <w:rPr>
                <w:color w:val="000000"/>
                <w:sz w:val="16"/>
                <w:szCs w:val="16"/>
              </w:rPr>
            </w:pPr>
          </w:p>
        </w:tc>
        <w:tc>
          <w:tcPr>
            <w:tcW w:w="747" w:type="dxa"/>
            <w:vAlign w:val="center"/>
          </w:tcPr>
          <w:p w:rsidR="00435C08" w:rsidRPr="00BE2C60"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BE2C60" w:rsidRDefault="00D347DF" w:rsidP="0081083E">
            <w:pPr>
              <w:adjustRightInd w:val="0"/>
              <w:spacing w:before="20"/>
              <w:jc w:val="right"/>
              <w:rPr>
                <w:color w:val="000000"/>
                <w:sz w:val="16"/>
                <w:szCs w:val="16"/>
              </w:rPr>
            </w:pPr>
            <w:r>
              <w:rPr>
                <w:color w:val="000000"/>
                <w:sz w:val="16"/>
                <w:szCs w:val="16"/>
              </w:rPr>
              <w:t>12.</w:t>
            </w:r>
            <w:r w:rsidRPr="00BE2C60">
              <w:rPr>
                <w:color w:val="000000"/>
                <w:sz w:val="16"/>
                <w:szCs w:val="16"/>
              </w:rPr>
              <w:t>8</w:t>
            </w:r>
          </w:p>
        </w:tc>
        <w:tc>
          <w:tcPr>
            <w:tcW w:w="850" w:type="dxa"/>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2.31</w:t>
            </w:r>
          </w:p>
        </w:tc>
        <w:tc>
          <w:tcPr>
            <w:tcW w:w="1234" w:type="dxa"/>
            <w:gridSpan w:val="2"/>
            <w:vAlign w:val="center"/>
          </w:tcPr>
          <w:p w:rsidR="00D347DF" w:rsidRPr="00BE2C60" w:rsidRDefault="00085C0C" w:rsidP="00D347DF">
            <w:pPr>
              <w:adjustRightInd w:val="0"/>
              <w:spacing w:before="20"/>
              <w:jc w:val="right"/>
              <w:rPr>
                <w:color w:val="000000"/>
                <w:sz w:val="16"/>
                <w:szCs w:val="16"/>
              </w:rPr>
            </w:pPr>
            <w:r>
              <w:rPr>
                <w:color w:val="000000"/>
                <w:sz w:val="16"/>
                <w:szCs w:val="16"/>
              </w:rPr>
              <w:t>(</w:t>
            </w:r>
            <w:r w:rsidR="00D347DF" w:rsidRPr="00BE2C60">
              <w:rPr>
                <w:color w:val="000000"/>
                <w:sz w:val="16"/>
                <w:szCs w:val="16"/>
              </w:rPr>
              <w:t>1.31</w:t>
            </w:r>
            <w:r w:rsidR="00D347DF">
              <w:rPr>
                <w:color w:val="000000"/>
                <w:sz w:val="16"/>
                <w:szCs w:val="16"/>
              </w:rPr>
              <w:t xml:space="preserve"> - </w:t>
            </w:r>
            <w:r w:rsidR="00D347DF" w:rsidRPr="00BE2C60">
              <w:rPr>
                <w:color w:val="000000"/>
                <w:sz w:val="16"/>
                <w:szCs w:val="16"/>
              </w:rPr>
              <w:t>4.09</w:t>
            </w:r>
            <w:r>
              <w:rPr>
                <w:color w:val="000000"/>
                <w:sz w:val="16"/>
                <w:szCs w:val="16"/>
              </w:rPr>
              <w:t>)</w:t>
            </w:r>
          </w:p>
        </w:tc>
        <w:tc>
          <w:tcPr>
            <w:tcW w:w="747" w:type="dxa"/>
            <w:shd w:val="clear" w:color="auto" w:fill="D9D9D9" w:themeFill="background1" w:themeFillShade="D9"/>
            <w:vAlign w:val="center"/>
          </w:tcPr>
          <w:p w:rsidR="00D347DF" w:rsidRPr="00BE2C60" w:rsidRDefault="00D347DF" w:rsidP="0081083E">
            <w:pPr>
              <w:adjustRightInd w:val="0"/>
              <w:spacing w:before="20"/>
              <w:jc w:val="right"/>
              <w:rPr>
                <w:color w:val="000000"/>
                <w:sz w:val="16"/>
                <w:szCs w:val="16"/>
              </w:rPr>
            </w:pPr>
            <w:r w:rsidRPr="00BE2C60">
              <w:rPr>
                <w:color w:val="000000"/>
                <w:sz w:val="16"/>
                <w:szCs w:val="16"/>
              </w:rPr>
              <w:t>0.004</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Sports betting - annual</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6.1</w:t>
            </w:r>
          </w:p>
        </w:tc>
        <w:tc>
          <w:tcPr>
            <w:tcW w:w="850" w:type="dxa"/>
            <w:vAlign w:val="center"/>
          </w:tcPr>
          <w:p w:rsidR="00435C08" w:rsidRPr="00BE2C60" w:rsidRDefault="00435C08" w:rsidP="0081083E">
            <w:pPr>
              <w:adjustRightInd w:val="0"/>
              <w:spacing w:before="20"/>
              <w:jc w:val="right"/>
              <w:rPr>
                <w:color w:val="000000"/>
                <w:sz w:val="16"/>
                <w:szCs w:val="16"/>
              </w:rPr>
            </w:pPr>
            <w:r>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12.4</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2.17</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1.08</w:t>
            </w:r>
            <w:r w:rsidR="00D347DF">
              <w:rPr>
                <w:color w:val="000000"/>
                <w:sz w:val="16"/>
                <w:szCs w:val="16"/>
              </w:rPr>
              <w:t xml:space="preserve"> - </w:t>
            </w:r>
            <w:r w:rsidR="00D347DF" w:rsidRPr="00C55321">
              <w:rPr>
                <w:color w:val="000000"/>
                <w:sz w:val="16"/>
                <w:szCs w:val="16"/>
              </w:rPr>
              <w:t>4.37</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0.03</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Casino table games or EGMs (NZ) - annual</w:t>
            </w:r>
          </w:p>
        </w:tc>
        <w:tc>
          <w:tcPr>
            <w:tcW w:w="1837" w:type="dxa"/>
            <w:vAlign w:val="center"/>
          </w:tcPr>
          <w:p w:rsidR="00435C08" w:rsidRPr="00DC2775" w:rsidRDefault="00435C08" w:rsidP="0081083E">
            <w:pPr>
              <w:adjustRightInd w:val="0"/>
              <w:spacing w:before="20"/>
              <w:jc w:val="right"/>
              <w:rPr>
                <w:color w:val="000000"/>
                <w:sz w:val="16"/>
                <w:szCs w:val="16"/>
              </w:rPr>
            </w:pPr>
          </w:p>
        </w:tc>
        <w:tc>
          <w:tcPr>
            <w:tcW w:w="850" w:type="dxa"/>
            <w:vAlign w:val="center"/>
          </w:tcPr>
          <w:p w:rsidR="00435C08" w:rsidRPr="00DC2775" w:rsidRDefault="00435C08" w:rsidP="0081083E">
            <w:pPr>
              <w:adjustRightInd w:val="0"/>
              <w:spacing w:before="20"/>
              <w:jc w:val="right"/>
              <w:rPr>
                <w:color w:val="000000"/>
                <w:sz w:val="16"/>
                <w:szCs w:val="16"/>
              </w:rPr>
            </w:pPr>
          </w:p>
        </w:tc>
        <w:tc>
          <w:tcPr>
            <w:tcW w:w="992" w:type="dxa"/>
            <w:vAlign w:val="center"/>
          </w:tcPr>
          <w:p w:rsidR="00435C08" w:rsidRPr="00DC2775" w:rsidRDefault="00435C08" w:rsidP="0081083E">
            <w:pPr>
              <w:adjustRightInd w:val="0"/>
              <w:spacing w:before="20"/>
              <w:jc w:val="right"/>
              <w:rPr>
                <w:color w:val="000000"/>
                <w:sz w:val="16"/>
                <w:szCs w:val="16"/>
              </w:rPr>
            </w:pPr>
          </w:p>
        </w:tc>
        <w:tc>
          <w:tcPr>
            <w:tcW w:w="242" w:type="dxa"/>
            <w:vAlign w:val="center"/>
          </w:tcPr>
          <w:p w:rsidR="00435C08" w:rsidRPr="00DC2775" w:rsidRDefault="00435C08" w:rsidP="0081083E">
            <w:pPr>
              <w:adjustRightInd w:val="0"/>
              <w:spacing w:before="20"/>
              <w:jc w:val="right"/>
              <w:rPr>
                <w:color w:val="000000"/>
                <w:sz w:val="16"/>
                <w:szCs w:val="16"/>
              </w:rPr>
            </w:pPr>
          </w:p>
        </w:tc>
        <w:tc>
          <w:tcPr>
            <w:tcW w:w="747" w:type="dxa"/>
            <w:vAlign w:val="center"/>
          </w:tcPr>
          <w:p w:rsidR="00435C08" w:rsidRPr="00DC2775"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5.7</w:t>
            </w:r>
          </w:p>
        </w:tc>
        <w:tc>
          <w:tcPr>
            <w:tcW w:w="850"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12.8</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2.42</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1.48</w:t>
            </w:r>
            <w:r w:rsidR="00D347DF">
              <w:rPr>
                <w:color w:val="000000"/>
                <w:sz w:val="16"/>
                <w:szCs w:val="16"/>
              </w:rPr>
              <w:t xml:space="preserve"> - </w:t>
            </w:r>
            <w:r w:rsidR="00D347DF" w:rsidRPr="00C55321">
              <w:rPr>
                <w:color w:val="000000"/>
                <w:sz w:val="16"/>
                <w:szCs w:val="16"/>
              </w:rPr>
              <w:t>3.95</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0.0004</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Casino table games (NZ) - annual</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6.1</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14.1</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2.52</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1.22</w:t>
            </w:r>
            <w:r w:rsidR="00D347DF">
              <w:rPr>
                <w:color w:val="000000"/>
                <w:sz w:val="16"/>
                <w:szCs w:val="16"/>
              </w:rPr>
              <w:t xml:space="preserve"> - </w:t>
            </w:r>
            <w:r w:rsidR="00D347DF" w:rsidRPr="00C55321">
              <w:rPr>
                <w:color w:val="000000"/>
                <w:sz w:val="16"/>
                <w:szCs w:val="16"/>
              </w:rPr>
              <w:t>5.22</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Casino EGMs (NZ) - annual</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5.8</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13.1</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2.47</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1.47</w:t>
            </w:r>
            <w:r w:rsidR="00D347DF">
              <w:rPr>
                <w:color w:val="000000"/>
                <w:sz w:val="16"/>
                <w:szCs w:val="16"/>
              </w:rPr>
              <w:t xml:space="preserve"> - </w:t>
            </w:r>
            <w:r w:rsidR="00D347DF" w:rsidRPr="00C55321">
              <w:rPr>
                <w:color w:val="000000"/>
                <w:sz w:val="16"/>
                <w:szCs w:val="16"/>
              </w:rPr>
              <w:t>4.13</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b/>
                <w:sz w:val="16"/>
                <w:szCs w:val="16"/>
              </w:rPr>
              <w:t>Pub EGMs - annual</w:t>
            </w:r>
          </w:p>
        </w:tc>
        <w:tc>
          <w:tcPr>
            <w:tcW w:w="1837" w:type="dxa"/>
            <w:vAlign w:val="center"/>
          </w:tcPr>
          <w:p w:rsidR="00435C08" w:rsidRPr="00C55321" w:rsidRDefault="00435C08" w:rsidP="00E9638E">
            <w:pPr>
              <w:adjustRightInd w:val="0"/>
              <w:spacing w:before="20"/>
              <w:jc w:val="right"/>
              <w:rPr>
                <w:color w:val="000000"/>
                <w:sz w:val="16"/>
                <w:szCs w:val="16"/>
              </w:rPr>
            </w:pPr>
          </w:p>
        </w:tc>
        <w:tc>
          <w:tcPr>
            <w:tcW w:w="850" w:type="dxa"/>
            <w:vAlign w:val="center"/>
          </w:tcPr>
          <w:p w:rsidR="00435C08" w:rsidRPr="00C55321" w:rsidRDefault="00435C08" w:rsidP="00E9638E">
            <w:pPr>
              <w:adjustRightInd w:val="0"/>
              <w:spacing w:before="20"/>
              <w:jc w:val="right"/>
              <w:rPr>
                <w:color w:val="000000"/>
                <w:sz w:val="16"/>
                <w:szCs w:val="16"/>
              </w:rPr>
            </w:pPr>
          </w:p>
        </w:tc>
        <w:tc>
          <w:tcPr>
            <w:tcW w:w="992" w:type="dxa"/>
            <w:vAlign w:val="center"/>
          </w:tcPr>
          <w:p w:rsidR="00435C08" w:rsidRPr="00C55321" w:rsidRDefault="00435C08" w:rsidP="00E9638E">
            <w:pPr>
              <w:adjustRightInd w:val="0"/>
              <w:spacing w:before="20"/>
              <w:jc w:val="right"/>
              <w:rPr>
                <w:color w:val="000000"/>
                <w:sz w:val="16"/>
                <w:szCs w:val="16"/>
              </w:rPr>
            </w:pPr>
          </w:p>
        </w:tc>
        <w:tc>
          <w:tcPr>
            <w:tcW w:w="242" w:type="dxa"/>
            <w:vAlign w:val="center"/>
          </w:tcPr>
          <w:p w:rsidR="00435C08" w:rsidRPr="00C55321" w:rsidRDefault="00435C08" w:rsidP="00E9638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E9638E">
            <w:pPr>
              <w:adjustRightInd w:val="0"/>
              <w:spacing w:before="20"/>
              <w:jc w:val="right"/>
              <w:rPr>
                <w:color w:val="000000"/>
                <w:sz w:val="16"/>
                <w:szCs w:val="16"/>
              </w:rPr>
            </w:pPr>
            <w:r>
              <w:rPr>
                <w:color w:val="000000"/>
                <w:sz w:val="16"/>
                <w:szCs w:val="16"/>
              </w:rPr>
              <w:t>4.9</w:t>
            </w:r>
          </w:p>
        </w:tc>
        <w:tc>
          <w:tcPr>
            <w:tcW w:w="850" w:type="dxa"/>
            <w:vAlign w:val="center"/>
          </w:tcPr>
          <w:p w:rsidR="00435C08" w:rsidRPr="00C55321" w:rsidRDefault="00435C08" w:rsidP="00E9638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E9638E">
            <w:pPr>
              <w:adjustRightInd w:val="0"/>
              <w:spacing w:before="20"/>
              <w:jc w:val="right"/>
              <w:rPr>
                <w:color w:val="000000"/>
                <w:sz w:val="16"/>
                <w:szCs w:val="16"/>
              </w:rPr>
            </w:pPr>
          </w:p>
        </w:tc>
        <w:tc>
          <w:tcPr>
            <w:tcW w:w="242" w:type="dxa"/>
            <w:vAlign w:val="center"/>
          </w:tcPr>
          <w:p w:rsidR="00435C08" w:rsidRPr="00C55321" w:rsidRDefault="00435C08" w:rsidP="00E9638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E9638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16.8</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3.89</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2.54</w:t>
            </w:r>
            <w:r w:rsidR="00D347DF">
              <w:rPr>
                <w:color w:val="000000"/>
                <w:sz w:val="16"/>
                <w:szCs w:val="16"/>
              </w:rPr>
              <w:t xml:space="preserve"> - </w:t>
            </w:r>
            <w:r w:rsidR="00D347DF" w:rsidRPr="00C55321">
              <w:rPr>
                <w:color w:val="000000"/>
                <w:sz w:val="16"/>
                <w:szCs w:val="16"/>
              </w:rPr>
              <w:t>5.96</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E9638E">
            <w:pPr>
              <w:keepNext/>
              <w:spacing w:before="20"/>
              <w:jc w:val="both"/>
              <w:rPr>
                <w:b/>
                <w:sz w:val="16"/>
                <w:szCs w:val="16"/>
              </w:rPr>
            </w:pPr>
            <w:r w:rsidRPr="009B1415">
              <w:rPr>
                <w:b/>
                <w:sz w:val="16"/>
                <w:szCs w:val="16"/>
              </w:rPr>
              <w:t>Club EGM - annual</w:t>
            </w:r>
          </w:p>
        </w:tc>
        <w:tc>
          <w:tcPr>
            <w:tcW w:w="1837" w:type="dxa"/>
            <w:vAlign w:val="center"/>
          </w:tcPr>
          <w:p w:rsidR="00435C08" w:rsidRPr="00C55321" w:rsidRDefault="00435C08" w:rsidP="00E9638E">
            <w:pPr>
              <w:keepNext/>
              <w:adjustRightInd w:val="0"/>
              <w:spacing w:before="20"/>
              <w:jc w:val="right"/>
              <w:rPr>
                <w:color w:val="000000"/>
                <w:sz w:val="16"/>
                <w:szCs w:val="16"/>
              </w:rPr>
            </w:pPr>
          </w:p>
        </w:tc>
        <w:tc>
          <w:tcPr>
            <w:tcW w:w="850" w:type="dxa"/>
            <w:vAlign w:val="center"/>
          </w:tcPr>
          <w:p w:rsidR="00435C08" w:rsidRPr="00C55321" w:rsidRDefault="00435C08" w:rsidP="00E9638E">
            <w:pPr>
              <w:keepNext/>
              <w:adjustRightInd w:val="0"/>
              <w:spacing w:before="20"/>
              <w:jc w:val="right"/>
              <w:rPr>
                <w:color w:val="000000"/>
                <w:sz w:val="16"/>
                <w:szCs w:val="16"/>
              </w:rPr>
            </w:pPr>
          </w:p>
        </w:tc>
        <w:tc>
          <w:tcPr>
            <w:tcW w:w="992" w:type="dxa"/>
            <w:vAlign w:val="center"/>
          </w:tcPr>
          <w:p w:rsidR="00435C08" w:rsidRPr="00C55321" w:rsidRDefault="00435C08" w:rsidP="00E9638E">
            <w:pPr>
              <w:keepNext/>
              <w:adjustRightInd w:val="0"/>
              <w:spacing w:before="20"/>
              <w:jc w:val="right"/>
              <w:rPr>
                <w:color w:val="000000"/>
                <w:sz w:val="16"/>
                <w:szCs w:val="16"/>
              </w:rPr>
            </w:pPr>
          </w:p>
        </w:tc>
        <w:tc>
          <w:tcPr>
            <w:tcW w:w="242" w:type="dxa"/>
            <w:vAlign w:val="center"/>
          </w:tcPr>
          <w:p w:rsidR="00435C08" w:rsidRPr="00C55321" w:rsidRDefault="00435C08" w:rsidP="00E9638E">
            <w:pPr>
              <w:keepNext/>
              <w:adjustRightInd w:val="0"/>
              <w:spacing w:before="20"/>
              <w:jc w:val="right"/>
              <w:rPr>
                <w:color w:val="000000"/>
                <w:sz w:val="16"/>
                <w:szCs w:val="16"/>
              </w:rPr>
            </w:pPr>
          </w:p>
        </w:tc>
        <w:tc>
          <w:tcPr>
            <w:tcW w:w="747" w:type="dxa"/>
            <w:shd w:val="clear" w:color="auto" w:fill="auto"/>
            <w:vAlign w:val="center"/>
          </w:tcPr>
          <w:p w:rsidR="00435C08" w:rsidRPr="00C55321" w:rsidRDefault="00435C08" w:rsidP="00E9638E">
            <w:pPr>
              <w:keepNext/>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keepNext/>
              <w:spacing w:before="20"/>
              <w:ind w:left="176"/>
              <w:jc w:val="both"/>
              <w:rPr>
                <w:sz w:val="16"/>
                <w:szCs w:val="16"/>
              </w:rPr>
            </w:pPr>
            <w:r w:rsidRPr="009B1415">
              <w:rPr>
                <w:sz w:val="16"/>
                <w:szCs w:val="16"/>
              </w:rPr>
              <w:t>No</w:t>
            </w:r>
          </w:p>
        </w:tc>
        <w:tc>
          <w:tcPr>
            <w:tcW w:w="1837" w:type="dxa"/>
            <w:vAlign w:val="center"/>
          </w:tcPr>
          <w:p w:rsidR="00435C08" w:rsidRPr="00C55321" w:rsidRDefault="00435C08" w:rsidP="00E9638E">
            <w:pPr>
              <w:keepNext/>
              <w:adjustRightInd w:val="0"/>
              <w:spacing w:before="20"/>
              <w:jc w:val="right"/>
              <w:rPr>
                <w:color w:val="000000"/>
                <w:sz w:val="16"/>
                <w:szCs w:val="16"/>
              </w:rPr>
            </w:pPr>
            <w:r>
              <w:rPr>
                <w:color w:val="000000"/>
                <w:sz w:val="16"/>
                <w:szCs w:val="16"/>
              </w:rPr>
              <w:t>5.7</w:t>
            </w:r>
          </w:p>
        </w:tc>
        <w:tc>
          <w:tcPr>
            <w:tcW w:w="850" w:type="dxa"/>
            <w:vAlign w:val="center"/>
          </w:tcPr>
          <w:p w:rsidR="00435C08" w:rsidRPr="00C55321" w:rsidRDefault="00435C08" w:rsidP="00E9638E">
            <w:pPr>
              <w:keepNext/>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E9638E">
            <w:pPr>
              <w:keepNext/>
              <w:adjustRightInd w:val="0"/>
              <w:spacing w:before="20"/>
              <w:jc w:val="right"/>
              <w:rPr>
                <w:color w:val="000000"/>
                <w:sz w:val="16"/>
                <w:szCs w:val="16"/>
              </w:rPr>
            </w:pPr>
          </w:p>
        </w:tc>
        <w:tc>
          <w:tcPr>
            <w:tcW w:w="242" w:type="dxa"/>
            <w:vAlign w:val="center"/>
          </w:tcPr>
          <w:p w:rsidR="00435C08" w:rsidRPr="00C55321" w:rsidRDefault="00435C08" w:rsidP="00E9638E">
            <w:pPr>
              <w:keepNext/>
              <w:adjustRightInd w:val="0"/>
              <w:spacing w:before="20"/>
              <w:jc w:val="right"/>
              <w:rPr>
                <w:color w:val="000000"/>
                <w:sz w:val="16"/>
                <w:szCs w:val="16"/>
              </w:rPr>
            </w:pPr>
          </w:p>
        </w:tc>
        <w:tc>
          <w:tcPr>
            <w:tcW w:w="747" w:type="dxa"/>
            <w:shd w:val="clear" w:color="auto" w:fill="auto"/>
            <w:vAlign w:val="center"/>
          </w:tcPr>
          <w:p w:rsidR="00435C08" w:rsidRPr="00C55321" w:rsidRDefault="00435C08" w:rsidP="00E9638E">
            <w:pPr>
              <w:keepNext/>
              <w:adjustRightInd w:val="0"/>
              <w:spacing w:before="20"/>
              <w:jc w:val="right"/>
              <w:rPr>
                <w:color w:val="000000"/>
                <w:sz w:val="16"/>
                <w:szCs w:val="16"/>
              </w:rPr>
            </w:pPr>
          </w:p>
        </w:tc>
      </w:tr>
      <w:tr w:rsidR="00D347DF" w:rsidRPr="009B1415" w:rsidTr="00E05935">
        <w:tc>
          <w:tcPr>
            <w:tcW w:w="3800" w:type="dxa"/>
          </w:tcPr>
          <w:p w:rsidR="00D347DF" w:rsidRPr="009B1415" w:rsidRDefault="00D347DF" w:rsidP="00E9638E">
            <w:pPr>
              <w:keepNext/>
              <w:spacing w:before="20"/>
              <w:ind w:left="176"/>
              <w:jc w:val="both"/>
              <w:rPr>
                <w:sz w:val="16"/>
                <w:szCs w:val="16"/>
              </w:rPr>
            </w:pPr>
            <w:r w:rsidRPr="009B1415">
              <w:rPr>
                <w:sz w:val="16"/>
                <w:szCs w:val="16"/>
              </w:rPr>
              <w:t>Yes</w:t>
            </w:r>
          </w:p>
        </w:tc>
        <w:tc>
          <w:tcPr>
            <w:tcW w:w="1837" w:type="dxa"/>
            <w:vAlign w:val="center"/>
          </w:tcPr>
          <w:p w:rsidR="00D347DF" w:rsidRPr="00C55321" w:rsidRDefault="00D347DF" w:rsidP="00E9638E">
            <w:pPr>
              <w:keepNext/>
              <w:adjustRightInd w:val="0"/>
              <w:spacing w:before="20"/>
              <w:jc w:val="right"/>
              <w:rPr>
                <w:color w:val="000000"/>
                <w:sz w:val="16"/>
                <w:szCs w:val="16"/>
              </w:rPr>
            </w:pPr>
            <w:r>
              <w:rPr>
                <w:color w:val="000000"/>
                <w:sz w:val="16"/>
                <w:szCs w:val="16"/>
              </w:rPr>
              <w:t>16.2</w:t>
            </w:r>
          </w:p>
        </w:tc>
        <w:tc>
          <w:tcPr>
            <w:tcW w:w="850" w:type="dxa"/>
            <w:vAlign w:val="center"/>
          </w:tcPr>
          <w:p w:rsidR="00D347DF" w:rsidRPr="00C55321" w:rsidRDefault="00D347DF" w:rsidP="00E9638E">
            <w:pPr>
              <w:keepNext/>
              <w:adjustRightInd w:val="0"/>
              <w:spacing w:before="20"/>
              <w:jc w:val="right"/>
              <w:rPr>
                <w:color w:val="000000"/>
                <w:sz w:val="16"/>
                <w:szCs w:val="16"/>
              </w:rPr>
            </w:pPr>
            <w:r w:rsidRPr="00C55321">
              <w:rPr>
                <w:color w:val="000000"/>
                <w:sz w:val="16"/>
                <w:szCs w:val="16"/>
              </w:rPr>
              <w:t>3.18</w:t>
            </w:r>
          </w:p>
        </w:tc>
        <w:tc>
          <w:tcPr>
            <w:tcW w:w="1234" w:type="dxa"/>
            <w:gridSpan w:val="2"/>
            <w:vAlign w:val="center"/>
          </w:tcPr>
          <w:p w:rsidR="00D347DF" w:rsidRPr="00C55321" w:rsidRDefault="00085C0C" w:rsidP="00E9638E">
            <w:pPr>
              <w:keepNext/>
              <w:adjustRightInd w:val="0"/>
              <w:spacing w:before="20"/>
              <w:jc w:val="right"/>
              <w:rPr>
                <w:color w:val="000000"/>
                <w:sz w:val="16"/>
                <w:szCs w:val="16"/>
              </w:rPr>
            </w:pPr>
            <w:r>
              <w:rPr>
                <w:color w:val="000000"/>
                <w:sz w:val="16"/>
                <w:szCs w:val="16"/>
              </w:rPr>
              <w:t>(</w:t>
            </w:r>
            <w:r w:rsidR="00D347DF" w:rsidRPr="00C55321">
              <w:rPr>
                <w:color w:val="000000"/>
                <w:sz w:val="16"/>
                <w:szCs w:val="16"/>
              </w:rPr>
              <w:t>1.88</w:t>
            </w:r>
            <w:r w:rsidR="00D347DF">
              <w:rPr>
                <w:color w:val="000000"/>
                <w:sz w:val="16"/>
                <w:szCs w:val="16"/>
              </w:rPr>
              <w:t xml:space="preserve"> - </w:t>
            </w:r>
            <w:r w:rsidR="00D347DF" w:rsidRPr="00C55321">
              <w:rPr>
                <w:color w:val="000000"/>
                <w:sz w:val="16"/>
                <w:szCs w:val="16"/>
              </w:rPr>
              <w:t>5.37</w:t>
            </w:r>
            <w:r>
              <w:rPr>
                <w:color w:val="000000"/>
                <w:sz w:val="16"/>
                <w:szCs w:val="16"/>
              </w:rPr>
              <w:t>)</w:t>
            </w:r>
          </w:p>
        </w:tc>
        <w:tc>
          <w:tcPr>
            <w:tcW w:w="747" w:type="dxa"/>
            <w:shd w:val="clear" w:color="auto" w:fill="D9D9D9" w:themeFill="background1" w:themeFillShade="D9"/>
            <w:vAlign w:val="center"/>
          </w:tcPr>
          <w:p w:rsidR="00D347DF" w:rsidRPr="00C55321" w:rsidRDefault="00D347DF" w:rsidP="00E9638E">
            <w:pPr>
              <w:keepNext/>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EGMs overall - annual</w:t>
            </w:r>
          </w:p>
        </w:tc>
        <w:tc>
          <w:tcPr>
            <w:tcW w:w="1837" w:type="dxa"/>
            <w:vAlign w:val="center"/>
          </w:tcPr>
          <w:p w:rsidR="00435C08" w:rsidRPr="00DC2775" w:rsidRDefault="00435C08" w:rsidP="0081083E">
            <w:pPr>
              <w:adjustRightInd w:val="0"/>
              <w:spacing w:before="20"/>
              <w:jc w:val="right"/>
              <w:rPr>
                <w:color w:val="000000"/>
                <w:sz w:val="16"/>
                <w:szCs w:val="16"/>
              </w:rPr>
            </w:pPr>
          </w:p>
        </w:tc>
        <w:tc>
          <w:tcPr>
            <w:tcW w:w="850" w:type="dxa"/>
            <w:vAlign w:val="center"/>
          </w:tcPr>
          <w:p w:rsidR="00435C08" w:rsidRPr="00DC2775" w:rsidRDefault="00435C08" w:rsidP="0081083E">
            <w:pPr>
              <w:adjustRightInd w:val="0"/>
              <w:spacing w:before="20"/>
              <w:jc w:val="right"/>
              <w:rPr>
                <w:color w:val="000000"/>
                <w:sz w:val="16"/>
                <w:szCs w:val="16"/>
              </w:rPr>
            </w:pPr>
          </w:p>
        </w:tc>
        <w:tc>
          <w:tcPr>
            <w:tcW w:w="992" w:type="dxa"/>
            <w:vAlign w:val="center"/>
          </w:tcPr>
          <w:p w:rsidR="00435C08" w:rsidRPr="00DC2775" w:rsidRDefault="00435C08" w:rsidP="0081083E">
            <w:pPr>
              <w:adjustRightInd w:val="0"/>
              <w:spacing w:before="20"/>
              <w:jc w:val="right"/>
              <w:rPr>
                <w:color w:val="000000"/>
                <w:sz w:val="16"/>
                <w:szCs w:val="16"/>
              </w:rPr>
            </w:pPr>
          </w:p>
        </w:tc>
        <w:tc>
          <w:tcPr>
            <w:tcW w:w="242" w:type="dxa"/>
            <w:vAlign w:val="center"/>
          </w:tcPr>
          <w:p w:rsidR="00435C08" w:rsidRPr="00DC2775"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DC2775"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5.6</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18.3</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3.76</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2.23</w:t>
            </w:r>
            <w:r w:rsidR="00D347DF">
              <w:rPr>
                <w:color w:val="000000"/>
                <w:sz w:val="16"/>
                <w:szCs w:val="16"/>
              </w:rPr>
              <w:t xml:space="preserve"> - </w:t>
            </w:r>
            <w:r w:rsidR="00D347DF" w:rsidRPr="00C55321">
              <w:rPr>
                <w:color w:val="000000"/>
                <w:sz w:val="16"/>
                <w:szCs w:val="16"/>
              </w:rPr>
              <w:t>6.35</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Short-term speculative investments - annual</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4.6</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13.9</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3.37</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2.30</w:t>
            </w:r>
            <w:r w:rsidR="00D347DF">
              <w:rPr>
                <w:color w:val="000000"/>
                <w:sz w:val="16"/>
                <w:szCs w:val="16"/>
              </w:rPr>
              <w:t xml:space="preserve"> - </w:t>
            </w:r>
            <w:r w:rsidR="00D347DF" w:rsidRPr="00C55321">
              <w:rPr>
                <w:color w:val="000000"/>
                <w:sz w:val="16"/>
                <w:szCs w:val="16"/>
              </w:rPr>
              <w:t>4.95</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Card games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6.3</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18.3</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3.35</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1.22</w:t>
            </w:r>
            <w:r w:rsidR="00D347DF">
              <w:rPr>
                <w:color w:val="000000"/>
                <w:sz w:val="16"/>
                <w:szCs w:val="16"/>
              </w:rPr>
              <w:t xml:space="preserve"> - </w:t>
            </w:r>
            <w:r w:rsidR="00D347DF" w:rsidRPr="00C55321">
              <w:rPr>
                <w:color w:val="000000"/>
                <w:sz w:val="16"/>
                <w:szCs w:val="16"/>
              </w:rPr>
              <w:t>9.26</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0.02</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Bets with friends/workmates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6.2</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17.2</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3.11</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1.17</w:t>
            </w:r>
            <w:r w:rsidR="00D347DF">
              <w:rPr>
                <w:color w:val="000000"/>
                <w:sz w:val="16"/>
                <w:szCs w:val="16"/>
              </w:rPr>
              <w:t xml:space="preserve"> - </w:t>
            </w:r>
            <w:r w:rsidR="00D347DF" w:rsidRPr="00C55321">
              <w:rPr>
                <w:color w:val="000000"/>
                <w:sz w:val="16"/>
                <w:szCs w:val="16"/>
              </w:rPr>
              <w:t>8.25</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0.02</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b/>
                <w:sz w:val="16"/>
                <w:szCs w:val="16"/>
              </w:rPr>
              <w:t>Raffle/lottery (NZ/overseas) - monthly</w:t>
            </w:r>
          </w:p>
        </w:tc>
        <w:tc>
          <w:tcPr>
            <w:tcW w:w="1837" w:type="dxa"/>
            <w:vAlign w:val="center"/>
          </w:tcPr>
          <w:p w:rsidR="00435C08" w:rsidRPr="009B12FA" w:rsidRDefault="00435C08" w:rsidP="00E9638E">
            <w:pPr>
              <w:adjustRightInd w:val="0"/>
              <w:spacing w:before="20"/>
              <w:jc w:val="right"/>
              <w:rPr>
                <w:color w:val="000000"/>
                <w:sz w:val="16"/>
                <w:szCs w:val="16"/>
              </w:rPr>
            </w:pPr>
          </w:p>
        </w:tc>
        <w:tc>
          <w:tcPr>
            <w:tcW w:w="850" w:type="dxa"/>
            <w:vAlign w:val="center"/>
          </w:tcPr>
          <w:p w:rsidR="00435C08" w:rsidRPr="009B12FA" w:rsidRDefault="00435C08" w:rsidP="00E9638E">
            <w:pPr>
              <w:adjustRightInd w:val="0"/>
              <w:spacing w:before="20"/>
              <w:jc w:val="right"/>
              <w:rPr>
                <w:color w:val="000000"/>
                <w:sz w:val="16"/>
                <w:szCs w:val="16"/>
              </w:rPr>
            </w:pPr>
          </w:p>
        </w:tc>
        <w:tc>
          <w:tcPr>
            <w:tcW w:w="992" w:type="dxa"/>
            <w:vAlign w:val="center"/>
          </w:tcPr>
          <w:p w:rsidR="00435C08" w:rsidRPr="009B12FA" w:rsidRDefault="00435C08" w:rsidP="00E9638E">
            <w:pPr>
              <w:adjustRightInd w:val="0"/>
              <w:spacing w:before="20"/>
              <w:jc w:val="right"/>
              <w:rPr>
                <w:color w:val="000000"/>
                <w:sz w:val="16"/>
                <w:szCs w:val="16"/>
              </w:rPr>
            </w:pPr>
          </w:p>
        </w:tc>
        <w:tc>
          <w:tcPr>
            <w:tcW w:w="242" w:type="dxa"/>
            <w:vAlign w:val="center"/>
          </w:tcPr>
          <w:p w:rsidR="00435C08" w:rsidRPr="009B12FA" w:rsidRDefault="00435C08" w:rsidP="00E9638E">
            <w:pPr>
              <w:adjustRightInd w:val="0"/>
              <w:spacing w:before="20"/>
              <w:jc w:val="right"/>
              <w:rPr>
                <w:color w:val="000000"/>
                <w:sz w:val="16"/>
                <w:szCs w:val="16"/>
              </w:rPr>
            </w:pPr>
          </w:p>
        </w:tc>
        <w:tc>
          <w:tcPr>
            <w:tcW w:w="747" w:type="dxa"/>
            <w:vAlign w:val="center"/>
          </w:tcPr>
          <w:p w:rsidR="00435C08" w:rsidRPr="009B12FA"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E9638E">
            <w:pPr>
              <w:adjustRightInd w:val="0"/>
              <w:spacing w:before="20"/>
              <w:jc w:val="right"/>
              <w:rPr>
                <w:color w:val="000000"/>
                <w:sz w:val="16"/>
                <w:szCs w:val="16"/>
              </w:rPr>
            </w:pPr>
            <w:r>
              <w:rPr>
                <w:color w:val="000000"/>
                <w:sz w:val="16"/>
                <w:szCs w:val="16"/>
              </w:rPr>
              <w:t>5.</w:t>
            </w:r>
            <w:r w:rsidRPr="00C55321">
              <w:rPr>
                <w:color w:val="000000"/>
                <w:sz w:val="16"/>
                <w:szCs w:val="16"/>
              </w:rPr>
              <w:t>9</w:t>
            </w:r>
          </w:p>
        </w:tc>
        <w:tc>
          <w:tcPr>
            <w:tcW w:w="850" w:type="dxa"/>
            <w:vAlign w:val="center"/>
          </w:tcPr>
          <w:p w:rsidR="00435C08" w:rsidRPr="00C55321" w:rsidRDefault="00435C08" w:rsidP="00E9638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E9638E">
            <w:pPr>
              <w:adjustRightInd w:val="0"/>
              <w:spacing w:before="20"/>
              <w:jc w:val="right"/>
              <w:rPr>
                <w:color w:val="000000"/>
                <w:sz w:val="16"/>
                <w:szCs w:val="16"/>
              </w:rPr>
            </w:pPr>
          </w:p>
        </w:tc>
        <w:tc>
          <w:tcPr>
            <w:tcW w:w="242" w:type="dxa"/>
            <w:vAlign w:val="center"/>
          </w:tcPr>
          <w:p w:rsidR="00435C08" w:rsidRPr="00C55321" w:rsidRDefault="00435C08" w:rsidP="00E9638E">
            <w:pPr>
              <w:adjustRightInd w:val="0"/>
              <w:spacing w:before="20"/>
              <w:jc w:val="right"/>
              <w:rPr>
                <w:color w:val="000000"/>
                <w:sz w:val="16"/>
                <w:szCs w:val="16"/>
              </w:rPr>
            </w:pPr>
          </w:p>
        </w:tc>
        <w:tc>
          <w:tcPr>
            <w:tcW w:w="747" w:type="dxa"/>
            <w:vAlign w:val="center"/>
          </w:tcPr>
          <w:p w:rsidR="00435C08" w:rsidRPr="00C55321" w:rsidRDefault="00435C08" w:rsidP="00E9638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E9638E">
            <w:pPr>
              <w:adjustRightInd w:val="0"/>
              <w:spacing w:before="20"/>
              <w:jc w:val="right"/>
              <w:rPr>
                <w:color w:val="000000"/>
                <w:sz w:val="16"/>
                <w:szCs w:val="16"/>
              </w:rPr>
            </w:pPr>
            <w:r>
              <w:rPr>
                <w:color w:val="000000"/>
                <w:sz w:val="16"/>
                <w:szCs w:val="16"/>
              </w:rPr>
              <w:t>9.5</w:t>
            </w:r>
          </w:p>
        </w:tc>
        <w:tc>
          <w:tcPr>
            <w:tcW w:w="850" w:type="dxa"/>
            <w:vAlign w:val="center"/>
          </w:tcPr>
          <w:p w:rsidR="00D347DF" w:rsidRPr="00C55321" w:rsidRDefault="00D347DF" w:rsidP="00E9638E">
            <w:pPr>
              <w:adjustRightInd w:val="0"/>
              <w:spacing w:before="20"/>
              <w:jc w:val="right"/>
              <w:rPr>
                <w:color w:val="000000"/>
                <w:sz w:val="16"/>
                <w:szCs w:val="16"/>
              </w:rPr>
            </w:pPr>
            <w:r w:rsidRPr="00C55321">
              <w:rPr>
                <w:color w:val="000000"/>
                <w:sz w:val="16"/>
                <w:szCs w:val="16"/>
              </w:rPr>
              <w:t>1.68</w:t>
            </w:r>
          </w:p>
        </w:tc>
        <w:tc>
          <w:tcPr>
            <w:tcW w:w="1234" w:type="dxa"/>
            <w:gridSpan w:val="2"/>
            <w:vAlign w:val="center"/>
          </w:tcPr>
          <w:p w:rsidR="00D347DF" w:rsidRPr="00C55321" w:rsidRDefault="00085C0C" w:rsidP="00E9638E">
            <w:pPr>
              <w:adjustRightInd w:val="0"/>
              <w:spacing w:before="20"/>
              <w:jc w:val="right"/>
              <w:rPr>
                <w:color w:val="000000"/>
                <w:sz w:val="16"/>
                <w:szCs w:val="16"/>
              </w:rPr>
            </w:pPr>
            <w:r>
              <w:rPr>
                <w:color w:val="000000"/>
                <w:sz w:val="16"/>
                <w:szCs w:val="16"/>
              </w:rPr>
              <w:t>(</w:t>
            </w:r>
            <w:r w:rsidR="00D347DF" w:rsidRPr="00C55321">
              <w:rPr>
                <w:color w:val="000000"/>
                <w:sz w:val="16"/>
                <w:szCs w:val="16"/>
              </w:rPr>
              <w:t>1.09</w:t>
            </w:r>
            <w:r w:rsidR="00D347DF">
              <w:rPr>
                <w:color w:val="000000"/>
                <w:sz w:val="16"/>
                <w:szCs w:val="16"/>
              </w:rPr>
              <w:t xml:space="preserve"> - </w:t>
            </w:r>
            <w:r w:rsidR="00D347DF" w:rsidRPr="00C55321">
              <w:rPr>
                <w:color w:val="000000"/>
                <w:sz w:val="16"/>
                <w:szCs w:val="16"/>
              </w:rPr>
              <w:t>2.58</w:t>
            </w:r>
            <w:r>
              <w:rPr>
                <w:color w:val="000000"/>
                <w:sz w:val="16"/>
                <w:szCs w:val="16"/>
              </w:rPr>
              <w:t>)</w:t>
            </w:r>
          </w:p>
        </w:tc>
        <w:tc>
          <w:tcPr>
            <w:tcW w:w="747" w:type="dxa"/>
            <w:shd w:val="clear" w:color="auto" w:fill="D9D9D9" w:themeFill="background1" w:themeFillShade="D9"/>
            <w:vAlign w:val="center"/>
          </w:tcPr>
          <w:p w:rsidR="00D347DF" w:rsidRPr="00C55321" w:rsidRDefault="00D347DF" w:rsidP="00E9638E">
            <w:pPr>
              <w:adjustRightInd w:val="0"/>
              <w:spacing w:before="20"/>
              <w:jc w:val="right"/>
              <w:rPr>
                <w:color w:val="000000"/>
                <w:sz w:val="16"/>
                <w:szCs w:val="16"/>
              </w:rPr>
            </w:pPr>
            <w:r w:rsidRPr="00C55321">
              <w:rPr>
                <w:color w:val="000000"/>
                <w:sz w:val="16"/>
                <w:szCs w:val="16"/>
              </w:rPr>
              <w:t>0.02</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Lotto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4.7</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8.3</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1.82</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1.25</w:t>
            </w:r>
            <w:r w:rsidR="00D347DF">
              <w:rPr>
                <w:color w:val="000000"/>
                <w:sz w:val="16"/>
                <w:szCs w:val="16"/>
              </w:rPr>
              <w:t xml:space="preserve"> - </w:t>
            </w:r>
            <w:r w:rsidR="00D347DF" w:rsidRPr="00C55321">
              <w:rPr>
                <w:color w:val="000000"/>
                <w:sz w:val="16"/>
                <w:szCs w:val="16"/>
              </w:rPr>
              <w:t>2.64</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0.002</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Instant Kiwi/other scratch tickets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5.5</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11.5</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2.21</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1.45</w:t>
            </w:r>
            <w:r w:rsidR="00D347DF">
              <w:rPr>
                <w:color w:val="000000"/>
                <w:sz w:val="16"/>
                <w:szCs w:val="16"/>
              </w:rPr>
              <w:t xml:space="preserve"> - </w:t>
            </w:r>
            <w:r w:rsidR="00D347DF" w:rsidRPr="00C55321">
              <w:rPr>
                <w:color w:val="000000"/>
                <w:sz w:val="16"/>
                <w:szCs w:val="16"/>
              </w:rPr>
              <w:t>3.38</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0.0002</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Housie or bingo - monthly</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6.3</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38.</w:t>
            </w:r>
            <w:r w:rsidRPr="00C55321">
              <w:rPr>
                <w:color w:val="000000"/>
                <w:sz w:val="16"/>
                <w:szCs w:val="16"/>
              </w:rPr>
              <w:t>7</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9.41</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3.24</w:t>
            </w:r>
            <w:r w:rsidR="00D347DF">
              <w:rPr>
                <w:color w:val="000000"/>
                <w:sz w:val="16"/>
                <w:szCs w:val="16"/>
              </w:rPr>
              <w:t xml:space="preserve"> - </w:t>
            </w:r>
            <w:r w:rsidR="00D347DF" w:rsidRPr="00C55321">
              <w:rPr>
                <w:color w:val="000000"/>
                <w:sz w:val="16"/>
                <w:szCs w:val="16"/>
              </w:rPr>
              <w:t>27.30</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Horse/dog race betting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6.1</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24.3</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4.94</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2.01</w:t>
            </w:r>
            <w:r w:rsidR="00D347DF">
              <w:rPr>
                <w:color w:val="000000"/>
                <w:sz w:val="16"/>
                <w:szCs w:val="16"/>
              </w:rPr>
              <w:t xml:space="preserve"> - </w:t>
            </w:r>
            <w:r w:rsidR="00D347DF" w:rsidRPr="00C55321">
              <w:rPr>
                <w:color w:val="000000"/>
                <w:sz w:val="16"/>
                <w:szCs w:val="16"/>
              </w:rPr>
              <w:t>12.15</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b/>
                <w:sz w:val="16"/>
                <w:szCs w:val="16"/>
              </w:rPr>
              <w:t>Casino table games or EGMs (NZ) - monthly</w:t>
            </w:r>
          </w:p>
        </w:tc>
        <w:tc>
          <w:tcPr>
            <w:tcW w:w="1837" w:type="dxa"/>
            <w:vAlign w:val="center"/>
          </w:tcPr>
          <w:p w:rsidR="00435C08" w:rsidRPr="00C55321" w:rsidRDefault="00435C08" w:rsidP="00E9638E">
            <w:pPr>
              <w:adjustRightInd w:val="0"/>
              <w:spacing w:before="20"/>
              <w:jc w:val="right"/>
              <w:rPr>
                <w:color w:val="000000"/>
                <w:sz w:val="16"/>
                <w:szCs w:val="16"/>
              </w:rPr>
            </w:pPr>
          </w:p>
        </w:tc>
        <w:tc>
          <w:tcPr>
            <w:tcW w:w="850" w:type="dxa"/>
            <w:vAlign w:val="center"/>
          </w:tcPr>
          <w:p w:rsidR="00435C08" w:rsidRPr="00C55321" w:rsidRDefault="00435C08" w:rsidP="00E9638E">
            <w:pPr>
              <w:adjustRightInd w:val="0"/>
              <w:spacing w:before="20"/>
              <w:jc w:val="right"/>
              <w:rPr>
                <w:color w:val="000000"/>
                <w:sz w:val="16"/>
                <w:szCs w:val="16"/>
              </w:rPr>
            </w:pPr>
          </w:p>
        </w:tc>
        <w:tc>
          <w:tcPr>
            <w:tcW w:w="992" w:type="dxa"/>
            <w:vAlign w:val="center"/>
          </w:tcPr>
          <w:p w:rsidR="00435C08" w:rsidRPr="00C55321" w:rsidRDefault="00435C08" w:rsidP="00E9638E">
            <w:pPr>
              <w:adjustRightInd w:val="0"/>
              <w:spacing w:before="20"/>
              <w:jc w:val="right"/>
              <w:rPr>
                <w:color w:val="000000"/>
                <w:sz w:val="16"/>
                <w:szCs w:val="16"/>
              </w:rPr>
            </w:pPr>
          </w:p>
        </w:tc>
        <w:tc>
          <w:tcPr>
            <w:tcW w:w="242" w:type="dxa"/>
            <w:vAlign w:val="center"/>
          </w:tcPr>
          <w:p w:rsidR="00435C08" w:rsidRPr="00C55321" w:rsidRDefault="00435C08" w:rsidP="00E9638E">
            <w:pPr>
              <w:adjustRightInd w:val="0"/>
              <w:spacing w:before="20"/>
              <w:jc w:val="right"/>
              <w:rPr>
                <w:color w:val="000000"/>
                <w:sz w:val="16"/>
                <w:szCs w:val="16"/>
              </w:rPr>
            </w:pPr>
          </w:p>
        </w:tc>
        <w:tc>
          <w:tcPr>
            <w:tcW w:w="747" w:type="dxa"/>
            <w:vAlign w:val="center"/>
          </w:tcPr>
          <w:p w:rsidR="00435C08" w:rsidRPr="00C55321"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6.3</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Borders>
              <w:bottom w:val="single" w:sz="4" w:space="0" w:color="auto"/>
            </w:tcBorders>
          </w:tcPr>
          <w:p w:rsidR="00D347DF" w:rsidRPr="009B1415" w:rsidRDefault="00D347DF" w:rsidP="00435C08">
            <w:pPr>
              <w:spacing w:before="20"/>
              <w:ind w:left="176"/>
              <w:jc w:val="both"/>
              <w:rPr>
                <w:sz w:val="16"/>
                <w:szCs w:val="16"/>
              </w:rPr>
            </w:pPr>
            <w:r w:rsidRPr="009B1415">
              <w:rPr>
                <w:sz w:val="16"/>
                <w:szCs w:val="16"/>
              </w:rPr>
              <w:t>Yes</w:t>
            </w:r>
          </w:p>
        </w:tc>
        <w:tc>
          <w:tcPr>
            <w:tcW w:w="1837" w:type="dxa"/>
            <w:tcBorders>
              <w:bottom w:val="single" w:sz="4" w:space="0" w:color="auto"/>
            </w:tcBorders>
            <w:vAlign w:val="center"/>
          </w:tcPr>
          <w:p w:rsidR="00D347DF" w:rsidRPr="00C55321" w:rsidRDefault="00D347DF" w:rsidP="0081083E">
            <w:pPr>
              <w:adjustRightInd w:val="0"/>
              <w:spacing w:before="20"/>
              <w:jc w:val="right"/>
              <w:rPr>
                <w:color w:val="000000"/>
                <w:sz w:val="16"/>
                <w:szCs w:val="16"/>
              </w:rPr>
            </w:pPr>
            <w:r>
              <w:rPr>
                <w:color w:val="000000"/>
                <w:sz w:val="16"/>
                <w:szCs w:val="16"/>
              </w:rPr>
              <w:t>31.2</w:t>
            </w:r>
          </w:p>
        </w:tc>
        <w:tc>
          <w:tcPr>
            <w:tcW w:w="850" w:type="dxa"/>
            <w:tcBorders>
              <w:bottom w:val="single" w:sz="4" w:space="0" w:color="auto"/>
            </w:tcBorders>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6.77</w:t>
            </w:r>
          </w:p>
        </w:tc>
        <w:tc>
          <w:tcPr>
            <w:tcW w:w="1234" w:type="dxa"/>
            <w:gridSpan w:val="2"/>
            <w:tcBorders>
              <w:bottom w:val="single" w:sz="4" w:space="0" w:color="auto"/>
            </w:tcBorders>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1.63</w:t>
            </w:r>
            <w:r w:rsidR="00D347DF">
              <w:rPr>
                <w:color w:val="000000"/>
                <w:sz w:val="16"/>
                <w:szCs w:val="16"/>
              </w:rPr>
              <w:t xml:space="preserve"> - </w:t>
            </w:r>
            <w:r w:rsidR="00D347DF" w:rsidRPr="00C55321">
              <w:rPr>
                <w:color w:val="000000"/>
                <w:sz w:val="16"/>
                <w:szCs w:val="16"/>
              </w:rPr>
              <w:t>28.22</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0.01</w:t>
            </w:r>
          </w:p>
        </w:tc>
      </w:tr>
      <w:tr w:rsidR="00435C08" w:rsidRPr="009B1415" w:rsidTr="00E05935">
        <w:tc>
          <w:tcPr>
            <w:tcW w:w="3800" w:type="dxa"/>
            <w:tcBorders>
              <w:top w:val="single" w:sz="4" w:space="0" w:color="auto"/>
            </w:tcBorders>
            <w:vAlign w:val="bottom"/>
          </w:tcPr>
          <w:p w:rsidR="00435C08" w:rsidRPr="009B1415" w:rsidRDefault="00435C08" w:rsidP="00435C08">
            <w:pPr>
              <w:spacing w:before="20"/>
              <w:jc w:val="both"/>
              <w:rPr>
                <w:b/>
                <w:sz w:val="16"/>
                <w:szCs w:val="16"/>
              </w:rPr>
            </w:pPr>
            <w:r w:rsidRPr="009B1415">
              <w:rPr>
                <w:b/>
                <w:sz w:val="16"/>
                <w:szCs w:val="16"/>
              </w:rPr>
              <w:lastRenderedPageBreak/>
              <w:t>Casino EGMs (NZ) - monthly</w:t>
            </w:r>
          </w:p>
        </w:tc>
        <w:tc>
          <w:tcPr>
            <w:tcW w:w="1837" w:type="dxa"/>
            <w:tcBorders>
              <w:top w:val="single" w:sz="4" w:space="0" w:color="auto"/>
            </w:tcBorders>
            <w:vAlign w:val="center"/>
          </w:tcPr>
          <w:p w:rsidR="00435C08" w:rsidRPr="00C55321" w:rsidRDefault="00435C08" w:rsidP="0081083E">
            <w:pPr>
              <w:adjustRightInd w:val="0"/>
              <w:spacing w:before="20"/>
              <w:jc w:val="right"/>
              <w:rPr>
                <w:color w:val="000000"/>
                <w:sz w:val="16"/>
                <w:szCs w:val="16"/>
              </w:rPr>
            </w:pPr>
          </w:p>
        </w:tc>
        <w:tc>
          <w:tcPr>
            <w:tcW w:w="850" w:type="dxa"/>
            <w:tcBorders>
              <w:top w:val="single" w:sz="4" w:space="0" w:color="auto"/>
            </w:tcBorders>
            <w:vAlign w:val="center"/>
          </w:tcPr>
          <w:p w:rsidR="00435C08" w:rsidRPr="00C55321" w:rsidRDefault="00435C08" w:rsidP="0081083E">
            <w:pPr>
              <w:adjustRightInd w:val="0"/>
              <w:spacing w:before="20"/>
              <w:jc w:val="right"/>
              <w:rPr>
                <w:color w:val="000000"/>
                <w:sz w:val="16"/>
                <w:szCs w:val="16"/>
              </w:rPr>
            </w:pPr>
          </w:p>
        </w:tc>
        <w:tc>
          <w:tcPr>
            <w:tcW w:w="992" w:type="dxa"/>
            <w:tcBorders>
              <w:top w:val="single" w:sz="4" w:space="0" w:color="auto"/>
            </w:tcBorders>
            <w:vAlign w:val="center"/>
          </w:tcPr>
          <w:p w:rsidR="00435C08" w:rsidRPr="00C55321" w:rsidRDefault="00435C08" w:rsidP="0081083E">
            <w:pPr>
              <w:adjustRightInd w:val="0"/>
              <w:spacing w:before="20"/>
              <w:jc w:val="right"/>
              <w:rPr>
                <w:color w:val="000000"/>
                <w:sz w:val="16"/>
                <w:szCs w:val="16"/>
              </w:rPr>
            </w:pPr>
          </w:p>
        </w:tc>
        <w:tc>
          <w:tcPr>
            <w:tcW w:w="242" w:type="dxa"/>
            <w:tcBorders>
              <w:top w:val="single" w:sz="4" w:space="0" w:color="auto"/>
            </w:tcBorders>
            <w:vAlign w:val="center"/>
          </w:tcPr>
          <w:p w:rsidR="00435C08" w:rsidRPr="00C55321" w:rsidRDefault="00435C08" w:rsidP="0081083E">
            <w:pPr>
              <w:adjustRightInd w:val="0"/>
              <w:spacing w:before="20"/>
              <w:jc w:val="right"/>
              <w:rPr>
                <w:color w:val="000000"/>
                <w:sz w:val="16"/>
                <w:szCs w:val="16"/>
              </w:rPr>
            </w:pPr>
          </w:p>
        </w:tc>
        <w:tc>
          <w:tcPr>
            <w:tcW w:w="747" w:type="dxa"/>
            <w:tcBorders>
              <w:top w:val="single" w:sz="4" w:space="0" w:color="auto"/>
            </w:tcBorders>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6.2</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49.4</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14.70</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3.38</w:t>
            </w:r>
            <w:r w:rsidR="00D347DF">
              <w:rPr>
                <w:color w:val="000000"/>
                <w:sz w:val="16"/>
                <w:szCs w:val="16"/>
              </w:rPr>
              <w:t xml:space="preserve"> - </w:t>
            </w:r>
            <w:r w:rsidR="00D347DF" w:rsidRPr="00C55321">
              <w:rPr>
                <w:color w:val="000000"/>
                <w:sz w:val="16"/>
                <w:szCs w:val="16"/>
              </w:rPr>
              <w:t>63.99</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0.0003</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Pub EGMs - monthly</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5.6</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37.1</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10.05</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5.36</w:t>
            </w:r>
            <w:r w:rsidR="00D347DF">
              <w:rPr>
                <w:color w:val="000000"/>
                <w:sz w:val="16"/>
                <w:szCs w:val="16"/>
              </w:rPr>
              <w:t xml:space="preserve"> - </w:t>
            </w:r>
            <w:r w:rsidR="00D347DF" w:rsidRPr="00C55321">
              <w:rPr>
                <w:color w:val="000000"/>
                <w:sz w:val="16"/>
                <w:szCs w:val="16"/>
              </w:rPr>
              <w:t>18.84</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Club EGMs - monthly</w:t>
            </w:r>
          </w:p>
        </w:tc>
        <w:tc>
          <w:tcPr>
            <w:tcW w:w="1837" w:type="dxa"/>
            <w:vAlign w:val="center"/>
          </w:tcPr>
          <w:p w:rsidR="00435C08" w:rsidRPr="00C55321" w:rsidRDefault="00435C08" w:rsidP="0081083E">
            <w:pPr>
              <w:adjustRightInd w:val="0"/>
              <w:spacing w:before="20"/>
              <w:jc w:val="right"/>
              <w:rPr>
                <w:color w:val="000000"/>
                <w:sz w:val="16"/>
                <w:szCs w:val="16"/>
              </w:rPr>
            </w:pPr>
          </w:p>
        </w:tc>
        <w:tc>
          <w:tcPr>
            <w:tcW w:w="850" w:type="dxa"/>
            <w:vAlign w:val="center"/>
          </w:tcPr>
          <w:p w:rsidR="00435C08" w:rsidRPr="00C55321" w:rsidRDefault="00435C08" w:rsidP="0081083E">
            <w:pPr>
              <w:adjustRightInd w:val="0"/>
              <w:spacing w:before="20"/>
              <w:jc w:val="right"/>
              <w:rPr>
                <w:color w:val="000000"/>
                <w:sz w:val="16"/>
                <w:szCs w:val="16"/>
              </w:rPr>
            </w:pP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6.0</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34.4</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8.22</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3.60</w:t>
            </w:r>
            <w:r w:rsidR="00D347DF">
              <w:rPr>
                <w:color w:val="000000"/>
                <w:sz w:val="16"/>
                <w:szCs w:val="16"/>
              </w:rPr>
              <w:t xml:space="preserve"> - </w:t>
            </w:r>
            <w:r w:rsidR="00D347DF" w:rsidRPr="00C55321">
              <w:rPr>
                <w:color w:val="000000"/>
                <w:sz w:val="16"/>
                <w:szCs w:val="16"/>
              </w:rPr>
              <w:t>18.79</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EGMs overall - monthly</w:t>
            </w:r>
          </w:p>
        </w:tc>
        <w:tc>
          <w:tcPr>
            <w:tcW w:w="1837" w:type="dxa"/>
            <w:vAlign w:val="center"/>
          </w:tcPr>
          <w:p w:rsidR="00435C08" w:rsidRPr="00CB35E8" w:rsidRDefault="00435C08" w:rsidP="0081083E">
            <w:pPr>
              <w:adjustRightInd w:val="0"/>
              <w:spacing w:before="20"/>
              <w:jc w:val="right"/>
              <w:rPr>
                <w:color w:val="000000"/>
                <w:sz w:val="16"/>
                <w:szCs w:val="16"/>
              </w:rPr>
            </w:pPr>
          </w:p>
        </w:tc>
        <w:tc>
          <w:tcPr>
            <w:tcW w:w="850" w:type="dxa"/>
            <w:vAlign w:val="center"/>
          </w:tcPr>
          <w:p w:rsidR="00435C08" w:rsidRPr="00CB35E8" w:rsidRDefault="00435C08" w:rsidP="0081083E">
            <w:pPr>
              <w:adjustRightInd w:val="0"/>
              <w:spacing w:before="20"/>
              <w:jc w:val="right"/>
              <w:rPr>
                <w:color w:val="000000"/>
                <w:sz w:val="16"/>
                <w:szCs w:val="16"/>
              </w:rPr>
            </w:pPr>
          </w:p>
        </w:tc>
        <w:tc>
          <w:tcPr>
            <w:tcW w:w="992" w:type="dxa"/>
            <w:vAlign w:val="center"/>
          </w:tcPr>
          <w:p w:rsidR="00435C08" w:rsidRPr="00CB35E8" w:rsidRDefault="00435C08" w:rsidP="0081083E">
            <w:pPr>
              <w:adjustRightInd w:val="0"/>
              <w:spacing w:before="20"/>
              <w:jc w:val="right"/>
              <w:rPr>
                <w:color w:val="000000"/>
                <w:sz w:val="16"/>
                <w:szCs w:val="16"/>
              </w:rPr>
            </w:pPr>
          </w:p>
        </w:tc>
        <w:tc>
          <w:tcPr>
            <w:tcW w:w="242" w:type="dxa"/>
            <w:vAlign w:val="center"/>
          </w:tcPr>
          <w:p w:rsidR="00435C08" w:rsidRPr="00CB35E8"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B35E8"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C55321" w:rsidRDefault="00435C08" w:rsidP="0081083E">
            <w:pPr>
              <w:adjustRightInd w:val="0"/>
              <w:spacing w:before="20"/>
              <w:jc w:val="right"/>
              <w:rPr>
                <w:color w:val="000000"/>
                <w:sz w:val="16"/>
                <w:szCs w:val="16"/>
              </w:rPr>
            </w:pPr>
            <w:r>
              <w:rPr>
                <w:color w:val="000000"/>
                <w:sz w:val="16"/>
                <w:szCs w:val="16"/>
              </w:rPr>
              <w:t>5.2</w:t>
            </w:r>
          </w:p>
        </w:tc>
        <w:tc>
          <w:tcPr>
            <w:tcW w:w="850" w:type="dxa"/>
            <w:vAlign w:val="center"/>
          </w:tcPr>
          <w:p w:rsidR="00435C08" w:rsidRPr="00C55321" w:rsidRDefault="00435C08" w:rsidP="0081083E">
            <w:pPr>
              <w:adjustRightInd w:val="0"/>
              <w:spacing w:before="20"/>
              <w:jc w:val="right"/>
              <w:rPr>
                <w:color w:val="000000"/>
                <w:sz w:val="16"/>
                <w:szCs w:val="16"/>
              </w:rPr>
            </w:pPr>
            <w:r w:rsidRPr="00C55321">
              <w:rPr>
                <w:color w:val="000000"/>
                <w:sz w:val="16"/>
                <w:szCs w:val="16"/>
              </w:rPr>
              <w:t>1.00</w:t>
            </w:r>
          </w:p>
        </w:tc>
        <w:tc>
          <w:tcPr>
            <w:tcW w:w="992" w:type="dxa"/>
            <w:vAlign w:val="center"/>
          </w:tcPr>
          <w:p w:rsidR="00435C08" w:rsidRPr="00C55321" w:rsidRDefault="00435C08" w:rsidP="0081083E">
            <w:pPr>
              <w:adjustRightInd w:val="0"/>
              <w:spacing w:before="20"/>
              <w:jc w:val="right"/>
              <w:rPr>
                <w:color w:val="000000"/>
                <w:sz w:val="16"/>
                <w:szCs w:val="16"/>
              </w:rPr>
            </w:pPr>
          </w:p>
        </w:tc>
        <w:tc>
          <w:tcPr>
            <w:tcW w:w="242" w:type="dxa"/>
            <w:vAlign w:val="center"/>
          </w:tcPr>
          <w:p w:rsidR="00435C08" w:rsidRPr="00C55321" w:rsidRDefault="00435C08" w:rsidP="0081083E">
            <w:pPr>
              <w:adjustRightInd w:val="0"/>
              <w:spacing w:before="20"/>
              <w:jc w:val="right"/>
              <w:rPr>
                <w:color w:val="000000"/>
                <w:sz w:val="16"/>
                <w:szCs w:val="16"/>
              </w:rPr>
            </w:pPr>
          </w:p>
        </w:tc>
        <w:tc>
          <w:tcPr>
            <w:tcW w:w="747" w:type="dxa"/>
            <w:shd w:val="clear" w:color="auto" w:fill="auto"/>
            <w:vAlign w:val="center"/>
          </w:tcPr>
          <w:p w:rsidR="00435C08" w:rsidRPr="00C55321"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C55321" w:rsidRDefault="00D347DF" w:rsidP="0081083E">
            <w:pPr>
              <w:adjustRightInd w:val="0"/>
              <w:spacing w:before="20"/>
              <w:jc w:val="right"/>
              <w:rPr>
                <w:color w:val="000000"/>
                <w:sz w:val="16"/>
                <w:szCs w:val="16"/>
              </w:rPr>
            </w:pPr>
            <w:r>
              <w:rPr>
                <w:color w:val="000000"/>
                <w:sz w:val="16"/>
                <w:szCs w:val="16"/>
              </w:rPr>
              <w:t>36.6</w:t>
            </w:r>
          </w:p>
        </w:tc>
        <w:tc>
          <w:tcPr>
            <w:tcW w:w="850" w:type="dxa"/>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10.62</w:t>
            </w:r>
          </w:p>
        </w:tc>
        <w:tc>
          <w:tcPr>
            <w:tcW w:w="1234" w:type="dxa"/>
            <w:gridSpan w:val="2"/>
            <w:vAlign w:val="center"/>
          </w:tcPr>
          <w:p w:rsidR="00D347DF" w:rsidRPr="00C55321" w:rsidRDefault="00085C0C" w:rsidP="00D347DF">
            <w:pPr>
              <w:adjustRightInd w:val="0"/>
              <w:spacing w:before="20"/>
              <w:jc w:val="right"/>
              <w:rPr>
                <w:color w:val="000000"/>
                <w:sz w:val="16"/>
                <w:szCs w:val="16"/>
              </w:rPr>
            </w:pPr>
            <w:r>
              <w:rPr>
                <w:color w:val="000000"/>
                <w:sz w:val="16"/>
                <w:szCs w:val="16"/>
              </w:rPr>
              <w:t>(</w:t>
            </w:r>
            <w:r w:rsidR="00D347DF" w:rsidRPr="00C55321">
              <w:rPr>
                <w:color w:val="000000"/>
                <w:sz w:val="16"/>
                <w:szCs w:val="16"/>
              </w:rPr>
              <w:t>6.28</w:t>
            </w:r>
            <w:r w:rsidR="00D347DF">
              <w:rPr>
                <w:color w:val="000000"/>
                <w:sz w:val="16"/>
                <w:szCs w:val="16"/>
              </w:rPr>
              <w:t xml:space="preserve"> - </w:t>
            </w:r>
            <w:r w:rsidR="00D347DF" w:rsidRPr="00C55321">
              <w:rPr>
                <w:color w:val="000000"/>
                <w:sz w:val="16"/>
                <w:szCs w:val="16"/>
              </w:rPr>
              <w:t>17.97</w:t>
            </w:r>
            <w:r>
              <w:rPr>
                <w:color w:val="000000"/>
                <w:sz w:val="16"/>
                <w:szCs w:val="16"/>
              </w:rPr>
              <w:t>)</w:t>
            </w:r>
          </w:p>
        </w:tc>
        <w:tc>
          <w:tcPr>
            <w:tcW w:w="747" w:type="dxa"/>
            <w:shd w:val="clear" w:color="auto" w:fill="D9D9D9" w:themeFill="background1" w:themeFillShade="D9"/>
            <w:vAlign w:val="center"/>
          </w:tcPr>
          <w:p w:rsidR="00D347DF" w:rsidRPr="00C55321" w:rsidRDefault="00D347DF" w:rsidP="0081083E">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435C08" w:rsidRPr="009B1415" w:rsidTr="00E05935">
        <w:tc>
          <w:tcPr>
            <w:tcW w:w="5637" w:type="dxa"/>
            <w:gridSpan w:val="2"/>
            <w:vAlign w:val="bottom"/>
          </w:tcPr>
          <w:p w:rsidR="00435C08" w:rsidRPr="000C1AB9" w:rsidRDefault="00435C08" w:rsidP="0010307E">
            <w:pPr>
              <w:spacing w:before="20"/>
              <w:rPr>
                <w:rFonts w:ascii="Calibri" w:hAnsi="Calibri"/>
                <w:b/>
                <w:bCs/>
                <w:color w:val="000000"/>
                <w:sz w:val="16"/>
                <w:szCs w:val="16"/>
              </w:rPr>
            </w:pPr>
            <w:r w:rsidRPr="000C1AB9">
              <w:rPr>
                <w:b/>
                <w:bCs/>
                <w:color w:val="000000"/>
                <w:sz w:val="16"/>
                <w:szCs w:val="16"/>
              </w:rPr>
              <w:t>Time spent playing EGMs in an average day (casino)</w:t>
            </w:r>
          </w:p>
        </w:tc>
        <w:tc>
          <w:tcPr>
            <w:tcW w:w="850" w:type="dxa"/>
            <w:vAlign w:val="center"/>
          </w:tcPr>
          <w:p w:rsidR="00435C08" w:rsidRPr="000C1AB9" w:rsidRDefault="00435C08" w:rsidP="0081083E">
            <w:pPr>
              <w:spacing w:before="20"/>
              <w:jc w:val="right"/>
              <w:rPr>
                <w:rFonts w:ascii="Calibri" w:hAnsi="Calibri"/>
                <w:b/>
                <w:color w:val="000000"/>
                <w:sz w:val="16"/>
                <w:szCs w:val="16"/>
              </w:rPr>
            </w:pPr>
          </w:p>
        </w:tc>
        <w:tc>
          <w:tcPr>
            <w:tcW w:w="992" w:type="dxa"/>
            <w:vAlign w:val="center"/>
          </w:tcPr>
          <w:p w:rsidR="00435C08" w:rsidRPr="000C1AB9" w:rsidRDefault="00435C08" w:rsidP="0081083E">
            <w:pPr>
              <w:spacing w:before="20"/>
              <w:jc w:val="right"/>
              <w:rPr>
                <w:rFonts w:ascii="Calibri" w:hAnsi="Calibri"/>
                <w:b/>
                <w:color w:val="000000"/>
                <w:sz w:val="16"/>
                <w:szCs w:val="16"/>
              </w:rPr>
            </w:pPr>
          </w:p>
        </w:tc>
        <w:tc>
          <w:tcPr>
            <w:tcW w:w="242" w:type="dxa"/>
            <w:vAlign w:val="center"/>
          </w:tcPr>
          <w:p w:rsidR="00435C08" w:rsidRPr="000C1AB9" w:rsidRDefault="00435C08" w:rsidP="0081083E">
            <w:pPr>
              <w:spacing w:before="20"/>
              <w:jc w:val="right"/>
              <w:rPr>
                <w:rFonts w:ascii="Calibri" w:hAnsi="Calibri"/>
                <w:b/>
                <w:color w:val="000000"/>
                <w:sz w:val="16"/>
                <w:szCs w:val="16"/>
              </w:rPr>
            </w:pPr>
          </w:p>
        </w:tc>
        <w:tc>
          <w:tcPr>
            <w:tcW w:w="747" w:type="dxa"/>
            <w:vAlign w:val="center"/>
          </w:tcPr>
          <w:p w:rsidR="00435C08" w:rsidRPr="000C1AB9" w:rsidRDefault="00435C08" w:rsidP="0081083E">
            <w:pPr>
              <w:spacing w:before="20"/>
              <w:jc w:val="right"/>
              <w:rPr>
                <w:rFonts w:ascii="Calibri" w:hAnsi="Calibri"/>
                <w:b/>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 time</w:t>
            </w:r>
          </w:p>
        </w:tc>
        <w:tc>
          <w:tcPr>
            <w:tcW w:w="1837" w:type="dxa"/>
          </w:tcPr>
          <w:p w:rsidR="00435C08" w:rsidRPr="00EC0F3A" w:rsidRDefault="00435C08" w:rsidP="0081083E">
            <w:pPr>
              <w:adjustRightInd w:val="0"/>
              <w:spacing w:before="20"/>
              <w:jc w:val="right"/>
              <w:rPr>
                <w:color w:val="000000"/>
                <w:sz w:val="16"/>
                <w:szCs w:val="16"/>
              </w:rPr>
            </w:pPr>
            <w:r w:rsidRPr="00EC0F3A">
              <w:rPr>
                <w:color w:val="000000"/>
                <w:sz w:val="16"/>
                <w:szCs w:val="16"/>
              </w:rPr>
              <w:t>5.</w:t>
            </w:r>
            <w:r>
              <w:rPr>
                <w:color w:val="000000"/>
                <w:sz w:val="16"/>
                <w:szCs w:val="16"/>
              </w:rPr>
              <w:t>8</w:t>
            </w:r>
          </w:p>
        </w:tc>
        <w:tc>
          <w:tcPr>
            <w:tcW w:w="850" w:type="dxa"/>
            <w:vAlign w:val="center"/>
          </w:tcPr>
          <w:p w:rsidR="00435C08" w:rsidRPr="00EC0F3A" w:rsidRDefault="00435C08" w:rsidP="0081083E">
            <w:pPr>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spacing w:before="20"/>
              <w:jc w:val="right"/>
              <w:rPr>
                <w:color w:val="000000"/>
                <w:sz w:val="16"/>
                <w:szCs w:val="16"/>
              </w:rPr>
            </w:pPr>
          </w:p>
        </w:tc>
        <w:tc>
          <w:tcPr>
            <w:tcW w:w="242" w:type="dxa"/>
            <w:vAlign w:val="center"/>
          </w:tcPr>
          <w:p w:rsidR="00435C08" w:rsidRPr="00EC0F3A" w:rsidRDefault="00435C08" w:rsidP="0081083E">
            <w:pPr>
              <w:spacing w:before="20"/>
              <w:jc w:val="right"/>
              <w:rPr>
                <w:color w:val="000000"/>
                <w:sz w:val="16"/>
                <w:szCs w:val="16"/>
              </w:rPr>
            </w:pPr>
          </w:p>
        </w:tc>
        <w:tc>
          <w:tcPr>
            <w:tcW w:w="747" w:type="dxa"/>
            <w:vAlign w:val="center"/>
          </w:tcPr>
          <w:p w:rsidR="00435C08" w:rsidRPr="00EC0F3A" w:rsidRDefault="00435C08"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Up to 15 minutes</w:t>
            </w:r>
          </w:p>
        </w:tc>
        <w:tc>
          <w:tcPr>
            <w:tcW w:w="1837" w:type="dxa"/>
          </w:tcPr>
          <w:p w:rsidR="00D347DF" w:rsidRPr="00EC0F3A" w:rsidRDefault="00D347DF" w:rsidP="0081083E">
            <w:pPr>
              <w:adjustRightInd w:val="0"/>
              <w:spacing w:before="20"/>
              <w:jc w:val="right"/>
              <w:rPr>
                <w:color w:val="000000"/>
                <w:sz w:val="16"/>
                <w:szCs w:val="16"/>
              </w:rPr>
            </w:pPr>
            <w:r>
              <w:rPr>
                <w:color w:val="000000"/>
                <w:sz w:val="16"/>
                <w:szCs w:val="16"/>
              </w:rPr>
              <w:t>5.0</w:t>
            </w:r>
          </w:p>
        </w:tc>
        <w:tc>
          <w:tcPr>
            <w:tcW w:w="850" w:type="dxa"/>
          </w:tcPr>
          <w:p w:rsidR="00D347DF" w:rsidRPr="00EC0F3A" w:rsidRDefault="00D347DF" w:rsidP="0081083E">
            <w:pPr>
              <w:keepNext/>
              <w:adjustRightInd w:val="0"/>
              <w:spacing w:before="20"/>
              <w:jc w:val="right"/>
              <w:rPr>
                <w:color w:val="000000"/>
                <w:sz w:val="16"/>
                <w:szCs w:val="16"/>
              </w:rPr>
            </w:pPr>
            <w:r w:rsidRPr="00EC0F3A">
              <w:rPr>
                <w:color w:val="000000"/>
                <w:sz w:val="16"/>
                <w:szCs w:val="16"/>
              </w:rPr>
              <w:t>0.86</w:t>
            </w:r>
          </w:p>
        </w:tc>
        <w:tc>
          <w:tcPr>
            <w:tcW w:w="1234" w:type="dxa"/>
            <w:gridSpan w:val="2"/>
          </w:tcPr>
          <w:p w:rsidR="00D347DF" w:rsidRPr="00EC0F3A" w:rsidRDefault="00085C0C" w:rsidP="00D347DF">
            <w:pPr>
              <w:keepNext/>
              <w:adjustRightInd w:val="0"/>
              <w:spacing w:before="20"/>
              <w:jc w:val="right"/>
              <w:rPr>
                <w:color w:val="000000"/>
                <w:sz w:val="16"/>
                <w:szCs w:val="16"/>
              </w:rPr>
            </w:pPr>
            <w:r>
              <w:rPr>
                <w:color w:val="000000"/>
                <w:sz w:val="16"/>
                <w:szCs w:val="16"/>
              </w:rPr>
              <w:t>(</w:t>
            </w:r>
            <w:r w:rsidR="00D347DF" w:rsidRPr="00EC0F3A">
              <w:rPr>
                <w:color w:val="000000"/>
                <w:sz w:val="16"/>
                <w:szCs w:val="16"/>
              </w:rPr>
              <w:t>0.22</w:t>
            </w:r>
            <w:r w:rsidR="00D347DF">
              <w:rPr>
                <w:color w:val="000000"/>
                <w:sz w:val="16"/>
                <w:szCs w:val="16"/>
              </w:rPr>
              <w:t xml:space="preserve"> - </w:t>
            </w:r>
            <w:r w:rsidR="00D347DF" w:rsidRPr="00EC0F3A">
              <w:rPr>
                <w:color w:val="000000"/>
                <w:sz w:val="16"/>
                <w:szCs w:val="16"/>
              </w:rPr>
              <w:t>3.36</w:t>
            </w:r>
            <w:r>
              <w:rPr>
                <w:color w:val="000000"/>
                <w:sz w:val="16"/>
                <w:szCs w:val="16"/>
              </w:rPr>
              <w:t>)</w:t>
            </w:r>
          </w:p>
        </w:tc>
        <w:tc>
          <w:tcPr>
            <w:tcW w:w="747" w:type="dxa"/>
            <w:vAlign w:val="center"/>
          </w:tcPr>
          <w:p w:rsidR="00D347DF" w:rsidRPr="00EC0F3A"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16 to 30 minutes</w:t>
            </w:r>
          </w:p>
        </w:tc>
        <w:tc>
          <w:tcPr>
            <w:tcW w:w="1837" w:type="dxa"/>
          </w:tcPr>
          <w:p w:rsidR="00D347DF" w:rsidRPr="00EC0F3A" w:rsidRDefault="00D347DF" w:rsidP="0081083E">
            <w:pPr>
              <w:adjustRightInd w:val="0"/>
              <w:spacing w:before="20"/>
              <w:jc w:val="right"/>
              <w:rPr>
                <w:color w:val="000000"/>
                <w:sz w:val="16"/>
                <w:szCs w:val="16"/>
              </w:rPr>
            </w:pPr>
            <w:r w:rsidRPr="00EC0F3A">
              <w:rPr>
                <w:color w:val="000000"/>
                <w:sz w:val="16"/>
                <w:szCs w:val="16"/>
              </w:rPr>
              <w:t>11.5</w:t>
            </w:r>
          </w:p>
        </w:tc>
        <w:tc>
          <w:tcPr>
            <w:tcW w:w="850" w:type="dxa"/>
          </w:tcPr>
          <w:p w:rsidR="00D347DF" w:rsidRPr="00EC0F3A" w:rsidRDefault="00D347DF" w:rsidP="0081083E">
            <w:pPr>
              <w:keepNext/>
              <w:adjustRightInd w:val="0"/>
              <w:spacing w:before="20"/>
              <w:jc w:val="right"/>
              <w:rPr>
                <w:color w:val="000000"/>
                <w:sz w:val="16"/>
                <w:szCs w:val="16"/>
              </w:rPr>
            </w:pPr>
            <w:r w:rsidRPr="00EC0F3A">
              <w:rPr>
                <w:color w:val="000000"/>
                <w:sz w:val="16"/>
                <w:szCs w:val="16"/>
              </w:rPr>
              <w:t>2.13</w:t>
            </w:r>
          </w:p>
        </w:tc>
        <w:tc>
          <w:tcPr>
            <w:tcW w:w="1234" w:type="dxa"/>
            <w:gridSpan w:val="2"/>
          </w:tcPr>
          <w:p w:rsidR="00D347DF" w:rsidRPr="00EC0F3A" w:rsidRDefault="00085C0C" w:rsidP="00D347DF">
            <w:pPr>
              <w:keepNext/>
              <w:adjustRightInd w:val="0"/>
              <w:spacing w:before="20"/>
              <w:jc w:val="right"/>
              <w:rPr>
                <w:color w:val="000000"/>
                <w:sz w:val="16"/>
                <w:szCs w:val="16"/>
              </w:rPr>
            </w:pPr>
            <w:r>
              <w:rPr>
                <w:color w:val="000000"/>
                <w:sz w:val="16"/>
                <w:szCs w:val="16"/>
              </w:rPr>
              <w:t>(</w:t>
            </w:r>
            <w:r w:rsidR="00D347DF" w:rsidRPr="00EC0F3A">
              <w:rPr>
                <w:color w:val="000000"/>
                <w:sz w:val="16"/>
                <w:szCs w:val="16"/>
              </w:rPr>
              <w:t>0.79</w:t>
            </w:r>
            <w:r w:rsidR="00D347DF">
              <w:rPr>
                <w:color w:val="000000"/>
                <w:sz w:val="16"/>
                <w:szCs w:val="16"/>
              </w:rPr>
              <w:t xml:space="preserve"> - </w:t>
            </w:r>
            <w:r w:rsidR="00D347DF" w:rsidRPr="00EC0F3A">
              <w:rPr>
                <w:color w:val="000000"/>
                <w:sz w:val="16"/>
                <w:szCs w:val="16"/>
              </w:rPr>
              <w:t>5.76</w:t>
            </w:r>
            <w:r>
              <w:rPr>
                <w:color w:val="000000"/>
                <w:sz w:val="16"/>
                <w:szCs w:val="16"/>
              </w:rPr>
              <w:t>)</w:t>
            </w:r>
          </w:p>
        </w:tc>
        <w:tc>
          <w:tcPr>
            <w:tcW w:w="747" w:type="dxa"/>
            <w:vAlign w:val="center"/>
          </w:tcPr>
          <w:p w:rsidR="00D347DF" w:rsidRPr="00EC0F3A"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31 to 60 minutes</w:t>
            </w:r>
          </w:p>
        </w:tc>
        <w:tc>
          <w:tcPr>
            <w:tcW w:w="1837" w:type="dxa"/>
          </w:tcPr>
          <w:p w:rsidR="00D347DF" w:rsidRPr="00EC0F3A" w:rsidRDefault="00D347DF" w:rsidP="0081083E">
            <w:pPr>
              <w:adjustRightInd w:val="0"/>
              <w:spacing w:before="20"/>
              <w:jc w:val="right"/>
              <w:rPr>
                <w:color w:val="000000"/>
                <w:sz w:val="16"/>
                <w:szCs w:val="16"/>
              </w:rPr>
            </w:pPr>
            <w:r w:rsidRPr="00EC0F3A">
              <w:rPr>
                <w:color w:val="000000"/>
                <w:sz w:val="16"/>
                <w:szCs w:val="16"/>
              </w:rPr>
              <w:t>17.</w:t>
            </w:r>
            <w:r>
              <w:rPr>
                <w:color w:val="000000"/>
                <w:sz w:val="16"/>
                <w:szCs w:val="16"/>
              </w:rPr>
              <w:t>9</w:t>
            </w:r>
          </w:p>
        </w:tc>
        <w:tc>
          <w:tcPr>
            <w:tcW w:w="850" w:type="dxa"/>
          </w:tcPr>
          <w:p w:rsidR="00D347DF" w:rsidRPr="00EC0F3A" w:rsidRDefault="00D347DF" w:rsidP="0081083E">
            <w:pPr>
              <w:adjustRightInd w:val="0"/>
              <w:spacing w:before="20"/>
              <w:jc w:val="right"/>
              <w:rPr>
                <w:color w:val="000000"/>
                <w:sz w:val="16"/>
                <w:szCs w:val="16"/>
              </w:rPr>
            </w:pPr>
            <w:r w:rsidRPr="00EC0F3A">
              <w:rPr>
                <w:color w:val="000000"/>
                <w:sz w:val="16"/>
                <w:szCs w:val="16"/>
              </w:rPr>
              <w:t>3.56</w:t>
            </w:r>
          </w:p>
        </w:tc>
        <w:tc>
          <w:tcPr>
            <w:tcW w:w="1234" w:type="dxa"/>
            <w:gridSpan w:val="2"/>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1.42</w:t>
            </w:r>
            <w:r w:rsidR="00D347DF">
              <w:rPr>
                <w:color w:val="000000"/>
                <w:sz w:val="16"/>
                <w:szCs w:val="16"/>
              </w:rPr>
              <w:t xml:space="preserve"> - </w:t>
            </w:r>
            <w:r w:rsidR="00D347DF" w:rsidRPr="00EC0F3A">
              <w:rPr>
                <w:color w:val="000000"/>
                <w:sz w:val="16"/>
                <w:szCs w:val="16"/>
              </w:rPr>
              <w:t>8.93</w:t>
            </w:r>
            <w:r>
              <w:rPr>
                <w:color w:val="000000"/>
                <w:sz w:val="16"/>
                <w:szCs w:val="16"/>
              </w:rPr>
              <w:t>)</w:t>
            </w:r>
          </w:p>
        </w:tc>
        <w:tc>
          <w:tcPr>
            <w:tcW w:w="747" w:type="dxa"/>
            <w:vAlign w:val="center"/>
          </w:tcPr>
          <w:p w:rsidR="00D347DF" w:rsidRPr="00EC0F3A" w:rsidRDefault="00D347DF" w:rsidP="0081083E">
            <w:pPr>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&gt;60 minutes</w:t>
            </w:r>
          </w:p>
        </w:tc>
        <w:tc>
          <w:tcPr>
            <w:tcW w:w="1837" w:type="dxa"/>
          </w:tcPr>
          <w:p w:rsidR="00D347DF" w:rsidRPr="00EC0F3A" w:rsidRDefault="00D347DF" w:rsidP="0081083E">
            <w:pPr>
              <w:adjustRightInd w:val="0"/>
              <w:spacing w:before="20"/>
              <w:jc w:val="right"/>
              <w:rPr>
                <w:color w:val="000000"/>
                <w:sz w:val="16"/>
                <w:szCs w:val="16"/>
              </w:rPr>
            </w:pPr>
            <w:r w:rsidRPr="00EC0F3A">
              <w:rPr>
                <w:color w:val="000000"/>
                <w:sz w:val="16"/>
                <w:szCs w:val="16"/>
              </w:rPr>
              <w:t>19.</w:t>
            </w:r>
            <w:r>
              <w:rPr>
                <w:color w:val="000000"/>
                <w:sz w:val="16"/>
                <w:szCs w:val="16"/>
              </w:rPr>
              <w:t>3</w:t>
            </w:r>
          </w:p>
        </w:tc>
        <w:tc>
          <w:tcPr>
            <w:tcW w:w="850" w:type="dxa"/>
          </w:tcPr>
          <w:p w:rsidR="00D347DF" w:rsidRPr="00EC0F3A" w:rsidRDefault="00D347DF" w:rsidP="0081083E">
            <w:pPr>
              <w:adjustRightInd w:val="0"/>
              <w:spacing w:before="20"/>
              <w:jc w:val="right"/>
              <w:rPr>
                <w:color w:val="000000"/>
                <w:sz w:val="16"/>
                <w:szCs w:val="16"/>
              </w:rPr>
            </w:pPr>
            <w:r w:rsidRPr="00EC0F3A">
              <w:rPr>
                <w:color w:val="000000"/>
                <w:sz w:val="16"/>
                <w:szCs w:val="16"/>
              </w:rPr>
              <w:t>3.90</w:t>
            </w:r>
          </w:p>
        </w:tc>
        <w:tc>
          <w:tcPr>
            <w:tcW w:w="1234" w:type="dxa"/>
            <w:gridSpan w:val="2"/>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1.69</w:t>
            </w:r>
            <w:r w:rsidR="00D347DF">
              <w:rPr>
                <w:color w:val="000000"/>
                <w:sz w:val="16"/>
                <w:szCs w:val="16"/>
              </w:rPr>
              <w:t xml:space="preserve"> - </w:t>
            </w:r>
            <w:r w:rsidR="00D347DF" w:rsidRPr="00EC0F3A">
              <w:rPr>
                <w:color w:val="000000"/>
                <w:sz w:val="16"/>
                <w:szCs w:val="16"/>
              </w:rPr>
              <w:t>8.99</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spacing w:before="20"/>
              <w:jc w:val="right"/>
              <w:rPr>
                <w:color w:val="000000"/>
                <w:sz w:val="16"/>
                <w:szCs w:val="16"/>
              </w:rPr>
            </w:pPr>
            <w:r w:rsidRPr="00EC0F3A">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rPr>
                <w:rFonts w:ascii="Calibri" w:hAnsi="Calibri"/>
                <w:b/>
                <w:bCs/>
                <w:color w:val="000000"/>
                <w:sz w:val="16"/>
                <w:szCs w:val="16"/>
              </w:rPr>
            </w:pPr>
            <w:r w:rsidRPr="009B1415">
              <w:rPr>
                <w:b/>
                <w:bCs/>
                <w:color w:val="000000"/>
                <w:sz w:val="16"/>
                <w:szCs w:val="16"/>
              </w:rPr>
              <w:t>Time spent playing EGMs in an average day (pub)</w:t>
            </w:r>
          </w:p>
        </w:tc>
        <w:tc>
          <w:tcPr>
            <w:tcW w:w="1837" w:type="dxa"/>
            <w:vAlign w:val="center"/>
          </w:tcPr>
          <w:p w:rsidR="00435C08" w:rsidRPr="00EC0F3A" w:rsidRDefault="00435C08" w:rsidP="00E9638E">
            <w:pPr>
              <w:adjustRightInd w:val="0"/>
              <w:spacing w:before="20"/>
              <w:jc w:val="right"/>
              <w:rPr>
                <w:color w:val="000000"/>
                <w:sz w:val="16"/>
                <w:szCs w:val="16"/>
              </w:rPr>
            </w:pPr>
          </w:p>
        </w:tc>
        <w:tc>
          <w:tcPr>
            <w:tcW w:w="850" w:type="dxa"/>
            <w:vAlign w:val="center"/>
          </w:tcPr>
          <w:p w:rsidR="00435C08" w:rsidRPr="00EC0F3A" w:rsidRDefault="00435C08" w:rsidP="00E9638E">
            <w:pPr>
              <w:adjustRightInd w:val="0"/>
              <w:spacing w:before="20"/>
              <w:jc w:val="right"/>
              <w:rPr>
                <w:color w:val="000000"/>
                <w:sz w:val="16"/>
                <w:szCs w:val="16"/>
              </w:rPr>
            </w:pPr>
          </w:p>
        </w:tc>
        <w:tc>
          <w:tcPr>
            <w:tcW w:w="992" w:type="dxa"/>
            <w:vAlign w:val="center"/>
          </w:tcPr>
          <w:p w:rsidR="00435C08" w:rsidRPr="00EC0F3A" w:rsidRDefault="00435C08" w:rsidP="00E9638E">
            <w:pPr>
              <w:adjustRightInd w:val="0"/>
              <w:spacing w:before="20"/>
              <w:jc w:val="right"/>
              <w:rPr>
                <w:color w:val="000000"/>
                <w:sz w:val="16"/>
                <w:szCs w:val="16"/>
              </w:rPr>
            </w:pPr>
          </w:p>
        </w:tc>
        <w:tc>
          <w:tcPr>
            <w:tcW w:w="242" w:type="dxa"/>
            <w:vAlign w:val="center"/>
          </w:tcPr>
          <w:p w:rsidR="00435C08" w:rsidRPr="00EC0F3A" w:rsidRDefault="00435C08" w:rsidP="00E9638E">
            <w:pPr>
              <w:adjustRightInd w:val="0"/>
              <w:spacing w:before="20"/>
              <w:jc w:val="right"/>
              <w:rPr>
                <w:color w:val="000000"/>
                <w:sz w:val="16"/>
                <w:szCs w:val="16"/>
              </w:rPr>
            </w:pPr>
          </w:p>
        </w:tc>
        <w:tc>
          <w:tcPr>
            <w:tcW w:w="747" w:type="dxa"/>
            <w:vAlign w:val="center"/>
          </w:tcPr>
          <w:p w:rsidR="00435C08" w:rsidRPr="00EC0F3A"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spacing w:before="20"/>
              <w:ind w:left="176"/>
              <w:jc w:val="both"/>
              <w:rPr>
                <w:sz w:val="16"/>
                <w:szCs w:val="16"/>
              </w:rPr>
            </w:pPr>
            <w:r w:rsidRPr="009B1415">
              <w:rPr>
                <w:sz w:val="16"/>
                <w:szCs w:val="16"/>
              </w:rPr>
              <w:t>No time</w:t>
            </w:r>
          </w:p>
        </w:tc>
        <w:tc>
          <w:tcPr>
            <w:tcW w:w="1837" w:type="dxa"/>
          </w:tcPr>
          <w:p w:rsidR="00435C08" w:rsidRPr="00EC0F3A" w:rsidRDefault="00435C08" w:rsidP="00E9638E">
            <w:pPr>
              <w:adjustRightInd w:val="0"/>
              <w:spacing w:before="20"/>
              <w:jc w:val="right"/>
              <w:rPr>
                <w:color w:val="000000"/>
                <w:sz w:val="16"/>
                <w:szCs w:val="16"/>
              </w:rPr>
            </w:pPr>
            <w:r w:rsidRPr="00EC0F3A">
              <w:rPr>
                <w:color w:val="000000"/>
                <w:sz w:val="16"/>
                <w:szCs w:val="16"/>
              </w:rPr>
              <w:t>4.9</w:t>
            </w:r>
          </w:p>
        </w:tc>
        <w:tc>
          <w:tcPr>
            <w:tcW w:w="850" w:type="dxa"/>
            <w:vAlign w:val="center"/>
          </w:tcPr>
          <w:p w:rsidR="00435C08" w:rsidRPr="00EC0F3A" w:rsidRDefault="00435C08" w:rsidP="00E9638E">
            <w:pPr>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E9638E">
            <w:pPr>
              <w:spacing w:before="20"/>
              <w:jc w:val="right"/>
              <w:rPr>
                <w:color w:val="000000"/>
                <w:sz w:val="16"/>
                <w:szCs w:val="16"/>
              </w:rPr>
            </w:pPr>
          </w:p>
        </w:tc>
        <w:tc>
          <w:tcPr>
            <w:tcW w:w="242" w:type="dxa"/>
            <w:vAlign w:val="center"/>
          </w:tcPr>
          <w:p w:rsidR="00435C08" w:rsidRPr="00EC0F3A" w:rsidRDefault="00435C08" w:rsidP="00E9638E">
            <w:pPr>
              <w:spacing w:before="20"/>
              <w:jc w:val="right"/>
              <w:rPr>
                <w:color w:val="000000"/>
                <w:sz w:val="16"/>
                <w:szCs w:val="16"/>
              </w:rPr>
            </w:pPr>
          </w:p>
        </w:tc>
        <w:tc>
          <w:tcPr>
            <w:tcW w:w="747" w:type="dxa"/>
            <w:vAlign w:val="center"/>
          </w:tcPr>
          <w:p w:rsidR="00435C08" w:rsidRPr="00EC0F3A" w:rsidRDefault="00435C08"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Up to 15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12.3</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2.71</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1.21</w:t>
            </w:r>
            <w:r w:rsidR="00D347DF">
              <w:rPr>
                <w:color w:val="000000"/>
                <w:sz w:val="16"/>
                <w:szCs w:val="16"/>
              </w:rPr>
              <w:t xml:space="preserve"> - </w:t>
            </w:r>
            <w:r w:rsidR="00D347DF" w:rsidRPr="00EC0F3A">
              <w:rPr>
                <w:color w:val="000000"/>
                <w:sz w:val="16"/>
                <w:szCs w:val="16"/>
              </w:rPr>
              <w:t>6.05</w:t>
            </w:r>
            <w:r>
              <w:rPr>
                <w:color w:val="000000"/>
                <w:sz w:val="16"/>
                <w:szCs w:val="16"/>
              </w:rPr>
              <w:t>)</w:t>
            </w:r>
          </w:p>
        </w:tc>
        <w:tc>
          <w:tcPr>
            <w:tcW w:w="747" w:type="dxa"/>
            <w:vAlign w:val="center"/>
          </w:tcPr>
          <w:p w:rsidR="00D347DF" w:rsidRPr="00EC0F3A" w:rsidRDefault="00D347DF"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16 to 30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14.1</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3.16</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1.56</w:t>
            </w:r>
            <w:r w:rsidR="00D347DF">
              <w:rPr>
                <w:color w:val="000000"/>
                <w:sz w:val="16"/>
                <w:szCs w:val="16"/>
              </w:rPr>
              <w:t xml:space="preserve"> - </w:t>
            </w:r>
            <w:r w:rsidR="00D347DF" w:rsidRPr="00EC0F3A">
              <w:rPr>
                <w:color w:val="000000"/>
                <w:sz w:val="16"/>
                <w:szCs w:val="16"/>
              </w:rPr>
              <w:t>6.41</w:t>
            </w:r>
            <w:r>
              <w:rPr>
                <w:color w:val="000000"/>
                <w:sz w:val="16"/>
                <w:szCs w:val="16"/>
              </w:rPr>
              <w:t>)</w:t>
            </w:r>
          </w:p>
        </w:tc>
        <w:tc>
          <w:tcPr>
            <w:tcW w:w="747" w:type="dxa"/>
            <w:vAlign w:val="center"/>
          </w:tcPr>
          <w:p w:rsidR="00D347DF" w:rsidRPr="00EC0F3A" w:rsidRDefault="00D347DF"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31 to 60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23.</w:t>
            </w:r>
            <w:r>
              <w:rPr>
                <w:color w:val="000000"/>
                <w:sz w:val="16"/>
                <w:szCs w:val="16"/>
              </w:rPr>
              <w:t>6</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5.94</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2.89</w:t>
            </w:r>
            <w:r w:rsidR="00D347DF">
              <w:rPr>
                <w:color w:val="000000"/>
                <w:sz w:val="16"/>
                <w:szCs w:val="16"/>
              </w:rPr>
              <w:t xml:space="preserve"> - </w:t>
            </w:r>
            <w:r w:rsidR="00D347DF" w:rsidRPr="00EC0F3A">
              <w:rPr>
                <w:color w:val="000000"/>
                <w:sz w:val="16"/>
                <w:szCs w:val="16"/>
              </w:rPr>
              <w:t>12.22</w:t>
            </w:r>
            <w:r>
              <w:rPr>
                <w:color w:val="000000"/>
                <w:sz w:val="16"/>
                <w:szCs w:val="16"/>
              </w:rPr>
              <w:t>)</w:t>
            </w:r>
          </w:p>
        </w:tc>
        <w:tc>
          <w:tcPr>
            <w:tcW w:w="747" w:type="dxa"/>
            <w:vAlign w:val="center"/>
          </w:tcPr>
          <w:p w:rsidR="00D347DF" w:rsidRPr="00EC0F3A" w:rsidRDefault="00D347DF"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&gt;60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33.</w:t>
            </w:r>
            <w:r>
              <w:rPr>
                <w:color w:val="000000"/>
                <w:sz w:val="16"/>
                <w:szCs w:val="16"/>
              </w:rPr>
              <w:t>6</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9.73</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3.90</w:t>
            </w:r>
            <w:r w:rsidR="00D347DF">
              <w:rPr>
                <w:color w:val="000000"/>
                <w:sz w:val="16"/>
                <w:szCs w:val="16"/>
              </w:rPr>
              <w:t xml:space="preserve"> - </w:t>
            </w:r>
            <w:r w:rsidR="00D347DF" w:rsidRPr="00EC0F3A">
              <w:rPr>
                <w:color w:val="000000"/>
                <w:sz w:val="16"/>
                <w:szCs w:val="16"/>
              </w:rPr>
              <w:t>24.27</w:t>
            </w:r>
          </w:p>
        </w:tc>
        <w:tc>
          <w:tcPr>
            <w:tcW w:w="747" w:type="dxa"/>
            <w:shd w:val="clear" w:color="auto" w:fill="D9D9D9" w:themeFill="background1" w:themeFillShade="D9"/>
            <w:vAlign w:val="center"/>
          </w:tcPr>
          <w:p w:rsidR="00D347DF" w:rsidRPr="00EC0F3A" w:rsidRDefault="00D347DF" w:rsidP="00E9638E">
            <w:pPr>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435C08" w:rsidRPr="009B1415" w:rsidTr="00E05935">
        <w:tc>
          <w:tcPr>
            <w:tcW w:w="3800" w:type="dxa"/>
            <w:vAlign w:val="bottom"/>
          </w:tcPr>
          <w:p w:rsidR="00435C08" w:rsidRPr="009B1415" w:rsidRDefault="00435C08" w:rsidP="00E9638E">
            <w:pPr>
              <w:keepNext/>
              <w:spacing w:before="20"/>
              <w:jc w:val="both"/>
              <w:rPr>
                <w:b/>
                <w:sz w:val="16"/>
                <w:szCs w:val="16"/>
              </w:rPr>
            </w:pPr>
            <w:r w:rsidRPr="009B1415">
              <w:rPr>
                <w:b/>
                <w:bCs/>
                <w:color w:val="000000"/>
                <w:sz w:val="16"/>
                <w:szCs w:val="16"/>
              </w:rPr>
              <w:t>Time spent playing EGMs in an average day (club)</w:t>
            </w:r>
          </w:p>
        </w:tc>
        <w:tc>
          <w:tcPr>
            <w:tcW w:w="1837" w:type="dxa"/>
            <w:vAlign w:val="center"/>
          </w:tcPr>
          <w:p w:rsidR="00435C08" w:rsidRPr="000C1AB9" w:rsidRDefault="00435C08" w:rsidP="00E9638E">
            <w:pPr>
              <w:keepNext/>
              <w:adjustRightInd w:val="0"/>
              <w:spacing w:before="20"/>
              <w:jc w:val="right"/>
              <w:rPr>
                <w:color w:val="000000"/>
                <w:sz w:val="16"/>
                <w:szCs w:val="16"/>
              </w:rPr>
            </w:pPr>
          </w:p>
        </w:tc>
        <w:tc>
          <w:tcPr>
            <w:tcW w:w="850" w:type="dxa"/>
            <w:vAlign w:val="center"/>
          </w:tcPr>
          <w:p w:rsidR="00435C08" w:rsidRPr="000C1AB9" w:rsidRDefault="00435C08" w:rsidP="00E9638E">
            <w:pPr>
              <w:keepNext/>
              <w:adjustRightInd w:val="0"/>
              <w:spacing w:before="20"/>
              <w:jc w:val="right"/>
              <w:rPr>
                <w:color w:val="000000"/>
                <w:sz w:val="16"/>
                <w:szCs w:val="16"/>
              </w:rPr>
            </w:pPr>
          </w:p>
        </w:tc>
        <w:tc>
          <w:tcPr>
            <w:tcW w:w="992" w:type="dxa"/>
            <w:vAlign w:val="center"/>
          </w:tcPr>
          <w:p w:rsidR="00435C08" w:rsidRPr="000C1AB9" w:rsidRDefault="00435C08" w:rsidP="00E9638E">
            <w:pPr>
              <w:keepNext/>
              <w:adjustRightInd w:val="0"/>
              <w:spacing w:before="20"/>
              <w:jc w:val="right"/>
              <w:rPr>
                <w:color w:val="000000"/>
                <w:sz w:val="16"/>
                <w:szCs w:val="16"/>
              </w:rPr>
            </w:pPr>
          </w:p>
        </w:tc>
        <w:tc>
          <w:tcPr>
            <w:tcW w:w="242" w:type="dxa"/>
            <w:vAlign w:val="center"/>
          </w:tcPr>
          <w:p w:rsidR="00435C08" w:rsidRPr="000C1AB9" w:rsidRDefault="00435C08" w:rsidP="00E9638E">
            <w:pPr>
              <w:keepNext/>
              <w:adjustRightInd w:val="0"/>
              <w:spacing w:before="20"/>
              <w:jc w:val="right"/>
              <w:rPr>
                <w:color w:val="000000"/>
                <w:sz w:val="16"/>
                <w:szCs w:val="16"/>
              </w:rPr>
            </w:pPr>
          </w:p>
        </w:tc>
        <w:tc>
          <w:tcPr>
            <w:tcW w:w="747" w:type="dxa"/>
            <w:vAlign w:val="center"/>
          </w:tcPr>
          <w:p w:rsidR="00435C08" w:rsidRPr="000C1AB9" w:rsidRDefault="00435C08" w:rsidP="00E9638E">
            <w:pPr>
              <w:keepNext/>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keepNext/>
              <w:spacing w:before="20"/>
              <w:ind w:left="176"/>
              <w:jc w:val="both"/>
              <w:rPr>
                <w:sz w:val="16"/>
                <w:szCs w:val="16"/>
              </w:rPr>
            </w:pPr>
            <w:r w:rsidRPr="009B1415">
              <w:rPr>
                <w:sz w:val="16"/>
                <w:szCs w:val="16"/>
              </w:rPr>
              <w:t>No time</w:t>
            </w:r>
          </w:p>
        </w:tc>
        <w:tc>
          <w:tcPr>
            <w:tcW w:w="1837" w:type="dxa"/>
          </w:tcPr>
          <w:p w:rsidR="00435C08" w:rsidRPr="00EC0F3A" w:rsidRDefault="00435C08" w:rsidP="00E9638E">
            <w:pPr>
              <w:keepNext/>
              <w:adjustRightInd w:val="0"/>
              <w:spacing w:before="20"/>
              <w:jc w:val="right"/>
              <w:rPr>
                <w:color w:val="000000"/>
                <w:sz w:val="16"/>
                <w:szCs w:val="16"/>
              </w:rPr>
            </w:pPr>
            <w:r w:rsidRPr="00EC0F3A">
              <w:rPr>
                <w:color w:val="000000"/>
                <w:sz w:val="16"/>
                <w:szCs w:val="16"/>
              </w:rPr>
              <w:t>5.7</w:t>
            </w:r>
          </w:p>
        </w:tc>
        <w:tc>
          <w:tcPr>
            <w:tcW w:w="850" w:type="dxa"/>
            <w:vAlign w:val="center"/>
          </w:tcPr>
          <w:p w:rsidR="00435C08" w:rsidRPr="00EC0F3A" w:rsidRDefault="00435C08" w:rsidP="00E9638E">
            <w:pPr>
              <w:keepNext/>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E9638E">
            <w:pPr>
              <w:keepNext/>
              <w:spacing w:before="20"/>
              <w:jc w:val="right"/>
              <w:rPr>
                <w:color w:val="000000"/>
                <w:sz w:val="16"/>
                <w:szCs w:val="16"/>
              </w:rPr>
            </w:pPr>
          </w:p>
        </w:tc>
        <w:tc>
          <w:tcPr>
            <w:tcW w:w="242" w:type="dxa"/>
            <w:vAlign w:val="center"/>
          </w:tcPr>
          <w:p w:rsidR="00435C08" w:rsidRPr="00EC0F3A" w:rsidRDefault="00435C08" w:rsidP="00E9638E">
            <w:pPr>
              <w:keepNext/>
              <w:spacing w:before="20"/>
              <w:jc w:val="right"/>
              <w:rPr>
                <w:color w:val="000000"/>
                <w:sz w:val="16"/>
                <w:szCs w:val="16"/>
              </w:rPr>
            </w:pPr>
          </w:p>
        </w:tc>
        <w:tc>
          <w:tcPr>
            <w:tcW w:w="747" w:type="dxa"/>
            <w:vAlign w:val="center"/>
          </w:tcPr>
          <w:p w:rsidR="00435C08" w:rsidRPr="00EC0F3A" w:rsidRDefault="00435C08" w:rsidP="00E9638E">
            <w:pPr>
              <w:keepNext/>
              <w:spacing w:before="20"/>
              <w:jc w:val="right"/>
              <w:rPr>
                <w:color w:val="000000"/>
                <w:sz w:val="16"/>
                <w:szCs w:val="16"/>
              </w:rPr>
            </w:pPr>
          </w:p>
        </w:tc>
      </w:tr>
      <w:tr w:rsidR="00D347DF" w:rsidRPr="009B1415" w:rsidTr="00E05935">
        <w:tc>
          <w:tcPr>
            <w:tcW w:w="3800" w:type="dxa"/>
          </w:tcPr>
          <w:p w:rsidR="00D347DF" w:rsidRPr="009B1415" w:rsidRDefault="00D347DF" w:rsidP="00E9638E">
            <w:pPr>
              <w:keepNext/>
              <w:spacing w:before="20"/>
              <w:ind w:left="176"/>
              <w:jc w:val="both"/>
              <w:rPr>
                <w:sz w:val="16"/>
                <w:szCs w:val="16"/>
              </w:rPr>
            </w:pPr>
            <w:r w:rsidRPr="009B1415">
              <w:rPr>
                <w:sz w:val="16"/>
                <w:szCs w:val="16"/>
              </w:rPr>
              <w:t>Up to 15 minutes</w:t>
            </w:r>
          </w:p>
        </w:tc>
        <w:tc>
          <w:tcPr>
            <w:tcW w:w="1837" w:type="dxa"/>
          </w:tcPr>
          <w:p w:rsidR="00D347DF" w:rsidRPr="00EC0F3A" w:rsidRDefault="00D347DF" w:rsidP="00E9638E">
            <w:pPr>
              <w:keepNext/>
              <w:adjustRightInd w:val="0"/>
              <w:spacing w:before="20"/>
              <w:jc w:val="right"/>
              <w:rPr>
                <w:color w:val="000000"/>
                <w:sz w:val="16"/>
                <w:szCs w:val="16"/>
              </w:rPr>
            </w:pPr>
            <w:r>
              <w:rPr>
                <w:color w:val="000000"/>
                <w:sz w:val="16"/>
                <w:szCs w:val="16"/>
              </w:rPr>
              <w:t>1.</w:t>
            </w:r>
            <w:r w:rsidRPr="00EC0F3A">
              <w:rPr>
                <w:color w:val="000000"/>
                <w:sz w:val="16"/>
                <w:szCs w:val="16"/>
              </w:rPr>
              <w:t>9</w:t>
            </w:r>
          </w:p>
        </w:tc>
        <w:tc>
          <w:tcPr>
            <w:tcW w:w="850" w:type="dxa"/>
          </w:tcPr>
          <w:p w:rsidR="00D347DF" w:rsidRPr="00EC0F3A" w:rsidRDefault="00D347DF" w:rsidP="00E9638E">
            <w:pPr>
              <w:keepNext/>
              <w:adjustRightInd w:val="0"/>
              <w:spacing w:before="20"/>
              <w:jc w:val="right"/>
              <w:rPr>
                <w:color w:val="000000"/>
                <w:sz w:val="16"/>
                <w:szCs w:val="16"/>
              </w:rPr>
            </w:pPr>
            <w:r w:rsidRPr="00EC0F3A">
              <w:rPr>
                <w:color w:val="000000"/>
                <w:sz w:val="16"/>
                <w:szCs w:val="16"/>
              </w:rPr>
              <w:t>0.32</w:t>
            </w:r>
          </w:p>
        </w:tc>
        <w:tc>
          <w:tcPr>
            <w:tcW w:w="1234" w:type="dxa"/>
            <w:gridSpan w:val="2"/>
          </w:tcPr>
          <w:p w:rsidR="00D347DF" w:rsidRPr="00EC0F3A" w:rsidRDefault="00085C0C" w:rsidP="00E9638E">
            <w:pPr>
              <w:keepNext/>
              <w:adjustRightInd w:val="0"/>
              <w:spacing w:before="20"/>
              <w:jc w:val="right"/>
              <w:rPr>
                <w:color w:val="000000"/>
                <w:sz w:val="16"/>
                <w:szCs w:val="16"/>
              </w:rPr>
            </w:pPr>
            <w:r>
              <w:rPr>
                <w:color w:val="000000"/>
                <w:sz w:val="16"/>
                <w:szCs w:val="16"/>
              </w:rPr>
              <w:t>(</w:t>
            </w:r>
            <w:r w:rsidR="00D347DF" w:rsidRPr="00EC0F3A">
              <w:rPr>
                <w:color w:val="000000"/>
                <w:sz w:val="16"/>
                <w:szCs w:val="16"/>
              </w:rPr>
              <w:t>0.07</w:t>
            </w:r>
            <w:r w:rsidR="00D347DF">
              <w:rPr>
                <w:color w:val="000000"/>
                <w:sz w:val="16"/>
                <w:szCs w:val="16"/>
              </w:rPr>
              <w:t xml:space="preserve"> - </w:t>
            </w:r>
            <w:r w:rsidR="00D347DF" w:rsidRPr="00EC0F3A">
              <w:rPr>
                <w:color w:val="000000"/>
                <w:sz w:val="16"/>
                <w:szCs w:val="16"/>
              </w:rPr>
              <w:t>1.42</w:t>
            </w:r>
            <w:r>
              <w:rPr>
                <w:color w:val="000000"/>
                <w:sz w:val="16"/>
                <w:szCs w:val="16"/>
              </w:rPr>
              <w:t>)</w:t>
            </w:r>
          </w:p>
        </w:tc>
        <w:tc>
          <w:tcPr>
            <w:tcW w:w="747" w:type="dxa"/>
            <w:vAlign w:val="center"/>
          </w:tcPr>
          <w:p w:rsidR="00D347DF" w:rsidRPr="00EC0F3A" w:rsidRDefault="00D347DF" w:rsidP="00E9638E">
            <w:pPr>
              <w:keepNext/>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16 to 30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16.</w:t>
            </w:r>
            <w:r>
              <w:rPr>
                <w:color w:val="000000"/>
                <w:sz w:val="16"/>
                <w:szCs w:val="16"/>
              </w:rPr>
              <w:t>4</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3.22</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1.47</w:t>
            </w:r>
            <w:r w:rsidR="00D347DF">
              <w:rPr>
                <w:color w:val="000000"/>
                <w:sz w:val="16"/>
                <w:szCs w:val="16"/>
              </w:rPr>
              <w:t xml:space="preserve"> - </w:t>
            </w:r>
            <w:r w:rsidR="00D347DF" w:rsidRPr="00EC0F3A">
              <w:rPr>
                <w:color w:val="000000"/>
                <w:sz w:val="16"/>
                <w:szCs w:val="16"/>
              </w:rPr>
              <w:t>7.06</w:t>
            </w:r>
            <w:r>
              <w:rPr>
                <w:color w:val="000000"/>
                <w:sz w:val="16"/>
                <w:szCs w:val="16"/>
              </w:rPr>
              <w:t>)</w:t>
            </w:r>
          </w:p>
        </w:tc>
        <w:tc>
          <w:tcPr>
            <w:tcW w:w="747" w:type="dxa"/>
            <w:vAlign w:val="center"/>
          </w:tcPr>
          <w:p w:rsidR="00D347DF" w:rsidRPr="00EC0F3A" w:rsidRDefault="00D347DF"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31 to 60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26.</w:t>
            </w:r>
            <w:r>
              <w:rPr>
                <w:color w:val="000000"/>
                <w:sz w:val="16"/>
                <w:szCs w:val="16"/>
              </w:rPr>
              <w:t>7</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5.97</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2.54</w:t>
            </w:r>
            <w:r w:rsidR="00D347DF">
              <w:rPr>
                <w:color w:val="000000"/>
                <w:sz w:val="16"/>
                <w:szCs w:val="16"/>
              </w:rPr>
              <w:t xml:space="preserve"> - </w:t>
            </w:r>
            <w:r w:rsidR="00D347DF" w:rsidRPr="00EC0F3A">
              <w:rPr>
                <w:color w:val="000000"/>
                <w:sz w:val="16"/>
                <w:szCs w:val="16"/>
              </w:rPr>
              <w:t>14.02</w:t>
            </w:r>
            <w:r>
              <w:rPr>
                <w:color w:val="000000"/>
                <w:sz w:val="16"/>
                <w:szCs w:val="16"/>
              </w:rPr>
              <w:t>)</w:t>
            </w:r>
          </w:p>
        </w:tc>
        <w:tc>
          <w:tcPr>
            <w:tcW w:w="747" w:type="dxa"/>
            <w:shd w:val="clear" w:color="auto" w:fill="auto"/>
            <w:vAlign w:val="center"/>
          </w:tcPr>
          <w:p w:rsidR="00D347DF" w:rsidRPr="00EC0F3A" w:rsidRDefault="00D347DF" w:rsidP="00E9638E">
            <w:pPr>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&gt;60 minutes</w:t>
            </w:r>
          </w:p>
        </w:tc>
        <w:tc>
          <w:tcPr>
            <w:tcW w:w="1837" w:type="dxa"/>
          </w:tcPr>
          <w:p w:rsidR="00D347DF" w:rsidRPr="00EC0F3A" w:rsidRDefault="00D347DF" w:rsidP="00E9638E">
            <w:pPr>
              <w:adjustRightInd w:val="0"/>
              <w:spacing w:before="20"/>
              <w:jc w:val="right"/>
              <w:rPr>
                <w:color w:val="000000"/>
                <w:sz w:val="16"/>
                <w:szCs w:val="16"/>
              </w:rPr>
            </w:pPr>
            <w:r w:rsidRPr="00EC0F3A">
              <w:rPr>
                <w:color w:val="000000"/>
                <w:sz w:val="16"/>
                <w:szCs w:val="16"/>
              </w:rPr>
              <w:t>39.9</w:t>
            </w:r>
          </w:p>
        </w:tc>
        <w:tc>
          <w:tcPr>
            <w:tcW w:w="850" w:type="dxa"/>
          </w:tcPr>
          <w:p w:rsidR="00D347DF" w:rsidRPr="00EC0F3A" w:rsidRDefault="00D347DF" w:rsidP="00E9638E">
            <w:pPr>
              <w:adjustRightInd w:val="0"/>
              <w:spacing w:before="20"/>
              <w:jc w:val="right"/>
              <w:rPr>
                <w:color w:val="000000"/>
                <w:sz w:val="16"/>
                <w:szCs w:val="16"/>
              </w:rPr>
            </w:pPr>
            <w:r w:rsidRPr="00EC0F3A">
              <w:rPr>
                <w:color w:val="000000"/>
                <w:sz w:val="16"/>
                <w:szCs w:val="16"/>
              </w:rPr>
              <w:t>10.92</w:t>
            </w:r>
          </w:p>
        </w:tc>
        <w:tc>
          <w:tcPr>
            <w:tcW w:w="1234" w:type="dxa"/>
            <w:gridSpan w:val="2"/>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2.71</w:t>
            </w:r>
            <w:r w:rsidR="00D347DF">
              <w:rPr>
                <w:color w:val="000000"/>
                <w:sz w:val="16"/>
                <w:szCs w:val="16"/>
              </w:rPr>
              <w:t xml:space="preserve"> - </w:t>
            </w:r>
            <w:r w:rsidR="00D347DF" w:rsidRPr="00EC0F3A">
              <w:rPr>
                <w:color w:val="000000"/>
                <w:sz w:val="16"/>
                <w:szCs w:val="16"/>
              </w:rPr>
              <w:t>43.95</w:t>
            </w:r>
            <w:r>
              <w:rPr>
                <w:color w:val="000000"/>
                <w:sz w:val="16"/>
                <w:szCs w:val="16"/>
              </w:rPr>
              <w:t>)</w:t>
            </w:r>
          </w:p>
        </w:tc>
        <w:tc>
          <w:tcPr>
            <w:tcW w:w="747" w:type="dxa"/>
            <w:shd w:val="clear" w:color="auto" w:fill="D9D9D9" w:themeFill="background1" w:themeFillShade="D9"/>
          </w:tcPr>
          <w:p w:rsidR="00D347DF" w:rsidRPr="00EC0F3A" w:rsidRDefault="00D347DF" w:rsidP="00E9638E">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bCs/>
                <w:color w:val="000000"/>
                <w:sz w:val="16"/>
                <w:szCs w:val="16"/>
              </w:rPr>
              <w:t>Know people with gambling problems</w:t>
            </w:r>
          </w:p>
        </w:tc>
        <w:tc>
          <w:tcPr>
            <w:tcW w:w="1837" w:type="dxa"/>
            <w:vAlign w:val="center"/>
          </w:tcPr>
          <w:p w:rsidR="00435C08" w:rsidRPr="00EC0F3A" w:rsidRDefault="00435C08" w:rsidP="0081083E">
            <w:pPr>
              <w:adjustRightInd w:val="0"/>
              <w:spacing w:before="20"/>
              <w:jc w:val="right"/>
              <w:rPr>
                <w:color w:val="000000"/>
                <w:sz w:val="16"/>
                <w:szCs w:val="16"/>
              </w:rPr>
            </w:pPr>
          </w:p>
        </w:tc>
        <w:tc>
          <w:tcPr>
            <w:tcW w:w="850" w:type="dxa"/>
            <w:vAlign w:val="center"/>
          </w:tcPr>
          <w:p w:rsidR="00435C08" w:rsidRPr="00EC0F3A" w:rsidRDefault="00435C08" w:rsidP="0081083E">
            <w:pPr>
              <w:adjustRightInd w:val="0"/>
              <w:spacing w:before="20"/>
              <w:jc w:val="right"/>
              <w:rPr>
                <w:color w:val="000000"/>
                <w:sz w:val="16"/>
                <w:szCs w:val="16"/>
              </w:rPr>
            </w:pP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5.0</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8.9</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1.84</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1.29</w:t>
            </w:r>
            <w:r w:rsidR="00D347DF">
              <w:rPr>
                <w:color w:val="000000"/>
                <w:sz w:val="16"/>
                <w:szCs w:val="16"/>
              </w:rPr>
              <w:t xml:space="preserve"> - </w:t>
            </w:r>
            <w:r w:rsidR="00D347DF" w:rsidRPr="00EC0F3A">
              <w:rPr>
                <w:color w:val="000000"/>
                <w:sz w:val="16"/>
                <w:szCs w:val="16"/>
              </w:rPr>
              <w:t>2.64</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0.001</w:t>
            </w:r>
          </w:p>
        </w:tc>
      </w:tr>
      <w:tr w:rsidR="00435C08" w:rsidRPr="009B1415" w:rsidTr="00E05935">
        <w:tc>
          <w:tcPr>
            <w:tcW w:w="5637" w:type="dxa"/>
            <w:gridSpan w:val="2"/>
            <w:vAlign w:val="bottom"/>
          </w:tcPr>
          <w:p w:rsidR="00435C08" w:rsidRPr="009B1415" w:rsidRDefault="00435C08" w:rsidP="00435C08">
            <w:pPr>
              <w:spacing w:before="20"/>
              <w:rPr>
                <w:rFonts w:ascii="Calibri" w:hAnsi="Calibri"/>
                <w:b/>
                <w:bCs/>
                <w:color w:val="000000"/>
                <w:sz w:val="16"/>
                <w:szCs w:val="16"/>
              </w:rPr>
            </w:pPr>
            <w:r w:rsidRPr="009B1415">
              <w:rPr>
                <w:b/>
                <w:bCs/>
                <w:color w:val="000000"/>
                <w:sz w:val="16"/>
                <w:szCs w:val="16"/>
              </w:rPr>
              <w:t>Methods - Setting a dollar figure before leaving home</w:t>
            </w:r>
          </w:p>
        </w:tc>
        <w:tc>
          <w:tcPr>
            <w:tcW w:w="850" w:type="dxa"/>
            <w:vAlign w:val="center"/>
          </w:tcPr>
          <w:p w:rsidR="00435C08" w:rsidRPr="009B1415" w:rsidRDefault="00435C08" w:rsidP="00435C08">
            <w:pPr>
              <w:spacing w:before="20"/>
              <w:jc w:val="center"/>
              <w:rPr>
                <w:rFonts w:ascii="Calibri" w:hAnsi="Calibri"/>
                <w:color w:val="000000"/>
                <w:sz w:val="16"/>
                <w:szCs w:val="16"/>
              </w:rPr>
            </w:pPr>
          </w:p>
        </w:tc>
        <w:tc>
          <w:tcPr>
            <w:tcW w:w="992" w:type="dxa"/>
            <w:vAlign w:val="center"/>
          </w:tcPr>
          <w:p w:rsidR="00435C08" w:rsidRPr="009B1415" w:rsidRDefault="00435C08" w:rsidP="00435C08">
            <w:pPr>
              <w:spacing w:before="20"/>
              <w:jc w:val="center"/>
              <w:rPr>
                <w:rFonts w:ascii="Calibri" w:hAnsi="Calibri"/>
                <w:color w:val="000000"/>
                <w:sz w:val="16"/>
                <w:szCs w:val="16"/>
              </w:rPr>
            </w:pPr>
          </w:p>
        </w:tc>
        <w:tc>
          <w:tcPr>
            <w:tcW w:w="242" w:type="dxa"/>
            <w:vAlign w:val="center"/>
          </w:tcPr>
          <w:p w:rsidR="00435C08" w:rsidRPr="009B1415" w:rsidRDefault="00435C08" w:rsidP="00435C08">
            <w:pPr>
              <w:spacing w:before="20"/>
              <w:jc w:val="center"/>
              <w:rPr>
                <w:rFonts w:ascii="Calibri" w:hAnsi="Calibri"/>
                <w:color w:val="000000"/>
                <w:sz w:val="16"/>
                <w:szCs w:val="16"/>
              </w:rPr>
            </w:pPr>
          </w:p>
        </w:tc>
        <w:tc>
          <w:tcPr>
            <w:tcW w:w="747" w:type="dxa"/>
            <w:vAlign w:val="center"/>
          </w:tcPr>
          <w:p w:rsidR="00435C08" w:rsidRPr="009B1415" w:rsidRDefault="00435C08" w:rsidP="00435C08">
            <w:pPr>
              <w:spacing w:before="20"/>
              <w:jc w:val="center"/>
              <w:rPr>
                <w:rFonts w:ascii="Calibri" w:hAnsi="Calibri"/>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5.</w:t>
            </w:r>
            <w:r>
              <w:rPr>
                <w:color w:val="000000"/>
                <w:sz w:val="16"/>
                <w:szCs w:val="16"/>
              </w:rPr>
              <w:t>6</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10.1</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1.92</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1.29</w:t>
            </w:r>
            <w:r w:rsidR="00D347DF">
              <w:rPr>
                <w:color w:val="000000"/>
                <w:sz w:val="16"/>
                <w:szCs w:val="16"/>
              </w:rPr>
              <w:t xml:space="preserve"> - </w:t>
            </w:r>
            <w:r w:rsidR="00D347DF" w:rsidRPr="00EC0F3A">
              <w:rPr>
                <w:color w:val="000000"/>
                <w:sz w:val="16"/>
                <w:szCs w:val="16"/>
              </w:rPr>
              <w:t>2.86</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0.001</w:t>
            </w:r>
          </w:p>
        </w:tc>
      </w:tr>
      <w:tr w:rsidR="00435C08" w:rsidRPr="009B1415" w:rsidTr="00E05935">
        <w:tc>
          <w:tcPr>
            <w:tcW w:w="6487" w:type="dxa"/>
            <w:gridSpan w:val="3"/>
            <w:vAlign w:val="bottom"/>
          </w:tcPr>
          <w:p w:rsidR="00435C08" w:rsidRPr="009B1415" w:rsidRDefault="00435C08" w:rsidP="00435C08">
            <w:pPr>
              <w:spacing w:before="20"/>
              <w:rPr>
                <w:rFonts w:ascii="Calibri" w:hAnsi="Calibri"/>
                <w:color w:val="000000"/>
                <w:sz w:val="16"/>
                <w:szCs w:val="16"/>
              </w:rPr>
            </w:pPr>
            <w:r w:rsidRPr="009B1415">
              <w:rPr>
                <w:b/>
                <w:bCs/>
                <w:color w:val="000000"/>
                <w:sz w:val="16"/>
                <w:szCs w:val="16"/>
              </w:rPr>
              <w:t>Methods - Separating money for betting from other money and stopping</w:t>
            </w:r>
          </w:p>
        </w:tc>
        <w:tc>
          <w:tcPr>
            <w:tcW w:w="992" w:type="dxa"/>
            <w:vAlign w:val="center"/>
          </w:tcPr>
          <w:p w:rsidR="00435C08" w:rsidRPr="009B1415" w:rsidRDefault="00435C08" w:rsidP="00435C08">
            <w:pPr>
              <w:spacing w:before="20"/>
              <w:jc w:val="center"/>
              <w:rPr>
                <w:rFonts w:ascii="Calibri" w:hAnsi="Calibri"/>
                <w:color w:val="000000"/>
                <w:sz w:val="16"/>
                <w:szCs w:val="16"/>
              </w:rPr>
            </w:pPr>
          </w:p>
        </w:tc>
        <w:tc>
          <w:tcPr>
            <w:tcW w:w="242" w:type="dxa"/>
            <w:vAlign w:val="center"/>
          </w:tcPr>
          <w:p w:rsidR="00435C08" w:rsidRPr="009B1415" w:rsidRDefault="00435C08" w:rsidP="00435C08">
            <w:pPr>
              <w:spacing w:before="20"/>
              <w:jc w:val="center"/>
              <w:rPr>
                <w:rFonts w:ascii="Calibri" w:hAnsi="Calibri"/>
                <w:color w:val="000000"/>
                <w:sz w:val="16"/>
                <w:szCs w:val="16"/>
              </w:rPr>
            </w:pPr>
          </w:p>
        </w:tc>
        <w:tc>
          <w:tcPr>
            <w:tcW w:w="747" w:type="dxa"/>
            <w:vAlign w:val="center"/>
          </w:tcPr>
          <w:p w:rsidR="00435C08" w:rsidRPr="009B1415" w:rsidRDefault="00435C08" w:rsidP="00435C08">
            <w:pPr>
              <w:spacing w:before="20"/>
              <w:jc w:val="center"/>
              <w:rPr>
                <w:rFonts w:ascii="Calibri" w:hAnsi="Calibri"/>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6.0</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EC0F3A" w:rsidRDefault="00D347DF" w:rsidP="0081083E">
            <w:pPr>
              <w:adjustRightInd w:val="0"/>
              <w:spacing w:before="20"/>
              <w:jc w:val="right"/>
              <w:rPr>
                <w:color w:val="000000"/>
                <w:sz w:val="16"/>
                <w:szCs w:val="16"/>
              </w:rPr>
            </w:pPr>
            <w:r>
              <w:rPr>
                <w:color w:val="000000"/>
                <w:sz w:val="16"/>
                <w:szCs w:val="16"/>
              </w:rPr>
              <w:t>17.</w:t>
            </w:r>
            <w:r w:rsidRPr="00EC0F3A">
              <w:rPr>
                <w:color w:val="000000"/>
                <w:sz w:val="16"/>
                <w:szCs w:val="16"/>
              </w:rPr>
              <w:t>7</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3.35</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1.66</w:t>
            </w:r>
            <w:r w:rsidR="00D347DF">
              <w:rPr>
                <w:color w:val="000000"/>
                <w:sz w:val="16"/>
                <w:szCs w:val="16"/>
              </w:rPr>
              <w:t xml:space="preserve"> - </w:t>
            </w:r>
            <w:r w:rsidR="00D347DF" w:rsidRPr="00EC0F3A">
              <w:rPr>
                <w:color w:val="000000"/>
                <w:sz w:val="16"/>
                <w:szCs w:val="16"/>
              </w:rPr>
              <w:t>6.74</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bCs/>
                <w:color w:val="000000"/>
                <w:sz w:val="16"/>
                <w:szCs w:val="16"/>
              </w:rPr>
              <w:t>Methods - Setting a time limit</w:t>
            </w:r>
          </w:p>
        </w:tc>
        <w:tc>
          <w:tcPr>
            <w:tcW w:w="1837" w:type="dxa"/>
            <w:vAlign w:val="center"/>
          </w:tcPr>
          <w:p w:rsidR="00435C08" w:rsidRPr="00EC0F3A" w:rsidRDefault="00435C08" w:rsidP="0081083E">
            <w:pPr>
              <w:adjustRightInd w:val="0"/>
              <w:spacing w:before="20"/>
              <w:jc w:val="right"/>
              <w:rPr>
                <w:color w:val="000000"/>
                <w:sz w:val="16"/>
                <w:szCs w:val="16"/>
              </w:rPr>
            </w:pPr>
          </w:p>
        </w:tc>
        <w:tc>
          <w:tcPr>
            <w:tcW w:w="850" w:type="dxa"/>
            <w:vAlign w:val="center"/>
          </w:tcPr>
          <w:p w:rsidR="00435C08" w:rsidRPr="00EC0F3A" w:rsidRDefault="00435C08" w:rsidP="0081083E">
            <w:pPr>
              <w:adjustRightInd w:val="0"/>
              <w:spacing w:before="20"/>
              <w:jc w:val="right"/>
              <w:rPr>
                <w:color w:val="000000"/>
                <w:sz w:val="16"/>
                <w:szCs w:val="16"/>
              </w:rPr>
            </w:pP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No</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6.</w:t>
            </w:r>
            <w:r>
              <w:rPr>
                <w:color w:val="000000"/>
                <w:sz w:val="16"/>
                <w:szCs w:val="16"/>
              </w:rPr>
              <w:t>3</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20.8</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3.93</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1.53</w:t>
            </w:r>
            <w:r w:rsidR="00D347DF">
              <w:rPr>
                <w:color w:val="000000"/>
                <w:sz w:val="16"/>
                <w:szCs w:val="16"/>
              </w:rPr>
              <w:t xml:space="preserve"> - </w:t>
            </w:r>
            <w:r w:rsidR="00D347DF" w:rsidRPr="00EC0F3A">
              <w:rPr>
                <w:color w:val="000000"/>
                <w:sz w:val="16"/>
                <w:szCs w:val="16"/>
              </w:rPr>
              <w:t>10.12</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0.005</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Number of significant life events</w:t>
            </w:r>
          </w:p>
        </w:tc>
        <w:tc>
          <w:tcPr>
            <w:tcW w:w="1837" w:type="dxa"/>
            <w:vAlign w:val="center"/>
          </w:tcPr>
          <w:p w:rsidR="00435C08" w:rsidRPr="00EC0F3A" w:rsidRDefault="00435C08" w:rsidP="0081083E">
            <w:pPr>
              <w:adjustRightInd w:val="0"/>
              <w:spacing w:before="20"/>
              <w:jc w:val="right"/>
              <w:rPr>
                <w:color w:val="000000"/>
                <w:sz w:val="16"/>
                <w:szCs w:val="16"/>
              </w:rPr>
            </w:pPr>
          </w:p>
        </w:tc>
        <w:tc>
          <w:tcPr>
            <w:tcW w:w="850" w:type="dxa"/>
            <w:vAlign w:val="center"/>
          </w:tcPr>
          <w:p w:rsidR="00435C08" w:rsidRPr="00EC0F3A" w:rsidRDefault="00435C08" w:rsidP="0081083E">
            <w:pPr>
              <w:adjustRightInd w:val="0"/>
              <w:spacing w:before="20"/>
              <w:jc w:val="right"/>
              <w:rPr>
                <w:color w:val="000000"/>
                <w:sz w:val="16"/>
                <w:szCs w:val="16"/>
              </w:rPr>
            </w:pP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0</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3.</w:t>
            </w:r>
            <w:r>
              <w:rPr>
                <w:color w:val="000000"/>
                <w:sz w:val="16"/>
                <w:szCs w:val="16"/>
              </w:rPr>
              <w:t>3</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1</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7.</w:t>
            </w:r>
            <w:r>
              <w:rPr>
                <w:color w:val="000000"/>
                <w:sz w:val="16"/>
                <w:szCs w:val="16"/>
              </w:rPr>
              <w:t>6</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2.41</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1.38</w:t>
            </w:r>
            <w:r w:rsidR="00D347DF">
              <w:rPr>
                <w:color w:val="000000"/>
                <w:sz w:val="16"/>
                <w:szCs w:val="16"/>
              </w:rPr>
              <w:t xml:space="preserve"> - </w:t>
            </w:r>
            <w:r w:rsidR="00D347DF" w:rsidRPr="00EC0F3A">
              <w:rPr>
                <w:color w:val="000000"/>
                <w:sz w:val="16"/>
                <w:szCs w:val="16"/>
              </w:rPr>
              <w:t>4.24</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2</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6.</w:t>
            </w:r>
            <w:r>
              <w:rPr>
                <w:color w:val="000000"/>
                <w:sz w:val="16"/>
                <w:szCs w:val="16"/>
              </w:rPr>
              <w:t>5</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2.03</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1.12</w:t>
            </w:r>
            <w:r w:rsidR="00D347DF">
              <w:rPr>
                <w:color w:val="000000"/>
                <w:sz w:val="16"/>
                <w:szCs w:val="16"/>
              </w:rPr>
              <w:t xml:space="preserve"> - </w:t>
            </w:r>
            <w:r w:rsidR="00D347DF" w:rsidRPr="00EC0F3A">
              <w:rPr>
                <w:color w:val="000000"/>
                <w:sz w:val="16"/>
                <w:szCs w:val="16"/>
              </w:rPr>
              <w:t>3.71</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3</w:t>
            </w:r>
          </w:p>
        </w:tc>
        <w:tc>
          <w:tcPr>
            <w:tcW w:w="1837" w:type="dxa"/>
            <w:vAlign w:val="center"/>
          </w:tcPr>
          <w:p w:rsidR="00D347DF" w:rsidRPr="00EC0F3A" w:rsidRDefault="00D347DF" w:rsidP="0081083E">
            <w:pPr>
              <w:adjustRightInd w:val="0"/>
              <w:spacing w:before="20"/>
              <w:jc w:val="right"/>
              <w:rPr>
                <w:color w:val="000000"/>
                <w:sz w:val="16"/>
                <w:szCs w:val="16"/>
              </w:rPr>
            </w:pPr>
            <w:r>
              <w:rPr>
                <w:color w:val="000000"/>
                <w:sz w:val="16"/>
                <w:szCs w:val="16"/>
              </w:rPr>
              <w:t>7.</w:t>
            </w:r>
            <w:r w:rsidRPr="00EC0F3A">
              <w:rPr>
                <w:color w:val="000000"/>
                <w:sz w:val="16"/>
                <w:szCs w:val="16"/>
              </w:rPr>
              <w:t>5</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2.37</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1.19</w:t>
            </w:r>
            <w:r w:rsidR="00D347DF">
              <w:rPr>
                <w:color w:val="000000"/>
                <w:sz w:val="16"/>
                <w:szCs w:val="16"/>
              </w:rPr>
              <w:t xml:space="preserve"> - </w:t>
            </w:r>
            <w:r w:rsidR="00D347DF" w:rsidRPr="00EC0F3A">
              <w:rPr>
                <w:color w:val="000000"/>
                <w:sz w:val="16"/>
                <w:szCs w:val="16"/>
              </w:rPr>
              <w:t>4.72</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4</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6.0</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1.89</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0.84</w:t>
            </w:r>
            <w:r w:rsidR="00D347DF">
              <w:rPr>
                <w:color w:val="000000"/>
                <w:sz w:val="16"/>
                <w:szCs w:val="16"/>
              </w:rPr>
              <w:t xml:space="preserve"> - </w:t>
            </w:r>
            <w:r w:rsidR="00D347DF" w:rsidRPr="00EC0F3A">
              <w:rPr>
                <w:color w:val="000000"/>
                <w:sz w:val="16"/>
                <w:szCs w:val="16"/>
              </w:rPr>
              <w:t>4.27</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5+</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11.4</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3.79</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1.85</w:t>
            </w:r>
            <w:r w:rsidR="00D347DF">
              <w:rPr>
                <w:color w:val="000000"/>
                <w:sz w:val="16"/>
                <w:szCs w:val="16"/>
              </w:rPr>
              <w:t xml:space="preserve"> - </w:t>
            </w:r>
            <w:r w:rsidR="00D347DF" w:rsidRPr="00EC0F3A">
              <w:rPr>
                <w:color w:val="000000"/>
                <w:sz w:val="16"/>
                <w:szCs w:val="16"/>
              </w:rPr>
              <w:t>7.76</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sz w:val="16"/>
                <w:szCs w:val="16"/>
              </w:rPr>
              <w:t>Quality of life (WHOQoL-8)</w:t>
            </w:r>
          </w:p>
        </w:tc>
        <w:tc>
          <w:tcPr>
            <w:tcW w:w="1837" w:type="dxa"/>
            <w:vAlign w:val="center"/>
          </w:tcPr>
          <w:p w:rsidR="00435C08" w:rsidRPr="00EC0F3A" w:rsidRDefault="00435C08" w:rsidP="0081083E">
            <w:pPr>
              <w:adjustRightInd w:val="0"/>
              <w:spacing w:before="20"/>
              <w:jc w:val="right"/>
              <w:rPr>
                <w:color w:val="000000"/>
                <w:sz w:val="16"/>
                <w:szCs w:val="16"/>
              </w:rPr>
            </w:pPr>
          </w:p>
        </w:tc>
        <w:tc>
          <w:tcPr>
            <w:tcW w:w="850" w:type="dxa"/>
            <w:vAlign w:val="center"/>
          </w:tcPr>
          <w:p w:rsidR="00435C08" w:rsidRPr="00EC0F3A" w:rsidRDefault="00435C08" w:rsidP="0081083E">
            <w:pPr>
              <w:adjustRightInd w:val="0"/>
              <w:spacing w:before="20"/>
              <w:jc w:val="right"/>
              <w:rPr>
                <w:color w:val="000000"/>
                <w:sz w:val="16"/>
                <w:szCs w:val="16"/>
              </w:rPr>
            </w:pP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vAlign w:val="center"/>
          </w:tcPr>
          <w:p w:rsidR="00435C08" w:rsidRPr="00EC0F3A" w:rsidRDefault="00435C08"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Below median ( Score 0 - 24)</w:t>
            </w:r>
          </w:p>
        </w:tc>
        <w:tc>
          <w:tcPr>
            <w:tcW w:w="1837"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8.</w:t>
            </w:r>
            <w:r>
              <w:rPr>
                <w:color w:val="000000"/>
                <w:sz w:val="16"/>
                <w:szCs w:val="16"/>
              </w:rPr>
              <w:t>6</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2.11</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1.43</w:t>
            </w:r>
            <w:r w:rsidR="00D347DF">
              <w:rPr>
                <w:color w:val="000000"/>
                <w:sz w:val="16"/>
                <w:szCs w:val="16"/>
              </w:rPr>
              <w:t xml:space="preserve"> - </w:t>
            </w:r>
            <w:r w:rsidR="00D347DF" w:rsidRPr="00EC0F3A">
              <w:rPr>
                <w:color w:val="000000"/>
                <w:sz w:val="16"/>
                <w:szCs w:val="16"/>
              </w:rPr>
              <w:t>3.10</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Median score (Score 25)</w:t>
            </w:r>
          </w:p>
        </w:tc>
        <w:tc>
          <w:tcPr>
            <w:tcW w:w="1837" w:type="dxa"/>
            <w:vAlign w:val="center"/>
          </w:tcPr>
          <w:p w:rsidR="00D347DF" w:rsidRPr="00EC0F3A" w:rsidRDefault="00D347DF" w:rsidP="0081083E">
            <w:pPr>
              <w:adjustRightInd w:val="0"/>
              <w:spacing w:before="20"/>
              <w:jc w:val="right"/>
              <w:rPr>
                <w:color w:val="000000"/>
                <w:sz w:val="16"/>
                <w:szCs w:val="16"/>
              </w:rPr>
            </w:pPr>
            <w:r>
              <w:rPr>
                <w:color w:val="000000"/>
                <w:sz w:val="16"/>
                <w:szCs w:val="16"/>
              </w:rPr>
              <w:t>8.0</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1.95</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1.03</w:t>
            </w:r>
            <w:r w:rsidR="00D347DF">
              <w:rPr>
                <w:color w:val="000000"/>
                <w:sz w:val="16"/>
                <w:szCs w:val="16"/>
              </w:rPr>
              <w:t xml:space="preserve"> - </w:t>
            </w:r>
            <w:r w:rsidR="00D347DF" w:rsidRPr="00EC0F3A">
              <w:rPr>
                <w:color w:val="000000"/>
                <w:sz w:val="16"/>
                <w:szCs w:val="16"/>
              </w:rPr>
              <w:t>3.70</w:t>
            </w:r>
            <w:r>
              <w:rPr>
                <w:color w:val="000000"/>
                <w:sz w:val="16"/>
                <w:szCs w:val="16"/>
              </w:rPr>
              <w:t>)</w:t>
            </w:r>
          </w:p>
        </w:tc>
        <w:tc>
          <w:tcPr>
            <w:tcW w:w="747" w:type="dxa"/>
            <w:vAlign w:val="center"/>
          </w:tcPr>
          <w:p w:rsidR="00D347DF" w:rsidRPr="00EC0F3A" w:rsidRDefault="00D347DF" w:rsidP="0081083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435C08">
            <w:pPr>
              <w:spacing w:before="20"/>
              <w:ind w:left="176"/>
              <w:jc w:val="both"/>
              <w:rPr>
                <w:sz w:val="16"/>
                <w:szCs w:val="16"/>
              </w:rPr>
            </w:pPr>
            <w:r w:rsidRPr="009B1415">
              <w:rPr>
                <w:sz w:val="16"/>
                <w:szCs w:val="16"/>
              </w:rPr>
              <w:t>Above median (Score 26 - 32)</w:t>
            </w:r>
          </w:p>
        </w:tc>
        <w:tc>
          <w:tcPr>
            <w:tcW w:w="1837"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4.</w:t>
            </w:r>
            <w:r>
              <w:rPr>
                <w:color w:val="000000"/>
                <w:sz w:val="16"/>
                <w:szCs w:val="16"/>
              </w:rPr>
              <w:t>3</w:t>
            </w:r>
          </w:p>
        </w:tc>
        <w:tc>
          <w:tcPr>
            <w:tcW w:w="850" w:type="dxa"/>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81083E">
            <w:pPr>
              <w:adjustRightInd w:val="0"/>
              <w:spacing w:before="20"/>
              <w:jc w:val="right"/>
              <w:rPr>
                <w:color w:val="000000"/>
                <w:sz w:val="16"/>
                <w:szCs w:val="16"/>
              </w:rPr>
            </w:pPr>
          </w:p>
        </w:tc>
        <w:tc>
          <w:tcPr>
            <w:tcW w:w="242" w:type="dxa"/>
            <w:vAlign w:val="center"/>
          </w:tcPr>
          <w:p w:rsidR="00435C08" w:rsidRPr="00EC0F3A" w:rsidRDefault="00435C08" w:rsidP="0081083E">
            <w:pPr>
              <w:adjustRightInd w:val="0"/>
              <w:spacing w:before="20"/>
              <w:jc w:val="right"/>
              <w:rPr>
                <w:color w:val="000000"/>
                <w:sz w:val="16"/>
                <w:szCs w:val="16"/>
              </w:rPr>
            </w:pPr>
          </w:p>
        </w:tc>
        <w:tc>
          <w:tcPr>
            <w:tcW w:w="747" w:type="dxa"/>
            <w:shd w:val="clear" w:color="auto" w:fill="D9D9D9" w:themeFill="background1" w:themeFillShade="D9"/>
            <w:vAlign w:val="center"/>
          </w:tcPr>
          <w:p w:rsidR="00435C08" w:rsidRPr="00EC0F3A" w:rsidRDefault="00435C08" w:rsidP="0081083E">
            <w:pPr>
              <w:adjustRightInd w:val="0"/>
              <w:spacing w:before="20"/>
              <w:jc w:val="right"/>
              <w:rPr>
                <w:color w:val="000000"/>
                <w:sz w:val="16"/>
                <w:szCs w:val="16"/>
              </w:rPr>
            </w:pPr>
            <w:r w:rsidRPr="00EC0F3A">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b/>
                <w:sz w:val="16"/>
                <w:szCs w:val="16"/>
              </w:rPr>
              <w:t>Psychological distress (Kessler-10)</w:t>
            </w:r>
          </w:p>
        </w:tc>
        <w:tc>
          <w:tcPr>
            <w:tcW w:w="1837" w:type="dxa"/>
            <w:vAlign w:val="center"/>
          </w:tcPr>
          <w:p w:rsidR="00435C08" w:rsidRPr="00EC0F3A" w:rsidRDefault="00435C08" w:rsidP="00E9638E">
            <w:pPr>
              <w:adjustRightInd w:val="0"/>
              <w:spacing w:before="20"/>
              <w:jc w:val="right"/>
              <w:rPr>
                <w:color w:val="000000"/>
                <w:sz w:val="16"/>
                <w:szCs w:val="16"/>
              </w:rPr>
            </w:pPr>
          </w:p>
        </w:tc>
        <w:tc>
          <w:tcPr>
            <w:tcW w:w="850" w:type="dxa"/>
            <w:vAlign w:val="center"/>
          </w:tcPr>
          <w:p w:rsidR="00435C08" w:rsidRPr="00EC0F3A" w:rsidRDefault="00435C08" w:rsidP="00E9638E">
            <w:pPr>
              <w:adjustRightInd w:val="0"/>
              <w:spacing w:before="20"/>
              <w:jc w:val="right"/>
              <w:rPr>
                <w:color w:val="000000"/>
                <w:sz w:val="16"/>
                <w:szCs w:val="16"/>
              </w:rPr>
            </w:pPr>
          </w:p>
        </w:tc>
        <w:tc>
          <w:tcPr>
            <w:tcW w:w="992" w:type="dxa"/>
            <w:vAlign w:val="center"/>
          </w:tcPr>
          <w:p w:rsidR="00435C08" w:rsidRPr="00EC0F3A" w:rsidRDefault="00435C08" w:rsidP="00E9638E">
            <w:pPr>
              <w:adjustRightInd w:val="0"/>
              <w:spacing w:before="20"/>
              <w:jc w:val="right"/>
              <w:rPr>
                <w:color w:val="000000"/>
                <w:sz w:val="16"/>
                <w:szCs w:val="16"/>
              </w:rPr>
            </w:pPr>
          </w:p>
        </w:tc>
        <w:tc>
          <w:tcPr>
            <w:tcW w:w="242" w:type="dxa"/>
            <w:vAlign w:val="center"/>
          </w:tcPr>
          <w:p w:rsidR="00435C08" w:rsidRPr="00EC0F3A" w:rsidRDefault="00435C08" w:rsidP="00E9638E">
            <w:pPr>
              <w:adjustRightInd w:val="0"/>
              <w:spacing w:before="20"/>
              <w:jc w:val="right"/>
              <w:rPr>
                <w:color w:val="000000"/>
                <w:sz w:val="16"/>
                <w:szCs w:val="16"/>
              </w:rPr>
            </w:pPr>
          </w:p>
        </w:tc>
        <w:tc>
          <w:tcPr>
            <w:tcW w:w="747" w:type="dxa"/>
            <w:vAlign w:val="center"/>
          </w:tcPr>
          <w:p w:rsidR="00435C08" w:rsidRPr="00EC0F3A"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spacing w:before="20"/>
              <w:ind w:left="176"/>
              <w:jc w:val="both"/>
              <w:rPr>
                <w:sz w:val="16"/>
                <w:szCs w:val="16"/>
              </w:rPr>
            </w:pPr>
            <w:r w:rsidRPr="009B1415">
              <w:rPr>
                <w:sz w:val="16"/>
                <w:szCs w:val="16"/>
              </w:rPr>
              <w:t>Score 0 - 5</w:t>
            </w:r>
          </w:p>
        </w:tc>
        <w:tc>
          <w:tcPr>
            <w:tcW w:w="1837" w:type="dxa"/>
            <w:vAlign w:val="center"/>
          </w:tcPr>
          <w:p w:rsidR="00435C08" w:rsidRPr="00EC0F3A" w:rsidRDefault="00435C08" w:rsidP="00E9638E">
            <w:pPr>
              <w:adjustRightInd w:val="0"/>
              <w:spacing w:before="20"/>
              <w:jc w:val="right"/>
              <w:rPr>
                <w:color w:val="000000"/>
                <w:sz w:val="16"/>
                <w:szCs w:val="16"/>
              </w:rPr>
            </w:pPr>
            <w:r w:rsidRPr="00EC0F3A">
              <w:rPr>
                <w:color w:val="000000"/>
                <w:sz w:val="16"/>
                <w:szCs w:val="16"/>
              </w:rPr>
              <w:t>5.5</w:t>
            </w:r>
          </w:p>
        </w:tc>
        <w:tc>
          <w:tcPr>
            <w:tcW w:w="850" w:type="dxa"/>
            <w:vAlign w:val="center"/>
          </w:tcPr>
          <w:p w:rsidR="00435C08" w:rsidRPr="00EC0F3A" w:rsidRDefault="00435C08" w:rsidP="00E9638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E9638E">
            <w:pPr>
              <w:adjustRightInd w:val="0"/>
              <w:spacing w:before="20"/>
              <w:jc w:val="right"/>
              <w:rPr>
                <w:color w:val="000000"/>
                <w:sz w:val="16"/>
                <w:szCs w:val="16"/>
              </w:rPr>
            </w:pPr>
          </w:p>
        </w:tc>
        <w:tc>
          <w:tcPr>
            <w:tcW w:w="242" w:type="dxa"/>
            <w:vAlign w:val="center"/>
          </w:tcPr>
          <w:p w:rsidR="00435C08" w:rsidRPr="00EC0F3A" w:rsidRDefault="00435C08" w:rsidP="00E9638E">
            <w:pPr>
              <w:adjustRightInd w:val="0"/>
              <w:spacing w:before="20"/>
              <w:jc w:val="right"/>
              <w:rPr>
                <w:color w:val="000000"/>
                <w:sz w:val="16"/>
                <w:szCs w:val="16"/>
              </w:rPr>
            </w:pPr>
          </w:p>
        </w:tc>
        <w:tc>
          <w:tcPr>
            <w:tcW w:w="747" w:type="dxa"/>
            <w:vAlign w:val="center"/>
          </w:tcPr>
          <w:p w:rsidR="00435C08" w:rsidRPr="00EC0F3A" w:rsidRDefault="00435C08" w:rsidP="00E9638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Score 6 - 11</w:t>
            </w:r>
          </w:p>
        </w:tc>
        <w:tc>
          <w:tcPr>
            <w:tcW w:w="1837" w:type="dxa"/>
            <w:vAlign w:val="center"/>
          </w:tcPr>
          <w:p w:rsidR="00D347DF" w:rsidRPr="00EC0F3A" w:rsidRDefault="00D347DF" w:rsidP="00E9638E">
            <w:pPr>
              <w:adjustRightInd w:val="0"/>
              <w:spacing w:before="20"/>
              <w:jc w:val="right"/>
              <w:rPr>
                <w:color w:val="000000"/>
                <w:sz w:val="16"/>
                <w:szCs w:val="16"/>
              </w:rPr>
            </w:pPr>
            <w:r w:rsidRPr="00EC0F3A">
              <w:rPr>
                <w:color w:val="000000"/>
                <w:sz w:val="16"/>
                <w:szCs w:val="16"/>
              </w:rPr>
              <w:t>7.</w:t>
            </w:r>
            <w:r>
              <w:rPr>
                <w:color w:val="000000"/>
                <w:sz w:val="16"/>
                <w:szCs w:val="16"/>
              </w:rPr>
              <w:t>5</w:t>
            </w:r>
          </w:p>
        </w:tc>
        <w:tc>
          <w:tcPr>
            <w:tcW w:w="850" w:type="dxa"/>
            <w:vAlign w:val="center"/>
          </w:tcPr>
          <w:p w:rsidR="00D347DF" w:rsidRPr="00EC0F3A" w:rsidRDefault="00D347DF" w:rsidP="00E9638E">
            <w:pPr>
              <w:adjustRightInd w:val="0"/>
              <w:spacing w:before="20"/>
              <w:jc w:val="right"/>
              <w:rPr>
                <w:color w:val="000000"/>
                <w:sz w:val="16"/>
                <w:szCs w:val="16"/>
              </w:rPr>
            </w:pPr>
            <w:r w:rsidRPr="00EC0F3A">
              <w:rPr>
                <w:color w:val="000000"/>
                <w:sz w:val="16"/>
                <w:szCs w:val="16"/>
              </w:rPr>
              <w:t>1.37</w:t>
            </w:r>
          </w:p>
        </w:tc>
        <w:tc>
          <w:tcPr>
            <w:tcW w:w="1234" w:type="dxa"/>
            <w:gridSpan w:val="2"/>
            <w:vAlign w:val="center"/>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0.88</w:t>
            </w:r>
            <w:r w:rsidR="00D347DF">
              <w:rPr>
                <w:color w:val="000000"/>
                <w:sz w:val="16"/>
                <w:szCs w:val="16"/>
              </w:rPr>
              <w:t xml:space="preserve"> - </w:t>
            </w:r>
            <w:r w:rsidR="00D347DF" w:rsidRPr="00EC0F3A">
              <w:rPr>
                <w:color w:val="000000"/>
                <w:sz w:val="16"/>
                <w:szCs w:val="16"/>
              </w:rPr>
              <w:t>2.15</w:t>
            </w:r>
            <w:r>
              <w:rPr>
                <w:color w:val="000000"/>
                <w:sz w:val="16"/>
                <w:szCs w:val="16"/>
              </w:rPr>
              <w:t>)</w:t>
            </w:r>
          </w:p>
        </w:tc>
        <w:tc>
          <w:tcPr>
            <w:tcW w:w="747" w:type="dxa"/>
            <w:vAlign w:val="center"/>
          </w:tcPr>
          <w:p w:rsidR="00D347DF" w:rsidRPr="00EC0F3A" w:rsidRDefault="00D347DF" w:rsidP="00E9638E">
            <w:pPr>
              <w:adjustRightInd w:val="0"/>
              <w:spacing w:before="20"/>
              <w:jc w:val="right"/>
              <w:rPr>
                <w:color w:val="000000"/>
                <w:sz w:val="16"/>
                <w:szCs w:val="16"/>
              </w:rPr>
            </w:pPr>
          </w:p>
        </w:tc>
      </w:tr>
      <w:tr w:rsidR="00D347DF" w:rsidRPr="009B1415" w:rsidTr="00E05935">
        <w:tc>
          <w:tcPr>
            <w:tcW w:w="3800" w:type="dxa"/>
          </w:tcPr>
          <w:p w:rsidR="00D347DF" w:rsidRPr="009B1415" w:rsidRDefault="00D347DF" w:rsidP="00E9638E">
            <w:pPr>
              <w:spacing w:before="20"/>
              <w:ind w:left="176"/>
              <w:jc w:val="both"/>
              <w:rPr>
                <w:sz w:val="16"/>
                <w:szCs w:val="16"/>
              </w:rPr>
            </w:pPr>
            <w:r w:rsidRPr="009B1415">
              <w:rPr>
                <w:sz w:val="16"/>
                <w:szCs w:val="16"/>
              </w:rPr>
              <w:t>Score 12 - 19</w:t>
            </w:r>
          </w:p>
        </w:tc>
        <w:tc>
          <w:tcPr>
            <w:tcW w:w="1837" w:type="dxa"/>
            <w:vAlign w:val="center"/>
          </w:tcPr>
          <w:p w:rsidR="00D347DF" w:rsidRPr="00EC0F3A" w:rsidRDefault="00D347DF" w:rsidP="00E9638E">
            <w:pPr>
              <w:adjustRightInd w:val="0"/>
              <w:spacing w:before="20"/>
              <w:jc w:val="right"/>
              <w:rPr>
                <w:color w:val="000000"/>
                <w:sz w:val="16"/>
                <w:szCs w:val="16"/>
              </w:rPr>
            </w:pPr>
            <w:r>
              <w:rPr>
                <w:color w:val="000000"/>
                <w:sz w:val="16"/>
                <w:szCs w:val="16"/>
              </w:rPr>
              <w:t>13.1</w:t>
            </w:r>
          </w:p>
        </w:tc>
        <w:tc>
          <w:tcPr>
            <w:tcW w:w="850" w:type="dxa"/>
            <w:vAlign w:val="center"/>
          </w:tcPr>
          <w:p w:rsidR="00D347DF" w:rsidRPr="00EC0F3A" w:rsidRDefault="00D347DF" w:rsidP="00E9638E">
            <w:pPr>
              <w:adjustRightInd w:val="0"/>
              <w:spacing w:before="20"/>
              <w:jc w:val="right"/>
              <w:rPr>
                <w:color w:val="000000"/>
                <w:sz w:val="16"/>
                <w:szCs w:val="16"/>
              </w:rPr>
            </w:pPr>
            <w:r w:rsidRPr="00EC0F3A">
              <w:rPr>
                <w:color w:val="000000"/>
                <w:sz w:val="16"/>
                <w:szCs w:val="16"/>
              </w:rPr>
              <w:t>2.56</w:t>
            </w:r>
          </w:p>
        </w:tc>
        <w:tc>
          <w:tcPr>
            <w:tcW w:w="1234" w:type="dxa"/>
            <w:gridSpan w:val="2"/>
            <w:vAlign w:val="center"/>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1.33</w:t>
            </w:r>
            <w:r w:rsidR="00D347DF">
              <w:rPr>
                <w:color w:val="000000"/>
                <w:sz w:val="16"/>
                <w:szCs w:val="16"/>
              </w:rPr>
              <w:t xml:space="preserve"> - </w:t>
            </w:r>
            <w:r w:rsidR="00D347DF" w:rsidRPr="00EC0F3A">
              <w:rPr>
                <w:color w:val="000000"/>
                <w:sz w:val="16"/>
                <w:szCs w:val="16"/>
              </w:rPr>
              <w:t>4.94</w:t>
            </w:r>
            <w:r>
              <w:rPr>
                <w:color w:val="000000"/>
                <w:sz w:val="16"/>
                <w:szCs w:val="16"/>
              </w:rPr>
              <w:t>)</w:t>
            </w:r>
          </w:p>
        </w:tc>
        <w:tc>
          <w:tcPr>
            <w:tcW w:w="747" w:type="dxa"/>
            <w:vAlign w:val="center"/>
          </w:tcPr>
          <w:p w:rsidR="00D347DF" w:rsidRPr="00EC0F3A" w:rsidRDefault="00D347DF" w:rsidP="00E9638E">
            <w:pPr>
              <w:adjustRightInd w:val="0"/>
              <w:spacing w:before="20"/>
              <w:jc w:val="right"/>
              <w:rPr>
                <w:color w:val="000000"/>
                <w:sz w:val="16"/>
                <w:szCs w:val="16"/>
              </w:rPr>
            </w:pPr>
          </w:p>
        </w:tc>
      </w:tr>
      <w:tr w:rsidR="00D347DF" w:rsidRPr="009B1415" w:rsidTr="00E05935">
        <w:tc>
          <w:tcPr>
            <w:tcW w:w="3800" w:type="dxa"/>
            <w:tcBorders>
              <w:bottom w:val="single" w:sz="4" w:space="0" w:color="auto"/>
            </w:tcBorders>
          </w:tcPr>
          <w:p w:rsidR="00D347DF" w:rsidRPr="009B1415" w:rsidRDefault="00D347DF" w:rsidP="00E9638E">
            <w:pPr>
              <w:spacing w:before="20"/>
              <w:ind w:left="176"/>
              <w:jc w:val="both"/>
              <w:rPr>
                <w:sz w:val="16"/>
                <w:szCs w:val="16"/>
              </w:rPr>
            </w:pPr>
            <w:r w:rsidRPr="009B1415">
              <w:rPr>
                <w:sz w:val="16"/>
                <w:szCs w:val="16"/>
              </w:rPr>
              <w:t>Score 20 - 40</w:t>
            </w:r>
          </w:p>
        </w:tc>
        <w:tc>
          <w:tcPr>
            <w:tcW w:w="1837" w:type="dxa"/>
            <w:tcBorders>
              <w:bottom w:val="single" w:sz="4" w:space="0" w:color="auto"/>
            </w:tcBorders>
            <w:vAlign w:val="center"/>
          </w:tcPr>
          <w:p w:rsidR="00D347DF" w:rsidRPr="00EC0F3A" w:rsidRDefault="00D347DF" w:rsidP="00E9638E">
            <w:pPr>
              <w:adjustRightInd w:val="0"/>
              <w:spacing w:before="20"/>
              <w:jc w:val="right"/>
              <w:rPr>
                <w:color w:val="000000"/>
                <w:sz w:val="16"/>
                <w:szCs w:val="16"/>
              </w:rPr>
            </w:pPr>
            <w:r>
              <w:rPr>
                <w:color w:val="000000"/>
                <w:sz w:val="16"/>
                <w:szCs w:val="16"/>
              </w:rPr>
              <w:t>22.9</w:t>
            </w:r>
          </w:p>
        </w:tc>
        <w:tc>
          <w:tcPr>
            <w:tcW w:w="850" w:type="dxa"/>
            <w:tcBorders>
              <w:bottom w:val="single" w:sz="4" w:space="0" w:color="auto"/>
            </w:tcBorders>
            <w:vAlign w:val="center"/>
          </w:tcPr>
          <w:p w:rsidR="00D347DF" w:rsidRPr="00EC0F3A" w:rsidRDefault="00D347DF" w:rsidP="00E9638E">
            <w:pPr>
              <w:adjustRightInd w:val="0"/>
              <w:spacing w:before="20"/>
              <w:jc w:val="right"/>
              <w:rPr>
                <w:color w:val="000000"/>
                <w:sz w:val="16"/>
                <w:szCs w:val="16"/>
              </w:rPr>
            </w:pPr>
            <w:r w:rsidRPr="00EC0F3A">
              <w:rPr>
                <w:color w:val="000000"/>
                <w:sz w:val="16"/>
                <w:szCs w:val="16"/>
              </w:rPr>
              <w:t>5.06</w:t>
            </w:r>
          </w:p>
        </w:tc>
        <w:tc>
          <w:tcPr>
            <w:tcW w:w="1234" w:type="dxa"/>
            <w:gridSpan w:val="2"/>
            <w:tcBorders>
              <w:bottom w:val="single" w:sz="4" w:space="0" w:color="auto"/>
            </w:tcBorders>
            <w:vAlign w:val="center"/>
          </w:tcPr>
          <w:p w:rsidR="00D347DF" w:rsidRPr="00EC0F3A" w:rsidRDefault="00085C0C" w:rsidP="00E9638E">
            <w:pPr>
              <w:adjustRightInd w:val="0"/>
              <w:spacing w:before="20"/>
              <w:jc w:val="right"/>
              <w:rPr>
                <w:color w:val="000000"/>
                <w:sz w:val="16"/>
                <w:szCs w:val="16"/>
              </w:rPr>
            </w:pPr>
            <w:r>
              <w:rPr>
                <w:color w:val="000000"/>
                <w:sz w:val="16"/>
                <w:szCs w:val="16"/>
              </w:rPr>
              <w:t>(</w:t>
            </w:r>
            <w:r w:rsidR="00D347DF" w:rsidRPr="00EC0F3A">
              <w:rPr>
                <w:color w:val="000000"/>
                <w:sz w:val="16"/>
                <w:szCs w:val="16"/>
              </w:rPr>
              <w:t>1.46</w:t>
            </w:r>
            <w:r w:rsidR="00D347DF">
              <w:rPr>
                <w:color w:val="000000"/>
                <w:sz w:val="16"/>
                <w:szCs w:val="16"/>
              </w:rPr>
              <w:t xml:space="preserve"> - </w:t>
            </w:r>
            <w:r w:rsidR="00D347DF" w:rsidRPr="00EC0F3A">
              <w:rPr>
                <w:color w:val="000000"/>
                <w:sz w:val="16"/>
                <w:szCs w:val="16"/>
              </w:rPr>
              <w:t>17.51</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D347DF" w:rsidRPr="00EC0F3A" w:rsidRDefault="00D347DF" w:rsidP="00E9638E">
            <w:pPr>
              <w:adjustRightInd w:val="0"/>
              <w:spacing w:before="20"/>
              <w:jc w:val="right"/>
              <w:rPr>
                <w:color w:val="000000"/>
                <w:sz w:val="16"/>
                <w:szCs w:val="16"/>
              </w:rPr>
            </w:pPr>
            <w:r w:rsidRPr="00EC0F3A">
              <w:rPr>
                <w:color w:val="000000"/>
                <w:sz w:val="16"/>
                <w:szCs w:val="16"/>
              </w:rPr>
              <w:t>0.003</w:t>
            </w:r>
          </w:p>
        </w:tc>
      </w:tr>
      <w:tr w:rsidR="00435C08" w:rsidRPr="009B1415" w:rsidTr="00E05935">
        <w:tc>
          <w:tcPr>
            <w:tcW w:w="3800" w:type="dxa"/>
            <w:tcBorders>
              <w:top w:val="single" w:sz="4" w:space="0" w:color="auto"/>
            </w:tcBorders>
            <w:vAlign w:val="bottom"/>
          </w:tcPr>
          <w:p w:rsidR="00435C08" w:rsidRPr="009B1415" w:rsidRDefault="00435C08" w:rsidP="00985F5E">
            <w:pPr>
              <w:keepNext/>
              <w:spacing w:before="20"/>
              <w:jc w:val="both"/>
              <w:rPr>
                <w:b/>
                <w:sz w:val="16"/>
                <w:szCs w:val="16"/>
              </w:rPr>
            </w:pPr>
            <w:r w:rsidRPr="009B1415">
              <w:rPr>
                <w:b/>
                <w:sz w:val="16"/>
                <w:szCs w:val="16"/>
              </w:rPr>
              <w:lastRenderedPageBreak/>
              <w:t>Does not use drugs</w:t>
            </w:r>
          </w:p>
        </w:tc>
        <w:tc>
          <w:tcPr>
            <w:tcW w:w="1837" w:type="dxa"/>
            <w:tcBorders>
              <w:top w:val="single" w:sz="4" w:space="0" w:color="auto"/>
            </w:tcBorders>
            <w:vAlign w:val="center"/>
          </w:tcPr>
          <w:p w:rsidR="00435C08" w:rsidRPr="00EC0F3A" w:rsidRDefault="00435C08" w:rsidP="00985F5E">
            <w:pPr>
              <w:keepNext/>
              <w:adjustRightInd w:val="0"/>
              <w:spacing w:before="20"/>
              <w:jc w:val="right"/>
              <w:rPr>
                <w:color w:val="000000"/>
                <w:sz w:val="16"/>
                <w:szCs w:val="16"/>
              </w:rPr>
            </w:pPr>
          </w:p>
        </w:tc>
        <w:tc>
          <w:tcPr>
            <w:tcW w:w="850" w:type="dxa"/>
            <w:tcBorders>
              <w:top w:val="single" w:sz="4" w:space="0" w:color="auto"/>
            </w:tcBorders>
            <w:vAlign w:val="center"/>
          </w:tcPr>
          <w:p w:rsidR="00435C08" w:rsidRPr="00EC0F3A" w:rsidRDefault="00435C08" w:rsidP="00985F5E">
            <w:pPr>
              <w:keepNext/>
              <w:adjustRightInd w:val="0"/>
              <w:spacing w:before="20"/>
              <w:jc w:val="right"/>
              <w:rPr>
                <w:color w:val="000000"/>
                <w:sz w:val="16"/>
                <w:szCs w:val="16"/>
              </w:rPr>
            </w:pPr>
          </w:p>
        </w:tc>
        <w:tc>
          <w:tcPr>
            <w:tcW w:w="992" w:type="dxa"/>
            <w:tcBorders>
              <w:top w:val="single" w:sz="4" w:space="0" w:color="auto"/>
            </w:tcBorders>
            <w:vAlign w:val="center"/>
          </w:tcPr>
          <w:p w:rsidR="00435C08" w:rsidRPr="00EC0F3A" w:rsidRDefault="00435C08" w:rsidP="00985F5E">
            <w:pPr>
              <w:keepNext/>
              <w:adjustRightInd w:val="0"/>
              <w:spacing w:before="20"/>
              <w:jc w:val="right"/>
              <w:rPr>
                <w:color w:val="000000"/>
                <w:sz w:val="16"/>
                <w:szCs w:val="16"/>
              </w:rPr>
            </w:pPr>
          </w:p>
        </w:tc>
        <w:tc>
          <w:tcPr>
            <w:tcW w:w="242" w:type="dxa"/>
            <w:tcBorders>
              <w:top w:val="single" w:sz="4" w:space="0" w:color="auto"/>
            </w:tcBorders>
            <w:vAlign w:val="center"/>
          </w:tcPr>
          <w:p w:rsidR="00435C08" w:rsidRPr="00EC0F3A" w:rsidRDefault="00435C08" w:rsidP="00985F5E">
            <w:pPr>
              <w:keepNext/>
              <w:adjustRightInd w:val="0"/>
              <w:spacing w:before="20"/>
              <w:jc w:val="right"/>
              <w:rPr>
                <w:color w:val="000000"/>
                <w:sz w:val="16"/>
                <w:szCs w:val="16"/>
              </w:rPr>
            </w:pPr>
          </w:p>
        </w:tc>
        <w:tc>
          <w:tcPr>
            <w:tcW w:w="747" w:type="dxa"/>
            <w:tcBorders>
              <w:top w:val="single" w:sz="4" w:space="0" w:color="auto"/>
            </w:tcBorders>
            <w:vAlign w:val="center"/>
          </w:tcPr>
          <w:p w:rsidR="00435C08" w:rsidRPr="00EC0F3A" w:rsidRDefault="00435C08" w:rsidP="00985F5E">
            <w:pPr>
              <w:keepNext/>
              <w:adjustRightInd w:val="0"/>
              <w:spacing w:before="20"/>
              <w:jc w:val="right"/>
              <w:rPr>
                <w:color w:val="000000"/>
                <w:sz w:val="16"/>
                <w:szCs w:val="16"/>
              </w:rPr>
            </w:pPr>
          </w:p>
        </w:tc>
      </w:tr>
      <w:tr w:rsidR="00435C08" w:rsidRPr="009B1415" w:rsidTr="00E05935">
        <w:tc>
          <w:tcPr>
            <w:tcW w:w="3800" w:type="dxa"/>
          </w:tcPr>
          <w:p w:rsidR="00435C08" w:rsidRPr="009B1415" w:rsidRDefault="00435C08" w:rsidP="00985F5E">
            <w:pPr>
              <w:keepNext/>
              <w:spacing w:before="20"/>
              <w:ind w:left="176"/>
              <w:jc w:val="both"/>
              <w:rPr>
                <w:sz w:val="16"/>
                <w:szCs w:val="16"/>
              </w:rPr>
            </w:pPr>
            <w:r w:rsidRPr="009B1415">
              <w:rPr>
                <w:sz w:val="16"/>
                <w:szCs w:val="16"/>
              </w:rPr>
              <w:t>No</w:t>
            </w:r>
          </w:p>
        </w:tc>
        <w:tc>
          <w:tcPr>
            <w:tcW w:w="1837" w:type="dxa"/>
            <w:vAlign w:val="center"/>
          </w:tcPr>
          <w:p w:rsidR="00435C08" w:rsidRPr="00EC0F3A" w:rsidRDefault="00435C08" w:rsidP="00985F5E">
            <w:pPr>
              <w:keepNext/>
              <w:adjustRightInd w:val="0"/>
              <w:spacing w:before="20"/>
              <w:jc w:val="right"/>
              <w:rPr>
                <w:color w:val="000000"/>
                <w:sz w:val="16"/>
                <w:szCs w:val="16"/>
              </w:rPr>
            </w:pPr>
            <w:r w:rsidRPr="00EC0F3A">
              <w:rPr>
                <w:color w:val="000000"/>
                <w:sz w:val="16"/>
                <w:szCs w:val="16"/>
              </w:rPr>
              <w:t>13.3</w:t>
            </w:r>
          </w:p>
        </w:tc>
        <w:tc>
          <w:tcPr>
            <w:tcW w:w="850" w:type="dxa"/>
            <w:vAlign w:val="center"/>
          </w:tcPr>
          <w:p w:rsidR="00435C08" w:rsidRPr="00EC0F3A" w:rsidRDefault="00435C08" w:rsidP="00985F5E">
            <w:pPr>
              <w:keepNext/>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985F5E">
            <w:pPr>
              <w:keepNext/>
              <w:adjustRightInd w:val="0"/>
              <w:spacing w:before="20"/>
              <w:jc w:val="right"/>
              <w:rPr>
                <w:color w:val="000000"/>
                <w:sz w:val="16"/>
                <w:szCs w:val="16"/>
              </w:rPr>
            </w:pPr>
          </w:p>
        </w:tc>
        <w:tc>
          <w:tcPr>
            <w:tcW w:w="242" w:type="dxa"/>
            <w:vAlign w:val="center"/>
          </w:tcPr>
          <w:p w:rsidR="00435C08" w:rsidRPr="00EC0F3A" w:rsidRDefault="00435C08" w:rsidP="00985F5E">
            <w:pPr>
              <w:keepNext/>
              <w:adjustRightInd w:val="0"/>
              <w:spacing w:before="20"/>
              <w:jc w:val="right"/>
              <w:rPr>
                <w:color w:val="000000"/>
                <w:sz w:val="16"/>
                <w:szCs w:val="16"/>
              </w:rPr>
            </w:pPr>
          </w:p>
        </w:tc>
        <w:tc>
          <w:tcPr>
            <w:tcW w:w="747" w:type="dxa"/>
            <w:vAlign w:val="center"/>
          </w:tcPr>
          <w:p w:rsidR="00435C08" w:rsidRPr="00EC0F3A" w:rsidRDefault="00435C08" w:rsidP="00985F5E">
            <w:pPr>
              <w:keepNext/>
              <w:adjustRightInd w:val="0"/>
              <w:spacing w:before="20"/>
              <w:jc w:val="right"/>
              <w:rPr>
                <w:color w:val="000000"/>
                <w:sz w:val="16"/>
                <w:szCs w:val="16"/>
              </w:rPr>
            </w:pPr>
          </w:p>
        </w:tc>
      </w:tr>
      <w:tr w:rsidR="00D347DF" w:rsidRPr="009B1415" w:rsidTr="00E05935">
        <w:tc>
          <w:tcPr>
            <w:tcW w:w="3800" w:type="dxa"/>
          </w:tcPr>
          <w:p w:rsidR="00D347DF" w:rsidRPr="009B1415" w:rsidRDefault="00D347DF" w:rsidP="00435C08">
            <w:pPr>
              <w:spacing w:before="20"/>
              <w:ind w:left="176"/>
              <w:jc w:val="both"/>
              <w:rPr>
                <w:sz w:val="16"/>
                <w:szCs w:val="16"/>
              </w:rPr>
            </w:pPr>
            <w:r w:rsidRPr="009B1415">
              <w:rPr>
                <w:sz w:val="16"/>
                <w:szCs w:val="16"/>
              </w:rPr>
              <w:t>Yes</w:t>
            </w:r>
          </w:p>
        </w:tc>
        <w:tc>
          <w:tcPr>
            <w:tcW w:w="1837" w:type="dxa"/>
            <w:vAlign w:val="center"/>
          </w:tcPr>
          <w:p w:rsidR="00D347DF" w:rsidRPr="00EC0F3A" w:rsidRDefault="00D347DF" w:rsidP="0081083E">
            <w:pPr>
              <w:adjustRightInd w:val="0"/>
              <w:spacing w:before="20"/>
              <w:jc w:val="right"/>
              <w:rPr>
                <w:color w:val="000000"/>
                <w:sz w:val="16"/>
                <w:szCs w:val="16"/>
              </w:rPr>
            </w:pPr>
            <w:r>
              <w:rPr>
                <w:color w:val="000000"/>
                <w:sz w:val="16"/>
                <w:szCs w:val="16"/>
              </w:rPr>
              <w:t>5.4</w:t>
            </w:r>
          </w:p>
        </w:tc>
        <w:tc>
          <w:tcPr>
            <w:tcW w:w="850" w:type="dxa"/>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0.37</w:t>
            </w:r>
          </w:p>
        </w:tc>
        <w:tc>
          <w:tcPr>
            <w:tcW w:w="1234" w:type="dxa"/>
            <w:gridSpan w:val="2"/>
            <w:vAlign w:val="center"/>
          </w:tcPr>
          <w:p w:rsidR="00D347DF" w:rsidRPr="00EC0F3A" w:rsidRDefault="00085C0C" w:rsidP="00D347DF">
            <w:pPr>
              <w:adjustRightInd w:val="0"/>
              <w:spacing w:before="20"/>
              <w:jc w:val="right"/>
              <w:rPr>
                <w:color w:val="000000"/>
                <w:sz w:val="16"/>
                <w:szCs w:val="16"/>
              </w:rPr>
            </w:pPr>
            <w:r>
              <w:rPr>
                <w:color w:val="000000"/>
                <w:sz w:val="16"/>
                <w:szCs w:val="16"/>
              </w:rPr>
              <w:t>(</w:t>
            </w:r>
            <w:r w:rsidR="00D347DF" w:rsidRPr="00EC0F3A">
              <w:rPr>
                <w:color w:val="000000"/>
                <w:sz w:val="16"/>
                <w:szCs w:val="16"/>
              </w:rPr>
              <w:t>0.23</w:t>
            </w:r>
            <w:r w:rsidR="00D347DF">
              <w:rPr>
                <w:color w:val="000000"/>
                <w:sz w:val="16"/>
                <w:szCs w:val="16"/>
              </w:rPr>
              <w:t xml:space="preserve"> - </w:t>
            </w:r>
            <w:r w:rsidR="00D347DF" w:rsidRPr="00EC0F3A">
              <w:rPr>
                <w:color w:val="000000"/>
                <w:sz w:val="16"/>
                <w:szCs w:val="16"/>
              </w:rPr>
              <w:t>0.59</w:t>
            </w:r>
            <w:r>
              <w:rPr>
                <w:color w:val="000000"/>
                <w:sz w:val="16"/>
                <w:szCs w:val="16"/>
              </w:rPr>
              <w:t>)</w:t>
            </w:r>
          </w:p>
        </w:tc>
        <w:tc>
          <w:tcPr>
            <w:tcW w:w="747" w:type="dxa"/>
            <w:shd w:val="clear" w:color="auto" w:fill="D9D9D9" w:themeFill="background1" w:themeFillShade="D9"/>
            <w:vAlign w:val="center"/>
          </w:tcPr>
          <w:p w:rsidR="00D347DF" w:rsidRPr="00EC0F3A" w:rsidRDefault="00D347DF" w:rsidP="0081083E">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435C08" w:rsidRPr="009B1415" w:rsidTr="00E05935">
        <w:tc>
          <w:tcPr>
            <w:tcW w:w="3800" w:type="dxa"/>
            <w:vAlign w:val="bottom"/>
          </w:tcPr>
          <w:p w:rsidR="00435C08" w:rsidRPr="009B1415" w:rsidRDefault="00435C08" w:rsidP="00E9638E">
            <w:pPr>
              <w:spacing w:before="20"/>
              <w:jc w:val="both"/>
              <w:rPr>
                <w:b/>
                <w:sz w:val="16"/>
                <w:szCs w:val="16"/>
              </w:rPr>
            </w:pPr>
            <w:r w:rsidRPr="009B1415">
              <w:rPr>
                <w:b/>
                <w:sz w:val="16"/>
                <w:szCs w:val="16"/>
              </w:rPr>
              <w:t>Cannabis</w:t>
            </w:r>
          </w:p>
        </w:tc>
        <w:tc>
          <w:tcPr>
            <w:tcW w:w="1837" w:type="dxa"/>
            <w:vAlign w:val="center"/>
          </w:tcPr>
          <w:p w:rsidR="00435C08" w:rsidRPr="00B61EF6" w:rsidRDefault="00435C08" w:rsidP="00E9638E">
            <w:pPr>
              <w:adjustRightInd w:val="0"/>
              <w:spacing w:before="20"/>
              <w:jc w:val="right"/>
              <w:rPr>
                <w:color w:val="000000"/>
                <w:sz w:val="16"/>
                <w:szCs w:val="16"/>
              </w:rPr>
            </w:pPr>
          </w:p>
        </w:tc>
        <w:tc>
          <w:tcPr>
            <w:tcW w:w="850" w:type="dxa"/>
            <w:vAlign w:val="center"/>
          </w:tcPr>
          <w:p w:rsidR="00435C08" w:rsidRPr="00B61EF6" w:rsidRDefault="00435C08" w:rsidP="00E9638E">
            <w:pPr>
              <w:adjustRightInd w:val="0"/>
              <w:spacing w:before="20"/>
              <w:jc w:val="right"/>
              <w:rPr>
                <w:color w:val="000000"/>
                <w:sz w:val="16"/>
                <w:szCs w:val="16"/>
              </w:rPr>
            </w:pPr>
          </w:p>
        </w:tc>
        <w:tc>
          <w:tcPr>
            <w:tcW w:w="992" w:type="dxa"/>
            <w:vAlign w:val="center"/>
          </w:tcPr>
          <w:p w:rsidR="00435C08" w:rsidRPr="00B61EF6" w:rsidRDefault="00435C08" w:rsidP="00E9638E">
            <w:pPr>
              <w:adjustRightInd w:val="0"/>
              <w:spacing w:before="20"/>
              <w:jc w:val="right"/>
              <w:rPr>
                <w:color w:val="000000"/>
                <w:sz w:val="16"/>
                <w:szCs w:val="16"/>
              </w:rPr>
            </w:pPr>
          </w:p>
        </w:tc>
        <w:tc>
          <w:tcPr>
            <w:tcW w:w="242" w:type="dxa"/>
            <w:vAlign w:val="center"/>
          </w:tcPr>
          <w:p w:rsidR="00435C08" w:rsidRPr="00B61EF6" w:rsidRDefault="00435C08" w:rsidP="00E9638E">
            <w:pPr>
              <w:adjustRightInd w:val="0"/>
              <w:spacing w:before="20"/>
              <w:jc w:val="right"/>
              <w:rPr>
                <w:color w:val="000000"/>
                <w:sz w:val="16"/>
                <w:szCs w:val="16"/>
              </w:rPr>
            </w:pPr>
          </w:p>
        </w:tc>
        <w:tc>
          <w:tcPr>
            <w:tcW w:w="747" w:type="dxa"/>
            <w:vAlign w:val="center"/>
          </w:tcPr>
          <w:p w:rsidR="00435C08" w:rsidRPr="00B61EF6" w:rsidRDefault="00435C08" w:rsidP="00E9638E">
            <w:pPr>
              <w:adjustRightInd w:val="0"/>
              <w:spacing w:before="20"/>
              <w:jc w:val="right"/>
              <w:rPr>
                <w:color w:val="000000"/>
                <w:sz w:val="16"/>
                <w:szCs w:val="16"/>
              </w:rPr>
            </w:pPr>
          </w:p>
        </w:tc>
      </w:tr>
      <w:tr w:rsidR="00435C08" w:rsidRPr="009B1415" w:rsidTr="00E05935">
        <w:tc>
          <w:tcPr>
            <w:tcW w:w="3800" w:type="dxa"/>
          </w:tcPr>
          <w:p w:rsidR="00435C08" w:rsidRPr="009B1415" w:rsidRDefault="00435C08" w:rsidP="00E9638E">
            <w:pPr>
              <w:spacing w:before="20"/>
              <w:ind w:left="176"/>
              <w:jc w:val="both"/>
              <w:rPr>
                <w:sz w:val="16"/>
                <w:szCs w:val="16"/>
              </w:rPr>
            </w:pPr>
            <w:r w:rsidRPr="009B1415">
              <w:rPr>
                <w:sz w:val="16"/>
                <w:szCs w:val="16"/>
              </w:rPr>
              <w:t>No</w:t>
            </w:r>
          </w:p>
        </w:tc>
        <w:tc>
          <w:tcPr>
            <w:tcW w:w="1837" w:type="dxa"/>
            <w:vAlign w:val="center"/>
          </w:tcPr>
          <w:p w:rsidR="00435C08" w:rsidRPr="00EC0F3A" w:rsidRDefault="00435C08" w:rsidP="00E9638E">
            <w:pPr>
              <w:adjustRightInd w:val="0"/>
              <w:spacing w:before="20"/>
              <w:jc w:val="right"/>
              <w:rPr>
                <w:color w:val="000000"/>
                <w:sz w:val="16"/>
                <w:szCs w:val="16"/>
              </w:rPr>
            </w:pPr>
            <w:r>
              <w:rPr>
                <w:color w:val="000000"/>
                <w:sz w:val="16"/>
                <w:szCs w:val="16"/>
              </w:rPr>
              <w:t>5.5</w:t>
            </w:r>
          </w:p>
        </w:tc>
        <w:tc>
          <w:tcPr>
            <w:tcW w:w="850" w:type="dxa"/>
            <w:vAlign w:val="center"/>
          </w:tcPr>
          <w:p w:rsidR="00435C08" w:rsidRPr="00EC0F3A" w:rsidRDefault="00435C08" w:rsidP="00E9638E">
            <w:pPr>
              <w:adjustRightInd w:val="0"/>
              <w:spacing w:before="20"/>
              <w:jc w:val="right"/>
              <w:rPr>
                <w:color w:val="000000"/>
                <w:sz w:val="16"/>
                <w:szCs w:val="16"/>
              </w:rPr>
            </w:pPr>
            <w:r w:rsidRPr="00EC0F3A">
              <w:rPr>
                <w:color w:val="000000"/>
                <w:sz w:val="16"/>
                <w:szCs w:val="16"/>
              </w:rPr>
              <w:t>1.00</w:t>
            </w:r>
          </w:p>
        </w:tc>
        <w:tc>
          <w:tcPr>
            <w:tcW w:w="992" w:type="dxa"/>
            <w:vAlign w:val="center"/>
          </w:tcPr>
          <w:p w:rsidR="00435C08" w:rsidRPr="00EC0F3A" w:rsidRDefault="00435C08" w:rsidP="00E9638E">
            <w:pPr>
              <w:adjustRightInd w:val="0"/>
              <w:spacing w:before="20"/>
              <w:jc w:val="right"/>
              <w:rPr>
                <w:color w:val="000000"/>
                <w:sz w:val="16"/>
                <w:szCs w:val="16"/>
              </w:rPr>
            </w:pPr>
          </w:p>
        </w:tc>
        <w:tc>
          <w:tcPr>
            <w:tcW w:w="242" w:type="dxa"/>
            <w:vAlign w:val="center"/>
          </w:tcPr>
          <w:p w:rsidR="00435C08" w:rsidRPr="00EC0F3A" w:rsidRDefault="00435C08" w:rsidP="00E9638E">
            <w:pPr>
              <w:adjustRightInd w:val="0"/>
              <w:spacing w:before="20"/>
              <w:jc w:val="right"/>
              <w:rPr>
                <w:color w:val="000000"/>
                <w:sz w:val="16"/>
                <w:szCs w:val="16"/>
              </w:rPr>
            </w:pPr>
          </w:p>
        </w:tc>
        <w:tc>
          <w:tcPr>
            <w:tcW w:w="747" w:type="dxa"/>
            <w:vAlign w:val="center"/>
          </w:tcPr>
          <w:p w:rsidR="00435C08" w:rsidRPr="00EC0F3A" w:rsidRDefault="00435C08" w:rsidP="00E9638E">
            <w:pPr>
              <w:adjustRightInd w:val="0"/>
              <w:spacing w:before="20"/>
              <w:jc w:val="right"/>
              <w:rPr>
                <w:color w:val="000000"/>
                <w:sz w:val="16"/>
                <w:szCs w:val="16"/>
              </w:rPr>
            </w:pPr>
          </w:p>
        </w:tc>
      </w:tr>
      <w:tr w:rsidR="0010307E" w:rsidRPr="009B1415" w:rsidTr="00E05935">
        <w:tc>
          <w:tcPr>
            <w:tcW w:w="3800" w:type="dxa"/>
          </w:tcPr>
          <w:p w:rsidR="0010307E" w:rsidRPr="009B1415" w:rsidRDefault="0010307E" w:rsidP="00E9638E">
            <w:pPr>
              <w:spacing w:before="20"/>
              <w:ind w:left="176"/>
              <w:jc w:val="both"/>
              <w:rPr>
                <w:sz w:val="16"/>
                <w:szCs w:val="16"/>
              </w:rPr>
            </w:pPr>
            <w:r w:rsidRPr="009B1415">
              <w:rPr>
                <w:sz w:val="16"/>
                <w:szCs w:val="16"/>
              </w:rPr>
              <w:t>Yes</w:t>
            </w:r>
          </w:p>
        </w:tc>
        <w:tc>
          <w:tcPr>
            <w:tcW w:w="1837" w:type="dxa"/>
            <w:vAlign w:val="center"/>
          </w:tcPr>
          <w:p w:rsidR="0010307E" w:rsidRPr="00EC0F3A" w:rsidRDefault="0010307E" w:rsidP="00E9638E">
            <w:pPr>
              <w:adjustRightInd w:val="0"/>
              <w:spacing w:before="20"/>
              <w:jc w:val="right"/>
              <w:rPr>
                <w:color w:val="000000"/>
                <w:sz w:val="16"/>
                <w:szCs w:val="16"/>
              </w:rPr>
            </w:pPr>
            <w:r>
              <w:rPr>
                <w:color w:val="000000"/>
                <w:sz w:val="16"/>
                <w:szCs w:val="16"/>
              </w:rPr>
              <w:t>13.9</w:t>
            </w:r>
          </w:p>
        </w:tc>
        <w:tc>
          <w:tcPr>
            <w:tcW w:w="850" w:type="dxa"/>
            <w:vAlign w:val="center"/>
          </w:tcPr>
          <w:p w:rsidR="0010307E" w:rsidRPr="00EC0F3A" w:rsidRDefault="0010307E" w:rsidP="00E9638E">
            <w:pPr>
              <w:adjustRightInd w:val="0"/>
              <w:spacing w:before="20"/>
              <w:jc w:val="right"/>
              <w:rPr>
                <w:color w:val="000000"/>
                <w:sz w:val="16"/>
                <w:szCs w:val="16"/>
              </w:rPr>
            </w:pPr>
            <w:r w:rsidRPr="00EC0F3A">
              <w:rPr>
                <w:color w:val="000000"/>
                <w:sz w:val="16"/>
                <w:szCs w:val="16"/>
              </w:rPr>
              <w:t>2.77</w:t>
            </w:r>
          </w:p>
        </w:tc>
        <w:tc>
          <w:tcPr>
            <w:tcW w:w="1234" w:type="dxa"/>
            <w:gridSpan w:val="2"/>
            <w:vAlign w:val="center"/>
          </w:tcPr>
          <w:p w:rsidR="0010307E" w:rsidRPr="00EC0F3A" w:rsidRDefault="00085C0C" w:rsidP="00E9638E">
            <w:pPr>
              <w:adjustRightInd w:val="0"/>
              <w:spacing w:before="20"/>
              <w:jc w:val="right"/>
              <w:rPr>
                <w:color w:val="000000"/>
                <w:sz w:val="16"/>
                <w:szCs w:val="16"/>
              </w:rPr>
            </w:pPr>
            <w:r>
              <w:rPr>
                <w:color w:val="000000"/>
                <w:sz w:val="16"/>
                <w:szCs w:val="16"/>
              </w:rPr>
              <w:t>(</w:t>
            </w:r>
            <w:r w:rsidR="0010307E" w:rsidRPr="00EC0F3A">
              <w:rPr>
                <w:color w:val="000000"/>
                <w:sz w:val="16"/>
                <w:szCs w:val="16"/>
              </w:rPr>
              <w:t>1.68</w:t>
            </w:r>
            <w:r w:rsidR="0010307E">
              <w:rPr>
                <w:color w:val="000000"/>
                <w:sz w:val="16"/>
                <w:szCs w:val="16"/>
              </w:rPr>
              <w:t xml:space="preserve"> - </w:t>
            </w:r>
            <w:r w:rsidR="0010307E" w:rsidRPr="00EC0F3A">
              <w:rPr>
                <w:color w:val="000000"/>
                <w:sz w:val="16"/>
                <w:szCs w:val="16"/>
              </w:rPr>
              <w:t>4.58</w:t>
            </w:r>
            <w:r>
              <w:rPr>
                <w:color w:val="000000"/>
                <w:sz w:val="16"/>
                <w:szCs w:val="16"/>
              </w:rPr>
              <w:t>)</w:t>
            </w:r>
          </w:p>
        </w:tc>
        <w:tc>
          <w:tcPr>
            <w:tcW w:w="747" w:type="dxa"/>
            <w:shd w:val="clear" w:color="auto" w:fill="D9D9D9" w:themeFill="background1" w:themeFillShade="D9"/>
            <w:vAlign w:val="center"/>
          </w:tcPr>
          <w:p w:rsidR="0010307E" w:rsidRPr="00EC0F3A" w:rsidRDefault="0010307E" w:rsidP="00E9638E">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435C08" w:rsidRPr="009B1415" w:rsidTr="00E05935">
        <w:tc>
          <w:tcPr>
            <w:tcW w:w="3800" w:type="dxa"/>
            <w:vAlign w:val="bottom"/>
          </w:tcPr>
          <w:p w:rsidR="00435C08" w:rsidRPr="009B1415" w:rsidRDefault="00435C08" w:rsidP="00435C08">
            <w:pPr>
              <w:spacing w:before="20"/>
              <w:jc w:val="both"/>
              <w:rPr>
                <w:b/>
                <w:sz w:val="16"/>
                <w:szCs w:val="16"/>
              </w:rPr>
            </w:pPr>
            <w:r w:rsidRPr="009B1415">
              <w:rPr>
                <w:b/>
                <w:bCs/>
                <w:color w:val="000000"/>
                <w:sz w:val="16"/>
                <w:szCs w:val="16"/>
              </w:rPr>
              <w:t>Current tobacco use</w:t>
            </w:r>
          </w:p>
        </w:tc>
        <w:tc>
          <w:tcPr>
            <w:tcW w:w="1837" w:type="dxa"/>
            <w:vAlign w:val="center"/>
          </w:tcPr>
          <w:p w:rsidR="00435C08" w:rsidRPr="00B61EF6" w:rsidRDefault="00435C08" w:rsidP="0081083E">
            <w:pPr>
              <w:adjustRightInd w:val="0"/>
              <w:spacing w:before="20"/>
              <w:jc w:val="right"/>
              <w:rPr>
                <w:color w:val="000000"/>
                <w:sz w:val="16"/>
                <w:szCs w:val="16"/>
              </w:rPr>
            </w:pPr>
          </w:p>
        </w:tc>
        <w:tc>
          <w:tcPr>
            <w:tcW w:w="850" w:type="dxa"/>
            <w:vAlign w:val="center"/>
          </w:tcPr>
          <w:p w:rsidR="00435C08" w:rsidRPr="00B61EF6" w:rsidRDefault="00435C08" w:rsidP="0081083E">
            <w:pPr>
              <w:adjustRightInd w:val="0"/>
              <w:spacing w:before="20"/>
              <w:jc w:val="right"/>
              <w:rPr>
                <w:color w:val="000000"/>
                <w:sz w:val="16"/>
                <w:szCs w:val="16"/>
              </w:rPr>
            </w:pPr>
          </w:p>
        </w:tc>
        <w:tc>
          <w:tcPr>
            <w:tcW w:w="992" w:type="dxa"/>
            <w:vAlign w:val="center"/>
          </w:tcPr>
          <w:p w:rsidR="00435C08" w:rsidRPr="00B61EF6" w:rsidRDefault="00435C08" w:rsidP="0081083E">
            <w:pPr>
              <w:adjustRightInd w:val="0"/>
              <w:spacing w:before="20"/>
              <w:jc w:val="right"/>
              <w:rPr>
                <w:color w:val="000000"/>
                <w:sz w:val="16"/>
                <w:szCs w:val="16"/>
              </w:rPr>
            </w:pPr>
          </w:p>
        </w:tc>
        <w:tc>
          <w:tcPr>
            <w:tcW w:w="242" w:type="dxa"/>
            <w:vAlign w:val="center"/>
          </w:tcPr>
          <w:p w:rsidR="00435C08" w:rsidRPr="00B61EF6" w:rsidRDefault="00435C08" w:rsidP="0081083E">
            <w:pPr>
              <w:adjustRightInd w:val="0"/>
              <w:spacing w:before="20"/>
              <w:jc w:val="right"/>
              <w:rPr>
                <w:color w:val="000000"/>
                <w:sz w:val="16"/>
                <w:szCs w:val="16"/>
              </w:rPr>
            </w:pPr>
          </w:p>
        </w:tc>
        <w:tc>
          <w:tcPr>
            <w:tcW w:w="747" w:type="dxa"/>
            <w:vAlign w:val="center"/>
          </w:tcPr>
          <w:p w:rsidR="00435C08" w:rsidRPr="00B61EF6" w:rsidRDefault="00435C08" w:rsidP="0081083E">
            <w:pPr>
              <w:adjustRightInd w:val="0"/>
              <w:spacing w:before="20"/>
              <w:jc w:val="right"/>
              <w:rPr>
                <w:color w:val="000000"/>
                <w:sz w:val="16"/>
                <w:szCs w:val="16"/>
              </w:rPr>
            </w:pPr>
          </w:p>
        </w:tc>
      </w:tr>
      <w:tr w:rsidR="0010307E" w:rsidRPr="009B1415" w:rsidTr="00E05935">
        <w:tc>
          <w:tcPr>
            <w:tcW w:w="3800" w:type="dxa"/>
          </w:tcPr>
          <w:p w:rsidR="0010307E" w:rsidRPr="009B1415" w:rsidRDefault="0010307E" w:rsidP="00435C08">
            <w:pPr>
              <w:spacing w:before="20"/>
              <w:ind w:left="176"/>
              <w:jc w:val="both"/>
              <w:rPr>
                <w:sz w:val="16"/>
                <w:szCs w:val="16"/>
              </w:rPr>
            </w:pPr>
            <w:r w:rsidRPr="009B1415">
              <w:rPr>
                <w:sz w:val="16"/>
                <w:szCs w:val="16"/>
              </w:rPr>
              <w:t>Does not smoke now</w:t>
            </w:r>
          </w:p>
        </w:tc>
        <w:tc>
          <w:tcPr>
            <w:tcW w:w="1837"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4.9</w:t>
            </w:r>
          </w:p>
        </w:tc>
        <w:tc>
          <w:tcPr>
            <w:tcW w:w="850"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0.83</w:t>
            </w:r>
          </w:p>
        </w:tc>
        <w:tc>
          <w:tcPr>
            <w:tcW w:w="1234" w:type="dxa"/>
            <w:gridSpan w:val="2"/>
            <w:vAlign w:val="center"/>
          </w:tcPr>
          <w:p w:rsidR="0010307E" w:rsidRPr="007E574F" w:rsidRDefault="00085C0C" w:rsidP="0010307E">
            <w:pPr>
              <w:adjustRightInd w:val="0"/>
              <w:spacing w:before="20"/>
              <w:jc w:val="right"/>
              <w:rPr>
                <w:color w:val="000000"/>
                <w:sz w:val="16"/>
                <w:szCs w:val="16"/>
              </w:rPr>
            </w:pPr>
            <w:r>
              <w:rPr>
                <w:color w:val="000000"/>
                <w:sz w:val="16"/>
                <w:szCs w:val="16"/>
              </w:rPr>
              <w:t>(</w:t>
            </w:r>
            <w:r w:rsidR="0010307E" w:rsidRPr="007E574F">
              <w:rPr>
                <w:color w:val="000000"/>
                <w:sz w:val="16"/>
                <w:szCs w:val="16"/>
              </w:rPr>
              <w:t>0.53</w:t>
            </w:r>
            <w:r w:rsidR="0010307E">
              <w:rPr>
                <w:color w:val="000000"/>
                <w:sz w:val="16"/>
                <w:szCs w:val="16"/>
              </w:rPr>
              <w:t xml:space="preserve"> - </w:t>
            </w:r>
            <w:r w:rsidR="0010307E" w:rsidRPr="007E574F">
              <w:rPr>
                <w:color w:val="000000"/>
                <w:sz w:val="16"/>
                <w:szCs w:val="16"/>
              </w:rPr>
              <w:t>1.31</w:t>
            </w:r>
            <w:r>
              <w:rPr>
                <w:color w:val="000000"/>
                <w:sz w:val="16"/>
                <w:szCs w:val="16"/>
              </w:rPr>
              <w:t>)</w:t>
            </w:r>
          </w:p>
        </w:tc>
        <w:tc>
          <w:tcPr>
            <w:tcW w:w="747" w:type="dxa"/>
            <w:vAlign w:val="center"/>
          </w:tcPr>
          <w:p w:rsidR="0010307E" w:rsidRPr="007E574F" w:rsidRDefault="0010307E" w:rsidP="0081083E">
            <w:pPr>
              <w:adjustRightInd w:val="0"/>
              <w:spacing w:before="20"/>
              <w:jc w:val="right"/>
              <w:rPr>
                <w:color w:val="000000"/>
                <w:sz w:val="16"/>
                <w:szCs w:val="16"/>
              </w:rPr>
            </w:pPr>
          </w:p>
        </w:tc>
      </w:tr>
      <w:tr w:rsidR="0010307E" w:rsidRPr="009B1415" w:rsidTr="00E05935">
        <w:tc>
          <w:tcPr>
            <w:tcW w:w="3800" w:type="dxa"/>
          </w:tcPr>
          <w:p w:rsidR="0010307E" w:rsidRPr="009B1415" w:rsidRDefault="0010307E" w:rsidP="00435C08">
            <w:pPr>
              <w:spacing w:before="20"/>
              <w:ind w:left="176"/>
              <w:jc w:val="both"/>
              <w:rPr>
                <w:sz w:val="16"/>
                <w:szCs w:val="16"/>
              </w:rPr>
            </w:pPr>
            <w:r>
              <w:rPr>
                <w:sz w:val="16"/>
                <w:szCs w:val="16"/>
              </w:rPr>
              <w:t>Smokes at least once a day</w:t>
            </w:r>
          </w:p>
        </w:tc>
        <w:tc>
          <w:tcPr>
            <w:tcW w:w="1837"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11.9</w:t>
            </w:r>
          </w:p>
        </w:tc>
        <w:tc>
          <w:tcPr>
            <w:tcW w:w="850"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2.17</w:t>
            </w:r>
          </w:p>
        </w:tc>
        <w:tc>
          <w:tcPr>
            <w:tcW w:w="1234" w:type="dxa"/>
            <w:gridSpan w:val="2"/>
            <w:vAlign w:val="center"/>
          </w:tcPr>
          <w:p w:rsidR="0010307E" w:rsidRPr="007E574F" w:rsidRDefault="00085C0C" w:rsidP="0010307E">
            <w:pPr>
              <w:adjustRightInd w:val="0"/>
              <w:spacing w:before="20"/>
              <w:jc w:val="right"/>
              <w:rPr>
                <w:color w:val="000000"/>
                <w:sz w:val="16"/>
                <w:szCs w:val="16"/>
              </w:rPr>
            </w:pPr>
            <w:r>
              <w:rPr>
                <w:color w:val="000000"/>
                <w:sz w:val="16"/>
                <w:szCs w:val="16"/>
              </w:rPr>
              <w:t>(</w:t>
            </w:r>
            <w:r w:rsidR="0010307E" w:rsidRPr="007E574F">
              <w:rPr>
                <w:color w:val="000000"/>
                <w:sz w:val="16"/>
                <w:szCs w:val="16"/>
              </w:rPr>
              <w:t>1.39</w:t>
            </w:r>
            <w:r w:rsidR="0010307E">
              <w:rPr>
                <w:color w:val="000000"/>
                <w:sz w:val="16"/>
                <w:szCs w:val="16"/>
              </w:rPr>
              <w:t xml:space="preserve"> - </w:t>
            </w:r>
            <w:r w:rsidR="0010307E" w:rsidRPr="007E574F">
              <w:rPr>
                <w:color w:val="000000"/>
                <w:sz w:val="16"/>
                <w:szCs w:val="16"/>
              </w:rPr>
              <w:t>3.39</w:t>
            </w:r>
            <w:r>
              <w:rPr>
                <w:color w:val="000000"/>
                <w:sz w:val="16"/>
                <w:szCs w:val="16"/>
              </w:rPr>
              <w:t>)</w:t>
            </w:r>
          </w:p>
        </w:tc>
        <w:tc>
          <w:tcPr>
            <w:tcW w:w="747" w:type="dxa"/>
            <w:vAlign w:val="center"/>
          </w:tcPr>
          <w:p w:rsidR="0010307E" w:rsidRPr="007E574F" w:rsidRDefault="0010307E" w:rsidP="0081083E">
            <w:pPr>
              <w:adjustRightInd w:val="0"/>
              <w:spacing w:before="20"/>
              <w:jc w:val="right"/>
              <w:rPr>
                <w:color w:val="000000"/>
                <w:sz w:val="16"/>
                <w:szCs w:val="16"/>
              </w:rPr>
            </w:pPr>
          </w:p>
        </w:tc>
      </w:tr>
      <w:tr w:rsidR="0010307E" w:rsidRPr="009B1415" w:rsidTr="00E05935">
        <w:tc>
          <w:tcPr>
            <w:tcW w:w="3800" w:type="dxa"/>
          </w:tcPr>
          <w:p w:rsidR="0010307E" w:rsidRPr="009B1415" w:rsidRDefault="0010307E" w:rsidP="00435C08">
            <w:pPr>
              <w:spacing w:before="20"/>
              <w:ind w:left="176"/>
              <w:jc w:val="both"/>
              <w:rPr>
                <w:sz w:val="16"/>
                <w:szCs w:val="16"/>
              </w:rPr>
            </w:pPr>
            <w:r>
              <w:rPr>
                <w:sz w:val="16"/>
                <w:szCs w:val="16"/>
              </w:rPr>
              <w:t>Smokes at least once a week</w:t>
            </w:r>
          </w:p>
        </w:tc>
        <w:tc>
          <w:tcPr>
            <w:tcW w:w="1837" w:type="dxa"/>
            <w:vAlign w:val="center"/>
          </w:tcPr>
          <w:p w:rsidR="0010307E" w:rsidRPr="007E574F" w:rsidRDefault="0010307E" w:rsidP="0081083E">
            <w:pPr>
              <w:adjustRightInd w:val="0"/>
              <w:spacing w:before="20"/>
              <w:jc w:val="right"/>
              <w:rPr>
                <w:color w:val="000000"/>
                <w:sz w:val="16"/>
                <w:szCs w:val="16"/>
              </w:rPr>
            </w:pPr>
            <w:r>
              <w:rPr>
                <w:color w:val="000000"/>
                <w:sz w:val="16"/>
                <w:szCs w:val="16"/>
              </w:rPr>
              <w:t>5.8</w:t>
            </w:r>
          </w:p>
        </w:tc>
        <w:tc>
          <w:tcPr>
            <w:tcW w:w="850"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0.99</w:t>
            </w:r>
          </w:p>
        </w:tc>
        <w:tc>
          <w:tcPr>
            <w:tcW w:w="1234" w:type="dxa"/>
            <w:gridSpan w:val="2"/>
            <w:vAlign w:val="center"/>
          </w:tcPr>
          <w:p w:rsidR="0010307E" w:rsidRPr="007E574F" w:rsidRDefault="00085C0C" w:rsidP="0010307E">
            <w:pPr>
              <w:adjustRightInd w:val="0"/>
              <w:spacing w:before="20"/>
              <w:jc w:val="right"/>
              <w:rPr>
                <w:color w:val="000000"/>
                <w:sz w:val="16"/>
                <w:szCs w:val="16"/>
              </w:rPr>
            </w:pPr>
            <w:r>
              <w:rPr>
                <w:color w:val="000000"/>
                <w:sz w:val="16"/>
                <w:szCs w:val="16"/>
              </w:rPr>
              <w:t>(</w:t>
            </w:r>
            <w:r w:rsidR="0010307E" w:rsidRPr="007E574F">
              <w:rPr>
                <w:color w:val="000000"/>
                <w:sz w:val="16"/>
                <w:szCs w:val="16"/>
              </w:rPr>
              <w:t>0.20</w:t>
            </w:r>
            <w:r w:rsidR="0010307E">
              <w:rPr>
                <w:color w:val="000000"/>
                <w:sz w:val="16"/>
                <w:szCs w:val="16"/>
              </w:rPr>
              <w:t xml:space="preserve"> - </w:t>
            </w:r>
            <w:r w:rsidR="0010307E" w:rsidRPr="007E574F">
              <w:rPr>
                <w:color w:val="000000"/>
                <w:sz w:val="16"/>
                <w:szCs w:val="16"/>
              </w:rPr>
              <w:t>4.92</w:t>
            </w:r>
            <w:r>
              <w:rPr>
                <w:color w:val="000000"/>
                <w:sz w:val="16"/>
                <w:szCs w:val="16"/>
              </w:rPr>
              <w:t>)</w:t>
            </w:r>
          </w:p>
        </w:tc>
        <w:tc>
          <w:tcPr>
            <w:tcW w:w="747" w:type="dxa"/>
            <w:vAlign w:val="center"/>
          </w:tcPr>
          <w:p w:rsidR="0010307E" w:rsidRPr="007E574F" w:rsidRDefault="0010307E" w:rsidP="0081083E">
            <w:pPr>
              <w:adjustRightInd w:val="0"/>
              <w:spacing w:before="20"/>
              <w:jc w:val="right"/>
              <w:rPr>
                <w:color w:val="000000"/>
                <w:sz w:val="16"/>
                <w:szCs w:val="16"/>
              </w:rPr>
            </w:pPr>
          </w:p>
        </w:tc>
      </w:tr>
      <w:tr w:rsidR="0010307E" w:rsidRPr="009B1415" w:rsidTr="00E05935">
        <w:tc>
          <w:tcPr>
            <w:tcW w:w="3800" w:type="dxa"/>
          </w:tcPr>
          <w:p w:rsidR="0010307E" w:rsidRPr="009B1415" w:rsidRDefault="0010307E" w:rsidP="00435C08">
            <w:pPr>
              <w:spacing w:before="20"/>
              <w:ind w:left="176"/>
              <w:jc w:val="both"/>
              <w:rPr>
                <w:sz w:val="16"/>
                <w:szCs w:val="16"/>
              </w:rPr>
            </w:pPr>
            <w:r>
              <w:rPr>
                <w:sz w:val="16"/>
                <w:szCs w:val="16"/>
              </w:rPr>
              <w:t>Smokes at least once a month</w:t>
            </w:r>
          </w:p>
        </w:tc>
        <w:tc>
          <w:tcPr>
            <w:tcW w:w="1837"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1.7</w:t>
            </w:r>
          </w:p>
        </w:tc>
        <w:tc>
          <w:tcPr>
            <w:tcW w:w="850" w:type="dxa"/>
            <w:vAlign w:val="center"/>
          </w:tcPr>
          <w:p w:rsidR="0010307E" w:rsidRPr="007E574F" w:rsidRDefault="0010307E" w:rsidP="0081083E">
            <w:pPr>
              <w:adjustRightInd w:val="0"/>
              <w:spacing w:before="20"/>
              <w:jc w:val="right"/>
              <w:rPr>
                <w:color w:val="000000"/>
                <w:sz w:val="16"/>
                <w:szCs w:val="16"/>
              </w:rPr>
            </w:pPr>
            <w:r w:rsidRPr="007E574F">
              <w:rPr>
                <w:color w:val="000000"/>
                <w:sz w:val="16"/>
                <w:szCs w:val="16"/>
              </w:rPr>
              <w:t>0.28</w:t>
            </w:r>
          </w:p>
        </w:tc>
        <w:tc>
          <w:tcPr>
            <w:tcW w:w="1234" w:type="dxa"/>
            <w:gridSpan w:val="2"/>
            <w:vAlign w:val="center"/>
          </w:tcPr>
          <w:p w:rsidR="0010307E" w:rsidRPr="007E574F" w:rsidRDefault="00085C0C" w:rsidP="0010307E">
            <w:pPr>
              <w:adjustRightInd w:val="0"/>
              <w:spacing w:before="20"/>
              <w:jc w:val="right"/>
              <w:rPr>
                <w:color w:val="000000"/>
                <w:sz w:val="16"/>
                <w:szCs w:val="16"/>
              </w:rPr>
            </w:pPr>
            <w:r>
              <w:rPr>
                <w:color w:val="000000"/>
                <w:sz w:val="16"/>
                <w:szCs w:val="16"/>
              </w:rPr>
              <w:t>(</w:t>
            </w:r>
            <w:r w:rsidR="0010307E" w:rsidRPr="007E574F">
              <w:rPr>
                <w:color w:val="000000"/>
                <w:sz w:val="16"/>
                <w:szCs w:val="16"/>
              </w:rPr>
              <w:t>0.04</w:t>
            </w:r>
            <w:r w:rsidR="0010307E">
              <w:rPr>
                <w:color w:val="000000"/>
                <w:sz w:val="16"/>
                <w:szCs w:val="16"/>
              </w:rPr>
              <w:t xml:space="preserve"> - </w:t>
            </w:r>
            <w:r w:rsidR="0010307E" w:rsidRPr="007E574F">
              <w:rPr>
                <w:color w:val="000000"/>
                <w:sz w:val="16"/>
                <w:szCs w:val="16"/>
              </w:rPr>
              <w:t>2.19</w:t>
            </w:r>
            <w:r>
              <w:rPr>
                <w:color w:val="000000"/>
                <w:sz w:val="16"/>
                <w:szCs w:val="16"/>
              </w:rPr>
              <w:t>)</w:t>
            </w:r>
          </w:p>
        </w:tc>
        <w:tc>
          <w:tcPr>
            <w:tcW w:w="747" w:type="dxa"/>
            <w:vAlign w:val="center"/>
          </w:tcPr>
          <w:p w:rsidR="0010307E" w:rsidRPr="007E574F" w:rsidRDefault="0010307E" w:rsidP="0081083E">
            <w:pPr>
              <w:adjustRightInd w:val="0"/>
              <w:spacing w:before="20"/>
              <w:jc w:val="right"/>
              <w:rPr>
                <w:color w:val="000000"/>
                <w:sz w:val="16"/>
                <w:szCs w:val="16"/>
              </w:rPr>
            </w:pPr>
          </w:p>
        </w:tc>
      </w:tr>
      <w:tr w:rsidR="00435C08" w:rsidRPr="009B1415" w:rsidTr="00E05935">
        <w:tc>
          <w:tcPr>
            <w:tcW w:w="3800" w:type="dxa"/>
            <w:tcBorders>
              <w:bottom w:val="single" w:sz="4" w:space="0" w:color="auto"/>
            </w:tcBorders>
          </w:tcPr>
          <w:p w:rsidR="00435C08" w:rsidRPr="009B1415" w:rsidRDefault="00435C08" w:rsidP="00435C08">
            <w:pPr>
              <w:spacing w:before="20"/>
              <w:ind w:left="176"/>
              <w:jc w:val="both"/>
              <w:rPr>
                <w:sz w:val="16"/>
                <w:szCs w:val="16"/>
              </w:rPr>
            </w:pPr>
            <w:r w:rsidRPr="009B1415">
              <w:rPr>
                <w:sz w:val="16"/>
                <w:szCs w:val="16"/>
              </w:rPr>
              <w:t>Never smoked</w:t>
            </w:r>
          </w:p>
        </w:tc>
        <w:tc>
          <w:tcPr>
            <w:tcW w:w="1837" w:type="dxa"/>
            <w:tcBorders>
              <w:bottom w:val="single" w:sz="4" w:space="0" w:color="auto"/>
            </w:tcBorders>
            <w:vAlign w:val="center"/>
          </w:tcPr>
          <w:p w:rsidR="00435C08" w:rsidRPr="007E574F" w:rsidRDefault="00435C08" w:rsidP="0081083E">
            <w:pPr>
              <w:adjustRightInd w:val="0"/>
              <w:spacing w:before="20"/>
              <w:jc w:val="right"/>
              <w:rPr>
                <w:color w:val="000000"/>
                <w:sz w:val="16"/>
                <w:szCs w:val="16"/>
              </w:rPr>
            </w:pPr>
            <w:r>
              <w:rPr>
                <w:color w:val="000000"/>
                <w:sz w:val="16"/>
                <w:szCs w:val="16"/>
              </w:rPr>
              <w:t>5.9</w:t>
            </w:r>
          </w:p>
        </w:tc>
        <w:tc>
          <w:tcPr>
            <w:tcW w:w="850" w:type="dxa"/>
            <w:tcBorders>
              <w:bottom w:val="single" w:sz="4" w:space="0" w:color="auto"/>
            </w:tcBorders>
            <w:vAlign w:val="center"/>
          </w:tcPr>
          <w:p w:rsidR="00435C08" w:rsidRPr="007E574F" w:rsidRDefault="00435C08" w:rsidP="0081083E">
            <w:pPr>
              <w:adjustRightInd w:val="0"/>
              <w:spacing w:before="20"/>
              <w:jc w:val="right"/>
              <w:rPr>
                <w:color w:val="000000"/>
                <w:sz w:val="16"/>
                <w:szCs w:val="16"/>
              </w:rPr>
            </w:pPr>
            <w:r w:rsidRPr="007E574F">
              <w:rPr>
                <w:color w:val="000000"/>
                <w:sz w:val="16"/>
                <w:szCs w:val="16"/>
              </w:rPr>
              <w:t>1.00</w:t>
            </w:r>
          </w:p>
        </w:tc>
        <w:tc>
          <w:tcPr>
            <w:tcW w:w="992" w:type="dxa"/>
            <w:tcBorders>
              <w:bottom w:val="single" w:sz="4" w:space="0" w:color="auto"/>
            </w:tcBorders>
            <w:vAlign w:val="center"/>
          </w:tcPr>
          <w:p w:rsidR="00435C08" w:rsidRPr="007E574F" w:rsidRDefault="00435C08" w:rsidP="0081083E">
            <w:pPr>
              <w:adjustRightInd w:val="0"/>
              <w:spacing w:before="20"/>
              <w:jc w:val="right"/>
              <w:rPr>
                <w:color w:val="000000"/>
                <w:sz w:val="16"/>
                <w:szCs w:val="16"/>
              </w:rPr>
            </w:pPr>
          </w:p>
        </w:tc>
        <w:tc>
          <w:tcPr>
            <w:tcW w:w="242" w:type="dxa"/>
            <w:tcBorders>
              <w:bottom w:val="single" w:sz="4" w:space="0" w:color="auto"/>
            </w:tcBorders>
            <w:vAlign w:val="center"/>
          </w:tcPr>
          <w:p w:rsidR="00435C08" w:rsidRPr="007E574F" w:rsidRDefault="00435C08" w:rsidP="0081083E">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435C08" w:rsidRPr="007E574F" w:rsidRDefault="00435C08" w:rsidP="0081083E">
            <w:pPr>
              <w:adjustRightInd w:val="0"/>
              <w:spacing w:before="20"/>
              <w:jc w:val="right"/>
              <w:rPr>
                <w:color w:val="000000"/>
                <w:sz w:val="16"/>
                <w:szCs w:val="16"/>
              </w:rPr>
            </w:pPr>
            <w:r w:rsidRPr="007E574F">
              <w:rPr>
                <w:color w:val="000000"/>
                <w:sz w:val="16"/>
                <w:szCs w:val="16"/>
              </w:rPr>
              <w:t>&lt;</w:t>
            </w:r>
            <w:r>
              <w:rPr>
                <w:color w:val="000000"/>
                <w:sz w:val="16"/>
                <w:szCs w:val="16"/>
              </w:rPr>
              <w:t>0</w:t>
            </w:r>
            <w:r w:rsidRPr="007E574F">
              <w:rPr>
                <w:color w:val="000000"/>
                <w:sz w:val="16"/>
                <w:szCs w:val="16"/>
              </w:rPr>
              <w:t>.0001</w:t>
            </w:r>
          </w:p>
        </w:tc>
      </w:tr>
    </w:tbl>
    <w:p w:rsidR="00567F8B" w:rsidRPr="0034241E" w:rsidRDefault="00567F8B" w:rsidP="00567F8B">
      <w:pPr>
        <w:rPr>
          <w:sz w:val="18"/>
        </w:rPr>
      </w:pPr>
      <w:r>
        <w:rPr>
          <w:sz w:val="18"/>
        </w:rPr>
        <w:t>Data</w:t>
      </w:r>
      <w:r w:rsidRPr="0034241E">
        <w:rPr>
          <w:sz w:val="18"/>
        </w:rPr>
        <w:t xml:space="preserve"> weighted for 2013 Census data (both Waves) and attrition (Wave 2)</w:t>
      </w:r>
    </w:p>
    <w:p w:rsidR="00FA2407" w:rsidRDefault="00FA2407" w:rsidP="00FA2407">
      <w:pPr>
        <w:jc w:val="both"/>
        <w:rPr>
          <w:szCs w:val="22"/>
        </w:rPr>
      </w:pPr>
    </w:p>
    <w:p w:rsidR="00FA2407" w:rsidRDefault="00FA2407" w:rsidP="00FA2407">
      <w:pPr>
        <w:jc w:val="both"/>
        <w:rPr>
          <w:szCs w:val="22"/>
        </w:rPr>
      </w:pPr>
    </w:p>
    <w:p w:rsidR="0010307E" w:rsidRPr="000432E3" w:rsidRDefault="0010307E" w:rsidP="00E9638E">
      <w:pPr>
        <w:tabs>
          <w:tab w:val="left" w:pos="0"/>
        </w:tabs>
        <w:jc w:val="both"/>
        <w:rPr>
          <w:b/>
          <w:szCs w:val="22"/>
        </w:rPr>
      </w:pPr>
      <w:r>
        <w:rPr>
          <w:b/>
          <w:szCs w:val="22"/>
        </w:rPr>
        <w:t>Multi</w:t>
      </w:r>
      <w:r w:rsidR="007F2FB4">
        <w:rPr>
          <w:b/>
          <w:szCs w:val="22"/>
        </w:rPr>
        <w:t>ple logistic regression</w:t>
      </w:r>
    </w:p>
    <w:p w:rsidR="0010307E" w:rsidRDefault="0010307E" w:rsidP="00E9638E">
      <w:pPr>
        <w:tabs>
          <w:tab w:val="left" w:pos="0"/>
        </w:tabs>
        <w:jc w:val="both"/>
        <w:rPr>
          <w:szCs w:val="22"/>
        </w:rPr>
      </w:pPr>
    </w:p>
    <w:p w:rsidR="00FC308B" w:rsidRDefault="0010307E" w:rsidP="00E9638E">
      <w:pPr>
        <w:tabs>
          <w:tab w:val="left" w:pos="0"/>
        </w:tabs>
        <w:jc w:val="both"/>
        <w:rPr>
          <w:szCs w:val="22"/>
        </w:rPr>
      </w:pPr>
      <w:r w:rsidRPr="00FC308B">
        <w:rPr>
          <w:szCs w:val="22"/>
        </w:rPr>
        <w:t>Multi</w:t>
      </w:r>
      <w:r w:rsidR="007F2FB4">
        <w:rPr>
          <w:szCs w:val="22"/>
        </w:rPr>
        <w:t>ple</w:t>
      </w:r>
      <w:r w:rsidRPr="00FC308B">
        <w:rPr>
          <w:szCs w:val="22"/>
        </w:rPr>
        <w:t xml:space="preserve"> logistic regression analyses</w:t>
      </w:r>
      <w:r w:rsidR="00E05935">
        <w:rPr>
          <w:szCs w:val="22"/>
        </w:rPr>
        <w:t xml:space="preserve"> </w:t>
      </w:r>
      <w:r w:rsidRPr="00FC308B">
        <w:rPr>
          <w:szCs w:val="22"/>
        </w:rPr>
        <w:t xml:space="preserve">showed that ethnicity remained significantly associated with the transition to </w:t>
      </w:r>
      <w:r w:rsidR="003C6B6E" w:rsidRPr="00FC308B">
        <w:rPr>
          <w:szCs w:val="22"/>
        </w:rPr>
        <w:t>low-risk</w:t>
      </w:r>
      <w:r w:rsidR="00666D0D">
        <w:rPr>
          <w:szCs w:val="22"/>
        </w:rPr>
        <w:t xml:space="preserve"> gambler</w:t>
      </w:r>
      <w:r w:rsidR="003C6B6E" w:rsidRPr="00FC308B">
        <w:rPr>
          <w:szCs w:val="22"/>
        </w:rPr>
        <w:t xml:space="preserve">, </w:t>
      </w:r>
      <w:r w:rsidRPr="00FC308B">
        <w:rPr>
          <w:szCs w:val="22"/>
        </w:rPr>
        <w:t xml:space="preserve">moderate-risk </w:t>
      </w:r>
      <w:r w:rsidR="00666D0D">
        <w:rPr>
          <w:szCs w:val="22"/>
        </w:rPr>
        <w:t xml:space="preserve">gambler </w:t>
      </w:r>
      <w:r w:rsidRPr="00FC308B">
        <w:rPr>
          <w:szCs w:val="22"/>
        </w:rPr>
        <w:t>or problem gambler</w:t>
      </w:r>
      <w:r w:rsidR="003C6B6E" w:rsidRPr="00FC308B">
        <w:rPr>
          <w:szCs w:val="22"/>
        </w:rPr>
        <w:t xml:space="preserve"> in Wave 2 from non-problem gambler in Wave 1</w:t>
      </w:r>
      <w:r w:rsidRPr="00FC308B">
        <w:rPr>
          <w:szCs w:val="22"/>
        </w:rPr>
        <w:t xml:space="preserve">.  </w:t>
      </w:r>
      <w:r w:rsidR="003C6B6E" w:rsidRPr="00FC308B">
        <w:rPr>
          <w:szCs w:val="22"/>
        </w:rPr>
        <w:t xml:space="preserve">Compared with European/Other, </w:t>
      </w:r>
      <w:r w:rsidRPr="00FC308B">
        <w:rPr>
          <w:szCs w:val="22"/>
        </w:rPr>
        <w:t xml:space="preserve">Māori </w:t>
      </w:r>
      <w:r w:rsidR="003C6B6E" w:rsidRPr="00FC308B">
        <w:rPr>
          <w:szCs w:val="22"/>
        </w:rPr>
        <w:t>were</w:t>
      </w:r>
      <w:r w:rsidRPr="00FC308B">
        <w:rPr>
          <w:szCs w:val="22"/>
        </w:rPr>
        <w:t xml:space="preserve"> associated with </w:t>
      </w:r>
      <w:r w:rsidR="003C6B6E" w:rsidRPr="00FC308B">
        <w:rPr>
          <w:szCs w:val="22"/>
        </w:rPr>
        <w:t>2.62</w:t>
      </w:r>
      <w:r w:rsidRPr="00FC308B">
        <w:rPr>
          <w:szCs w:val="22"/>
        </w:rPr>
        <w:t xml:space="preserve"> times the risk</w:t>
      </w:r>
      <w:r w:rsidR="00FC308B" w:rsidRPr="00FC308B">
        <w:rPr>
          <w:szCs w:val="22"/>
        </w:rPr>
        <w:t xml:space="preserve"> and</w:t>
      </w:r>
      <w:r w:rsidR="003C6B6E" w:rsidRPr="00FC308B">
        <w:rPr>
          <w:szCs w:val="22"/>
        </w:rPr>
        <w:t xml:space="preserve"> Asian </w:t>
      </w:r>
      <w:r w:rsidR="00971147">
        <w:rPr>
          <w:szCs w:val="22"/>
        </w:rPr>
        <w:t xml:space="preserve">people </w:t>
      </w:r>
      <w:r w:rsidR="003C6B6E" w:rsidRPr="00FC308B">
        <w:rPr>
          <w:szCs w:val="22"/>
        </w:rPr>
        <w:t>at 3.88 times</w:t>
      </w:r>
      <w:r w:rsidRPr="00FC308B">
        <w:rPr>
          <w:szCs w:val="22"/>
        </w:rPr>
        <w:t xml:space="preserve">.  Pacific people </w:t>
      </w:r>
      <w:r w:rsidR="00C83C76">
        <w:rPr>
          <w:szCs w:val="22"/>
        </w:rPr>
        <w:t>had</w:t>
      </w:r>
      <w:r w:rsidRPr="00FC308B">
        <w:rPr>
          <w:szCs w:val="22"/>
        </w:rPr>
        <w:t xml:space="preserve"> the greatest risk at almost </w:t>
      </w:r>
      <w:r w:rsidR="00FC308B" w:rsidRPr="00FC308B">
        <w:rPr>
          <w:szCs w:val="22"/>
        </w:rPr>
        <w:t>five</w:t>
      </w:r>
      <w:r w:rsidRPr="00FC308B">
        <w:rPr>
          <w:szCs w:val="22"/>
        </w:rPr>
        <w:t xml:space="preserve"> times more than European/Other. </w:t>
      </w:r>
    </w:p>
    <w:p w:rsidR="00E05935" w:rsidRDefault="00E05935" w:rsidP="00E9638E">
      <w:pPr>
        <w:tabs>
          <w:tab w:val="left" w:pos="0"/>
        </w:tabs>
        <w:jc w:val="both"/>
        <w:rPr>
          <w:szCs w:val="22"/>
        </w:rPr>
      </w:pPr>
    </w:p>
    <w:p w:rsidR="00FC308B" w:rsidRDefault="00FC308B" w:rsidP="0010307E">
      <w:pPr>
        <w:tabs>
          <w:tab w:val="left" w:pos="0"/>
        </w:tabs>
        <w:jc w:val="both"/>
        <w:rPr>
          <w:szCs w:val="22"/>
        </w:rPr>
      </w:pPr>
      <w:r>
        <w:rPr>
          <w:szCs w:val="22"/>
        </w:rPr>
        <w:t xml:space="preserve">People whose typical monthly gambling expenditure was $51 or more had </w:t>
      </w:r>
      <w:r w:rsidR="0059567A">
        <w:rPr>
          <w:szCs w:val="22"/>
        </w:rPr>
        <w:t>three or more</w:t>
      </w:r>
      <w:r>
        <w:rPr>
          <w:szCs w:val="22"/>
        </w:rPr>
        <w:t xml:space="preserve"> times the risk compared with people whose expenditure was $10 or less.  The only form of gambling which retained statistical significance in the multivariate analyses was monthly gambling on EGMs (casino, pub and club) where the risk was 7.61 times greater than for people who did not gamble monthly on EGMs.</w:t>
      </w:r>
    </w:p>
    <w:p w:rsidR="00FC308B" w:rsidRDefault="00FC308B" w:rsidP="0010307E">
      <w:pPr>
        <w:tabs>
          <w:tab w:val="left" w:pos="0"/>
        </w:tabs>
        <w:jc w:val="both"/>
        <w:rPr>
          <w:szCs w:val="22"/>
        </w:rPr>
      </w:pPr>
    </w:p>
    <w:p w:rsidR="00790501" w:rsidRDefault="00790501" w:rsidP="0010307E">
      <w:pPr>
        <w:tabs>
          <w:tab w:val="left" w:pos="0"/>
        </w:tabs>
        <w:jc w:val="both"/>
        <w:rPr>
          <w:szCs w:val="22"/>
        </w:rPr>
      </w:pPr>
      <w:r>
        <w:rPr>
          <w:szCs w:val="22"/>
        </w:rPr>
        <w:t>People who had experienced one, two or three major life events in the past 12 months remained at two to three times the risk for transitioning to low-risk</w:t>
      </w:r>
      <w:r w:rsidR="00666D0D">
        <w:rPr>
          <w:szCs w:val="22"/>
        </w:rPr>
        <w:t xml:space="preserve"> gambler</w:t>
      </w:r>
      <w:r>
        <w:rPr>
          <w:szCs w:val="22"/>
        </w:rPr>
        <w:t xml:space="preserve">, moderate-risk </w:t>
      </w:r>
      <w:r w:rsidR="00666D0D">
        <w:rPr>
          <w:szCs w:val="22"/>
        </w:rPr>
        <w:t xml:space="preserve">gambler </w:t>
      </w:r>
      <w:r>
        <w:rPr>
          <w:szCs w:val="22"/>
        </w:rPr>
        <w:t xml:space="preserve">or problem gambler compared with people who had not experienced any major life events.  People who experienced five or more life events were at just greater than three times the risk.  </w:t>
      </w:r>
    </w:p>
    <w:p w:rsidR="0010307E" w:rsidRPr="002F68F7" w:rsidRDefault="0010307E" w:rsidP="0010307E">
      <w:pPr>
        <w:tabs>
          <w:tab w:val="left" w:pos="0"/>
        </w:tabs>
        <w:jc w:val="both"/>
        <w:rPr>
          <w:szCs w:val="22"/>
        </w:rPr>
      </w:pPr>
    </w:p>
    <w:p w:rsidR="00790501" w:rsidRPr="0010307E" w:rsidRDefault="0010307E" w:rsidP="0010307E">
      <w:pPr>
        <w:tabs>
          <w:tab w:val="left" w:pos="0"/>
        </w:tabs>
        <w:jc w:val="both"/>
        <w:rPr>
          <w:szCs w:val="22"/>
          <w:highlight w:val="yellow"/>
        </w:rPr>
      </w:pPr>
      <w:r w:rsidRPr="002F68F7">
        <w:rPr>
          <w:szCs w:val="22"/>
        </w:rPr>
        <w:t xml:space="preserve">Psychological distress also remained significantly associated with the transition to </w:t>
      </w:r>
      <w:r w:rsidR="00790501" w:rsidRPr="002F68F7">
        <w:rPr>
          <w:szCs w:val="22"/>
        </w:rPr>
        <w:t>low-risk</w:t>
      </w:r>
      <w:r w:rsidR="00666D0D">
        <w:rPr>
          <w:szCs w:val="22"/>
        </w:rPr>
        <w:t xml:space="preserve"> gambler</w:t>
      </w:r>
      <w:r w:rsidR="00790501" w:rsidRPr="002F68F7">
        <w:rPr>
          <w:szCs w:val="22"/>
        </w:rPr>
        <w:t xml:space="preserve">, </w:t>
      </w:r>
      <w:r w:rsidRPr="002F68F7">
        <w:rPr>
          <w:szCs w:val="22"/>
        </w:rPr>
        <w:t xml:space="preserve">moderate-risk </w:t>
      </w:r>
      <w:r w:rsidR="00666D0D">
        <w:rPr>
          <w:szCs w:val="22"/>
        </w:rPr>
        <w:t xml:space="preserve">gambler </w:t>
      </w:r>
      <w:r w:rsidRPr="002F68F7">
        <w:rPr>
          <w:szCs w:val="22"/>
        </w:rPr>
        <w:t xml:space="preserve">or problem gambler.  </w:t>
      </w:r>
      <w:r w:rsidR="002F68F7" w:rsidRPr="002F68F7">
        <w:rPr>
          <w:szCs w:val="22"/>
        </w:rPr>
        <w:t>People</w:t>
      </w:r>
      <w:r w:rsidR="002F68F7" w:rsidRPr="00B16D1B">
        <w:rPr>
          <w:szCs w:val="22"/>
        </w:rPr>
        <w:t xml:space="preserve"> who scored in the mid-high and high ranges of psychological distr</w:t>
      </w:r>
      <w:r w:rsidR="00C83C76">
        <w:rPr>
          <w:szCs w:val="22"/>
        </w:rPr>
        <w:t>ess (score 12</w:t>
      </w:r>
      <w:r w:rsidR="002F68F7" w:rsidRPr="00B16D1B">
        <w:rPr>
          <w:szCs w:val="22"/>
        </w:rPr>
        <w:t>-</w:t>
      </w:r>
      <w:r w:rsidR="00C83C76">
        <w:rPr>
          <w:szCs w:val="22"/>
        </w:rPr>
        <w:t>19 and 20</w:t>
      </w:r>
      <w:r w:rsidR="002F68F7" w:rsidRPr="00B16D1B">
        <w:rPr>
          <w:szCs w:val="22"/>
        </w:rPr>
        <w:t xml:space="preserve">-40) had </w:t>
      </w:r>
      <w:r w:rsidR="002F68F7">
        <w:rPr>
          <w:szCs w:val="22"/>
        </w:rPr>
        <w:t>2.36</w:t>
      </w:r>
      <w:r w:rsidR="002F68F7" w:rsidRPr="00B16D1B">
        <w:rPr>
          <w:szCs w:val="22"/>
        </w:rPr>
        <w:t xml:space="preserve"> and </w:t>
      </w:r>
      <w:r w:rsidR="002F68F7">
        <w:rPr>
          <w:szCs w:val="22"/>
        </w:rPr>
        <w:t>7.40</w:t>
      </w:r>
      <w:r w:rsidR="002F68F7" w:rsidRPr="00B16D1B">
        <w:rPr>
          <w:szCs w:val="22"/>
        </w:rPr>
        <w:t xml:space="preserve"> times the risk respectively, compared with people who had the lowest level of psychological distress.</w:t>
      </w:r>
      <w:r w:rsidR="002F68F7">
        <w:rPr>
          <w:szCs w:val="22"/>
        </w:rPr>
        <w:t xml:space="preserve">  </w:t>
      </w:r>
      <w:r w:rsidR="00790501">
        <w:rPr>
          <w:szCs w:val="22"/>
        </w:rPr>
        <w:t xml:space="preserve">People who used cannabis </w:t>
      </w:r>
      <w:r w:rsidR="002F68F7">
        <w:rPr>
          <w:szCs w:val="22"/>
        </w:rPr>
        <w:t xml:space="preserve">also remained at greater risk in the multivariate analyses (2.08 times) </w:t>
      </w:r>
      <w:r w:rsidR="00790501">
        <w:rPr>
          <w:szCs w:val="22"/>
        </w:rPr>
        <w:t xml:space="preserve">compared with people who did not use cannabis.  </w:t>
      </w:r>
    </w:p>
    <w:p w:rsidR="0010307E" w:rsidRPr="0010307E" w:rsidRDefault="0010307E" w:rsidP="0010307E">
      <w:pPr>
        <w:tabs>
          <w:tab w:val="left" w:pos="0"/>
        </w:tabs>
        <w:jc w:val="both"/>
        <w:rPr>
          <w:szCs w:val="22"/>
          <w:highlight w:val="yellow"/>
        </w:rPr>
      </w:pPr>
    </w:p>
    <w:p w:rsidR="0010307E" w:rsidRPr="00934E6A" w:rsidRDefault="0010307E" w:rsidP="0010307E">
      <w:pPr>
        <w:tabs>
          <w:tab w:val="left" w:pos="0"/>
        </w:tabs>
        <w:jc w:val="both"/>
        <w:rPr>
          <w:szCs w:val="22"/>
        </w:rPr>
      </w:pPr>
      <w:r w:rsidRPr="003C6B6E">
        <w:rPr>
          <w:szCs w:val="22"/>
        </w:rPr>
        <w:t xml:space="preserve">Data are presented in </w:t>
      </w:r>
      <w:r w:rsidR="003C6B6E" w:rsidRPr="003C6B6E">
        <w:rPr>
          <w:szCs w:val="22"/>
        </w:rPr>
        <w:fldChar w:fldCharType="begin"/>
      </w:r>
      <w:r w:rsidR="003C6B6E" w:rsidRPr="003C6B6E">
        <w:rPr>
          <w:szCs w:val="22"/>
        </w:rPr>
        <w:instrText xml:space="preserve"> REF _Ref406767505 \h  \* MERGEFORMAT </w:instrText>
      </w:r>
      <w:r w:rsidR="003C6B6E" w:rsidRPr="003C6B6E">
        <w:rPr>
          <w:szCs w:val="22"/>
        </w:rPr>
      </w:r>
      <w:r w:rsidR="003C6B6E" w:rsidRPr="003C6B6E">
        <w:rPr>
          <w:szCs w:val="22"/>
        </w:rPr>
        <w:fldChar w:fldCharType="separate"/>
      </w:r>
      <w:r w:rsidR="00B2175B" w:rsidRPr="00B2175B">
        <w:rPr>
          <w:bCs/>
          <w:szCs w:val="22"/>
        </w:rPr>
        <w:t xml:space="preserve">Table </w:t>
      </w:r>
      <w:r w:rsidR="00B2175B" w:rsidRPr="00B2175B">
        <w:rPr>
          <w:bCs/>
          <w:noProof/>
          <w:szCs w:val="22"/>
        </w:rPr>
        <w:t>20</w:t>
      </w:r>
      <w:r w:rsidR="003C6B6E" w:rsidRPr="003C6B6E">
        <w:rPr>
          <w:szCs w:val="22"/>
        </w:rPr>
        <w:fldChar w:fldCharType="end"/>
      </w:r>
      <w:r w:rsidRPr="003C6B6E">
        <w:t>.</w:t>
      </w:r>
    </w:p>
    <w:p w:rsidR="0010307E" w:rsidRDefault="0010307E" w:rsidP="0010307E">
      <w:pPr>
        <w:tabs>
          <w:tab w:val="left" w:pos="0"/>
        </w:tabs>
        <w:jc w:val="both"/>
        <w:rPr>
          <w:szCs w:val="22"/>
        </w:rPr>
      </w:pPr>
    </w:p>
    <w:p w:rsidR="0010307E" w:rsidRPr="00934E6A" w:rsidRDefault="0010307E" w:rsidP="00585838">
      <w:pPr>
        <w:keepNext/>
        <w:keepLines/>
        <w:jc w:val="both"/>
        <w:rPr>
          <w:b/>
          <w:bCs/>
          <w:sz w:val="20"/>
          <w:szCs w:val="20"/>
        </w:rPr>
      </w:pPr>
      <w:bookmarkStart w:id="216" w:name="_Ref406767505"/>
      <w:bookmarkStart w:id="217" w:name="_Toc420393808"/>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20</w:t>
      </w:r>
      <w:r w:rsidRPr="00934E6A">
        <w:rPr>
          <w:b/>
          <w:bCs/>
          <w:sz w:val="20"/>
          <w:szCs w:val="20"/>
        </w:rPr>
        <w:fldChar w:fldCharType="end"/>
      </w:r>
      <w:bookmarkEnd w:id="216"/>
      <w:r w:rsidRPr="00934E6A">
        <w:rPr>
          <w:b/>
          <w:bCs/>
          <w:sz w:val="20"/>
          <w:szCs w:val="20"/>
        </w:rPr>
        <w:t xml:space="preserve">: </w:t>
      </w:r>
      <w:r>
        <w:rPr>
          <w:b/>
          <w:bCs/>
          <w:sz w:val="20"/>
          <w:szCs w:val="20"/>
        </w:rPr>
        <w:t>Multi</w:t>
      </w:r>
      <w:r w:rsidR="007F2FB4">
        <w:rPr>
          <w:b/>
          <w:bCs/>
          <w:sz w:val="20"/>
          <w:szCs w:val="20"/>
        </w:rPr>
        <w:t>ple</w:t>
      </w:r>
      <w:r>
        <w:rPr>
          <w:b/>
          <w:bCs/>
          <w:sz w:val="20"/>
          <w:szCs w:val="20"/>
        </w:rPr>
        <w:t xml:space="preserve"> l</w:t>
      </w:r>
      <w:r w:rsidRPr="00934E6A">
        <w:rPr>
          <w:b/>
          <w:bCs/>
          <w:sz w:val="20"/>
          <w:szCs w:val="20"/>
        </w:rPr>
        <w:t xml:space="preserve">ogistic regression for transition from non-problem gambler at Wave 1 to </w:t>
      </w:r>
      <w:r>
        <w:rPr>
          <w:b/>
          <w:bCs/>
          <w:sz w:val="20"/>
          <w:szCs w:val="20"/>
        </w:rPr>
        <w:t>low-risk/</w:t>
      </w:r>
      <w:r w:rsidRPr="00934E6A">
        <w:rPr>
          <w:b/>
          <w:bCs/>
          <w:sz w:val="20"/>
          <w:szCs w:val="20"/>
        </w:rPr>
        <w:t>moderate-risk/problem gambler at Wave 2</w:t>
      </w:r>
      <w:bookmarkEnd w:id="2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5"/>
        <w:gridCol w:w="2508"/>
        <w:gridCol w:w="992"/>
        <w:gridCol w:w="992"/>
        <w:gridCol w:w="246"/>
        <w:gridCol w:w="813"/>
      </w:tblGrid>
      <w:tr w:rsidR="0010307E" w:rsidRPr="00985F5E" w:rsidTr="00E05935">
        <w:trPr>
          <w:tblHeader/>
        </w:trPr>
        <w:tc>
          <w:tcPr>
            <w:tcW w:w="2755" w:type="dxa"/>
            <w:tcBorders>
              <w:top w:val="single" w:sz="4" w:space="0" w:color="auto"/>
              <w:bottom w:val="single" w:sz="4" w:space="0" w:color="auto"/>
            </w:tcBorders>
            <w:vAlign w:val="bottom"/>
          </w:tcPr>
          <w:p w:rsidR="0010307E" w:rsidRPr="00985F5E" w:rsidRDefault="0010307E" w:rsidP="00585838">
            <w:pPr>
              <w:keepNext/>
              <w:spacing w:before="20"/>
              <w:jc w:val="both"/>
              <w:rPr>
                <w:b/>
                <w:sz w:val="18"/>
                <w:szCs w:val="18"/>
              </w:rPr>
            </w:pPr>
            <w:r w:rsidRPr="00985F5E">
              <w:rPr>
                <w:b/>
                <w:sz w:val="18"/>
                <w:szCs w:val="18"/>
              </w:rPr>
              <w:t>Variable</w:t>
            </w:r>
          </w:p>
        </w:tc>
        <w:tc>
          <w:tcPr>
            <w:tcW w:w="2508" w:type="dxa"/>
            <w:tcBorders>
              <w:top w:val="single" w:sz="4" w:space="0" w:color="auto"/>
              <w:bottom w:val="single" w:sz="4" w:space="0" w:color="auto"/>
            </w:tcBorders>
            <w:vAlign w:val="center"/>
          </w:tcPr>
          <w:p w:rsidR="0010307E" w:rsidRPr="00985F5E" w:rsidRDefault="0010307E" w:rsidP="00585838">
            <w:pPr>
              <w:keepNext/>
              <w:spacing w:before="20"/>
              <w:jc w:val="right"/>
              <w:rPr>
                <w:rFonts w:ascii="Calibri" w:hAnsi="Calibri"/>
                <w:b/>
                <w:bCs/>
                <w:color w:val="000000"/>
                <w:sz w:val="18"/>
                <w:szCs w:val="18"/>
              </w:rPr>
            </w:pPr>
            <w:r w:rsidRPr="00985F5E">
              <w:rPr>
                <w:rFonts w:ascii="Calibri" w:hAnsi="Calibri"/>
                <w:b/>
                <w:bCs/>
                <w:color w:val="000000"/>
                <w:sz w:val="18"/>
                <w:szCs w:val="18"/>
              </w:rPr>
              <w:t>%</w:t>
            </w:r>
          </w:p>
        </w:tc>
        <w:tc>
          <w:tcPr>
            <w:tcW w:w="992" w:type="dxa"/>
            <w:tcBorders>
              <w:top w:val="single" w:sz="4" w:space="0" w:color="auto"/>
              <w:bottom w:val="single" w:sz="4" w:space="0" w:color="auto"/>
            </w:tcBorders>
            <w:vAlign w:val="center"/>
          </w:tcPr>
          <w:p w:rsidR="0010307E" w:rsidRPr="00985F5E" w:rsidRDefault="0010307E" w:rsidP="00585838">
            <w:pPr>
              <w:keepNext/>
              <w:spacing w:before="20"/>
              <w:jc w:val="right"/>
              <w:rPr>
                <w:rFonts w:ascii="Calibri" w:hAnsi="Calibri"/>
                <w:b/>
                <w:color w:val="000000"/>
                <w:sz w:val="18"/>
                <w:szCs w:val="18"/>
              </w:rPr>
            </w:pPr>
            <w:r w:rsidRPr="00985F5E">
              <w:rPr>
                <w:rFonts w:ascii="Calibri" w:hAnsi="Calibri"/>
                <w:b/>
                <w:color w:val="000000"/>
                <w:sz w:val="18"/>
                <w:szCs w:val="18"/>
              </w:rPr>
              <w:t>Odds Ratio</w:t>
            </w:r>
          </w:p>
        </w:tc>
        <w:tc>
          <w:tcPr>
            <w:tcW w:w="1238" w:type="dxa"/>
            <w:gridSpan w:val="2"/>
            <w:tcBorders>
              <w:top w:val="single" w:sz="4" w:space="0" w:color="auto"/>
              <w:bottom w:val="single" w:sz="4" w:space="0" w:color="auto"/>
            </w:tcBorders>
            <w:vAlign w:val="center"/>
          </w:tcPr>
          <w:p w:rsidR="0010307E" w:rsidRPr="00985F5E" w:rsidRDefault="0010307E" w:rsidP="00585838">
            <w:pPr>
              <w:keepNext/>
              <w:spacing w:before="20"/>
              <w:jc w:val="right"/>
              <w:rPr>
                <w:rFonts w:ascii="Calibri" w:hAnsi="Calibri"/>
                <w:b/>
                <w:color w:val="000000"/>
                <w:sz w:val="18"/>
                <w:szCs w:val="18"/>
              </w:rPr>
            </w:pPr>
            <w:r w:rsidRPr="00985F5E">
              <w:rPr>
                <w:rFonts w:ascii="Calibri" w:hAnsi="Calibri"/>
                <w:b/>
                <w:color w:val="000000"/>
                <w:sz w:val="18"/>
                <w:szCs w:val="18"/>
              </w:rPr>
              <w:t>(95% CI)</w:t>
            </w:r>
          </w:p>
        </w:tc>
        <w:tc>
          <w:tcPr>
            <w:tcW w:w="813" w:type="dxa"/>
            <w:tcBorders>
              <w:top w:val="single" w:sz="4" w:space="0" w:color="auto"/>
              <w:bottom w:val="single" w:sz="4" w:space="0" w:color="auto"/>
            </w:tcBorders>
            <w:vAlign w:val="center"/>
          </w:tcPr>
          <w:p w:rsidR="0010307E" w:rsidRPr="00985F5E" w:rsidRDefault="0010307E" w:rsidP="00585838">
            <w:pPr>
              <w:keepNext/>
              <w:spacing w:before="20"/>
              <w:jc w:val="right"/>
              <w:rPr>
                <w:rFonts w:ascii="Calibri" w:hAnsi="Calibri"/>
                <w:b/>
                <w:color w:val="000000"/>
                <w:sz w:val="18"/>
                <w:szCs w:val="18"/>
              </w:rPr>
            </w:pPr>
            <w:r w:rsidRPr="00985F5E">
              <w:rPr>
                <w:rFonts w:ascii="Calibri" w:hAnsi="Calibri"/>
                <w:b/>
                <w:color w:val="000000"/>
                <w:sz w:val="18"/>
                <w:szCs w:val="18"/>
              </w:rPr>
              <w:t>p-value</w:t>
            </w:r>
          </w:p>
        </w:tc>
      </w:tr>
      <w:tr w:rsidR="0010307E" w:rsidRPr="00985F5E" w:rsidTr="00E05935">
        <w:tc>
          <w:tcPr>
            <w:tcW w:w="2755" w:type="dxa"/>
            <w:vAlign w:val="bottom"/>
          </w:tcPr>
          <w:p w:rsidR="0010307E" w:rsidRPr="00985F5E" w:rsidRDefault="0010307E" w:rsidP="00585838">
            <w:pPr>
              <w:keepNext/>
              <w:spacing w:before="20"/>
              <w:jc w:val="both"/>
              <w:rPr>
                <w:b/>
                <w:sz w:val="18"/>
                <w:szCs w:val="18"/>
              </w:rPr>
            </w:pPr>
            <w:r w:rsidRPr="00985F5E">
              <w:rPr>
                <w:b/>
                <w:sz w:val="18"/>
                <w:szCs w:val="18"/>
              </w:rPr>
              <w:t>Ethnic group (prioritised)</w:t>
            </w:r>
          </w:p>
        </w:tc>
        <w:tc>
          <w:tcPr>
            <w:tcW w:w="2508" w:type="dxa"/>
            <w:vAlign w:val="center"/>
          </w:tcPr>
          <w:p w:rsidR="0010307E" w:rsidRPr="00985F5E" w:rsidRDefault="0010307E" w:rsidP="00585838">
            <w:pPr>
              <w:keepNext/>
              <w:adjustRightInd w:val="0"/>
              <w:spacing w:before="20"/>
              <w:jc w:val="right"/>
              <w:rPr>
                <w:color w:val="000000"/>
                <w:sz w:val="18"/>
                <w:szCs w:val="18"/>
              </w:rPr>
            </w:pPr>
          </w:p>
        </w:tc>
        <w:tc>
          <w:tcPr>
            <w:tcW w:w="992" w:type="dxa"/>
            <w:vAlign w:val="center"/>
          </w:tcPr>
          <w:p w:rsidR="0010307E" w:rsidRPr="00985F5E" w:rsidRDefault="0010307E" w:rsidP="00585838">
            <w:pPr>
              <w:keepNext/>
              <w:adjustRightInd w:val="0"/>
              <w:spacing w:before="20"/>
              <w:jc w:val="right"/>
              <w:rPr>
                <w:color w:val="000000"/>
                <w:sz w:val="18"/>
                <w:szCs w:val="18"/>
              </w:rPr>
            </w:pPr>
          </w:p>
        </w:tc>
        <w:tc>
          <w:tcPr>
            <w:tcW w:w="992" w:type="dxa"/>
            <w:vAlign w:val="center"/>
          </w:tcPr>
          <w:p w:rsidR="0010307E" w:rsidRPr="00985F5E" w:rsidRDefault="0010307E" w:rsidP="00585838">
            <w:pPr>
              <w:keepNext/>
              <w:adjustRightInd w:val="0"/>
              <w:spacing w:before="20"/>
              <w:jc w:val="right"/>
              <w:rPr>
                <w:color w:val="000000"/>
                <w:sz w:val="18"/>
                <w:szCs w:val="18"/>
              </w:rPr>
            </w:pPr>
          </w:p>
        </w:tc>
        <w:tc>
          <w:tcPr>
            <w:tcW w:w="246" w:type="dxa"/>
            <w:vAlign w:val="center"/>
          </w:tcPr>
          <w:p w:rsidR="0010307E" w:rsidRPr="00985F5E" w:rsidRDefault="0010307E" w:rsidP="00585838">
            <w:pPr>
              <w:keepNext/>
              <w:adjustRightInd w:val="0"/>
              <w:spacing w:before="20"/>
              <w:jc w:val="right"/>
              <w:rPr>
                <w:color w:val="000000"/>
                <w:sz w:val="18"/>
                <w:szCs w:val="18"/>
              </w:rPr>
            </w:pPr>
          </w:p>
        </w:tc>
        <w:tc>
          <w:tcPr>
            <w:tcW w:w="813" w:type="dxa"/>
            <w:vAlign w:val="center"/>
          </w:tcPr>
          <w:p w:rsidR="0010307E" w:rsidRPr="00985F5E" w:rsidRDefault="0010307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Māori</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13.6</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2.62</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1.60 - 4.29</w:t>
            </w:r>
            <w:r w:rsidR="00496FE5">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Pacific</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16.7</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4.96</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2.89 - 8.51</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Asian</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11.2</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3.88</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2.12 - 7.09</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European/Other</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4.7</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shd w:val="clear" w:color="auto" w:fill="D9D9D9" w:themeFill="background1" w:themeFillShade="D9"/>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&lt;0.0001</w:t>
            </w:r>
          </w:p>
        </w:tc>
      </w:tr>
      <w:tr w:rsidR="003C6B6E" w:rsidRPr="00985F5E" w:rsidTr="00E05935">
        <w:tc>
          <w:tcPr>
            <w:tcW w:w="2755" w:type="dxa"/>
            <w:vAlign w:val="bottom"/>
          </w:tcPr>
          <w:p w:rsidR="003C6B6E" w:rsidRPr="00985F5E" w:rsidRDefault="003C6B6E" w:rsidP="00585838">
            <w:pPr>
              <w:keepNext/>
              <w:keepLines/>
              <w:spacing w:before="20"/>
              <w:jc w:val="both"/>
              <w:rPr>
                <w:b/>
                <w:sz w:val="18"/>
                <w:szCs w:val="18"/>
              </w:rPr>
            </w:pPr>
            <w:r w:rsidRPr="00985F5E">
              <w:rPr>
                <w:rFonts w:eastAsiaTheme="minorEastAsia"/>
                <w:b/>
                <w:sz w:val="18"/>
                <w:szCs w:val="18"/>
                <w:lang w:eastAsia="en-US"/>
              </w:rPr>
              <w:t>Typical monthly gambling expenditure</w:t>
            </w:r>
          </w:p>
        </w:tc>
        <w:tc>
          <w:tcPr>
            <w:tcW w:w="2508"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$1 - $10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3.1</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$11 - $20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3.2</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1.07</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0.49 - 2.36</w:t>
            </w:r>
            <w:r w:rsidRPr="00985F5E">
              <w:rPr>
                <w:color w:val="000000"/>
                <w:sz w:val="18"/>
                <w:szCs w:val="18"/>
              </w:rPr>
              <w:t>)</w:t>
            </w: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$21 - $30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3.9</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1.04</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0.43 - 2.52</w:t>
            </w:r>
            <w:r w:rsidRPr="00985F5E">
              <w:rPr>
                <w:color w:val="000000"/>
                <w:sz w:val="18"/>
                <w:szCs w:val="18"/>
              </w:rPr>
              <w:t>)</w:t>
            </w: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$31 - $50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5.3</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1.54</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0.69 - 3.41</w:t>
            </w:r>
            <w:r w:rsidRPr="00985F5E">
              <w:rPr>
                <w:color w:val="000000"/>
                <w:sz w:val="18"/>
                <w:szCs w:val="18"/>
              </w:rPr>
              <w:t>)</w:t>
            </w: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$51 - $100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9.9</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2.92</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1.41 - 6.04</w:t>
            </w:r>
            <w:r w:rsidRPr="00985F5E">
              <w:rPr>
                <w:color w:val="000000"/>
                <w:sz w:val="18"/>
                <w:szCs w:val="18"/>
              </w:rPr>
              <w:t>)</w:t>
            </w: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$101 - $500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14.8</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3.20</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1.49 - 6.89</w:t>
            </w:r>
            <w:r w:rsidRPr="00985F5E">
              <w:rPr>
                <w:color w:val="000000"/>
                <w:sz w:val="18"/>
                <w:szCs w:val="18"/>
              </w:rPr>
              <w:t>)</w:t>
            </w:r>
          </w:p>
        </w:tc>
        <w:tc>
          <w:tcPr>
            <w:tcW w:w="813" w:type="dxa"/>
            <w:vAlign w:val="center"/>
          </w:tcPr>
          <w:p w:rsidR="003C6B6E" w:rsidRPr="00985F5E" w:rsidRDefault="003C6B6E" w:rsidP="00585838">
            <w:pPr>
              <w:keepNext/>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&gt;$500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13.7</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4.62</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1.37 - 15.61</w:t>
            </w:r>
            <w:r w:rsidRPr="00985F5E">
              <w:rPr>
                <w:color w:val="000000"/>
                <w:sz w:val="18"/>
                <w:szCs w:val="18"/>
              </w:rPr>
              <w:t>)</w:t>
            </w:r>
          </w:p>
        </w:tc>
        <w:tc>
          <w:tcPr>
            <w:tcW w:w="813" w:type="dxa"/>
            <w:shd w:val="clear" w:color="auto" w:fill="D9D9D9" w:themeFill="background1" w:themeFillShade="D9"/>
            <w:vAlign w:val="center"/>
          </w:tcPr>
          <w:p w:rsidR="003C6B6E" w:rsidRPr="00985F5E" w:rsidRDefault="003C6B6E" w:rsidP="00585838">
            <w:pPr>
              <w:keepNext/>
              <w:spacing w:before="20"/>
              <w:jc w:val="right"/>
              <w:rPr>
                <w:color w:val="000000"/>
                <w:sz w:val="18"/>
                <w:szCs w:val="18"/>
              </w:rPr>
            </w:pPr>
            <w:r w:rsidRPr="00985F5E">
              <w:rPr>
                <w:color w:val="000000"/>
                <w:sz w:val="18"/>
                <w:szCs w:val="18"/>
              </w:rPr>
              <w:t>0.0002</w:t>
            </w:r>
          </w:p>
        </w:tc>
      </w:tr>
      <w:tr w:rsidR="003C6B6E" w:rsidRPr="00985F5E" w:rsidTr="00E05935">
        <w:tc>
          <w:tcPr>
            <w:tcW w:w="2755" w:type="dxa"/>
            <w:vAlign w:val="bottom"/>
          </w:tcPr>
          <w:p w:rsidR="003C6B6E" w:rsidRPr="00985F5E" w:rsidRDefault="003C6B6E" w:rsidP="00585838">
            <w:pPr>
              <w:keepNext/>
              <w:spacing w:before="20"/>
              <w:jc w:val="both"/>
              <w:rPr>
                <w:b/>
                <w:sz w:val="18"/>
                <w:szCs w:val="18"/>
              </w:rPr>
            </w:pPr>
            <w:r w:rsidRPr="00985F5E">
              <w:rPr>
                <w:b/>
                <w:sz w:val="18"/>
                <w:szCs w:val="18"/>
              </w:rPr>
              <w:t>EGMs overall - monthly</w:t>
            </w:r>
          </w:p>
        </w:tc>
        <w:tc>
          <w:tcPr>
            <w:tcW w:w="2508"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shd w:val="clear" w:color="auto" w:fill="auto"/>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No</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5.2</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shd w:val="clear" w:color="auto" w:fill="auto"/>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Yes</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36.6</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7.61</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4.12 - 14.06</w:t>
            </w:r>
            <w:r w:rsidRPr="00985F5E">
              <w:rPr>
                <w:color w:val="000000"/>
                <w:sz w:val="18"/>
                <w:szCs w:val="18"/>
              </w:rPr>
              <w:t>)</w:t>
            </w:r>
          </w:p>
        </w:tc>
        <w:tc>
          <w:tcPr>
            <w:tcW w:w="813" w:type="dxa"/>
            <w:shd w:val="clear" w:color="auto" w:fill="D9D9D9" w:themeFill="background1" w:themeFillShade="D9"/>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&lt;0.0001</w:t>
            </w:r>
          </w:p>
        </w:tc>
      </w:tr>
      <w:tr w:rsidR="003C6B6E" w:rsidRPr="00985F5E" w:rsidTr="00E05935">
        <w:tc>
          <w:tcPr>
            <w:tcW w:w="2755" w:type="dxa"/>
            <w:vAlign w:val="bottom"/>
          </w:tcPr>
          <w:p w:rsidR="003C6B6E" w:rsidRPr="00985F5E" w:rsidRDefault="003C6B6E" w:rsidP="00585838">
            <w:pPr>
              <w:keepNext/>
              <w:spacing w:before="20"/>
              <w:jc w:val="both"/>
              <w:rPr>
                <w:b/>
                <w:sz w:val="18"/>
                <w:szCs w:val="18"/>
              </w:rPr>
            </w:pPr>
            <w:r w:rsidRPr="00985F5E">
              <w:rPr>
                <w:b/>
                <w:sz w:val="18"/>
                <w:szCs w:val="18"/>
              </w:rPr>
              <w:t>Number of significant life events</w:t>
            </w:r>
          </w:p>
        </w:tc>
        <w:tc>
          <w:tcPr>
            <w:tcW w:w="2508"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0</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3.3</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1</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7.6</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2.84</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1.58 - 5.08</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2</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6.5</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2.10</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1.11 - 3.96</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3</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7.5</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2.96</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1.43 - 6.13</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4</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6.0</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1.54</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0.66 - 3.56</w:t>
            </w:r>
            <w:r w:rsidRPr="00985F5E">
              <w:rPr>
                <w:color w:val="000000"/>
                <w:sz w:val="18"/>
                <w:szCs w:val="18"/>
              </w:rPr>
              <w:t>)</w:t>
            </w: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585838">
            <w:pPr>
              <w:keepNext/>
              <w:spacing w:before="20"/>
              <w:ind w:left="176"/>
              <w:jc w:val="both"/>
              <w:rPr>
                <w:sz w:val="18"/>
                <w:szCs w:val="18"/>
              </w:rPr>
            </w:pPr>
            <w:r w:rsidRPr="00985F5E">
              <w:rPr>
                <w:sz w:val="18"/>
                <w:szCs w:val="18"/>
              </w:rPr>
              <w:t>5+</w:t>
            </w:r>
          </w:p>
        </w:tc>
        <w:tc>
          <w:tcPr>
            <w:tcW w:w="2508"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11.4</w:t>
            </w:r>
          </w:p>
        </w:tc>
        <w:tc>
          <w:tcPr>
            <w:tcW w:w="992" w:type="dxa"/>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3.35</w:t>
            </w:r>
          </w:p>
        </w:tc>
        <w:tc>
          <w:tcPr>
            <w:tcW w:w="1238" w:type="dxa"/>
            <w:gridSpan w:val="2"/>
            <w:vAlign w:val="center"/>
          </w:tcPr>
          <w:p w:rsidR="003C6B6E" w:rsidRPr="00985F5E" w:rsidRDefault="00AE4A97" w:rsidP="00585838">
            <w:pPr>
              <w:keepNext/>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1.55 - 7.25</w:t>
            </w:r>
            <w:r w:rsidRPr="00985F5E">
              <w:rPr>
                <w:color w:val="000000"/>
                <w:sz w:val="18"/>
                <w:szCs w:val="18"/>
              </w:rPr>
              <w:t>)</w:t>
            </w:r>
          </w:p>
        </w:tc>
        <w:tc>
          <w:tcPr>
            <w:tcW w:w="813" w:type="dxa"/>
            <w:shd w:val="clear" w:color="auto" w:fill="D9D9D9" w:themeFill="background1" w:themeFillShade="D9"/>
            <w:vAlign w:val="center"/>
          </w:tcPr>
          <w:p w:rsidR="003C6B6E" w:rsidRPr="00985F5E" w:rsidRDefault="003C6B6E" w:rsidP="00585838">
            <w:pPr>
              <w:keepNext/>
              <w:adjustRightInd w:val="0"/>
              <w:spacing w:before="20"/>
              <w:jc w:val="right"/>
              <w:rPr>
                <w:color w:val="000000"/>
                <w:sz w:val="18"/>
                <w:szCs w:val="18"/>
              </w:rPr>
            </w:pPr>
            <w:r w:rsidRPr="00985F5E">
              <w:rPr>
                <w:color w:val="000000"/>
                <w:sz w:val="18"/>
                <w:szCs w:val="18"/>
              </w:rPr>
              <w:t>0.004</w:t>
            </w:r>
          </w:p>
        </w:tc>
      </w:tr>
      <w:tr w:rsidR="003C6B6E" w:rsidRPr="00985F5E" w:rsidTr="00E05935">
        <w:tc>
          <w:tcPr>
            <w:tcW w:w="2755" w:type="dxa"/>
            <w:vAlign w:val="bottom"/>
          </w:tcPr>
          <w:p w:rsidR="003C6B6E" w:rsidRPr="00985F5E" w:rsidRDefault="003C6B6E" w:rsidP="00585838">
            <w:pPr>
              <w:keepNext/>
              <w:spacing w:before="20"/>
              <w:jc w:val="both"/>
              <w:rPr>
                <w:b/>
                <w:sz w:val="18"/>
                <w:szCs w:val="18"/>
              </w:rPr>
            </w:pPr>
            <w:r w:rsidRPr="00985F5E">
              <w:rPr>
                <w:b/>
                <w:sz w:val="18"/>
                <w:szCs w:val="18"/>
              </w:rPr>
              <w:t>Psychological distress (Kessler-10)</w:t>
            </w:r>
          </w:p>
        </w:tc>
        <w:tc>
          <w:tcPr>
            <w:tcW w:w="2508"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992" w:type="dxa"/>
            <w:vAlign w:val="center"/>
          </w:tcPr>
          <w:p w:rsidR="003C6B6E" w:rsidRPr="00985F5E" w:rsidRDefault="003C6B6E" w:rsidP="00585838">
            <w:pPr>
              <w:keepNext/>
              <w:adjustRightInd w:val="0"/>
              <w:spacing w:before="20"/>
              <w:jc w:val="right"/>
              <w:rPr>
                <w:color w:val="000000"/>
                <w:sz w:val="18"/>
                <w:szCs w:val="18"/>
              </w:rPr>
            </w:pPr>
          </w:p>
        </w:tc>
        <w:tc>
          <w:tcPr>
            <w:tcW w:w="246" w:type="dxa"/>
            <w:vAlign w:val="center"/>
          </w:tcPr>
          <w:p w:rsidR="003C6B6E" w:rsidRPr="00985F5E" w:rsidRDefault="003C6B6E" w:rsidP="00585838">
            <w:pPr>
              <w:keepNext/>
              <w:adjustRightInd w:val="0"/>
              <w:spacing w:before="20"/>
              <w:jc w:val="right"/>
              <w:rPr>
                <w:color w:val="000000"/>
                <w:sz w:val="18"/>
                <w:szCs w:val="18"/>
              </w:rPr>
            </w:pPr>
          </w:p>
        </w:tc>
        <w:tc>
          <w:tcPr>
            <w:tcW w:w="813" w:type="dxa"/>
            <w:vAlign w:val="center"/>
          </w:tcPr>
          <w:p w:rsidR="003C6B6E" w:rsidRPr="00985F5E" w:rsidRDefault="003C6B6E" w:rsidP="00585838">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3C6B6E">
            <w:pPr>
              <w:keepNext/>
              <w:spacing w:before="20"/>
              <w:ind w:left="176"/>
              <w:jc w:val="both"/>
              <w:rPr>
                <w:sz w:val="18"/>
                <w:szCs w:val="18"/>
              </w:rPr>
            </w:pPr>
            <w:r w:rsidRPr="00985F5E">
              <w:rPr>
                <w:sz w:val="18"/>
                <w:szCs w:val="18"/>
              </w:rPr>
              <w:t>Score 0 - 5</w:t>
            </w:r>
          </w:p>
        </w:tc>
        <w:tc>
          <w:tcPr>
            <w:tcW w:w="2508"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5.5</w:t>
            </w:r>
          </w:p>
        </w:tc>
        <w:tc>
          <w:tcPr>
            <w:tcW w:w="992"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3C6B6E">
            <w:pPr>
              <w:adjustRightInd w:val="0"/>
              <w:spacing w:before="20"/>
              <w:jc w:val="right"/>
              <w:rPr>
                <w:color w:val="000000"/>
                <w:sz w:val="18"/>
                <w:szCs w:val="18"/>
              </w:rPr>
            </w:pPr>
          </w:p>
        </w:tc>
        <w:tc>
          <w:tcPr>
            <w:tcW w:w="246" w:type="dxa"/>
            <w:vAlign w:val="center"/>
          </w:tcPr>
          <w:p w:rsidR="003C6B6E" w:rsidRPr="00985F5E" w:rsidRDefault="003C6B6E" w:rsidP="003C6B6E">
            <w:pPr>
              <w:adjustRightInd w:val="0"/>
              <w:spacing w:before="20"/>
              <w:jc w:val="right"/>
              <w:rPr>
                <w:color w:val="000000"/>
                <w:sz w:val="18"/>
                <w:szCs w:val="18"/>
              </w:rPr>
            </w:pPr>
          </w:p>
        </w:tc>
        <w:tc>
          <w:tcPr>
            <w:tcW w:w="813" w:type="dxa"/>
            <w:vAlign w:val="center"/>
          </w:tcPr>
          <w:p w:rsidR="003C6B6E" w:rsidRPr="00985F5E" w:rsidRDefault="003C6B6E" w:rsidP="003C6B6E">
            <w:pPr>
              <w:adjustRightInd w:val="0"/>
              <w:spacing w:before="20"/>
              <w:jc w:val="right"/>
              <w:rPr>
                <w:color w:val="000000"/>
                <w:sz w:val="18"/>
                <w:szCs w:val="18"/>
              </w:rPr>
            </w:pPr>
          </w:p>
        </w:tc>
      </w:tr>
      <w:tr w:rsidR="003C6B6E" w:rsidRPr="00985F5E" w:rsidTr="00E05935">
        <w:tc>
          <w:tcPr>
            <w:tcW w:w="2755" w:type="dxa"/>
          </w:tcPr>
          <w:p w:rsidR="003C6B6E" w:rsidRPr="00985F5E" w:rsidRDefault="003C6B6E" w:rsidP="003C6B6E">
            <w:pPr>
              <w:keepNext/>
              <w:spacing w:before="20"/>
              <w:ind w:left="176"/>
              <w:jc w:val="both"/>
              <w:rPr>
                <w:sz w:val="18"/>
                <w:szCs w:val="18"/>
              </w:rPr>
            </w:pPr>
            <w:r w:rsidRPr="00985F5E">
              <w:rPr>
                <w:sz w:val="18"/>
                <w:szCs w:val="18"/>
              </w:rPr>
              <w:t>Score 6 - 11</w:t>
            </w:r>
          </w:p>
        </w:tc>
        <w:tc>
          <w:tcPr>
            <w:tcW w:w="2508"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7.5</w:t>
            </w:r>
          </w:p>
        </w:tc>
        <w:tc>
          <w:tcPr>
            <w:tcW w:w="992"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1.28</w:t>
            </w:r>
          </w:p>
        </w:tc>
        <w:tc>
          <w:tcPr>
            <w:tcW w:w="1238" w:type="dxa"/>
            <w:gridSpan w:val="2"/>
            <w:vAlign w:val="center"/>
          </w:tcPr>
          <w:p w:rsidR="003C6B6E" w:rsidRPr="00985F5E" w:rsidRDefault="00AE4A97" w:rsidP="003C6B6E">
            <w:pPr>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0.79 - 2.06</w:t>
            </w:r>
            <w:r w:rsidRPr="00985F5E">
              <w:rPr>
                <w:color w:val="000000"/>
                <w:sz w:val="18"/>
                <w:szCs w:val="18"/>
              </w:rPr>
              <w:t>)</w:t>
            </w:r>
          </w:p>
        </w:tc>
        <w:tc>
          <w:tcPr>
            <w:tcW w:w="813" w:type="dxa"/>
            <w:vAlign w:val="center"/>
          </w:tcPr>
          <w:p w:rsidR="003C6B6E" w:rsidRPr="00985F5E" w:rsidRDefault="003C6B6E" w:rsidP="003C6B6E">
            <w:pPr>
              <w:adjustRightInd w:val="0"/>
              <w:spacing w:before="20"/>
              <w:jc w:val="right"/>
              <w:rPr>
                <w:color w:val="000000"/>
                <w:sz w:val="18"/>
                <w:szCs w:val="18"/>
              </w:rPr>
            </w:pPr>
          </w:p>
        </w:tc>
      </w:tr>
      <w:tr w:rsidR="003C6B6E" w:rsidRPr="00985F5E" w:rsidTr="00E05935">
        <w:tc>
          <w:tcPr>
            <w:tcW w:w="2755" w:type="dxa"/>
          </w:tcPr>
          <w:p w:rsidR="003C6B6E" w:rsidRPr="00985F5E" w:rsidRDefault="003C6B6E" w:rsidP="003C6B6E">
            <w:pPr>
              <w:keepNext/>
              <w:spacing w:before="20"/>
              <w:ind w:left="176"/>
              <w:jc w:val="both"/>
              <w:rPr>
                <w:sz w:val="18"/>
                <w:szCs w:val="18"/>
              </w:rPr>
            </w:pPr>
            <w:r w:rsidRPr="00985F5E">
              <w:rPr>
                <w:sz w:val="18"/>
                <w:szCs w:val="18"/>
              </w:rPr>
              <w:t>Score 12 - 19</w:t>
            </w:r>
          </w:p>
        </w:tc>
        <w:tc>
          <w:tcPr>
            <w:tcW w:w="2508"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13.1</w:t>
            </w:r>
          </w:p>
        </w:tc>
        <w:tc>
          <w:tcPr>
            <w:tcW w:w="992"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2.36</w:t>
            </w:r>
          </w:p>
        </w:tc>
        <w:tc>
          <w:tcPr>
            <w:tcW w:w="1238" w:type="dxa"/>
            <w:gridSpan w:val="2"/>
            <w:vAlign w:val="center"/>
          </w:tcPr>
          <w:p w:rsidR="003C6B6E" w:rsidRPr="00985F5E" w:rsidRDefault="00AE4A97" w:rsidP="003C6B6E">
            <w:pPr>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1.14 - 4.90</w:t>
            </w:r>
            <w:r w:rsidRPr="00985F5E">
              <w:rPr>
                <w:color w:val="000000"/>
                <w:sz w:val="18"/>
                <w:szCs w:val="18"/>
              </w:rPr>
              <w:t>)</w:t>
            </w:r>
          </w:p>
        </w:tc>
        <w:tc>
          <w:tcPr>
            <w:tcW w:w="813" w:type="dxa"/>
            <w:vAlign w:val="center"/>
          </w:tcPr>
          <w:p w:rsidR="003C6B6E" w:rsidRPr="00985F5E" w:rsidRDefault="003C6B6E" w:rsidP="003C6B6E">
            <w:pPr>
              <w:adjustRightInd w:val="0"/>
              <w:spacing w:before="20"/>
              <w:jc w:val="right"/>
              <w:rPr>
                <w:color w:val="000000"/>
                <w:sz w:val="18"/>
                <w:szCs w:val="18"/>
              </w:rPr>
            </w:pPr>
          </w:p>
        </w:tc>
      </w:tr>
      <w:tr w:rsidR="003C6B6E" w:rsidRPr="00985F5E" w:rsidTr="00E05935">
        <w:tc>
          <w:tcPr>
            <w:tcW w:w="2755" w:type="dxa"/>
          </w:tcPr>
          <w:p w:rsidR="003C6B6E" w:rsidRPr="00985F5E" w:rsidRDefault="003C6B6E" w:rsidP="003C6B6E">
            <w:pPr>
              <w:keepNext/>
              <w:spacing w:before="20"/>
              <w:ind w:left="176"/>
              <w:jc w:val="both"/>
              <w:rPr>
                <w:sz w:val="18"/>
                <w:szCs w:val="18"/>
              </w:rPr>
            </w:pPr>
            <w:r w:rsidRPr="00985F5E">
              <w:rPr>
                <w:sz w:val="18"/>
                <w:szCs w:val="18"/>
              </w:rPr>
              <w:t>Score 20 - 40</w:t>
            </w:r>
          </w:p>
        </w:tc>
        <w:tc>
          <w:tcPr>
            <w:tcW w:w="2508"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22.9</w:t>
            </w:r>
          </w:p>
        </w:tc>
        <w:tc>
          <w:tcPr>
            <w:tcW w:w="992"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7.43</w:t>
            </w:r>
          </w:p>
        </w:tc>
        <w:tc>
          <w:tcPr>
            <w:tcW w:w="1238" w:type="dxa"/>
            <w:gridSpan w:val="2"/>
            <w:vAlign w:val="center"/>
          </w:tcPr>
          <w:p w:rsidR="003C6B6E" w:rsidRPr="00985F5E" w:rsidRDefault="00AE4A97" w:rsidP="003C6B6E">
            <w:pPr>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2.35 - 23.49</w:t>
            </w:r>
            <w:r w:rsidRPr="00985F5E">
              <w:rPr>
                <w:color w:val="000000"/>
                <w:sz w:val="18"/>
                <w:szCs w:val="18"/>
              </w:rPr>
              <w:t>)</w:t>
            </w:r>
          </w:p>
        </w:tc>
        <w:tc>
          <w:tcPr>
            <w:tcW w:w="813" w:type="dxa"/>
            <w:shd w:val="clear" w:color="auto" w:fill="D9D9D9" w:themeFill="background1" w:themeFillShade="D9"/>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0.0008</w:t>
            </w:r>
          </w:p>
        </w:tc>
      </w:tr>
      <w:tr w:rsidR="003C6B6E" w:rsidRPr="00985F5E" w:rsidTr="00E05935">
        <w:tc>
          <w:tcPr>
            <w:tcW w:w="2755" w:type="dxa"/>
            <w:vAlign w:val="bottom"/>
          </w:tcPr>
          <w:p w:rsidR="003C6B6E" w:rsidRPr="00985F5E" w:rsidRDefault="003C6B6E" w:rsidP="003C6B6E">
            <w:pPr>
              <w:keepNext/>
              <w:spacing w:before="20"/>
              <w:jc w:val="both"/>
              <w:rPr>
                <w:b/>
                <w:sz w:val="18"/>
                <w:szCs w:val="18"/>
              </w:rPr>
            </w:pPr>
            <w:r w:rsidRPr="00985F5E">
              <w:rPr>
                <w:b/>
                <w:sz w:val="18"/>
                <w:szCs w:val="18"/>
              </w:rPr>
              <w:t>Cannabis</w:t>
            </w:r>
          </w:p>
        </w:tc>
        <w:tc>
          <w:tcPr>
            <w:tcW w:w="2508" w:type="dxa"/>
            <w:vAlign w:val="center"/>
          </w:tcPr>
          <w:p w:rsidR="003C6B6E" w:rsidRPr="00985F5E" w:rsidRDefault="003C6B6E" w:rsidP="003C6B6E">
            <w:pPr>
              <w:adjustRightInd w:val="0"/>
              <w:spacing w:before="20"/>
              <w:jc w:val="right"/>
              <w:rPr>
                <w:color w:val="000000"/>
                <w:sz w:val="18"/>
                <w:szCs w:val="18"/>
              </w:rPr>
            </w:pPr>
          </w:p>
        </w:tc>
        <w:tc>
          <w:tcPr>
            <w:tcW w:w="992" w:type="dxa"/>
            <w:vAlign w:val="center"/>
          </w:tcPr>
          <w:p w:rsidR="003C6B6E" w:rsidRPr="00985F5E" w:rsidRDefault="003C6B6E" w:rsidP="003C6B6E">
            <w:pPr>
              <w:adjustRightInd w:val="0"/>
              <w:spacing w:before="20"/>
              <w:jc w:val="right"/>
              <w:rPr>
                <w:color w:val="000000"/>
                <w:sz w:val="18"/>
                <w:szCs w:val="18"/>
              </w:rPr>
            </w:pPr>
          </w:p>
        </w:tc>
        <w:tc>
          <w:tcPr>
            <w:tcW w:w="992" w:type="dxa"/>
            <w:vAlign w:val="center"/>
          </w:tcPr>
          <w:p w:rsidR="003C6B6E" w:rsidRPr="00985F5E" w:rsidRDefault="003C6B6E" w:rsidP="003C6B6E">
            <w:pPr>
              <w:adjustRightInd w:val="0"/>
              <w:spacing w:before="20"/>
              <w:jc w:val="right"/>
              <w:rPr>
                <w:color w:val="000000"/>
                <w:sz w:val="18"/>
                <w:szCs w:val="18"/>
              </w:rPr>
            </w:pPr>
          </w:p>
        </w:tc>
        <w:tc>
          <w:tcPr>
            <w:tcW w:w="246" w:type="dxa"/>
            <w:vAlign w:val="center"/>
          </w:tcPr>
          <w:p w:rsidR="003C6B6E" w:rsidRPr="00985F5E" w:rsidRDefault="003C6B6E" w:rsidP="003C6B6E">
            <w:pPr>
              <w:adjustRightInd w:val="0"/>
              <w:spacing w:before="20"/>
              <w:jc w:val="right"/>
              <w:rPr>
                <w:color w:val="000000"/>
                <w:sz w:val="18"/>
                <w:szCs w:val="18"/>
              </w:rPr>
            </w:pPr>
          </w:p>
        </w:tc>
        <w:tc>
          <w:tcPr>
            <w:tcW w:w="813" w:type="dxa"/>
            <w:vAlign w:val="center"/>
          </w:tcPr>
          <w:p w:rsidR="003C6B6E" w:rsidRPr="00985F5E" w:rsidRDefault="003C6B6E" w:rsidP="003C6B6E">
            <w:pPr>
              <w:keepNext/>
              <w:adjustRightInd w:val="0"/>
              <w:spacing w:before="20"/>
              <w:jc w:val="right"/>
              <w:rPr>
                <w:color w:val="000000"/>
                <w:sz w:val="18"/>
                <w:szCs w:val="18"/>
              </w:rPr>
            </w:pPr>
          </w:p>
        </w:tc>
      </w:tr>
      <w:tr w:rsidR="003C6B6E" w:rsidRPr="00985F5E" w:rsidTr="00E05935">
        <w:tc>
          <w:tcPr>
            <w:tcW w:w="2755" w:type="dxa"/>
          </w:tcPr>
          <w:p w:rsidR="003C6B6E" w:rsidRPr="00985F5E" w:rsidRDefault="003C6B6E" w:rsidP="003C6B6E">
            <w:pPr>
              <w:keepNext/>
              <w:spacing w:before="20"/>
              <w:ind w:left="176"/>
              <w:jc w:val="both"/>
              <w:rPr>
                <w:sz w:val="18"/>
                <w:szCs w:val="18"/>
              </w:rPr>
            </w:pPr>
            <w:r w:rsidRPr="00985F5E">
              <w:rPr>
                <w:sz w:val="18"/>
                <w:szCs w:val="18"/>
              </w:rPr>
              <w:t>No</w:t>
            </w:r>
          </w:p>
        </w:tc>
        <w:tc>
          <w:tcPr>
            <w:tcW w:w="2508"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5.5</w:t>
            </w:r>
          </w:p>
        </w:tc>
        <w:tc>
          <w:tcPr>
            <w:tcW w:w="992" w:type="dxa"/>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1.00</w:t>
            </w:r>
          </w:p>
        </w:tc>
        <w:tc>
          <w:tcPr>
            <w:tcW w:w="992" w:type="dxa"/>
            <w:vAlign w:val="center"/>
          </w:tcPr>
          <w:p w:rsidR="003C6B6E" w:rsidRPr="00985F5E" w:rsidRDefault="003C6B6E" w:rsidP="003C6B6E">
            <w:pPr>
              <w:adjustRightInd w:val="0"/>
              <w:spacing w:before="20"/>
              <w:jc w:val="right"/>
              <w:rPr>
                <w:color w:val="000000"/>
                <w:sz w:val="18"/>
                <w:szCs w:val="18"/>
              </w:rPr>
            </w:pPr>
          </w:p>
        </w:tc>
        <w:tc>
          <w:tcPr>
            <w:tcW w:w="246" w:type="dxa"/>
            <w:vAlign w:val="center"/>
          </w:tcPr>
          <w:p w:rsidR="003C6B6E" w:rsidRPr="00985F5E" w:rsidRDefault="003C6B6E" w:rsidP="003C6B6E">
            <w:pPr>
              <w:adjustRightInd w:val="0"/>
              <w:spacing w:before="20"/>
              <w:jc w:val="right"/>
              <w:rPr>
                <w:color w:val="000000"/>
                <w:sz w:val="18"/>
                <w:szCs w:val="18"/>
              </w:rPr>
            </w:pPr>
          </w:p>
        </w:tc>
        <w:tc>
          <w:tcPr>
            <w:tcW w:w="813" w:type="dxa"/>
            <w:vAlign w:val="center"/>
          </w:tcPr>
          <w:p w:rsidR="003C6B6E" w:rsidRPr="00985F5E" w:rsidRDefault="003C6B6E" w:rsidP="003C6B6E">
            <w:pPr>
              <w:adjustRightInd w:val="0"/>
              <w:spacing w:before="20"/>
              <w:jc w:val="right"/>
              <w:rPr>
                <w:color w:val="000000"/>
                <w:sz w:val="18"/>
                <w:szCs w:val="18"/>
              </w:rPr>
            </w:pPr>
          </w:p>
        </w:tc>
      </w:tr>
      <w:tr w:rsidR="003C6B6E" w:rsidRPr="00985F5E" w:rsidTr="00E05935">
        <w:tc>
          <w:tcPr>
            <w:tcW w:w="2755" w:type="dxa"/>
            <w:tcBorders>
              <w:bottom w:val="single" w:sz="4" w:space="0" w:color="auto"/>
            </w:tcBorders>
          </w:tcPr>
          <w:p w:rsidR="003C6B6E" w:rsidRPr="00985F5E" w:rsidRDefault="003C6B6E" w:rsidP="003C6B6E">
            <w:pPr>
              <w:keepNext/>
              <w:spacing w:before="20"/>
              <w:ind w:left="176"/>
              <w:jc w:val="both"/>
              <w:rPr>
                <w:sz w:val="18"/>
                <w:szCs w:val="18"/>
              </w:rPr>
            </w:pPr>
            <w:r w:rsidRPr="00985F5E">
              <w:rPr>
                <w:sz w:val="18"/>
                <w:szCs w:val="18"/>
              </w:rPr>
              <w:t>Yes</w:t>
            </w:r>
          </w:p>
        </w:tc>
        <w:tc>
          <w:tcPr>
            <w:tcW w:w="2508" w:type="dxa"/>
            <w:tcBorders>
              <w:bottom w:val="single" w:sz="4" w:space="0" w:color="auto"/>
            </w:tcBorders>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13.9</w:t>
            </w:r>
          </w:p>
        </w:tc>
        <w:tc>
          <w:tcPr>
            <w:tcW w:w="992" w:type="dxa"/>
            <w:tcBorders>
              <w:bottom w:val="single" w:sz="4" w:space="0" w:color="auto"/>
            </w:tcBorders>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2.08</w:t>
            </w:r>
          </w:p>
        </w:tc>
        <w:tc>
          <w:tcPr>
            <w:tcW w:w="1238" w:type="dxa"/>
            <w:gridSpan w:val="2"/>
            <w:tcBorders>
              <w:bottom w:val="single" w:sz="4" w:space="0" w:color="auto"/>
            </w:tcBorders>
            <w:vAlign w:val="center"/>
          </w:tcPr>
          <w:p w:rsidR="003C6B6E" w:rsidRPr="00985F5E" w:rsidRDefault="00AE4A97" w:rsidP="003C6B6E">
            <w:pPr>
              <w:adjustRightInd w:val="0"/>
              <w:spacing w:before="20"/>
              <w:jc w:val="right"/>
              <w:rPr>
                <w:color w:val="000000"/>
                <w:sz w:val="18"/>
                <w:szCs w:val="18"/>
              </w:rPr>
            </w:pPr>
            <w:r w:rsidRPr="00985F5E">
              <w:rPr>
                <w:color w:val="000000"/>
                <w:sz w:val="18"/>
                <w:szCs w:val="18"/>
              </w:rPr>
              <w:t>(</w:t>
            </w:r>
            <w:r w:rsidR="003C6B6E" w:rsidRPr="00985F5E">
              <w:rPr>
                <w:color w:val="000000"/>
                <w:sz w:val="18"/>
                <w:szCs w:val="18"/>
              </w:rPr>
              <w:t>1.21 - 3.57</w:t>
            </w:r>
            <w:r w:rsidRPr="00985F5E">
              <w:rPr>
                <w:color w:val="000000"/>
                <w:sz w:val="18"/>
                <w:szCs w:val="18"/>
              </w:rPr>
              <w:t>)</w:t>
            </w:r>
          </w:p>
        </w:tc>
        <w:tc>
          <w:tcPr>
            <w:tcW w:w="813" w:type="dxa"/>
            <w:tcBorders>
              <w:bottom w:val="single" w:sz="4" w:space="0" w:color="auto"/>
            </w:tcBorders>
            <w:shd w:val="clear" w:color="auto" w:fill="D9D9D9" w:themeFill="background1" w:themeFillShade="D9"/>
            <w:vAlign w:val="center"/>
          </w:tcPr>
          <w:p w:rsidR="003C6B6E" w:rsidRPr="00985F5E" w:rsidRDefault="003C6B6E" w:rsidP="003C6B6E">
            <w:pPr>
              <w:adjustRightInd w:val="0"/>
              <w:spacing w:before="20"/>
              <w:jc w:val="right"/>
              <w:rPr>
                <w:color w:val="000000"/>
                <w:sz w:val="18"/>
                <w:szCs w:val="18"/>
              </w:rPr>
            </w:pPr>
            <w:r w:rsidRPr="00985F5E">
              <w:rPr>
                <w:color w:val="000000"/>
                <w:sz w:val="18"/>
                <w:szCs w:val="18"/>
              </w:rPr>
              <w:t>0.008</w:t>
            </w:r>
          </w:p>
        </w:tc>
      </w:tr>
    </w:tbl>
    <w:p w:rsidR="00567F8B" w:rsidRDefault="00567F8B" w:rsidP="00567F8B">
      <w:pPr>
        <w:rPr>
          <w:sz w:val="18"/>
        </w:rPr>
      </w:pPr>
      <w:r>
        <w:rPr>
          <w:sz w:val="18"/>
        </w:rPr>
        <w:t>Data</w:t>
      </w:r>
      <w:r w:rsidRPr="0034241E">
        <w:rPr>
          <w:sz w:val="18"/>
        </w:rPr>
        <w:t xml:space="preserve"> weighted for 2013 Census data (both Waves) and attrition (Wave 2)</w:t>
      </w:r>
    </w:p>
    <w:p w:rsidR="00985F5E" w:rsidRPr="0034241E" w:rsidRDefault="00985F5E" w:rsidP="00567F8B">
      <w:pPr>
        <w:rPr>
          <w:sz w:val="18"/>
        </w:rPr>
      </w:pPr>
    </w:p>
    <w:p w:rsidR="00A523AC" w:rsidRPr="00DE7450" w:rsidRDefault="00A523AC" w:rsidP="00A523AC">
      <w:pPr>
        <w:pStyle w:val="Heading3b"/>
        <w:numPr>
          <w:ilvl w:val="2"/>
          <w:numId w:val="40"/>
        </w:numPr>
        <w:tabs>
          <w:tab w:val="clear" w:pos="1146"/>
        </w:tabs>
        <w:ind w:left="709"/>
        <w:rPr>
          <w:rFonts w:ascii="Times New Roman" w:hAnsi="Times New Roman" w:cs="Times New Roman"/>
          <w:b/>
        </w:rPr>
      </w:pPr>
      <w:bookmarkStart w:id="218" w:name="_Toc420392618"/>
      <w:r>
        <w:rPr>
          <w:rFonts w:ascii="Times New Roman" w:hAnsi="Times New Roman" w:cs="Times New Roman"/>
          <w:b/>
        </w:rPr>
        <w:t>Staying as low-risk/moderate-risk/problem gambler</w:t>
      </w:r>
      <w:bookmarkEnd w:id="218"/>
    </w:p>
    <w:p w:rsidR="00A523AC" w:rsidRDefault="00A523AC" w:rsidP="00A523AC">
      <w:pPr>
        <w:tabs>
          <w:tab w:val="left" w:pos="0"/>
        </w:tabs>
        <w:jc w:val="both"/>
        <w:rPr>
          <w:szCs w:val="22"/>
        </w:rPr>
      </w:pPr>
    </w:p>
    <w:p w:rsidR="00A523AC" w:rsidRPr="00633B6D" w:rsidRDefault="00A523AC" w:rsidP="00A523AC">
      <w:pPr>
        <w:tabs>
          <w:tab w:val="left" w:pos="0"/>
        </w:tabs>
        <w:jc w:val="both"/>
        <w:rPr>
          <w:szCs w:val="22"/>
        </w:rPr>
      </w:pPr>
      <w:r w:rsidRPr="00633B6D">
        <w:rPr>
          <w:szCs w:val="22"/>
        </w:rPr>
        <w:t xml:space="preserve">In Wave 2, </w:t>
      </w:r>
      <w:r>
        <w:rPr>
          <w:szCs w:val="22"/>
        </w:rPr>
        <w:t>113</w:t>
      </w:r>
      <w:r w:rsidRPr="00AD46BC">
        <w:rPr>
          <w:szCs w:val="22"/>
        </w:rPr>
        <w:t xml:space="preserve"> participants (adjusted data) stayed in the </w:t>
      </w:r>
      <w:r>
        <w:rPr>
          <w:szCs w:val="22"/>
        </w:rPr>
        <w:t>low-risk/</w:t>
      </w:r>
      <w:r w:rsidRPr="00AD46BC">
        <w:rPr>
          <w:szCs w:val="22"/>
        </w:rPr>
        <w:t xml:space="preserve">moderate-risk/problem gambler categories.  A further </w:t>
      </w:r>
      <w:r>
        <w:rPr>
          <w:szCs w:val="22"/>
        </w:rPr>
        <w:t>119</w:t>
      </w:r>
      <w:r w:rsidRPr="00AD46BC">
        <w:rPr>
          <w:szCs w:val="22"/>
        </w:rPr>
        <w:t xml:space="preserve"> participants decreased their risk level</w:t>
      </w:r>
      <w:r>
        <w:rPr>
          <w:szCs w:val="22"/>
        </w:rPr>
        <w:t xml:space="preserve"> by moving from the low-risk/moderate-risk/problem gambler categories in Wave 1 to the non-problem gambler category in Wave 2</w:t>
      </w:r>
      <w:r w:rsidRPr="00633B6D">
        <w:rPr>
          <w:szCs w:val="22"/>
        </w:rPr>
        <w:t>.</w:t>
      </w:r>
    </w:p>
    <w:p w:rsidR="00A523AC" w:rsidRPr="00633B6D" w:rsidRDefault="00A523AC" w:rsidP="00A523AC">
      <w:pPr>
        <w:tabs>
          <w:tab w:val="left" w:pos="0"/>
        </w:tabs>
        <w:jc w:val="both"/>
        <w:rPr>
          <w:szCs w:val="22"/>
        </w:rPr>
      </w:pPr>
    </w:p>
    <w:p w:rsidR="00A523AC" w:rsidRDefault="00A523AC" w:rsidP="00A523AC">
      <w:pPr>
        <w:tabs>
          <w:tab w:val="left" w:pos="0"/>
        </w:tabs>
        <w:jc w:val="both"/>
        <w:rPr>
          <w:szCs w:val="22"/>
        </w:rPr>
      </w:pPr>
    </w:p>
    <w:p w:rsidR="00A523AC" w:rsidRPr="000432E3" w:rsidRDefault="007F2FB4" w:rsidP="00A523AC">
      <w:pPr>
        <w:tabs>
          <w:tab w:val="left" w:pos="0"/>
        </w:tabs>
        <w:jc w:val="both"/>
        <w:rPr>
          <w:b/>
          <w:szCs w:val="22"/>
        </w:rPr>
      </w:pPr>
      <w:r>
        <w:rPr>
          <w:b/>
          <w:szCs w:val="22"/>
        </w:rPr>
        <w:t>B</w:t>
      </w:r>
      <w:r w:rsidR="00A523AC">
        <w:rPr>
          <w:b/>
          <w:szCs w:val="22"/>
        </w:rPr>
        <w:t xml:space="preserve">ivariate </w:t>
      </w:r>
      <w:r>
        <w:rPr>
          <w:b/>
          <w:szCs w:val="22"/>
        </w:rPr>
        <w:t>associations</w:t>
      </w:r>
    </w:p>
    <w:p w:rsidR="00A523AC" w:rsidRDefault="00A523AC" w:rsidP="00A523AC">
      <w:pPr>
        <w:tabs>
          <w:tab w:val="left" w:pos="0"/>
        </w:tabs>
        <w:jc w:val="both"/>
        <w:rPr>
          <w:szCs w:val="22"/>
        </w:rPr>
      </w:pPr>
    </w:p>
    <w:p w:rsidR="00E557BB" w:rsidRPr="00E557BB" w:rsidRDefault="007F2FB4" w:rsidP="00A523AC">
      <w:pPr>
        <w:tabs>
          <w:tab w:val="left" w:pos="0"/>
        </w:tabs>
        <w:jc w:val="both"/>
        <w:rPr>
          <w:szCs w:val="22"/>
        </w:rPr>
      </w:pPr>
      <w:r>
        <w:rPr>
          <w:szCs w:val="22"/>
        </w:rPr>
        <w:t>Bivariate associations examined by l</w:t>
      </w:r>
      <w:r w:rsidR="00A523AC" w:rsidRPr="00E557BB">
        <w:rPr>
          <w:szCs w:val="22"/>
        </w:rPr>
        <w:t xml:space="preserve">ogistic regression indicated that </w:t>
      </w:r>
      <w:r w:rsidR="00E557BB" w:rsidRPr="00E557BB">
        <w:rPr>
          <w:szCs w:val="22"/>
        </w:rPr>
        <w:t>ethnicity, educational level and personal income</w:t>
      </w:r>
      <w:r w:rsidR="00A523AC" w:rsidRPr="00E557BB">
        <w:rPr>
          <w:szCs w:val="22"/>
        </w:rPr>
        <w:t xml:space="preserve"> were the demographic variables significantly associated with staying as a </w:t>
      </w:r>
      <w:r w:rsidR="00E557BB" w:rsidRPr="00E557BB">
        <w:rPr>
          <w:szCs w:val="22"/>
        </w:rPr>
        <w:t xml:space="preserve">low-risk gambler, </w:t>
      </w:r>
      <w:r w:rsidR="00A523AC" w:rsidRPr="00E557BB">
        <w:rPr>
          <w:szCs w:val="22"/>
        </w:rPr>
        <w:t xml:space="preserve">moderate-risk gambler or problem gambler in Wave 2 compared with Wave 1.  </w:t>
      </w:r>
      <w:r w:rsidR="00E557BB">
        <w:rPr>
          <w:szCs w:val="22"/>
        </w:rPr>
        <w:t xml:space="preserve">Māori </w:t>
      </w:r>
      <w:r w:rsidR="00A123AC">
        <w:rPr>
          <w:szCs w:val="22"/>
        </w:rPr>
        <w:t>had</w:t>
      </w:r>
      <w:r w:rsidR="00E557BB">
        <w:rPr>
          <w:szCs w:val="22"/>
        </w:rPr>
        <w:t xml:space="preserve"> almost three times the risk compared to European/Other.  People in the </w:t>
      </w:r>
      <w:r w:rsidR="00E557BB">
        <w:rPr>
          <w:szCs w:val="22"/>
        </w:rPr>
        <w:lastRenderedPageBreak/>
        <w:t xml:space="preserve">$80,001 to $100,000 personal income bracket had more than seven times the risk compared to people in the lowest income bracket ($20,000 or less).  People whose highest qualification was at secondary school level had a </w:t>
      </w:r>
      <w:r w:rsidR="00E557BB">
        <w:rPr>
          <w:i/>
          <w:szCs w:val="22"/>
        </w:rPr>
        <w:t>lower</w:t>
      </w:r>
      <w:r w:rsidR="00E557BB">
        <w:rPr>
          <w:szCs w:val="22"/>
        </w:rPr>
        <w:t xml:space="preserve"> risk (0.28 times) compared with people without formal qualifications.</w:t>
      </w:r>
    </w:p>
    <w:p w:rsidR="00A523AC" w:rsidRPr="00C41FBE" w:rsidRDefault="00A523AC" w:rsidP="00A523AC">
      <w:pPr>
        <w:tabs>
          <w:tab w:val="left" w:pos="0"/>
        </w:tabs>
        <w:jc w:val="both"/>
        <w:rPr>
          <w:szCs w:val="22"/>
        </w:rPr>
      </w:pPr>
    </w:p>
    <w:p w:rsidR="00C41FBE" w:rsidRPr="00C41FBE" w:rsidRDefault="00A523AC" w:rsidP="00A523AC">
      <w:pPr>
        <w:tabs>
          <w:tab w:val="left" w:pos="0"/>
        </w:tabs>
        <w:jc w:val="both"/>
        <w:rPr>
          <w:szCs w:val="22"/>
        </w:rPr>
      </w:pPr>
      <w:r w:rsidRPr="00C41FBE">
        <w:rPr>
          <w:szCs w:val="22"/>
        </w:rPr>
        <w:t xml:space="preserve">Gambling-related factors significantly associated with staying as a </w:t>
      </w:r>
      <w:r w:rsidR="003D10BD" w:rsidRPr="00C41FBE">
        <w:rPr>
          <w:szCs w:val="22"/>
        </w:rPr>
        <w:t xml:space="preserve">low-risk gambler, </w:t>
      </w:r>
      <w:r w:rsidRPr="00C41FBE">
        <w:rPr>
          <w:szCs w:val="22"/>
        </w:rPr>
        <w:t>moderate-risk gambler or problem gambler were pattern of gambling, frequency of gambling,</w:t>
      </w:r>
      <w:r w:rsidR="00C41FBE" w:rsidRPr="00C41FBE">
        <w:rPr>
          <w:szCs w:val="22"/>
        </w:rPr>
        <w:t xml:space="preserve"> monthly gambling expenditure, annual gambling on housie or bingo, monthly gambling on Lotto, annual or monthly EGM gambling,</w:t>
      </w:r>
      <w:r w:rsidRPr="00C41FBE">
        <w:rPr>
          <w:szCs w:val="22"/>
        </w:rPr>
        <w:t xml:space="preserve"> and time spent gambling on EGMs.  </w:t>
      </w:r>
    </w:p>
    <w:p w:rsidR="00C41FBE" w:rsidRPr="00C41FBE" w:rsidRDefault="00C41FBE" w:rsidP="00A523AC">
      <w:pPr>
        <w:tabs>
          <w:tab w:val="left" w:pos="0"/>
        </w:tabs>
        <w:jc w:val="both"/>
        <w:rPr>
          <w:szCs w:val="22"/>
        </w:rPr>
      </w:pPr>
    </w:p>
    <w:p w:rsidR="00C41FBE" w:rsidRDefault="00A523AC" w:rsidP="00A523AC">
      <w:pPr>
        <w:tabs>
          <w:tab w:val="left" w:pos="0"/>
        </w:tabs>
        <w:jc w:val="both"/>
        <w:rPr>
          <w:szCs w:val="22"/>
        </w:rPr>
      </w:pPr>
      <w:r w:rsidRPr="00871532">
        <w:rPr>
          <w:szCs w:val="22"/>
        </w:rPr>
        <w:t xml:space="preserve">People who regularly gambled on continuous forms had </w:t>
      </w:r>
      <w:r w:rsidR="00C41FBE" w:rsidRPr="00871532">
        <w:rPr>
          <w:szCs w:val="22"/>
        </w:rPr>
        <w:t>more than three</w:t>
      </w:r>
      <w:r w:rsidRPr="00871532">
        <w:rPr>
          <w:szCs w:val="22"/>
        </w:rPr>
        <w:t xml:space="preserve"> times the risk </w:t>
      </w:r>
      <w:r w:rsidR="00A123AC">
        <w:rPr>
          <w:szCs w:val="22"/>
        </w:rPr>
        <w:t>compared with</w:t>
      </w:r>
      <w:r w:rsidRPr="00871532">
        <w:rPr>
          <w:szCs w:val="22"/>
        </w:rPr>
        <w:t xml:space="preserve"> people who were infrequent gamblers.  This was </w:t>
      </w:r>
      <w:r w:rsidR="00C41FBE" w:rsidRPr="00871532">
        <w:rPr>
          <w:szCs w:val="22"/>
        </w:rPr>
        <w:t xml:space="preserve">also </w:t>
      </w:r>
      <w:r w:rsidRPr="00871532">
        <w:rPr>
          <w:szCs w:val="22"/>
        </w:rPr>
        <w:t xml:space="preserve">evident in the increased risk noted for people who gambled at least weekly </w:t>
      </w:r>
      <w:r w:rsidR="00C41FBE" w:rsidRPr="00871532">
        <w:rPr>
          <w:szCs w:val="22"/>
        </w:rPr>
        <w:t>(6.13 times) or monthly (3.36 times) and for people whose typical mo</w:t>
      </w:r>
      <w:r w:rsidR="00871532">
        <w:rPr>
          <w:szCs w:val="22"/>
        </w:rPr>
        <w:t>nthly gambling expenditure was $</w:t>
      </w:r>
      <w:r w:rsidR="00C41FBE" w:rsidRPr="00871532">
        <w:rPr>
          <w:szCs w:val="22"/>
        </w:rPr>
        <w:t>500 or more (6.85 times).</w:t>
      </w:r>
    </w:p>
    <w:p w:rsidR="00871532" w:rsidRDefault="00871532" w:rsidP="00A523AC">
      <w:pPr>
        <w:tabs>
          <w:tab w:val="left" w:pos="0"/>
        </w:tabs>
        <w:jc w:val="both"/>
        <w:rPr>
          <w:szCs w:val="22"/>
        </w:rPr>
      </w:pPr>
    </w:p>
    <w:p w:rsidR="00871532" w:rsidRPr="00871532" w:rsidRDefault="00871532" w:rsidP="00A523AC">
      <w:pPr>
        <w:tabs>
          <w:tab w:val="left" w:pos="0"/>
        </w:tabs>
        <w:jc w:val="both"/>
        <w:rPr>
          <w:szCs w:val="22"/>
        </w:rPr>
      </w:pPr>
      <w:r>
        <w:rPr>
          <w:szCs w:val="22"/>
        </w:rPr>
        <w:t>People who gambled annually on housie/bingo</w:t>
      </w:r>
      <w:r w:rsidR="00395C12">
        <w:rPr>
          <w:szCs w:val="22"/>
        </w:rPr>
        <w:t>,</w:t>
      </w:r>
      <w:r>
        <w:rPr>
          <w:szCs w:val="22"/>
        </w:rPr>
        <w:t xml:space="preserve"> or monthly on </w:t>
      </w:r>
      <w:r w:rsidR="00395C12">
        <w:rPr>
          <w:szCs w:val="22"/>
        </w:rPr>
        <w:t xml:space="preserve">card games or </w:t>
      </w:r>
      <w:r>
        <w:rPr>
          <w:szCs w:val="22"/>
        </w:rPr>
        <w:t>Lotto had 4.55</w:t>
      </w:r>
      <w:r w:rsidR="00395C12">
        <w:rPr>
          <w:szCs w:val="22"/>
        </w:rPr>
        <w:t>, 4.30</w:t>
      </w:r>
      <w:r>
        <w:rPr>
          <w:szCs w:val="22"/>
        </w:rPr>
        <w:t xml:space="preserve"> and 2.08 times the risk respectively, compared with people who did not gamble on those forms annually or monthly.  Both annual and monthly gambling on EGMS was associated with four to five times the risk of staying as a low-risk/moderate-risk/problem gambler in Wave 2.  For annual EGM gambling, only club EGMs reached a level of statistical significance with over five times the risk.  However, increased risk was noted with monthly gambling on all EGM forms (pub</w:t>
      </w:r>
      <w:r w:rsidR="00666D0D">
        <w:rPr>
          <w:szCs w:val="22"/>
        </w:rPr>
        <w:t>:</w:t>
      </w:r>
      <w:r>
        <w:rPr>
          <w:szCs w:val="22"/>
        </w:rPr>
        <w:t xml:space="preserve"> 3.82 times, casino</w:t>
      </w:r>
      <w:r w:rsidR="00666D0D">
        <w:rPr>
          <w:szCs w:val="22"/>
        </w:rPr>
        <w:t>:</w:t>
      </w:r>
      <w:r>
        <w:rPr>
          <w:szCs w:val="22"/>
        </w:rPr>
        <w:t xml:space="preserve"> 4.36 times, club</w:t>
      </w:r>
      <w:r w:rsidR="00666D0D">
        <w:rPr>
          <w:szCs w:val="22"/>
        </w:rPr>
        <w:t>:</w:t>
      </w:r>
      <w:r>
        <w:rPr>
          <w:szCs w:val="22"/>
        </w:rPr>
        <w:t xml:space="preserve"> 5.86 times).  Additionally, people who gambled for longer periods on EGMs were also at greater risk.  For casino EGM gambling, the increased risk was noted for people who played for longer than 60</w:t>
      </w:r>
      <w:r w:rsidR="0077180C">
        <w:rPr>
          <w:szCs w:val="22"/>
        </w:rPr>
        <w:t> </w:t>
      </w:r>
      <w:r>
        <w:rPr>
          <w:szCs w:val="22"/>
        </w:rPr>
        <w:t>minutes in an average day (3.42 times).</w:t>
      </w:r>
      <w:r w:rsidR="0077180C">
        <w:rPr>
          <w:szCs w:val="22"/>
        </w:rPr>
        <w:t xml:space="preserve">  A similarly increased risk was noted for people who played pub EGMs for 31 to 60 minutes (3.80 times) or longer than 60 minutes (4.76 times).</w:t>
      </w:r>
      <w:r w:rsidR="0077180C" w:rsidRPr="0077180C">
        <w:rPr>
          <w:szCs w:val="22"/>
        </w:rPr>
        <w:t xml:space="preserve"> </w:t>
      </w:r>
      <w:r w:rsidR="0077180C">
        <w:rPr>
          <w:szCs w:val="22"/>
        </w:rPr>
        <w:t xml:space="preserve"> People who played club EGMs for 31 to 60 minutes or longer than 60 minutes were associated with greater risk (32.74 and 7.69 times respectively) than people who did not gamble on club EGMs.  </w:t>
      </w:r>
      <w:r w:rsidR="0077180C" w:rsidRPr="00666D0D">
        <w:rPr>
          <w:i/>
          <w:szCs w:val="22"/>
        </w:rPr>
        <w:t>However, due to small sample size for club EGM gamblers, these results must be treated with caution.</w:t>
      </w:r>
    </w:p>
    <w:p w:rsidR="00A523AC" w:rsidRPr="00003440" w:rsidRDefault="00A523AC" w:rsidP="00A523AC">
      <w:pPr>
        <w:tabs>
          <w:tab w:val="left" w:pos="0"/>
        </w:tabs>
        <w:jc w:val="both"/>
        <w:rPr>
          <w:szCs w:val="22"/>
        </w:rPr>
      </w:pPr>
    </w:p>
    <w:p w:rsidR="00A523AC" w:rsidRPr="00003440" w:rsidRDefault="00003440" w:rsidP="00A523AC">
      <w:pPr>
        <w:tabs>
          <w:tab w:val="left" w:pos="0"/>
        </w:tabs>
        <w:jc w:val="both"/>
        <w:rPr>
          <w:szCs w:val="22"/>
        </w:rPr>
      </w:pPr>
      <w:r w:rsidRPr="00003440">
        <w:rPr>
          <w:szCs w:val="22"/>
        </w:rPr>
        <w:t>P</w:t>
      </w:r>
      <w:r w:rsidR="00A523AC" w:rsidRPr="00003440">
        <w:rPr>
          <w:szCs w:val="22"/>
        </w:rPr>
        <w:t xml:space="preserve">eople who </w:t>
      </w:r>
      <w:r w:rsidRPr="00003440">
        <w:rPr>
          <w:szCs w:val="22"/>
        </w:rPr>
        <w:t>avoided places that have betting or gambling also had a greater risk (2.51 times) in</w:t>
      </w:r>
      <w:r w:rsidR="00A523AC" w:rsidRPr="00003440">
        <w:rPr>
          <w:szCs w:val="22"/>
        </w:rPr>
        <w:t xml:space="preserve"> comparison with people who did not use this strategy.</w:t>
      </w:r>
      <w:r w:rsidRPr="00003440">
        <w:rPr>
          <w:szCs w:val="22"/>
        </w:rPr>
        <w:t xml:space="preserve">  This finding appears counterintuitive but as the association is measuring a broad range of problem gambling levels from low-risk to problem gambling, it does not reflect any change in gambling status across that range across the two Waves.  For example, a problem gambler in Wave 1 could have used the strategy and reduced their risk level to moderate or low in Wave 2 but this change would not have been measured in this particular analysis of persistence of being a low-risk/ moderate-risk/problem gambler.</w:t>
      </w:r>
    </w:p>
    <w:p w:rsidR="00A523AC" w:rsidRPr="00003440" w:rsidRDefault="00A523AC" w:rsidP="00A523AC">
      <w:pPr>
        <w:tabs>
          <w:tab w:val="left" w:pos="0"/>
        </w:tabs>
        <w:jc w:val="both"/>
        <w:rPr>
          <w:szCs w:val="22"/>
        </w:rPr>
      </w:pPr>
    </w:p>
    <w:p w:rsidR="00A523AC" w:rsidRPr="00003440" w:rsidRDefault="00A523AC" w:rsidP="00A523AC">
      <w:pPr>
        <w:tabs>
          <w:tab w:val="left" w:pos="0"/>
        </w:tabs>
        <w:jc w:val="both"/>
        <w:rPr>
          <w:szCs w:val="22"/>
        </w:rPr>
      </w:pPr>
      <w:r w:rsidRPr="00003440">
        <w:rPr>
          <w:szCs w:val="22"/>
        </w:rPr>
        <w:t xml:space="preserve">People who had sought </w:t>
      </w:r>
      <w:r w:rsidRPr="009F5E09">
        <w:rPr>
          <w:szCs w:val="22"/>
        </w:rPr>
        <w:t>help</w:t>
      </w:r>
      <w:r w:rsidR="00903A09" w:rsidRPr="009F5E09">
        <w:rPr>
          <w:szCs w:val="22"/>
        </w:rPr>
        <w:t xml:space="preserve"> (from formal and informal sources) </w:t>
      </w:r>
      <w:r w:rsidRPr="009F5E09">
        <w:rPr>
          <w:szCs w:val="22"/>
        </w:rPr>
        <w:t xml:space="preserve">in the past year </w:t>
      </w:r>
      <w:r w:rsidR="00A123AC" w:rsidRPr="009F5E09">
        <w:rPr>
          <w:szCs w:val="22"/>
        </w:rPr>
        <w:t xml:space="preserve">had </w:t>
      </w:r>
      <w:r w:rsidR="00003440" w:rsidRPr="009F5E09">
        <w:rPr>
          <w:szCs w:val="22"/>
        </w:rPr>
        <w:t>more</w:t>
      </w:r>
      <w:r w:rsidR="00003440" w:rsidRPr="00003440">
        <w:rPr>
          <w:szCs w:val="22"/>
        </w:rPr>
        <w:t xml:space="preserve"> than seven</w:t>
      </w:r>
      <w:r w:rsidRPr="00003440">
        <w:rPr>
          <w:szCs w:val="22"/>
        </w:rPr>
        <w:t xml:space="preserve"> times the risk compared with people who had not sought help, although due to small sample size, the results are not conclusive.  This finding probably reflects the fact that gamblers </w:t>
      </w:r>
      <w:r w:rsidR="00003440" w:rsidRPr="00003440">
        <w:rPr>
          <w:szCs w:val="22"/>
        </w:rPr>
        <w:t xml:space="preserve">at risk </w:t>
      </w:r>
      <w:r w:rsidRPr="00003440">
        <w:rPr>
          <w:szCs w:val="22"/>
        </w:rPr>
        <w:t xml:space="preserve">are those who are </w:t>
      </w:r>
      <w:r w:rsidR="00003440">
        <w:rPr>
          <w:szCs w:val="22"/>
        </w:rPr>
        <w:t xml:space="preserve">more </w:t>
      </w:r>
      <w:r w:rsidRPr="00003440">
        <w:rPr>
          <w:szCs w:val="22"/>
        </w:rPr>
        <w:t>likely to seek help</w:t>
      </w:r>
      <w:r w:rsidR="00FA7721">
        <w:rPr>
          <w:szCs w:val="22"/>
        </w:rPr>
        <w:t xml:space="preserve"> </w:t>
      </w:r>
      <w:r w:rsidR="00FA7721" w:rsidRPr="009F5E09">
        <w:rPr>
          <w:szCs w:val="22"/>
        </w:rPr>
        <w:t>(from formal and informal sources)</w:t>
      </w:r>
      <w:r w:rsidRPr="00003440">
        <w:rPr>
          <w:szCs w:val="22"/>
        </w:rPr>
        <w:t>.</w:t>
      </w:r>
    </w:p>
    <w:p w:rsidR="00A523AC" w:rsidRPr="00003440" w:rsidRDefault="00A523AC" w:rsidP="00A523AC">
      <w:pPr>
        <w:tabs>
          <w:tab w:val="left" w:pos="0"/>
        </w:tabs>
        <w:jc w:val="both"/>
        <w:rPr>
          <w:szCs w:val="22"/>
        </w:rPr>
      </w:pPr>
    </w:p>
    <w:p w:rsidR="00A523AC" w:rsidRDefault="003077B8" w:rsidP="00A523AC">
      <w:pPr>
        <w:tabs>
          <w:tab w:val="left" w:pos="0"/>
        </w:tabs>
        <w:jc w:val="both"/>
        <w:rPr>
          <w:i/>
          <w:szCs w:val="22"/>
        </w:rPr>
      </w:pPr>
      <w:r w:rsidRPr="003077B8">
        <w:rPr>
          <w:szCs w:val="22"/>
        </w:rPr>
        <w:t>People whose quality of life was below the median level had more than twice the risk compared with people above the median.  P</w:t>
      </w:r>
      <w:r w:rsidR="00A523AC" w:rsidRPr="003077B8">
        <w:rPr>
          <w:szCs w:val="22"/>
        </w:rPr>
        <w:t xml:space="preserve">eople who smoked tobacco at least once a week had </w:t>
      </w:r>
      <w:r w:rsidRPr="003077B8">
        <w:rPr>
          <w:szCs w:val="22"/>
        </w:rPr>
        <w:t>44.36</w:t>
      </w:r>
      <w:r w:rsidR="00A523AC" w:rsidRPr="003077B8">
        <w:rPr>
          <w:szCs w:val="22"/>
        </w:rPr>
        <w:t xml:space="preserve"> times the risk of staying as a </w:t>
      </w:r>
      <w:r w:rsidRPr="003077B8">
        <w:rPr>
          <w:szCs w:val="22"/>
        </w:rPr>
        <w:t xml:space="preserve">low-risk gambler, </w:t>
      </w:r>
      <w:r w:rsidR="00A523AC" w:rsidRPr="003077B8">
        <w:rPr>
          <w:szCs w:val="22"/>
        </w:rPr>
        <w:t xml:space="preserve">moderate-risk gambler or problem gambler compared with people who never smoked.  </w:t>
      </w:r>
      <w:r w:rsidR="00A523AC" w:rsidRPr="00666D0D">
        <w:rPr>
          <w:i/>
          <w:szCs w:val="22"/>
        </w:rPr>
        <w:t>Again, however, due to small sample size the results are not conclusive and should be treated with caution.</w:t>
      </w:r>
    </w:p>
    <w:p w:rsidR="008A7750" w:rsidRPr="003077B8" w:rsidRDefault="008A7750" w:rsidP="00A523AC">
      <w:pPr>
        <w:tabs>
          <w:tab w:val="left" w:pos="0"/>
        </w:tabs>
        <w:jc w:val="both"/>
        <w:rPr>
          <w:szCs w:val="22"/>
        </w:rPr>
      </w:pPr>
    </w:p>
    <w:p w:rsidR="00A523AC" w:rsidRDefault="00A523AC" w:rsidP="00A523AC">
      <w:pPr>
        <w:tabs>
          <w:tab w:val="left" w:pos="0"/>
        </w:tabs>
        <w:jc w:val="both"/>
        <w:rPr>
          <w:szCs w:val="22"/>
        </w:rPr>
      </w:pPr>
      <w:r w:rsidRPr="003077B8">
        <w:rPr>
          <w:szCs w:val="22"/>
        </w:rPr>
        <w:lastRenderedPageBreak/>
        <w:t>Statistically significant associations are presented in</w:t>
      </w:r>
      <w:r w:rsidR="003077B8" w:rsidRPr="003077B8">
        <w:rPr>
          <w:szCs w:val="22"/>
        </w:rPr>
        <w:t xml:space="preserve"> </w:t>
      </w:r>
      <w:r w:rsidR="003077B8" w:rsidRPr="003077B8">
        <w:rPr>
          <w:szCs w:val="22"/>
        </w:rPr>
        <w:fldChar w:fldCharType="begin"/>
      </w:r>
      <w:r w:rsidR="003077B8" w:rsidRPr="003077B8">
        <w:rPr>
          <w:szCs w:val="22"/>
        </w:rPr>
        <w:instrText xml:space="preserve"> REF _Ref408234366 \h  \* MERGEFORMAT </w:instrText>
      </w:r>
      <w:r w:rsidR="003077B8" w:rsidRPr="003077B8">
        <w:rPr>
          <w:szCs w:val="22"/>
        </w:rPr>
      </w:r>
      <w:r w:rsidR="003077B8" w:rsidRPr="003077B8">
        <w:rPr>
          <w:szCs w:val="22"/>
        </w:rPr>
        <w:fldChar w:fldCharType="separate"/>
      </w:r>
      <w:r w:rsidR="00B2175B" w:rsidRPr="00B2175B">
        <w:rPr>
          <w:bCs/>
          <w:szCs w:val="22"/>
        </w:rPr>
        <w:t xml:space="preserve">Table </w:t>
      </w:r>
      <w:r w:rsidR="00B2175B" w:rsidRPr="00B2175B">
        <w:rPr>
          <w:bCs/>
          <w:noProof/>
          <w:szCs w:val="22"/>
        </w:rPr>
        <w:t>21</w:t>
      </w:r>
      <w:r w:rsidR="003077B8" w:rsidRPr="003077B8">
        <w:rPr>
          <w:szCs w:val="22"/>
        </w:rPr>
        <w:fldChar w:fldCharType="end"/>
      </w:r>
      <w:r w:rsidRPr="003077B8">
        <w:rPr>
          <w:szCs w:val="22"/>
        </w:rPr>
        <w:t>; all associations (including non-statistically significant) are presented in Appendix 1</w:t>
      </w:r>
      <w:r w:rsidR="003077B8" w:rsidRPr="003077B8">
        <w:rPr>
          <w:szCs w:val="22"/>
        </w:rPr>
        <w:t>2</w:t>
      </w:r>
      <w:r w:rsidRPr="003077B8">
        <w:rPr>
          <w:szCs w:val="22"/>
        </w:rPr>
        <w:t>.</w:t>
      </w:r>
    </w:p>
    <w:p w:rsidR="00E557BB" w:rsidRPr="00B61EF6" w:rsidRDefault="00E557BB" w:rsidP="00A523AC">
      <w:pPr>
        <w:tabs>
          <w:tab w:val="left" w:pos="0"/>
        </w:tabs>
        <w:jc w:val="both"/>
        <w:rPr>
          <w:szCs w:val="22"/>
        </w:rPr>
      </w:pPr>
    </w:p>
    <w:p w:rsidR="00E557BB" w:rsidRPr="00934E6A" w:rsidRDefault="00E557BB" w:rsidP="00E557BB">
      <w:pPr>
        <w:keepNext/>
        <w:keepLines/>
        <w:jc w:val="both"/>
        <w:rPr>
          <w:b/>
          <w:bCs/>
          <w:sz w:val="20"/>
          <w:szCs w:val="20"/>
        </w:rPr>
      </w:pPr>
      <w:bookmarkStart w:id="219" w:name="_Ref408234366"/>
      <w:bookmarkStart w:id="220" w:name="_Toc420393809"/>
      <w:r w:rsidRPr="00934E6A">
        <w:rPr>
          <w:b/>
          <w:bCs/>
          <w:sz w:val="20"/>
          <w:szCs w:val="20"/>
        </w:rPr>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21</w:t>
      </w:r>
      <w:r w:rsidRPr="00934E6A">
        <w:rPr>
          <w:b/>
          <w:bCs/>
          <w:sz w:val="20"/>
          <w:szCs w:val="20"/>
        </w:rPr>
        <w:fldChar w:fldCharType="end"/>
      </w:r>
      <w:bookmarkEnd w:id="219"/>
      <w:r w:rsidRPr="00934E6A">
        <w:rPr>
          <w:b/>
          <w:bCs/>
          <w:sz w:val="20"/>
          <w:szCs w:val="20"/>
        </w:rPr>
        <w:t xml:space="preserve">: </w:t>
      </w:r>
      <w:r w:rsidR="007F2FB4">
        <w:rPr>
          <w:b/>
          <w:bCs/>
          <w:sz w:val="20"/>
          <w:szCs w:val="20"/>
        </w:rPr>
        <w:t>Bivariate associations</w:t>
      </w:r>
      <w:r w:rsidRPr="00934E6A">
        <w:rPr>
          <w:b/>
          <w:bCs/>
          <w:sz w:val="20"/>
          <w:szCs w:val="20"/>
        </w:rPr>
        <w:t xml:space="preserve"> for </w:t>
      </w:r>
      <w:r>
        <w:rPr>
          <w:b/>
          <w:bCs/>
          <w:sz w:val="20"/>
          <w:szCs w:val="20"/>
        </w:rPr>
        <w:t>staying as a low-risk/moderate-risk/problem</w:t>
      </w:r>
      <w:r w:rsidRPr="00934E6A">
        <w:rPr>
          <w:b/>
          <w:bCs/>
          <w:sz w:val="20"/>
          <w:szCs w:val="20"/>
        </w:rPr>
        <w:t xml:space="preserve"> gambler </w:t>
      </w:r>
      <w:r w:rsidR="00666D0D">
        <w:rPr>
          <w:b/>
          <w:bCs/>
          <w:sz w:val="20"/>
          <w:szCs w:val="20"/>
        </w:rPr>
        <w:t>in</w:t>
      </w:r>
      <w:r w:rsidRPr="00934E6A">
        <w:rPr>
          <w:b/>
          <w:bCs/>
          <w:sz w:val="20"/>
          <w:szCs w:val="20"/>
        </w:rPr>
        <w:t xml:space="preserve"> Wave 2</w:t>
      </w:r>
      <w:bookmarkEnd w:id="2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113"/>
        <w:gridCol w:w="976"/>
        <w:gridCol w:w="835"/>
        <w:gridCol w:w="383"/>
        <w:gridCol w:w="747"/>
      </w:tblGrid>
      <w:tr w:rsidR="00205652" w:rsidRPr="009B1415" w:rsidTr="00E05935">
        <w:trPr>
          <w:tblHeader/>
        </w:trPr>
        <w:tc>
          <w:tcPr>
            <w:tcW w:w="4252" w:type="dxa"/>
            <w:tcBorders>
              <w:top w:val="single" w:sz="4" w:space="0" w:color="auto"/>
              <w:bottom w:val="single" w:sz="4" w:space="0" w:color="auto"/>
            </w:tcBorders>
            <w:vAlign w:val="bottom"/>
          </w:tcPr>
          <w:p w:rsidR="00205652" w:rsidRPr="009B1415" w:rsidRDefault="00205652" w:rsidP="00E9638E">
            <w:pPr>
              <w:spacing w:before="20"/>
              <w:rPr>
                <w:b/>
                <w:sz w:val="16"/>
                <w:szCs w:val="16"/>
              </w:rPr>
            </w:pPr>
            <w:r w:rsidRPr="009B1415">
              <w:rPr>
                <w:b/>
                <w:sz w:val="16"/>
                <w:szCs w:val="16"/>
              </w:rPr>
              <w:t>Variable</w:t>
            </w:r>
          </w:p>
        </w:tc>
        <w:tc>
          <w:tcPr>
            <w:tcW w:w="1113" w:type="dxa"/>
            <w:tcBorders>
              <w:top w:val="single" w:sz="4" w:space="0" w:color="auto"/>
              <w:bottom w:val="single" w:sz="4" w:space="0" w:color="auto"/>
            </w:tcBorders>
            <w:vAlign w:val="center"/>
          </w:tcPr>
          <w:p w:rsidR="00205652" w:rsidRPr="009B1415" w:rsidRDefault="00205652" w:rsidP="009F52BC">
            <w:pPr>
              <w:spacing w:before="20"/>
              <w:jc w:val="right"/>
              <w:rPr>
                <w:rFonts w:ascii="Calibri" w:hAnsi="Calibri"/>
                <w:b/>
                <w:bCs/>
                <w:color w:val="000000"/>
                <w:sz w:val="16"/>
                <w:szCs w:val="16"/>
              </w:rPr>
            </w:pPr>
            <w:r w:rsidRPr="009B1415">
              <w:rPr>
                <w:rFonts w:ascii="Calibri" w:hAnsi="Calibri"/>
                <w:b/>
                <w:bCs/>
                <w:color w:val="000000"/>
                <w:sz w:val="16"/>
                <w:szCs w:val="16"/>
              </w:rPr>
              <w:t>%</w:t>
            </w:r>
          </w:p>
        </w:tc>
        <w:tc>
          <w:tcPr>
            <w:tcW w:w="976" w:type="dxa"/>
            <w:tcBorders>
              <w:top w:val="single" w:sz="4" w:space="0" w:color="auto"/>
              <w:bottom w:val="single" w:sz="4" w:space="0" w:color="auto"/>
            </w:tcBorders>
            <w:vAlign w:val="center"/>
          </w:tcPr>
          <w:p w:rsidR="00205652" w:rsidRPr="009B1415" w:rsidRDefault="00205652" w:rsidP="009F52BC">
            <w:pPr>
              <w:spacing w:before="20"/>
              <w:jc w:val="right"/>
              <w:rPr>
                <w:rFonts w:ascii="Calibri" w:hAnsi="Calibri"/>
                <w:b/>
                <w:color w:val="000000"/>
                <w:sz w:val="16"/>
                <w:szCs w:val="16"/>
              </w:rPr>
            </w:pPr>
            <w:r w:rsidRPr="009B1415">
              <w:rPr>
                <w:rFonts w:ascii="Calibri" w:hAnsi="Calibri"/>
                <w:b/>
                <w:color w:val="000000"/>
                <w:sz w:val="16"/>
                <w:szCs w:val="16"/>
              </w:rPr>
              <w:t>Odds Ratio</w:t>
            </w:r>
          </w:p>
        </w:tc>
        <w:tc>
          <w:tcPr>
            <w:tcW w:w="1218" w:type="dxa"/>
            <w:gridSpan w:val="2"/>
            <w:tcBorders>
              <w:top w:val="single" w:sz="4" w:space="0" w:color="auto"/>
              <w:bottom w:val="single" w:sz="4" w:space="0" w:color="auto"/>
            </w:tcBorders>
            <w:vAlign w:val="center"/>
          </w:tcPr>
          <w:p w:rsidR="00205652" w:rsidRPr="009B1415" w:rsidRDefault="009F52BC" w:rsidP="009F52BC">
            <w:pPr>
              <w:spacing w:before="20"/>
              <w:jc w:val="right"/>
              <w:rPr>
                <w:rFonts w:ascii="Calibri" w:hAnsi="Calibri"/>
                <w:b/>
                <w:color w:val="000000"/>
                <w:sz w:val="16"/>
                <w:szCs w:val="16"/>
              </w:rPr>
            </w:pPr>
            <w:r>
              <w:rPr>
                <w:rFonts w:ascii="Calibri" w:hAnsi="Calibri"/>
                <w:b/>
                <w:color w:val="000000"/>
                <w:sz w:val="16"/>
                <w:szCs w:val="16"/>
              </w:rPr>
              <w:t>(</w:t>
            </w:r>
            <w:r w:rsidR="00205652" w:rsidRPr="009B1415">
              <w:rPr>
                <w:rFonts w:ascii="Calibri" w:hAnsi="Calibri"/>
                <w:b/>
                <w:color w:val="000000"/>
                <w:sz w:val="16"/>
                <w:szCs w:val="16"/>
              </w:rPr>
              <w:t>95% CI</w:t>
            </w:r>
            <w:r>
              <w:rPr>
                <w:rFonts w:ascii="Calibri" w:hAnsi="Calibri"/>
                <w:b/>
                <w:color w:val="000000"/>
                <w:sz w:val="16"/>
                <w:szCs w:val="16"/>
              </w:rPr>
              <w:t>)</w:t>
            </w:r>
          </w:p>
        </w:tc>
        <w:tc>
          <w:tcPr>
            <w:tcW w:w="747" w:type="dxa"/>
            <w:tcBorders>
              <w:top w:val="single" w:sz="4" w:space="0" w:color="auto"/>
              <w:bottom w:val="single" w:sz="4" w:space="0" w:color="auto"/>
            </w:tcBorders>
            <w:vAlign w:val="center"/>
          </w:tcPr>
          <w:p w:rsidR="00205652" w:rsidRPr="009B1415" w:rsidRDefault="00205652" w:rsidP="009F52BC">
            <w:pPr>
              <w:spacing w:before="20"/>
              <w:jc w:val="right"/>
              <w:rPr>
                <w:rFonts w:ascii="Calibri" w:hAnsi="Calibri"/>
                <w:b/>
                <w:color w:val="000000"/>
                <w:sz w:val="16"/>
                <w:szCs w:val="16"/>
              </w:rPr>
            </w:pPr>
            <w:r w:rsidRPr="009B1415">
              <w:rPr>
                <w:rFonts w:ascii="Calibri" w:hAnsi="Calibri"/>
                <w:b/>
                <w:color w:val="000000"/>
                <w:sz w:val="16"/>
                <w:szCs w:val="16"/>
              </w:rPr>
              <w:t>p-value</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Ethnic group (prioritised)</w:t>
            </w:r>
          </w:p>
        </w:tc>
        <w:tc>
          <w:tcPr>
            <w:tcW w:w="1113" w:type="dxa"/>
            <w:vAlign w:val="center"/>
          </w:tcPr>
          <w:p w:rsidR="00205652" w:rsidRPr="00F952D3" w:rsidRDefault="00205652" w:rsidP="009F52BC">
            <w:pPr>
              <w:adjustRightInd w:val="0"/>
              <w:spacing w:before="20"/>
              <w:jc w:val="right"/>
              <w:rPr>
                <w:color w:val="000000"/>
                <w:sz w:val="16"/>
                <w:szCs w:val="16"/>
              </w:rPr>
            </w:pPr>
          </w:p>
        </w:tc>
        <w:tc>
          <w:tcPr>
            <w:tcW w:w="976" w:type="dxa"/>
            <w:vAlign w:val="center"/>
          </w:tcPr>
          <w:p w:rsidR="00205652" w:rsidRPr="00F952D3" w:rsidRDefault="00205652" w:rsidP="009F52BC">
            <w:pPr>
              <w:adjustRightInd w:val="0"/>
              <w:spacing w:before="20"/>
              <w:jc w:val="right"/>
              <w:rPr>
                <w:color w:val="000000"/>
                <w:sz w:val="16"/>
                <w:szCs w:val="16"/>
              </w:rPr>
            </w:pPr>
          </w:p>
        </w:tc>
        <w:tc>
          <w:tcPr>
            <w:tcW w:w="835" w:type="dxa"/>
            <w:vAlign w:val="center"/>
          </w:tcPr>
          <w:p w:rsidR="00205652" w:rsidRPr="00F952D3" w:rsidRDefault="00205652" w:rsidP="009F52BC">
            <w:pPr>
              <w:adjustRightInd w:val="0"/>
              <w:spacing w:before="20"/>
              <w:jc w:val="right"/>
              <w:rPr>
                <w:color w:val="000000"/>
                <w:sz w:val="16"/>
                <w:szCs w:val="16"/>
              </w:rPr>
            </w:pPr>
          </w:p>
        </w:tc>
        <w:tc>
          <w:tcPr>
            <w:tcW w:w="383" w:type="dxa"/>
            <w:vAlign w:val="center"/>
          </w:tcPr>
          <w:p w:rsidR="00205652" w:rsidRPr="00F952D3" w:rsidRDefault="00205652" w:rsidP="009F52BC">
            <w:pPr>
              <w:adjustRightInd w:val="0"/>
              <w:spacing w:before="20"/>
              <w:jc w:val="right"/>
              <w:rPr>
                <w:color w:val="000000"/>
                <w:sz w:val="16"/>
                <w:szCs w:val="16"/>
              </w:rPr>
            </w:pPr>
          </w:p>
        </w:tc>
        <w:tc>
          <w:tcPr>
            <w:tcW w:w="747" w:type="dxa"/>
            <w:vAlign w:val="center"/>
          </w:tcPr>
          <w:p w:rsidR="00205652" w:rsidRPr="00F952D3"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Māori</w:t>
            </w:r>
          </w:p>
        </w:tc>
        <w:tc>
          <w:tcPr>
            <w:tcW w:w="1113"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68.3</w:t>
            </w:r>
          </w:p>
        </w:tc>
        <w:tc>
          <w:tcPr>
            <w:tcW w:w="976"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2.90</w:t>
            </w:r>
          </w:p>
        </w:tc>
        <w:tc>
          <w:tcPr>
            <w:tcW w:w="1218" w:type="dxa"/>
            <w:gridSpan w:val="2"/>
            <w:vAlign w:val="center"/>
          </w:tcPr>
          <w:p w:rsidR="009F52BC" w:rsidRPr="00F952D3" w:rsidRDefault="009F52BC" w:rsidP="009F52BC">
            <w:pPr>
              <w:adjustRightInd w:val="0"/>
              <w:spacing w:before="20"/>
              <w:jc w:val="right"/>
              <w:rPr>
                <w:color w:val="000000"/>
                <w:sz w:val="16"/>
                <w:szCs w:val="16"/>
              </w:rPr>
            </w:pPr>
            <w:r>
              <w:rPr>
                <w:color w:val="000000"/>
                <w:sz w:val="16"/>
                <w:szCs w:val="16"/>
              </w:rPr>
              <w:t>(</w:t>
            </w:r>
            <w:r w:rsidRPr="00F952D3">
              <w:rPr>
                <w:color w:val="000000"/>
                <w:sz w:val="16"/>
                <w:szCs w:val="16"/>
              </w:rPr>
              <w:t>1.41</w:t>
            </w:r>
            <w:r>
              <w:rPr>
                <w:color w:val="000000"/>
                <w:sz w:val="16"/>
                <w:szCs w:val="16"/>
              </w:rPr>
              <w:t xml:space="preserve"> - </w:t>
            </w:r>
            <w:r w:rsidRPr="00F952D3">
              <w:rPr>
                <w:color w:val="000000"/>
                <w:sz w:val="16"/>
                <w:szCs w:val="16"/>
              </w:rPr>
              <w:t>5.99</w:t>
            </w:r>
            <w:r>
              <w:rPr>
                <w:color w:val="000000"/>
                <w:sz w:val="16"/>
                <w:szCs w:val="16"/>
              </w:rPr>
              <w:t>)</w:t>
            </w:r>
          </w:p>
        </w:tc>
        <w:tc>
          <w:tcPr>
            <w:tcW w:w="747" w:type="dxa"/>
            <w:vAlign w:val="center"/>
          </w:tcPr>
          <w:p w:rsidR="009F52BC" w:rsidRPr="00F952D3"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Pacific</w:t>
            </w:r>
          </w:p>
        </w:tc>
        <w:tc>
          <w:tcPr>
            <w:tcW w:w="1113"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46.8</w:t>
            </w:r>
          </w:p>
        </w:tc>
        <w:tc>
          <w:tcPr>
            <w:tcW w:w="976"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1.19</w:t>
            </w:r>
          </w:p>
        </w:tc>
        <w:tc>
          <w:tcPr>
            <w:tcW w:w="1218" w:type="dxa"/>
            <w:gridSpan w:val="2"/>
            <w:vAlign w:val="center"/>
          </w:tcPr>
          <w:p w:rsidR="009F52BC" w:rsidRPr="00F952D3" w:rsidRDefault="009F52BC" w:rsidP="009F52BC">
            <w:pPr>
              <w:adjustRightInd w:val="0"/>
              <w:spacing w:before="20"/>
              <w:jc w:val="right"/>
              <w:rPr>
                <w:color w:val="000000"/>
                <w:sz w:val="16"/>
                <w:szCs w:val="16"/>
              </w:rPr>
            </w:pPr>
            <w:r>
              <w:rPr>
                <w:color w:val="000000"/>
                <w:sz w:val="16"/>
                <w:szCs w:val="16"/>
              </w:rPr>
              <w:t>(</w:t>
            </w:r>
            <w:r w:rsidRPr="00F952D3">
              <w:rPr>
                <w:color w:val="000000"/>
                <w:sz w:val="16"/>
                <w:szCs w:val="16"/>
              </w:rPr>
              <w:t>0.55</w:t>
            </w:r>
            <w:r>
              <w:rPr>
                <w:color w:val="000000"/>
                <w:sz w:val="16"/>
                <w:szCs w:val="16"/>
              </w:rPr>
              <w:t xml:space="preserve"> - </w:t>
            </w:r>
            <w:r w:rsidRPr="00F952D3">
              <w:rPr>
                <w:color w:val="000000"/>
                <w:sz w:val="16"/>
                <w:szCs w:val="16"/>
              </w:rPr>
              <w:t>2.57</w:t>
            </w:r>
            <w:r>
              <w:rPr>
                <w:color w:val="000000"/>
                <w:sz w:val="16"/>
                <w:szCs w:val="16"/>
              </w:rPr>
              <w:t>)</w:t>
            </w:r>
          </w:p>
        </w:tc>
        <w:tc>
          <w:tcPr>
            <w:tcW w:w="747" w:type="dxa"/>
            <w:vAlign w:val="center"/>
          </w:tcPr>
          <w:p w:rsidR="009F52BC" w:rsidRPr="00F952D3"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Asian</w:t>
            </w:r>
          </w:p>
        </w:tc>
        <w:tc>
          <w:tcPr>
            <w:tcW w:w="1113"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44.3</w:t>
            </w:r>
          </w:p>
        </w:tc>
        <w:tc>
          <w:tcPr>
            <w:tcW w:w="976" w:type="dxa"/>
            <w:vAlign w:val="center"/>
          </w:tcPr>
          <w:p w:rsidR="009F52BC" w:rsidRPr="00F952D3" w:rsidRDefault="009F52BC" w:rsidP="009F52BC">
            <w:pPr>
              <w:adjustRightInd w:val="0"/>
              <w:spacing w:before="20"/>
              <w:jc w:val="right"/>
              <w:rPr>
                <w:color w:val="000000"/>
                <w:sz w:val="16"/>
                <w:szCs w:val="16"/>
              </w:rPr>
            </w:pPr>
            <w:r w:rsidRPr="00F952D3">
              <w:rPr>
                <w:color w:val="000000"/>
                <w:sz w:val="16"/>
                <w:szCs w:val="16"/>
              </w:rPr>
              <w:t>1.08</w:t>
            </w:r>
          </w:p>
        </w:tc>
        <w:tc>
          <w:tcPr>
            <w:tcW w:w="1218" w:type="dxa"/>
            <w:gridSpan w:val="2"/>
            <w:vAlign w:val="center"/>
          </w:tcPr>
          <w:p w:rsidR="009F52BC" w:rsidRPr="00F952D3" w:rsidRDefault="009F52BC" w:rsidP="009F52BC">
            <w:pPr>
              <w:adjustRightInd w:val="0"/>
              <w:spacing w:before="20"/>
              <w:jc w:val="right"/>
              <w:rPr>
                <w:color w:val="000000"/>
                <w:sz w:val="16"/>
                <w:szCs w:val="16"/>
              </w:rPr>
            </w:pPr>
            <w:r>
              <w:rPr>
                <w:color w:val="000000"/>
                <w:sz w:val="16"/>
                <w:szCs w:val="16"/>
              </w:rPr>
              <w:t>(</w:t>
            </w:r>
            <w:r w:rsidRPr="00F952D3">
              <w:rPr>
                <w:color w:val="000000"/>
                <w:sz w:val="16"/>
                <w:szCs w:val="16"/>
              </w:rPr>
              <w:t>0.32</w:t>
            </w:r>
            <w:r>
              <w:rPr>
                <w:color w:val="000000"/>
                <w:sz w:val="16"/>
                <w:szCs w:val="16"/>
              </w:rPr>
              <w:t xml:space="preserve"> - </w:t>
            </w:r>
            <w:r w:rsidRPr="00F952D3">
              <w:rPr>
                <w:color w:val="000000"/>
                <w:sz w:val="16"/>
                <w:szCs w:val="16"/>
              </w:rPr>
              <w:t>3.61</w:t>
            </w:r>
            <w:r>
              <w:rPr>
                <w:color w:val="000000"/>
                <w:sz w:val="16"/>
                <w:szCs w:val="16"/>
              </w:rPr>
              <w:t>)</w:t>
            </w:r>
          </w:p>
        </w:tc>
        <w:tc>
          <w:tcPr>
            <w:tcW w:w="747" w:type="dxa"/>
            <w:vAlign w:val="center"/>
          </w:tcPr>
          <w:p w:rsidR="009F52BC" w:rsidRPr="00F952D3" w:rsidRDefault="009F52BC"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European/Other</w:t>
            </w:r>
          </w:p>
        </w:tc>
        <w:tc>
          <w:tcPr>
            <w:tcW w:w="1113" w:type="dxa"/>
            <w:vAlign w:val="center"/>
          </w:tcPr>
          <w:p w:rsidR="00205652" w:rsidRPr="00F952D3" w:rsidRDefault="00205652" w:rsidP="009F52BC">
            <w:pPr>
              <w:adjustRightInd w:val="0"/>
              <w:spacing w:before="20"/>
              <w:jc w:val="right"/>
              <w:rPr>
                <w:color w:val="000000"/>
                <w:sz w:val="16"/>
                <w:szCs w:val="16"/>
              </w:rPr>
            </w:pPr>
            <w:r w:rsidRPr="00F952D3">
              <w:rPr>
                <w:color w:val="000000"/>
                <w:sz w:val="16"/>
                <w:szCs w:val="16"/>
              </w:rPr>
              <w:t>42.5</w:t>
            </w:r>
          </w:p>
        </w:tc>
        <w:tc>
          <w:tcPr>
            <w:tcW w:w="976" w:type="dxa"/>
            <w:vAlign w:val="center"/>
          </w:tcPr>
          <w:p w:rsidR="00205652" w:rsidRPr="00F952D3" w:rsidRDefault="00205652" w:rsidP="009F52BC">
            <w:pPr>
              <w:adjustRightInd w:val="0"/>
              <w:spacing w:before="20"/>
              <w:jc w:val="right"/>
              <w:rPr>
                <w:color w:val="000000"/>
                <w:sz w:val="16"/>
                <w:szCs w:val="16"/>
              </w:rPr>
            </w:pPr>
            <w:r w:rsidRPr="00F952D3">
              <w:rPr>
                <w:color w:val="000000"/>
                <w:sz w:val="16"/>
                <w:szCs w:val="16"/>
              </w:rPr>
              <w:t>1.00</w:t>
            </w:r>
          </w:p>
        </w:tc>
        <w:tc>
          <w:tcPr>
            <w:tcW w:w="835" w:type="dxa"/>
            <w:vAlign w:val="center"/>
          </w:tcPr>
          <w:p w:rsidR="00205652" w:rsidRPr="00F952D3" w:rsidRDefault="00205652" w:rsidP="009F52BC">
            <w:pPr>
              <w:adjustRightInd w:val="0"/>
              <w:spacing w:before="20"/>
              <w:jc w:val="right"/>
              <w:rPr>
                <w:color w:val="000000"/>
                <w:sz w:val="16"/>
                <w:szCs w:val="16"/>
              </w:rPr>
            </w:pPr>
          </w:p>
        </w:tc>
        <w:tc>
          <w:tcPr>
            <w:tcW w:w="383" w:type="dxa"/>
            <w:vAlign w:val="center"/>
          </w:tcPr>
          <w:p w:rsidR="00205652" w:rsidRPr="00F952D3" w:rsidRDefault="00205652" w:rsidP="009F52BC">
            <w:pPr>
              <w:adjustRightInd w:val="0"/>
              <w:spacing w:before="20"/>
              <w:jc w:val="right"/>
              <w:rPr>
                <w:color w:val="000000"/>
                <w:sz w:val="16"/>
                <w:szCs w:val="16"/>
              </w:rPr>
            </w:pPr>
          </w:p>
        </w:tc>
        <w:tc>
          <w:tcPr>
            <w:tcW w:w="747" w:type="dxa"/>
            <w:shd w:val="clear" w:color="auto" w:fill="D9D9D9" w:themeFill="background1" w:themeFillShade="D9"/>
            <w:vAlign w:val="center"/>
          </w:tcPr>
          <w:p w:rsidR="00205652" w:rsidRPr="00F952D3" w:rsidRDefault="00205652" w:rsidP="009F52BC">
            <w:pPr>
              <w:adjustRightInd w:val="0"/>
              <w:spacing w:before="20"/>
              <w:jc w:val="right"/>
              <w:rPr>
                <w:color w:val="000000"/>
                <w:sz w:val="16"/>
                <w:szCs w:val="16"/>
              </w:rPr>
            </w:pPr>
            <w:r w:rsidRPr="00F952D3">
              <w:rPr>
                <w:color w:val="000000"/>
                <w:sz w:val="16"/>
                <w:szCs w:val="16"/>
              </w:rPr>
              <w:t>0.02</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Highest qualification</w:t>
            </w:r>
          </w:p>
        </w:tc>
        <w:tc>
          <w:tcPr>
            <w:tcW w:w="1113" w:type="dxa"/>
            <w:vAlign w:val="center"/>
          </w:tcPr>
          <w:p w:rsidR="00205652" w:rsidRPr="00B41811" w:rsidRDefault="00205652" w:rsidP="009F52BC">
            <w:pPr>
              <w:adjustRightInd w:val="0"/>
              <w:spacing w:before="20"/>
              <w:jc w:val="right"/>
              <w:rPr>
                <w:color w:val="000000"/>
                <w:sz w:val="16"/>
                <w:szCs w:val="16"/>
              </w:rPr>
            </w:pPr>
          </w:p>
        </w:tc>
        <w:tc>
          <w:tcPr>
            <w:tcW w:w="976" w:type="dxa"/>
            <w:vAlign w:val="center"/>
          </w:tcPr>
          <w:p w:rsidR="00205652" w:rsidRPr="00B41811" w:rsidRDefault="00205652" w:rsidP="009F52BC">
            <w:pPr>
              <w:adjustRightInd w:val="0"/>
              <w:spacing w:before="20"/>
              <w:jc w:val="right"/>
              <w:rPr>
                <w:color w:val="000000"/>
                <w:sz w:val="16"/>
                <w:szCs w:val="16"/>
              </w:rPr>
            </w:pPr>
          </w:p>
        </w:tc>
        <w:tc>
          <w:tcPr>
            <w:tcW w:w="835" w:type="dxa"/>
            <w:vAlign w:val="center"/>
          </w:tcPr>
          <w:p w:rsidR="00205652" w:rsidRPr="00B41811" w:rsidRDefault="00205652" w:rsidP="009F52BC">
            <w:pPr>
              <w:adjustRightInd w:val="0"/>
              <w:spacing w:before="20"/>
              <w:jc w:val="right"/>
              <w:rPr>
                <w:color w:val="000000"/>
                <w:sz w:val="16"/>
                <w:szCs w:val="16"/>
              </w:rPr>
            </w:pPr>
          </w:p>
        </w:tc>
        <w:tc>
          <w:tcPr>
            <w:tcW w:w="383" w:type="dxa"/>
            <w:vAlign w:val="center"/>
          </w:tcPr>
          <w:p w:rsidR="00205652" w:rsidRPr="00B41811" w:rsidRDefault="00205652" w:rsidP="009F52BC">
            <w:pPr>
              <w:adjustRightInd w:val="0"/>
              <w:spacing w:before="20"/>
              <w:jc w:val="right"/>
              <w:rPr>
                <w:color w:val="000000"/>
                <w:sz w:val="16"/>
                <w:szCs w:val="16"/>
              </w:rPr>
            </w:pPr>
          </w:p>
        </w:tc>
        <w:tc>
          <w:tcPr>
            <w:tcW w:w="747" w:type="dxa"/>
            <w:vAlign w:val="center"/>
          </w:tcPr>
          <w:p w:rsidR="00205652" w:rsidRPr="00B41811"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 formal qualification</w:t>
            </w:r>
          </w:p>
        </w:tc>
        <w:tc>
          <w:tcPr>
            <w:tcW w:w="1113"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65.8</w:t>
            </w:r>
          </w:p>
        </w:tc>
        <w:tc>
          <w:tcPr>
            <w:tcW w:w="976"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1.00</w:t>
            </w:r>
          </w:p>
        </w:tc>
        <w:tc>
          <w:tcPr>
            <w:tcW w:w="835" w:type="dxa"/>
            <w:vAlign w:val="center"/>
          </w:tcPr>
          <w:p w:rsidR="00205652" w:rsidRPr="000B3B9A" w:rsidRDefault="00205652" w:rsidP="009F52BC">
            <w:pPr>
              <w:adjustRightInd w:val="0"/>
              <w:spacing w:before="20"/>
              <w:jc w:val="right"/>
              <w:rPr>
                <w:color w:val="000000"/>
                <w:sz w:val="16"/>
                <w:szCs w:val="16"/>
              </w:rPr>
            </w:pPr>
          </w:p>
        </w:tc>
        <w:tc>
          <w:tcPr>
            <w:tcW w:w="383" w:type="dxa"/>
            <w:vAlign w:val="center"/>
          </w:tcPr>
          <w:p w:rsidR="00205652" w:rsidRPr="000B3B9A" w:rsidRDefault="00205652" w:rsidP="009F52BC">
            <w:pPr>
              <w:adjustRightInd w:val="0"/>
              <w:spacing w:before="20"/>
              <w:jc w:val="right"/>
              <w:rPr>
                <w:color w:val="000000"/>
                <w:sz w:val="16"/>
                <w:szCs w:val="16"/>
              </w:rPr>
            </w:pPr>
          </w:p>
        </w:tc>
        <w:tc>
          <w:tcPr>
            <w:tcW w:w="747" w:type="dxa"/>
            <w:vAlign w:val="center"/>
          </w:tcPr>
          <w:p w:rsidR="00205652" w:rsidRPr="000B3B9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Pr>
                <w:sz w:val="16"/>
                <w:szCs w:val="16"/>
              </w:rPr>
              <w:t>Secondary s</w:t>
            </w:r>
            <w:r w:rsidRPr="009B1415">
              <w:rPr>
                <w:sz w:val="16"/>
                <w:szCs w:val="16"/>
              </w:rPr>
              <w:t>chool qualification</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35.0</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0.28</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0.11</w:t>
            </w:r>
            <w:r>
              <w:rPr>
                <w:color w:val="000000"/>
                <w:sz w:val="16"/>
                <w:szCs w:val="16"/>
              </w:rPr>
              <w:t xml:space="preserve"> - </w:t>
            </w:r>
            <w:r w:rsidRPr="000B3B9A">
              <w:rPr>
                <w:color w:val="000000"/>
                <w:sz w:val="16"/>
                <w:szCs w:val="16"/>
              </w:rPr>
              <w:t>0.73</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Vocational or Trade qualification</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56.8</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0.69</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0.28</w:t>
            </w:r>
            <w:r>
              <w:rPr>
                <w:color w:val="000000"/>
                <w:sz w:val="16"/>
                <w:szCs w:val="16"/>
              </w:rPr>
              <w:t xml:space="preserve"> - </w:t>
            </w:r>
            <w:r w:rsidRPr="000B3B9A">
              <w:rPr>
                <w:color w:val="000000"/>
                <w:sz w:val="16"/>
                <w:szCs w:val="16"/>
              </w:rPr>
              <w:t>1.70</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 xml:space="preserve">University </w:t>
            </w:r>
            <w:r>
              <w:rPr>
                <w:sz w:val="16"/>
                <w:szCs w:val="16"/>
              </w:rPr>
              <w:t>d</w:t>
            </w:r>
            <w:r w:rsidRPr="009B1415">
              <w:rPr>
                <w:sz w:val="16"/>
                <w:szCs w:val="16"/>
              </w:rPr>
              <w:t>egree or higher</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43.3</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0.40</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0.15</w:t>
            </w:r>
            <w:r>
              <w:rPr>
                <w:color w:val="000000"/>
                <w:sz w:val="16"/>
                <w:szCs w:val="16"/>
              </w:rPr>
              <w:t xml:space="preserve"> - </w:t>
            </w:r>
            <w:r w:rsidRPr="000B3B9A">
              <w:rPr>
                <w:color w:val="000000"/>
                <w:sz w:val="16"/>
                <w:szCs w:val="16"/>
              </w:rPr>
              <w:t>1.02</w:t>
            </w:r>
            <w:r>
              <w:rPr>
                <w:color w:val="000000"/>
                <w:sz w:val="16"/>
                <w:szCs w:val="16"/>
              </w:rPr>
              <w:t>)</w:t>
            </w:r>
          </w:p>
        </w:tc>
        <w:tc>
          <w:tcPr>
            <w:tcW w:w="747" w:type="dxa"/>
            <w:shd w:val="clear" w:color="auto" w:fill="D9D9D9" w:themeFill="background1" w:themeFillShade="D9"/>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0.04</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Personal income</w:t>
            </w:r>
          </w:p>
        </w:tc>
        <w:tc>
          <w:tcPr>
            <w:tcW w:w="1113" w:type="dxa"/>
            <w:vAlign w:val="center"/>
          </w:tcPr>
          <w:p w:rsidR="00205652" w:rsidRPr="000B3B9A" w:rsidRDefault="00205652" w:rsidP="00E9638E">
            <w:pPr>
              <w:adjustRightInd w:val="0"/>
              <w:spacing w:before="20"/>
              <w:jc w:val="right"/>
              <w:rPr>
                <w:color w:val="000000"/>
                <w:sz w:val="16"/>
                <w:szCs w:val="16"/>
              </w:rPr>
            </w:pPr>
          </w:p>
        </w:tc>
        <w:tc>
          <w:tcPr>
            <w:tcW w:w="976" w:type="dxa"/>
            <w:vAlign w:val="center"/>
          </w:tcPr>
          <w:p w:rsidR="00205652" w:rsidRPr="000B3B9A" w:rsidRDefault="00205652" w:rsidP="00E9638E">
            <w:pPr>
              <w:adjustRightInd w:val="0"/>
              <w:spacing w:before="20"/>
              <w:jc w:val="right"/>
              <w:rPr>
                <w:color w:val="000000"/>
                <w:sz w:val="16"/>
                <w:szCs w:val="16"/>
              </w:rPr>
            </w:pPr>
          </w:p>
        </w:tc>
        <w:tc>
          <w:tcPr>
            <w:tcW w:w="835" w:type="dxa"/>
            <w:vAlign w:val="center"/>
          </w:tcPr>
          <w:p w:rsidR="00205652" w:rsidRPr="000B3B9A" w:rsidRDefault="00205652" w:rsidP="00E9638E">
            <w:pPr>
              <w:adjustRightInd w:val="0"/>
              <w:spacing w:before="20"/>
              <w:jc w:val="right"/>
              <w:rPr>
                <w:color w:val="000000"/>
                <w:sz w:val="16"/>
                <w:szCs w:val="16"/>
              </w:rPr>
            </w:pPr>
          </w:p>
        </w:tc>
        <w:tc>
          <w:tcPr>
            <w:tcW w:w="383" w:type="dxa"/>
            <w:vAlign w:val="center"/>
          </w:tcPr>
          <w:p w:rsidR="00205652" w:rsidRPr="000B3B9A" w:rsidRDefault="00205652" w:rsidP="00E9638E">
            <w:pPr>
              <w:adjustRightInd w:val="0"/>
              <w:spacing w:before="20"/>
              <w:jc w:val="right"/>
              <w:rPr>
                <w:color w:val="000000"/>
                <w:sz w:val="16"/>
                <w:szCs w:val="16"/>
              </w:rPr>
            </w:pPr>
          </w:p>
        </w:tc>
        <w:tc>
          <w:tcPr>
            <w:tcW w:w="747" w:type="dxa"/>
            <w:vAlign w:val="center"/>
          </w:tcPr>
          <w:p w:rsidR="00205652" w:rsidRPr="000B3B9A" w:rsidRDefault="00205652" w:rsidP="00E9638E">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&lt;$20,000</w:t>
            </w:r>
          </w:p>
        </w:tc>
        <w:tc>
          <w:tcPr>
            <w:tcW w:w="1113"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49.8</w:t>
            </w:r>
          </w:p>
        </w:tc>
        <w:tc>
          <w:tcPr>
            <w:tcW w:w="976"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1.00</w:t>
            </w:r>
          </w:p>
        </w:tc>
        <w:tc>
          <w:tcPr>
            <w:tcW w:w="835" w:type="dxa"/>
            <w:vAlign w:val="center"/>
          </w:tcPr>
          <w:p w:rsidR="00205652" w:rsidRPr="000B3B9A" w:rsidRDefault="00205652" w:rsidP="009F52BC">
            <w:pPr>
              <w:adjustRightInd w:val="0"/>
              <w:spacing w:before="20"/>
              <w:jc w:val="right"/>
              <w:rPr>
                <w:color w:val="000000"/>
                <w:sz w:val="16"/>
                <w:szCs w:val="16"/>
              </w:rPr>
            </w:pPr>
          </w:p>
        </w:tc>
        <w:tc>
          <w:tcPr>
            <w:tcW w:w="383" w:type="dxa"/>
            <w:vAlign w:val="center"/>
          </w:tcPr>
          <w:p w:rsidR="00205652" w:rsidRPr="000B3B9A" w:rsidRDefault="00205652" w:rsidP="009F52BC">
            <w:pPr>
              <w:adjustRightInd w:val="0"/>
              <w:spacing w:before="20"/>
              <w:jc w:val="right"/>
              <w:rPr>
                <w:color w:val="000000"/>
                <w:sz w:val="16"/>
                <w:szCs w:val="16"/>
              </w:rPr>
            </w:pPr>
          </w:p>
        </w:tc>
        <w:tc>
          <w:tcPr>
            <w:tcW w:w="747" w:type="dxa"/>
            <w:vAlign w:val="center"/>
          </w:tcPr>
          <w:p w:rsidR="00205652" w:rsidRPr="000B3B9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$20,001 - $40,000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58.6</w:t>
            </w:r>
          </w:p>
        </w:tc>
        <w:tc>
          <w:tcPr>
            <w:tcW w:w="976" w:type="dxa"/>
            <w:vAlign w:val="center"/>
          </w:tcPr>
          <w:p w:rsidR="009F52BC" w:rsidRPr="000B3B9A" w:rsidRDefault="009F52BC" w:rsidP="009F52BC">
            <w:pPr>
              <w:keepNext/>
              <w:adjustRightInd w:val="0"/>
              <w:spacing w:before="20"/>
              <w:jc w:val="right"/>
              <w:rPr>
                <w:color w:val="000000"/>
                <w:sz w:val="16"/>
                <w:szCs w:val="16"/>
              </w:rPr>
            </w:pPr>
            <w:r w:rsidRPr="000B3B9A">
              <w:rPr>
                <w:color w:val="000000"/>
                <w:sz w:val="16"/>
                <w:szCs w:val="16"/>
              </w:rPr>
              <w:t>1.42</w:t>
            </w:r>
          </w:p>
        </w:tc>
        <w:tc>
          <w:tcPr>
            <w:tcW w:w="1218" w:type="dxa"/>
            <w:gridSpan w:val="2"/>
            <w:vAlign w:val="center"/>
          </w:tcPr>
          <w:p w:rsidR="009F52BC" w:rsidRPr="000B3B9A" w:rsidRDefault="009F52BC" w:rsidP="009F52BC">
            <w:pPr>
              <w:keepNext/>
              <w:adjustRightInd w:val="0"/>
              <w:spacing w:before="20"/>
              <w:jc w:val="right"/>
              <w:rPr>
                <w:color w:val="000000"/>
                <w:sz w:val="16"/>
                <w:szCs w:val="16"/>
              </w:rPr>
            </w:pPr>
            <w:r>
              <w:rPr>
                <w:color w:val="000000"/>
                <w:sz w:val="16"/>
                <w:szCs w:val="16"/>
              </w:rPr>
              <w:t>(</w:t>
            </w:r>
            <w:r w:rsidRPr="000B3B9A">
              <w:rPr>
                <w:color w:val="000000"/>
                <w:sz w:val="16"/>
                <w:szCs w:val="16"/>
              </w:rPr>
              <w:t>0.60</w:t>
            </w:r>
            <w:r>
              <w:rPr>
                <w:color w:val="000000"/>
                <w:sz w:val="16"/>
                <w:szCs w:val="16"/>
              </w:rPr>
              <w:t xml:space="preserve"> - </w:t>
            </w:r>
            <w:r w:rsidRPr="000B3B9A">
              <w:rPr>
                <w:color w:val="000000"/>
                <w:sz w:val="16"/>
                <w:szCs w:val="16"/>
              </w:rPr>
              <w:t>3.38</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$40,001 - $60,000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43.4</w:t>
            </w:r>
          </w:p>
        </w:tc>
        <w:tc>
          <w:tcPr>
            <w:tcW w:w="976" w:type="dxa"/>
            <w:vAlign w:val="center"/>
          </w:tcPr>
          <w:p w:rsidR="009F52BC" w:rsidRPr="000B3B9A" w:rsidRDefault="009F52BC" w:rsidP="009F52BC">
            <w:pPr>
              <w:keepNext/>
              <w:adjustRightInd w:val="0"/>
              <w:spacing w:before="20"/>
              <w:jc w:val="right"/>
              <w:rPr>
                <w:color w:val="000000"/>
                <w:sz w:val="16"/>
                <w:szCs w:val="16"/>
              </w:rPr>
            </w:pPr>
            <w:r w:rsidRPr="000B3B9A">
              <w:rPr>
                <w:color w:val="000000"/>
                <w:sz w:val="16"/>
                <w:szCs w:val="16"/>
              </w:rPr>
              <w:t>0.77</w:t>
            </w:r>
          </w:p>
        </w:tc>
        <w:tc>
          <w:tcPr>
            <w:tcW w:w="1218" w:type="dxa"/>
            <w:gridSpan w:val="2"/>
            <w:vAlign w:val="center"/>
          </w:tcPr>
          <w:p w:rsidR="009F52BC" w:rsidRPr="000B3B9A" w:rsidRDefault="009F52BC" w:rsidP="009F52BC">
            <w:pPr>
              <w:keepNext/>
              <w:adjustRightInd w:val="0"/>
              <w:spacing w:before="20"/>
              <w:jc w:val="right"/>
              <w:rPr>
                <w:color w:val="000000"/>
                <w:sz w:val="16"/>
                <w:szCs w:val="16"/>
              </w:rPr>
            </w:pPr>
            <w:r>
              <w:rPr>
                <w:color w:val="000000"/>
                <w:sz w:val="16"/>
                <w:szCs w:val="16"/>
              </w:rPr>
              <w:t>(</w:t>
            </w:r>
            <w:r w:rsidRPr="000B3B9A">
              <w:rPr>
                <w:color w:val="000000"/>
                <w:sz w:val="16"/>
                <w:szCs w:val="16"/>
              </w:rPr>
              <w:t>0.30</w:t>
            </w:r>
            <w:r>
              <w:rPr>
                <w:color w:val="000000"/>
                <w:sz w:val="16"/>
                <w:szCs w:val="16"/>
              </w:rPr>
              <w:t xml:space="preserve"> - </w:t>
            </w:r>
            <w:r w:rsidRPr="000B3B9A">
              <w:rPr>
                <w:color w:val="000000"/>
                <w:sz w:val="16"/>
                <w:szCs w:val="16"/>
              </w:rPr>
              <w:t>1.98</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$60,001 - $80,000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28.4</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0.40</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0.12</w:t>
            </w:r>
            <w:r>
              <w:rPr>
                <w:color w:val="000000"/>
                <w:sz w:val="16"/>
                <w:szCs w:val="16"/>
              </w:rPr>
              <w:t xml:space="preserve"> - </w:t>
            </w:r>
            <w:r w:rsidRPr="000B3B9A">
              <w:rPr>
                <w:color w:val="000000"/>
                <w:sz w:val="16"/>
                <w:szCs w:val="16"/>
              </w:rPr>
              <w:t>1.29</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$80,001 - $100,000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87.8</w:t>
            </w:r>
          </w:p>
        </w:tc>
        <w:tc>
          <w:tcPr>
            <w:tcW w:w="976" w:type="dxa"/>
            <w:vAlign w:val="center"/>
          </w:tcPr>
          <w:p w:rsidR="009F52BC" w:rsidRPr="000B3B9A" w:rsidRDefault="009F52BC" w:rsidP="009F52BC">
            <w:pPr>
              <w:keepNext/>
              <w:adjustRightInd w:val="0"/>
              <w:spacing w:before="20"/>
              <w:jc w:val="right"/>
              <w:rPr>
                <w:color w:val="000000"/>
                <w:sz w:val="16"/>
                <w:szCs w:val="16"/>
              </w:rPr>
            </w:pPr>
            <w:r w:rsidRPr="000B3B9A">
              <w:rPr>
                <w:color w:val="000000"/>
                <w:sz w:val="16"/>
                <w:szCs w:val="16"/>
              </w:rPr>
              <w:t>7.27</w:t>
            </w:r>
          </w:p>
        </w:tc>
        <w:tc>
          <w:tcPr>
            <w:tcW w:w="1218" w:type="dxa"/>
            <w:gridSpan w:val="2"/>
            <w:vAlign w:val="center"/>
          </w:tcPr>
          <w:p w:rsidR="009F52BC" w:rsidRPr="000B3B9A" w:rsidRDefault="009F52BC" w:rsidP="009F52BC">
            <w:pPr>
              <w:keepNext/>
              <w:adjustRightInd w:val="0"/>
              <w:spacing w:before="20"/>
              <w:jc w:val="right"/>
              <w:rPr>
                <w:color w:val="000000"/>
                <w:sz w:val="16"/>
                <w:szCs w:val="16"/>
              </w:rPr>
            </w:pPr>
            <w:r>
              <w:rPr>
                <w:color w:val="000000"/>
                <w:sz w:val="16"/>
                <w:szCs w:val="16"/>
              </w:rPr>
              <w:t>(</w:t>
            </w:r>
            <w:r w:rsidRPr="000B3B9A">
              <w:rPr>
                <w:color w:val="000000"/>
                <w:sz w:val="16"/>
                <w:szCs w:val="16"/>
              </w:rPr>
              <w:t>1.71</w:t>
            </w:r>
            <w:r>
              <w:rPr>
                <w:color w:val="000000"/>
                <w:sz w:val="16"/>
                <w:szCs w:val="16"/>
              </w:rPr>
              <w:t xml:space="preserve"> - </w:t>
            </w:r>
            <w:r w:rsidRPr="000B3B9A">
              <w:rPr>
                <w:color w:val="000000"/>
                <w:sz w:val="16"/>
                <w:szCs w:val="16"/>
              </w:rPr>
              <w:t>30.98</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B41811" w:rsidRDefault="009F52BC" w:rsidP="00E9638E">
            <w:pPr>
              <w:spacing w:before="20"/>
              <w:ind w:left="176"/>
              <w:rPr>
                <w:sz w:val="16"/>
                <w:szCs w:val="16"/>
              </w:rPr>
            </w:pPr>
            <w:r w:rsidRPr="00B41811">
              <w:rPr>
                <w:sz w:val="16"/>
                <w:szCs w:val="16"/>
              </w:rPr>
              <w:t>&gt;$100,000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26.6</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0.37</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0.06</w:t>
            </w:r>
            <w:r>
              <w:rPr>
                <w:color w:val="000000"/>
                <w:sz w:val="16"/>
                <w:szCs w:val="16"/>
              </w:rPr>
              <w:t xml:space="preserve"> - </w:t>
            </w:r>
            <w:r w:rsidRPr="000B3B9A">
              <w:rPr>
                <w:color w:val="000000"/>
                <w:sz w:val="16"/>
                <w:szCs w:val="16"/>
              </w:rPr>
              <w:t>2.14</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vAlign w:val="bottom"/>
          </w:tcPr>
          <w:p w:rsidR="009F52BC" w:rsidRPr="009B1415" w:rsidRDefault="009F52BC" w:rsidP="00E9638E">
            <w:pPr>
              <w:spacing w:before="20"/>
              <w:ind w:left="176"/>
              <w:rPr>
                <w:sz w:val="16"/>
                <w:szCs w:val="16"/>
              </w:rPr>
            </w:pPr>
            <w:r w:rsidRPr="009B1415">
              <w:rPr>
                <w:sz w:val="16"/>
                <w:szCs w:val="16"/>
              </w:rPr>
              <w:t>Not reported</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43.2</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0.77</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0.19</w:t>
            </w:r>
            <w:r>
              <w:rPr>
                <w:color w:val="000000"/>
                <w:sz w:val="16"/>
                <w:szCs w:val="16"/>
              </w:rPr>
              <w:t xml:space="preserve"> - </w:t>
            </w:r>
            <w:r w:rsidRPr="000B3B9A">
              <w:rPr>
                <w:color w:val="000000"/>
                <w:sz w:val="16"/>
                <w:szCs w:val="16"/>
              </w:rPr>
              <w:t>3.73</w:t>
            </w:r>
            <w:r>
              <w:rPr>
                <w:color w:val="000000"/>
                <w:sz w:val="16"/>
                <w:szCs w:val="16"/>
              </w:rPr>
              <w:t>)</w:t>
            </w:r>
          </w:p>
        </w:tc>
        <w:tc>
          <w:tcPr>
            <w:tcW w:w="747" w:type="dxa"/>
            <w:shd w:val="clear" w:color="auto" w:fill="D9D9D9" w:themeFill="background1" w:themeFillShade="D9"/>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0.02</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Pattern of participation</w:t>
            </w:r>
          </w:p>
        </w:tc>
        <w:tc>
          <w:tcPr>
            <w:tcW w:w="1113" w:type="dxa"/>
            <w:vAlign w:val="center"/>
          </w:tcPr>
          <w:p w:rsidR="00205652" w:rsidRPr="00B41811" w:rsidRDefault="00205652" w:rsidP="00E9638E">
            <w:pPr>
              <w:adjustRightInd w:val="0"/>
              <w:spacing w:before="20"/>
              <w:jc w:val="right"/>
              <w:rPr>
                <w:color w:val="000000"/>
                <w:sz w:val="16"/>
                <w:szCs w:val="16"/>
              </w:rPr>
            </w:pPr>
          </w:p>
        </w:tc>
        <w:tc>
          <w:tcPr>
            <w:tcW w:w="976" w:type="dxa"/>
            <w:vAlign w:val="center"/>
          </w:tcPr>
          <w:p w:rsidR="00205652" w:rsidRPr="00B41811" w:rsidRDefault="00205652" w:rsidP="00E9638E">
            <w:pPr>
              <w:adjustRightInd w:val="0"/>
              <w:spacing w:before="20"/>
              <w:jc w:val="right"/>
              <w:rPr>
                <w:color w:val="000000"/>
                <w:sz w:val="16"/>
                <w:szCs w:val="16"/>
              </w:rPr>
            </w:pPr>
          </w:p>
        </w:tc>
        <w:tc>
          <w:tcPr>
            <w:tcW w:w="835" w:type="dxa"/>
            <w:vAlign w:val="center"/>
          </w:tcPr>
          <w:p w:rsidR="00205652" w:rsidRPr="00B41811" w:rsidRDefault="00205652" w:rsidP="00E9638E">
            <w:pPr>
              <w:adjustRightInd w:val="0"/>
              <w:spacing w:before="20"/>
              <w:jc w:val="right"/>
              <w:rPr>
                <w:color w:val="000000"/>
                <w:sz w:val="16"/>
                <w:szCs w:val="16"/>
              </w:rPr>
            </w:pPr>
          </w:p>
        </w:tc>
        <w:tc>
          <w:tcPr>
            <w:tcW w:w="383" w:type="dxa"/>
            <w:vAlign w:val="center"/>
          </w:tcPr>
          <w:p w:rsidR="00205652" w:rsidRPr="00B41811" w:rsidRDefault="00205652" w:rsidP="00E9638E">
            <w:pPr>
              <w:adjustRightInd w:val="0"/>
              <w:spacing w:before="20"/>
              <w:jc w:val="right"/>
              <w:rPr>
                <w:color w:val="000000"/>
                <w:sz w:val="16"/>
                <w:szCs w:val="16"/>
              </w:rPr>
            </w:pPr>
          </w:p>
        </w:tc>
        <w:tc>
          <w:tcPr>
            <w:tcW w:w="747" w:type="dxa"/>
            <w:vAlign w:val="center"/>
          </w:tcPr>
          <w:p w:rsidR="00205652" w:rsidRPr="00B41811" w:rsidRDefault="00205652" w:rsidP="00E9638E">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Infrequent gambler</w:t>
            </w:r>
          </w:p>
        </w:tc>
        <w:tc>
          <w:tcPr>
            <w:tcW w:w="1113" w:type="dxa"/>
            <w:vAlign w:val="center"/>
          </w:tcPr>
          <w:p w:rsidR="00205652" w:rsidRPr="000B3B9A" w:rsidRDefault="00205652" w:rsidP="00E9638E">
            <w:pPr>
              <w:adjustRightInd w:val="0"/>
              <w:spacing w:before="20"/>
              <w:jc w:val="right"/>
              <w:rPr>
                <w:color w:val="000000"/>
                <w:sz w:val="16"/>
                <w:szCs w:val="16"/>
              </w:rPr>
            </w:pPr>
            <w:r w:rsidRPr="000B3B9A">
              <w:rPr>
                <w:color w:val="000000"/>
                <w:sz w:val="16"/>
                <w:szCs w:val="16"/>
              </w:rPr>
              <w:t>36.8</w:t>
            </w:r>
          </w:p>
        </w:tc>
        <w:tc>
          <w:tcPr>
            <w:tcW w:w="976" w:type="dxa"/>
            <w:vAlign w:val="center"/>
          </w:tcPr>
          <w:p w:rsidR="00205652" w:rsidRPr="000B3B9A" w:rsidRDefault="00205652" w:rsidP="00E9638E">
            <w:pPr>
              <w:adjustRightInd w:val="0"/>
              <w:spacing w:before="20"/>
              <w:jc w:val="right"/>
              <w:rPr>
                <w:color w:val="000000"/>
                <w:sz w:val="16"/>
                <w:szCs w:val="16"/>
              </w:rPr>
            </w:pPr>
            <w:r w:rsidRPr="000B3B9A">
              <w:rPr>
                <w:color w:val="000000"/>
                <w:sz w:val="16"/>
                <w:szCs w:val="16"/>
              </w:rPr>
              <w:t>1.00</w:t>
            </w:r>
          </w:p>
        </w:tc>
        <w:tc>
          <w:tcPr>
            <w:tcW w:w="835" w:type="dxa"/>
            <w:vAlign w:val="center"/>
          </w:tcPr>
          <w:p w:rsidR="00205652" w:rsidRPr="000B3B9A" w:rsidRDefault="00205652" w:rsidP="00E9638E">
            <w:pPr>
              <w:adjustRightInd w:val="0"/>
              <w:spacing w:before="20"/>
              <w:jc w:val="right"/>
              <w:rPr>
                <w:color w:val="000000"/>
                <w:sz w:val="16"/>
                <w:szCs w:val="16"/>
              </w:rPr>
            </w:pPr>
          </w:p>
        </w:tc>
        <w:tc>
          <w:tcPr>
            <w:tcW w:w="383" w:type="dxa"/>
            <w:vAlign w:val="center"/>
          </w:tcPr>
          <w:p w:rsidR="00205652" w:rsidRPr="000B3B9A" w:rsidRDefault="00205652" w:rsidP="00E9638E">
            <w:pPr>
              <w:adjustRightInd w:val="0"/>
              <w:spacing w:before="20"/>
              <w:jc w:val="right"/>
              <w:rPr>
                <w:color w:val="000000"/>
                <w:sz w:val="16"/>
                <w:szCs w:val="16"/>
              </w:rPr>
            </w:pPr>
          </w:p>
        </w:tc>
        <w:tc>
          <w:tcPr>
            <w:tcW w:w="747" w:type="dxa"/>
            <w:vAlign w:val="center"/>
          </w:tcPr>
          <w:p w:rsidR="00205652" w:rsidRPr="000B3B9A" w:rsidRDefault="00205652" w:rsidP="00E9638E">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Regular non-continuous gambler</w:t>
            </w:r>
          </w:p>
        </w:tc>
        <w:tc>
          <w:tcPr>
            <w:tcW w:w="1113" w:type="dxa"/>
            <w:vAlign w:val="center"/>
          </w:tcPr>
          <w:p w:rsidR="009F52BC" w:rsidRPr="000B3B9A" w:rsidRDefault="009F52BC" w:rsidP="00E9638E">
            <w:pPr>
              <w:adjustRightInd w:val="0"/>
              <w:spacing w:before="20"/>
              <w:jc w:val="right"/>
              <w:rPr>
                <w:color w:val="000000"/>
                <w:sz w:val="16"/>
                <w:szCs w:val="16"/>
              </w:rPr>
            </w:pPr>
            <w:r w:rsidRPr="000B3B9A">
              <w:rPr>
                <w:color w:val="000000"/>
                <w:sz w:val="16"/>
                <w:szCs w:val="16"/>
              </w:rPr>
              <w:t>53.4</w:t>
            </w:r>
          </w:p>
        </w:tc>
        <w:tc>
          <w:tcPr>
            <w:tcW w:w="976" w:type="dxa"/>
            <w:vAlign w:val="center"/>
          </w:tcPr>
          <w:p w:rsidR="009F52BC" w:rsidRPr="000B3B9A" w:rsidRDefault="009F52BC" w:rsidP="00E9638E">
            <w:pPr>
              <w:adjustRightInd w:val="0"/>
              <w:spacing w:before="20"/>
              <w:jc w:val="right"/>
              <w:rPr>
                <w:color w:val="000000"/>
                <w:sz w:val="16"/>
                <w:szCs w:val="16"/>
              </w:rPr>
            </w:pPr>
            <w:r w:rsidRPr="000B3B9A">
              <w:rPr>
                <w:color w:val="000000"/>
                <w:sz w:val="16"/>
                <w:szCs w:val="16"/>
              </w:rPr>
              <w:t>1.97</w:t>
            </w:r>
          </w:p>
        </w:tc>
        <w:tc>
          <w:tcPr>
            <w:tcW w:w="1218" w:type="dxa"/>
            <w:gridSpan w:val="2"/>
            <w:vAlign w:val="center"/>
          </w:tcPr>
          <w:p w:rsidR="009F52BC" w:rsidRPr="000B3B9A" w:rsidRDefault="009F52BC" w:rsidP="00E9638E">
            <w:pPr>
              <w:adjustRightInd w:val="0"/>
              <w:spacing w:before="20"/>
              <w:jc w:val="right"/>
              <w:rPr>
                <w:color w:val="000000"/>
                <w:sz w:val="16"/>
                <w:szCs w:val="16"/>
              </w:rPr>
            </w:pPr>
            <w:r>
              <w:rPr>
                <w:color w:val="000000"/>
                <w:sz w:val="16"/>
                <w:szCs w:val="16"/>
              </w:rPr>
              <w:t>(</w:t>
            </w:r>
            <w:r w:rsidRPr="000B3B9A">
              <w:rPr>
                <w:color w:val="000000"/>
                <w:sz w:val="16"/>
                <w:szCs w:val="16"/>
              </w:rPr>
              <w:t>0.90</w:t>
            </w:r>
            <w:r>
              <w:rPr>
                <w:color w:val="000000"/>
                <w:sz w:val="16"/>
                <w:szCs w:val="16"/>
              </w:rPr>
              <w:t xml:space="preserve"> - </w:t>
            </w:r>
            <w:r w:rsidRPr="000B3B9A">
              <w:rPr>
                <w:color w:val="000000"/>
                <w:sz w:val="16"/>
                <w:szCs w:val="16"/>
              </w:rPr>
              <w:t>4.32</w:t>
            </w:r>
            <w:r>
              <w:rPr>
                <w:color w:val="000000"/>
                <w:sz w:val="16"/>
                <w:szCs w:val="16"/>
              </w:rPr>
              <w:t>)</w:t>
            </w:r>
          </w:p>
        </w:tc>
        <w:tc>
          <w:tcPr>
            <w:tcW w:w="747" w:type="dxa"/>
            <w:vAlign w:val="center"/>
          </w:tcPr>
          <w:p w:rsidR="009F52BC" w:rsidRPr="000B3B9A" w:rsidRDefault="009F52BC" w:rsidP="00E9638E">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Regular continuous gambler</w:t>
            </w:r>
          </w:p>
        </w:tc>
        <w:tc>
          <w:tcPr>
            <w:tcW w:w="1113" w:type="dxa"/>
            <w:vAlign w:val="center"/>
          </w:tcPr>
          <w:p w:rsidR="009F52BC" w:rsidRPr="000B3B9A" w:rsidRDefault="009F52BC" w:rsidP="00E9638E">
            <w:pPr>
              <w:adjustRightInd w:val="0"/>
              <w:spacing w:before="20"/>
              <w:jc w:val="right"/>
              <w:rPr>
                <w:color w:val="000000"/>
                <w:sz w:val="16"/>
                <w:szCs w:val="16"/>
              </w:rPr>
            </w:pPr>
            <w:r w:rsidRPr="000B3B9A">
              <w:rPr>
                <w:color w:val="000000"/>
                <w:sz w:val="16"/>
                <w:szCs w:val="16"/>
              </w:rPr>
              <w:t>65.9</w:t>
            </w:r>
          </w:p>
        </w:tc>
        <w:tc>
          <w:tcPr>
            <w:tcW w:w="976" w:type="dxa"/>
            <w:vAlign w:val="center"/>
          </w:tcPr>
          <w:p w:rsidR="009F52BC" w:rsidRPr="000B3B9A" w:rsidRDefault="009F52BC" w:rsidP="00E9638E">
            <w:pPr>
              <w:adjustRightInd w:val="0"/>
              <w:spacing w:before="20"/>
              <w:jc w:val="right"/>
              <w:rPr>
                <w:color w:val="000000"/>
                <w:sz w:val="16"/>
                <w:szCs w:val="16"/>
              </w:rPr>
            </w:pPr>
            <w:r w:rsidRPr="000B3B9A">
              <w:rPr>
                <w:color w:val="000000"/>
                <w:sz w:val="16"/>
                <w:szCs w:val="16"/>
              </w:rPr>
              <w:t>3.32</w:t>
            </w:r>
          </w:p>
        </w:tc>
        <w:tc>
          <w:tcPr>
            <w:tcW w:w="1218" w:type="dxa"/>
            <w:gridSpan w:val="2"/>
            <w:vAlign w:val="center"/>
          </w:tcPr>
          <w:p w:rsidR="009F52BC" w:rsidRPr="000B3B9A" w:rsidRDefault="009F52BC" w:rsidP="00E9638E">
            <w:pPr>
              <w:adjustRightInd w:val="0"/>
              <w:spacing w:before="20"/>
              <w:jc w:val="right"/>
              <w:rPr>
                <w:color w:val="000000"/>
                <w:sz w:val="16"/>
                <w:szCs w:val="16"/>
              </w:rPr>
            </w:pPr>
            <w:r>
              <w:rPr>
                <w:color w:val="000000"/>
                <w:sz w:val="16"/>
                <w:szCs w:val="16"/>
              </w:rPr>
              <w:t>(</w:t>
            </w:r>
            <w:r w:rsidRPr="000B3B9A">
              <w:rPr>
                <w:color w:val="000000"/>
                <w:sz w:val="16"/>
                <w:szCs w:val="16"/>
              </w:rPr>
              <w:t>1.54</w:t>
            </w:r>
            <w:r>
              <w:rPr>
                <w:color w:val="000000"/>
                <w:sz w:val="16"/>
                <w:szCs w:val="16"/>
              </w:rPr>
              <w:t xml:space="preserve"> - </w:t>
            </w:r>
            <w:r w:rsidRPr="000B3B9A">
              <w:rPr>
                <w:color w:val="000000"/>
                <w:sz w:val="16"/>
                <w:szCs w:val="16"/>
              </w:rPr>
              <w:t>7.15</w:t>
            </w:r>
            <w:r>
              <w:rPr>
                <w:color w:val="000000"/>
                <w:sz w:val="16"/>
                <w:szCs w:val="16"/>
              </w:rPr>
              <w:t>)</w:t>
            </w:r>
          </w:p>
        </w:tc>
        <w:tc>
          <w:tcPr>
            <w:tcW w:w="747" w:type="dxa"/>
            <w:shd w:val="clear" w:color="auto" w:fill="D9D9D9" w:themeFill="background1" w:themeFillShade="D9"/>
            <w:vAlign w:val="center"/>
          </w:tcPr>
          <w:p w:rsidR="009F52BC" w:rsidRPr="000B3B9A" w:rsidRDefault="009F52BC" w:rsidP="00E9638E">
            <w:pPr>
              <w:adjustRightInd w:val="0"/>
              <w:spacing w:before="20"/>
              <w:jc w:val="right"/>
              <w:rPr>
                <w:color w:val="000000"/>
                <w:sz w:val="16"/>
                <w:szCs w:val="16"/>
              </w:rPr>
            </w:pPr>
            <w:r w:rsidRPr="000B3B9A">
              <w:rPr>
                <w:color w:val="000000"/>
                <w:sz w:val="16"/>
                <w:szCs w:val="16"/>
              </w:rPr>
              <w:t>0.01</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Gambling frequency</w:t>
            </w:r>
          </w:p>
        </w:tc>
        <w:tc>
          <w:tcPr>
            <w:tcW w:w="1113" w:type="dxa"/>
            <w:vAlign w:val="center"/>
          </w:tcPr>
          <w:p w:rsidR="00205652" w:rsidRPr="000B3B9A" w:rsidRDefault="00205652" w:rsidP="009F52BC">
            <w:pPr>
              <w:adjustRightInd w:val="0"/>
              <w:spacing w:before="20"/>
              <w:jc w:val="right"/>
              <w:rPr>
                <w:color w:val="000000"/>
                <w:sz w:val="16"/>
                <w:szCs w:val="16"/>
              </w:rPr>
            </w:pPr>
          </w:p>
        </w:tc>
        <w:tc>
          <w:tcPr>
            <w:tcW w:w="976" w:type="dxa"/>
            <w:vAlign w:val="center"/>
          </w:tcPr>
          <w:p w:rsidR="00205652" w:rsidRPr="000B3B9A" w:rsidRDefault="00205652" w:rsidP="009F52BC">
            <w:pPr>
              <w:adjustRightInd w:val="0"/>
              <w:spacing w:before="20"/>
              <w:jc w:val="right"/>
              <w:rPr>
                <w:color w:val="000000"/>
                <w:sz w:val="16"/>
                <w:szCs w:val="16"/>
              </w:rPr>
            </w:pPr>
          </w:p>
        </w:tc>
        <w:tc>
          <w:tcPr>
            <w:tcW w:w="835" w:type="dxa"/>
            <w:vAlign w:val="center"/>
          </w:tcPr>
          <w:p w:rsidR="00205652" w:rsidRPr="000B3B9A" w:rsidRDefault="00205652" w:rsidP="009F52BC">
            <w:pPr>
              <w:adjustRightInd w:val="0"/>
              <w:spacing w:before="20"/>
              <w:jc w:val="right"/>
              <w:rPr>
                <w:color w:val="000000"/>
                <w:sz w:val="16"/>
                <w:szCs w:val="16"/>
              </w:rPr>
            </w:pPr>
          </w:p>
        </w:tc>
        <w:tc>
          <w:tcPr>
            <w:tcW w:w="383" w:type="dxa"/>
            <w:vAlign w:val="center"/>
          </w:tcPr>
          <w:p w:rsidR="00205652" w:rsidRPr="000B3B9A" w:rsidRDefault="00205652" w:rsidP="009F52BC">
            <w:pPr>
              <w:adjustRightInd w:val="0"/>
              <w:spacing w:before="20"/>
              <w:jc w:val="right"/>
              <w:rPr>
                <w:color w:val="000000"/>
                <w:sz w:val="16"/>
                <w:szCs w:val="16"/>
              </w:rPr>
            </w:pPr>
          </w:p>
        </w:tc>
        <w:tc>
          <w:tcPr>
            <w:tcW w:w="747" w:type="dxa"/>
            <w:vAlign w:val="center"/>
          </w:tcPr>
          <w:p w:rsidR="00205652" w:rsidRPr="000B3B9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At least weekly</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62.0</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6.13</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2.34</w:t>
            </w:r>
            <w:r>
              <w:rPr>
                <w:color w:val="000000"/>
                <w:sz w:val="16"/>
                <w:szCs w:val="16"/>
              </w:rPr>
              <w:t xml:space="preserve"> - </w:t>
            </w:r>
            <w:r w:rsidRPr="000B3B9A">
              <w:rPr>
                <w:color w:val="000000"/>
                <w:sz w:val="16"/>
                <w:szCs w:val="16"/>
              </w:rPr>
              <w:t>16.09</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At least monthly</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47.2</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3.36</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1.14</w:t>
            </w:r>
            <w:r>
              <w:rPr>
                <w:color w:val="000000"/>
                <w:sz w:val="16"/>
                <w:szCs w:val="16"/>
              </w:rPr>
              <w:t xml:space="preserve"> - </w:t>
            </w:r>
            <w:r w:rsidRPr="000B3B9A">
              <w:rPr>
                <w:color w:val="000000"/>
                <w:sz w:val="16"/>
                <w:szCs w:val="16"/>
              </w:rPr>
              <w:t>9.87</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At least once in past year</w:t>
            </w:r>
          </w:p>
        </w:tc>
        <w:tc>
          <w:tcPr>
            <w:tcW w:w="1113"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21.0</w:t>
            </w:r>
          </w:p>
        </w:tc>
        <w:tc>
          <w:tcPr>
            <w:tcW w:w="976"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1.00</w:t>
            </w:r>
          </w:p>
        </w:tc>
        <w:tc>
          <w:tcPr>
            <w:tcW w:w="835" w:type="dxa"/>
            <w:vAlign w:val="center"/>
          </w:tcPr>
          <w:p w:rsidR="00205652" w:rsidRPr="000B3B9A" w:rsidRDefault="00205652" w:rsidP="009F52BC">
            <w:pPr>
              <w:adjustRightInd w:val="0"/>
              <w:spacing w:before="20"/>
              <w:jc w:val="right"/>
              <w:rPr>
                <w:color w:val="000000"/>
                <w:sz w:val="16"/>
                <w:szCs w:val="16"/>
              </w:rPr>
            </w:pPr>
          </w:p>
        </w:tc>
        <w:tc>
          <w:tcPr>
            <w:tcW w:w="383" w:type="dxa"/>
            <w:vAlign w:val="center"/>
          </w:tcPr>
          <w:p w:rsidR="00205652" w:rsidRPr="000B3B9A" w:rsidRDefault="00205652" w:rsidP="009F52BC">
            <w:pPr>
              <w:adjustRightInd w:val="0"/>
              <w:spacing w:before="20"/>
              <w:jc w:val="right"/>
              <w:rPr>
                <w:color w:val="000000"/>
                <w:sz w:val="16"/>
                <w:szCs w:val="16"/>
              </w:rPr>
            </w:pPr>
          </w:p>
        </w:tc>
        <w:tc>
          <w:tcPr>
            <w:tcW w:w="747" w:type="dxa"/>
            <w:shd w:val="clear" w:color="auto" w:fill="D9D9D9" w:themeFill="background1" w:themeFillShade="D9"/>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0.001</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rFonts w:eastAsiaTheme="minorEastAsia"/>
                <w:b/>
                <w:sz w:val="16"/>
                <w:szCs w:val="16"/>
                <w:lang w:eastAsia="en-US"/>
              </w:rPr>
              <w:t>Typical monthly gambling expenditure</w:t>
            </w:r>
          </w:p>
        </w:tc>
        <w:tc>
          <w:tcPr>
            <w:tcW w:w="1113" w:type="dxa"/>
            <w:vAlign w:val="center"/>
          </w:tcPr>
          <w:p w:rsidR="00205652" w:rsidRPr="000B3B9A" w:rsidRDefault="00205652" w:rsidP="00E9638E">
            <w:pPr>
              <w:adjustRightInd w:val="0"/>
              <w:spacing w:before="20"/>
              <w:jc w:val="right"/>
              <w:rPr>
                <w:color w:val="000000"/>
                <w:sz w:val="16"/>
                <w:szCs w:val="16"/>
              </w:rPr>
            </w:pPr>
          </w:p>
        </w:tc>
        <w:tc>
          <w:tcPr>
            <w:tcW w:w="976" w:type="dxa"/>
            <w:vAlign w:val="center"/>
          </w:tcPr>
          <w:p w:rsidR="00205652" w:rsidRPr="000B3B9A" w:rsidRDefault="00205652" w:rsidP="00E9638E">
            <w:pPr>
              <w:adjustRightInd w:val="0"/>
              <w:spacing w:before="20"/>
              <w:jc w:val="right"/>
              <w:rPr>
                <w:color w:val="000000"/>
                <w:sz w:val="16"/>
                <w:szCs w:val="16"/>
              </w:rPr>
            </w:pPr>
          </w:p>
        </w:tc>
        <w:tc>
          <w:tcPr>
            <w:tcW w:w="835" w:type="dxa"/>
            <w:vAlign w:val="center"/>
          </w:tcPr>
          <w:p w:rsidR="00205652" w:rsidRPr="000B3B9A" w:rsidRDefault="00205652" w:rsidP="00E9638E">
            <w:pPr>
              <w:adjustRightInd w:val="0"/>
              <w:spacing w:before="20"/>
              <w:jc w:val="right"/>
              <w:rPr>
                <w:color w:val="000000"/>
                <w:sz w:val="16"/>
                <w:szCs w:val="16"/>
              </w:rPr>
            </w:pPr>
          </w:p>
        </w:tc>
        <w:tc>
          <w:tcPr>
            <w:tcW w:w="383" w:type="dxa"/>
            <w:vAlign w:val="center"/>
          </w:tcPr>
          <w:p w:rsidR="00205652" w:rsidRPr="000B3B9A" w:rsidRDefault="00205652" w:rsidP="00E9638E">
            <w:pPr>
              <w:adjustRightInd w:val="0"/>
              <w:spacing w:before="20"/>
              <w:jc w:val="right"/>
              <w:rPr>
                <w:color w:val="000000"/>
                <w:sz w:val="16"/>
                <w:szCs w:val="16"/>
              </w:rPr>
            </w:pPr>
          </w:p>
        </w:tc>
        <w:tc>
          <w:tcPr>
            <w:tcW w:w="747" w:type="dxa"/>
            <w:vAlign w:val="center"/>
          </w:tcPr>
          <w:p w:rsidR="00205652" w:rsidRPr="000B3B9A" w:rsidRDefault="00205652" w:rsidP="00E9638E">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$1 - $10</w:t>
            </w:r>
          </w:p>
        </w:tc>
        <w:tc>
          <w:tcPr>
            <w:tcW w:w="1113" w:type="dxa"/>
            <w:vAlign w:val="center"/>
          </w:tcPr>
          <w:p w:rsidR="00205652" w:rsidRPr="000B3B9A" w:rsidRDefault="00205652" w:rsidP="009F52BC">
            <w:pPr>
              <w:adjustRightInd w:val="0"/>
              <w:spacing w:before="20"/>
              <w:jc w:val="right"/>
              <w:rPr>
                <w:color w:val="000000"/>
                <w:sz w:val="16"/>
                <w:szCs w:val="16"/>
              </w:rPr>
            </w:pPr>
            <w:r w:rsidRPr="000B3B9A">
              <w:rPr>
                <w:color w:val="000000"/>
                <w:sz w:val="16"/>
                <w:szCs w:val="16"/>
              </w:rPr>
              <w:t>31.2</w:t>
            </w:r>
          </w:p>
        </w:tc>
        <w:tc>
          <w:tcPr>
            <w:tcW w:w="976" w:type="dxa"/>
            <w:vAlign w:val="center"/>
          </w:tcPr>
          <w:p w:rsidR="00205652" w:rsidRPr="000B3B9A" w:rsidRDefault="00D5332D" w:rsidP="009F52BC">
            <w:pPr>
              <w:adjustRightInd w:val="0"/>
              <w:spacing w:before="20"/>
              <w:jc w:val="right"/>
              <w:rPr>
                <w:color w:val="000000"/>
                <w:sz w:val="16"/>
                <w:szCs w:val="16"/>
              </w:rPr>
            </w:pPr>
            <w:r>
              <w:rPr>
                <w:color w:val="000000"/>
                <w:sz w:val="16"/>
                <w:szCs w:val="16"/>
              </w:rPr>
              <w:t>1.00</w:t>
            </w:r>
          </w:p>
        </w:tc>
        <w:tc>
          <w:tcPr>
            <w:tcW w:w="835" w:type="dxa"/>
            <w:vAlign w:val="center"/>
          </w:tcPr>
          <w:p w:rsidR="00205652" w:rsidRPr="000B3B9A" w:rsidRDefault="00205652" w:rsidP="009F52BC">
            <w:pPr>
              <w:adjustRightInd w:val="0"/>
              <w:spacing w:before="20"/>
              <w:jc w:val="right"/>
              <w:rPr>
                <w:color w:val="000000"/>
                <w:sz w:val="16"/>
                <w:szCs w:val="16"/>
              </w:rPr>
            </w:pPr>
          </w:p>
        </w:tc>
        <w:tc>
          <w:tcPr>
            <w:tcW w:w="383" w:type="dxa"/>
            <w:vAlign w:val="center"/>
          </w:tcPr>
          <w:p w:rsidR="00205652" w:rsidRPr="000B3B9A" w:rsidRDefault="00205652" w:rsidP="009F52BC">
            <w:pPr>
              <w:adjustRightInd w:val="0"/>
              <w:spacing w:before="20"/>
              <w:jc w:val="right"/>
              <w:rPr>
                <w:color w:val="000000"/>
                <w:sz w:val="16"/>
                <w:szCs w:val="16"/>
              </w:rPr>
            </w:pPr>
          </w:p>
        </w:tc>
        <w:tc>
          <w:tcPr>
            <w:tcW w:w="747" w:type="dxa"/>
            <w:vAlign w:val="center"/>
          </w:tcPr>
          <w:p w:rsidR="00205652" w:rsidRPr="000B3B9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$11 - $20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21.9</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0.62</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0.08</w:t>
            </w:r>
            <w:r>
              <w:rPr>
                <w:color w:val="000000"/>
                <w:sz w:val="16"/>
                <w:szCs w:val="16"/>
              </w:rPr>
              <w:t xml:space="preserve"> - </w:t>
            </w:r>
            <w:r w:rsidRPr="000B3B9A">
              <w:rPr>
                <w:color w:val="000000"/>
                <w:sz w:val="16"/>
                <w:szCs w:val="16"/>
              </w:rPr>
              <w:t>4.75</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$21 - $30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21.0</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0.58</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0.10</w:t>
            </w:r>
            <w:r>
              <w:rPr>
                <w:color w:val="000000"/>
                <w:sz w:val="16"/>
                <w:szCs w:val="16"/>
              </w:rPr>
              <w:t xml:space="preserve"> - </w:t>
            </w:r>
            <w:r w:rsidRPr="000B3B9A">
              <w:rPr>
                <w:color w:val="000000"/>
                <w:sz w:val="16"/>
                <w:szCs w:val="16"/>
              </w:rPr>
              <w:t>3.55</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$31 - $50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28.8</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0.89</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0.12</w:t>
            </w:r>
            <w:r>
              <w:rPr>
                <w:color w:val="000000"/>
                <w:sz w:val="16"/>
                <w:szCs w:val="16"/>
              </w:rPr>
              <w:t xml:space="preserve"> - </w:t>
            </w:r>
            <w:r w:rsidRPr="000B3B9A">
              <w:rPr>
                <w:color w:val="000000"/>
                <w:sz w:val="16"/>
                <w:szCs w:val="16"/>
              </w:rPr>
              <w:t>6.87</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$51 - $100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47.1</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1.96</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0.38</w:t>
            </w:r>
            <w:r>
              <w:rPr>
                <w:color w:val="000000"/>
                <w:sz w:val="16"/>
                <w:szCs w:val="16"/>
              </w:rPr>
              <w:t xml:space="preserve"> - </w:t>
            </w:r>
            <w:r w:rsidRPr="000B3B9A">
              <w:rPr>
                <w:color w:val="000000"/>
                <w:sz w:val="16"/>
                <w:szCs w:val="16"/>
              </w:rPr>
              <w:t>9.98</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$101 - $500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58.5</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3.10</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0.68</w:t>
            </w:r>
            <w:r>
              <w:rPr>
                <w:color w:val="000000"/>
                <w:sz w:val="16"/>
                <w:szCs w:val="16"/>
              </w:rPr>
              <w:t xml:space="preserve"> - </w:t>
            </w:r>
            <w:r w:rsidRPr="000B3B9A">
              <w:rPr>
                <w:color w:val="000000"/>
                <w:sz w:val="16"/>
                <w:szCs w:val="16"/>
              </w:rPr>
              <w:t>14.07</w:t>
            </w:r>
            <w:r>
              <w:rPr>
                <w:color w:val="000000"/>
                <w:sz w:val="16"/>
                <w:szCs w:val="16"/>
              </w:rPr>
              <w:t>)</w:t>
            </w:r>
          </w:p>
        </w:tc>
        <w:tc>
          <w:tcPr>
            <w:tcW w:w="747" w:type="dxa"/>
            <w:vAlign w:val="center"/>
          </w:tcPr>
          <w:p w:rsidR="009F52BC" w:rsidRPr="000B3B9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&gt;$500</w:t>
            </w:r>
          </w:p>
        </w:tc>
        <w:tc>
          <w:tcPr>
            <w:tcW w:w="1113"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75.7</w:t>
            </w:r>
          </w:p>
        </w:tc>
        <w:tc>
          <w:tcPr>
            <w:tcW w:w="976" w:type="dxa"/>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6.85</w:t>
            </w:r>
          </w:p>
        </w:tc>
        <w:tc>
          <w:tcPr>
            <w:tcW w:w="1218" w:type="dxa"/>
            <w:gridSpan w:val="2"/>
            <w:vAlign w:val="center"/>
          </w:tcPr>
          <w:p w:rsidR="009F52BC" w:rsidRPr="000B3B9A" w:rsidRDefault="009F52BC" w:rsidP="009F52BC">
            <w:pPr>
              <w:adjustRightInd w:val="0"/>
              <w:spacing w:before="20"/>
              <w:jc w:val="right"/>
              <w:rPr>
                <w:color w:val="000000"/>
                <w:sz w:val="16"/>
                <w:szCs w:val="16"/>
              </w:rPr>
            </w:pPr>
            <w:r>
              <w:rPr>
                <w:color w:val="000000"/>
                <w:sz w:val="16"/>
                <w:szCs w:val="16"/>
              </w:rPr>
              <w:t>(</w:t>
            </w:r>
            <w:r w:rsidRPr="000B3B9A">
              <w:rPr>
                <w:color w:val="000000"/>
                <w:sz w:val="16"/>
                <w:szCs w:val="16"/>
              </w:rPr>
              <w:t>1.19</w:t>
            </w:r>
            <w:r>
              <w:rPr>
                <w:color w:val="000000"/>
                <w:sz w:val="16"/>
                <w:szCs w:val="16"/>
              </w:rPr>
              <w:t xml:space="preserve"> - </w:t>
            </w:r>
            <w:r w:rsidRPr="000B3B9A">
              <w:rPr>
                <w:color w:val="000000"/>
                <w:sz w:val="16"/>
                <w:szCs w:val="16"/>
              </w:rPr>
              <w:t>39.47</w:t>
            </w:r>
            <w:r>
              <w:rPr>
                <w:color w:val="000000"/>
                <w:sz w:val="16"/>
                <w:szCs w:val="16"/>
              </w:rPr>
              <w:t>)</w:t>
            </w:r>
          </w:p>
        </w:tc>
        <w:tc>
          <w:tcPr>
            <w:tcW w:w="747" w:type="dxa"/>
            <w:shd w:val="clear" w:color="auto" w:fill="D9D9D9" w:themeFill="background1" w:themeFillShade="D9"/>
            <w:vAlign w:val="center"/>
          </w:tcPr>
          <w:p w:rsidR="009F52BC" w:rsidRPr="000B3B9A" w:rsidRDefault="009F52BC" w:rsidP="009F52BC">
            <w:pPr>
              <w:adjustRightInd w:val="0"/>
              <w:spacing w:before="20"/>
              <w:jc w:val="right"/>
              <w:rPr>
                <w:color w:val="000000"/>
                <w:sz w:val="16"/>
                <w:szCs w:val="16"/>
              </w:rPr>
            </w:pPr>
            <w:r w:rsidRPr="000B3B9A">
              <w:rPr>
                <w:color w:val="000000"/>
                <w:sz w:val="16"/>
                <w:szCs w:val="16"/>
              </w:rPr>
              <w:t>0.006</w:t>
            </w:r>
          </w:p>
        </w:tc>
      </w:tr>
      <w:tr w:rsidR="00205652" w:rsidRPr="009B1415" w:rsidTr="00E05935">
        <w:tc>
          <w:tcPr>
            <w:tcW w:w="4252" w:type="dxa"/>
            <w:vAlign w:val="bottom"/>
          </w:tcPr>
          <w:p w:rsidR="00205652" w:rsidRPr="009B1415" w:rsidRDefault="00205652" w:rsidP="00985F5E">
            <w:pPr>
              <w:spacing w:before="20"/>
              <w:rPr>
                <w:b/>
                <w:sz w:val="16"/>
                <w:szCs w:val="16"/>
              </w:rPr>
            </w:pPr>
            <w:r w:rsidRPr="009B1415">
              <w:rPr>
                <w:b/>
                <w:sz w:val="16"/>
                <w:szCs w:val="16"/>
              </w:rPr>
              <w:t>Housie or bingo - annual</w:t>
            </w:r>
          </w:p>
        </w:tc>
        <w:tc>
          <w:tcPr>
            <w:tcW w:w="1113" w:type="dxa"/>
            <w:vAlign w:val="center"/>
          </w:tcPr>
          <w:p w:rsidR="00205652" w:rsidRPr="00E0139F" w:rsidRDefault="00205652" w:rsidP="00985F5E">
            <w:pPr>
              <w:adjustRightInd w:val="0"/>
              <w:spacing w:before="20"/>
              <w:jc w:val="right"/>
              <w:rPr>
                <w:color w:val="000000"/>
                <w:sz w:val="16"/>
                <w:szCs w:val="16"/>
              </w:rPr>
            </w:pPr>
          </w:p>
        </w:tc>
        <w:tc>
          <w:tcPr>
            <w:tcW w:w="976" w:type="dxa"/>
            <w:vAlign w:val="center"/>
          </w:tcPr>
          <w:p w:rsidR="00205652" w:rsidRPr="00E0139F" w:rsidRDefault="00205652" w:rsidP="00985F5E">
            <w:pPr>
              <w:adjustRightInd w:val="0"/>
              <w:spacing w:before="20"/>
              <w:jc w:val="right"/>
              <w:rPr>
                <w:color w:val="000000"/>
                <w:sz w:val="16"/>
                <w:szCs w:val="16"/>
              </w:rPr>
            </w:pPr>
          </w:p>
        </w:tc>
        <w:tc>
          <w:tcPr>
            <w:tcW w:w="835" w:type="dxa"/>
            <w:vAlign w:val="center"/>
          </w:tcPr>
          <w:p w:rsidR="00205652" w:rsidRPr="00E0139F" w:rsidRDefault="00205652" w:rsidP="00985F5E">
            <w:pPr>
              <w:adjustRightInd w:val="0"/>
              <w:spacing w:before="20"/>
              <w:jc w:val="right"/>
              <w:rPr>
                <w:color w:val="000000"/>
                <w:sz w:val="16"/>
                <w:szCs w:val="16"/>
              </w:rPr>
            </w:pPr>
          </w:p>
        </w:tc>
        <w:tc>
          <w:tcPr>
            <w:tcW w:w="383" w:type="dxa"/>
            <w:vAlign w:val="center"/>
          </w:tcPr>
          <w:p w:rsidR="00205652" w:rsidRPr="00E0139F" w:rsidRDefault="00205652" w:rsidP="00985F5E">
            <w:pPr>
              <w:adjustRightInd w:val="0"/>
              <w:spacing w:before="20"/>
              <w:jc w:val="right"/>
              <w:rPr>
                <w:color w:val="000000"/>
                <w:sz w:val="16"/>
                <w:szCs w:val="16"/>
              </w:rPr>
            </w:pPr>
          </w:p>
        </w:tc>
        <w:tc>
          <w:tcPr>
            <w:tcW w:w="747" w:type="dxa"/>
            <w:vAlign w:val="center"/>
          </w:tcPr>
          <w:p w:rsidR="00205652" w:rsidRPr="00E0139F" w:rsidRDefault="00205652" w:rsidP="00985F5E">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985F5E">
            <w:pPr>
              <w:spacing w:before="20"/>
              <w:ind w:left="176"/>
              <w:rPr>
                <w:sz w:val="16"/>
                <w:szCs w:val="16"/>
              </w:rPr>
            </w:pPr>
            <w:r w:rsidRPr="009B1415">
              <w:rPr>
                <w:sz w:val="16"/>
                <w:szCs w:val="16"/>
              </w:rPr>
              <w:t>No</w:t>
            </w:r>
          </w:p>
        </w:tc>
        <w:tc>
          <w:tcPr>
            <w:tcW w:w="1113" w:type="dxa"/>
            <w:vAlign w:val="center"/>
          </w:tcPr>
          <w:p w:rsidR="00205652" w:rsidRPr="00E0139F" w:rsidRDefault="00205652" w:rsidP="00985F5E">
            <w:pPr>
              <w:adjustRightInd w:val="0"/>
              <w:spacing w:before="20"/>
              <w:jc w:val="right"/>
              <w:rPr>
                <w:color w:val="000000"/>
                <w:sz w:val="16"/>
                <w:szCs w:val="16"/>
              </w:rPr>
            </w:pPr>
            <w:r w:rsidRPr="00E0139F">
              <w:rPr>
                <w:color w:val="000000"/>
                <w:sz w:val="16"/>
                <w:szCs w:val="16"/>
              </w:rPr>
              <w:t>46.1</w:t>
            </w:r>
          </w:p>
        </w:tc>
        <w:tc>
          <w:tcPr>
            <w:tcW w:w="976" w:type="dxa"/>
            <w:vAlign w:val="center"/>
          </w:tcPr>
          <w:p w:rsidR="00205652" w:rsidRPr="00E0139F" w:rsidRDefault="00205652" w:rsidP="00985F5E">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85F5E">
            <w:pPr>
              <w:adjustRightInd w:val="0"/>
              <w:spacing w:before="20"/>
              <w:jc w:val="right"/>
              <w:rPr>
                <w:color w:val="000000"/>
                <w:sz w:val="16"/>
                <w:szCs w:val="16"/>
              </w:rPr>
            </w:pPr>
          </w:p>
        </w:tc>
        <w:tc>
          <w:tcPr>
            <w:tcW w:w="383" w:type="dxa"/>
            <w:vAlign w:val="center"/>
          </w:tcPr>
          <w:p w:rsidR="00205652" w:rsidRPr="00E0139F" w:rsidRDefault="00205652" w:rsidP="00985F5E">
            <w:pPr>
              <w:adjustRightInd w:val="0"/>
              <w:spacing w:before="20"/>
              <w:jc w:val="right"/>
              <w:rPr>
                <w:color w:val="000000"/>
                <w:sz w:val="16"/>
                <w:szCs w:val="16"/>
              </w:rPr>
            </w:pPr>
          </w:p>
        </w:tc>
        <w:tc>
          <w:tcPr>
            <w:tcW w:w="747" w:type="dxa"/>
            <w:vAlign w:val="center"/>
          </w:tcPr>
          <w:p w:rsidR="00205652" w:rsidRPr="00E0139F" w:rsidRDefault="00205652" w:rsidP="00985F5E">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985F5E">
            <w:pPr>
              <w:spacing w:before="20"/>
              <w:ind w:left="176"/>
              <w:rPr>
                <w:sz w:val="16"/>
                <w:szCs w:val="16"/>
              </w:rPr>
            </w:pPr>
            <w:r w:rsidRPr="009B1415">
              <w:rPr>
                <w:sz w:val="16"/>
                <w:szCs w:val="16"/>
              </w:rPr>
              <w:t>Yes</w:t>
            </w:r>
          </w:p>
        </w:tc>
        <w:tc>
          <w:tcPr>
            <w:tcW w:w="1113" w:type="dxa"/>
            <w:vAlign w:val="center"/>
          </w:tcPr>
          <w:p w:rsidR="009F52BC" w:rsidRPr="00E0139F" w:rsidRDefault="009F52BC" w:rsidP="00985F5E">
            <w:pPr>
              <w:adjustRightInd w:val="0"/>
              <w:spacing w:before="20"/>
              <w:jc w:val="right"/>
              <w:rPr>
                <w:color w:val="000000"/>
                <w:sz w:val="16"/>
                <w:szCs w:val="16"/>
              </w:rPr>
            </w:pPr>
            <w:r w:rsidRPr="00E0139F">
              <w:rPr>
                <w:color w:val="000000"/>
                <w:sz w:val="16"/>
                <w:szCs w:val="16"/>
              </w:rPr>
              <w:t>79.6</w:t>
            </w:r>
          </w:p>
        </w:tc>
        <w:tc>
          <w:tcPr>
            <w:tcW w:w="976" w:type="dxa"/>
            <w:vAlign w:val="center"/>
          </w:tcPr>
          <w:p w:rsidR="009F52BC" w:rsidRPr="00E0139F" w:rsidRDefault="009F52BC" w:rsidP="00985F5E">
            <w:pPr>
              <w:adjustRightInd w:val="0"/>
              <w:spacing w:before="20"/>
              <w:jc w:val="right"/>
              <w:rPr>
                <w:color w:val="000000"/>
                <w:sz w:val="16"/>
                <w:szCs w:val="16"/>
              </w:rPr>
            </w:pPr>
            <w:r w:rsidRPr="00E0139F">
              <w:rPr>
                <w:color w:val="000000"/>
                <w:sz w:val="16"/>
                <w:szCs w:val="16"/>
              </w:rPr>
              <w:t>4.55</w:t>
            </w:r>
          </w:p>
        </w:tc>
        <w:tc>
          <w:tcPr>
            <w:tcW w:w="1218" w:type="dxa"/>
            <w:gridSpan w:val="2"/>
            <w:vAlign w:val="center"/>
          </w:tcPr>
          <w:p w:rsidR="009F52BC" w:rsidRPr="00E0139F" w:rsidRDefault="009F52BC" w:rsidP="00985F5E">
            <w:pPr>
              <w:adjustRightInd w:val="0"/>
              <w:spacing w:before="20"/>
              <w:jc w:val="right"/>
              <w:rPr>
                <w:color w:val="000000"/>
                <w:sz w:val="16"/>
                <w:szCs w:val="16"/>
              </w:rPr>
            </w:pPr>
            <w:r>
              <w:rPr>
                <w:color w:val="000000"/>
                <w:sz w:val="16"/>
                <w:szCs w:val="16"/>
              </w:rPr>
              <w:t>(</w:t>
            </w:r>
            <w:r w:rsidRPr="00E0139F">
              <w:rPr>
                <w:color w:val="000000"/>
                <w:sz w:val="16"/>
                <w:szCs w:val="16"/>
              </w:rPr>
              <w:t>1.50</w:t>
            </w:r>
            <w:r>
              <w:rPr>
                <w:color w:val="000000"/>
                <w:sz w:val="16"/>
                <w:szCs w:val="16"/>
              </w:rPr>
              <w:t xml:space="preserve"> - </w:t>
            </w:r>
            <w:r w:rsidRPr="00E0139F">
              <w:rPr>
                <w:color w:val="000000"/>
                <w:sz w:val="16"/>
                <w:szCs w:val="16"/>
              </w:rPr>
              <w:t>13.77</w:t>
            </w:r>
            <w:r>
              <w:rPr>
                <w:color w:val="000000"/>
                <w:sz w:val="16"/>
                <w:szCs w:val="16"/>
              </w:rPr>
              <w:t>)</w:t>
            </w:r>
          </w:p>
        </w:tc>
        <w:tc>
          <w:tcPr>
            <w:tcW w:w="747" w:type="dxa"/>
            <w:shd w:val="clear" w:color="auto" w:fill="D9D9D9" w:themeFill="background1" w:themeFillShade="D9"/>
            <w:vAlign w:val="center"/>
          </w:tcPr>
          <w:p w:rsidR="009F52BC" w:rsidRPr="00E0139F" w:rsidRDefault="009F52BC" w:rsidP="00985F5E">
            <w:pPr>
              <w:adjustRightInd w:val="0"/>
              <w:spacing w:before="20"/>
              <w:jc w:val="right"/>
              <w:rPr>
                <w:color w:val="000000"/>
                <w:sz w:val="16"/>
                <w:szCs w:val="16"/>
              </w:rPr>
            </w:pPr>
            <w:r w:rsidRPr="00E0139F">
              <w:rPr>
                <w:color w:val="000000"/>
                <w:sz w:val="16"/>
                <w:szCs w:val="16"/>
              </w:rPr>
              <w:t>0.01</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Club EGM - annual</w:t>
            </w:r>
          </w:p>
        </w:tc>
        <w:tc>
          <w:tcPr>
            <w:tcW w:w="1113" w:type="dxa"/>
            <w:vAlign w:val="center"/>
          </w:tcPr>
          <w:p w:rsidR="00205652" w:rsidRPr="00E0139F" w:rsidRDefault="00205652" w:rsidP="009F52BC">
            <w:pPr>
              <w:adjustRightInd w:val="0"/>
              <w:spacing w:before="20"/>
              <w:jc w:val="right"/>
              <w:rPr>
                <w:color w:val="000000"/>
                <w:sz w:val="16"/>
                <w:szCs w:val="16"/>
              </w:rPr>
            </w:pPr>
          </w:p>
        </w:tc>
        <w:tc>
          <w:tcPr>
            <w:tcW w:w="976" w:type="dxa"/>
            <w:vAlign w:val="center"/>
          </w:tcPr>
          <w:p w:rsidR="00205652" w:rsidRPr="00E0139F" w:rsidRDefault="00205652" w:rsidP="009F52BC">
            <w:pPr>
              <w:adjustRightInd w:val="0"/>
              <w:spacing w:before="20"/>
              <w:jc w:val="right"/>
              <w:rPr>
                <w:color w:val="000000"/>
                <w:sz w:val="16"/>
                <w:szCs w:val="16"/>
              </w:rPr>
            </w:pP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42.6</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r>
              <w:rPr>
                <w:color w:val="000000"/>
                <w:sz w:val="16"/>
                <w:szCs w:val="16"/>
              </w:rPr>
              <w:t xml:space="preserve"> </w:t>
            </w: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79.0</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5.07</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2.00</w:t>
            </w:r>
            <w:r>
              <w:rPr>
                <w:color w:val="000000"/>
                <w:sz w:val="16"/>
                <w:szCs w:val="16"/>
              </w:rPr>
              <w:t xml:space="preserve"> - </w:t>
            </w:r>
            <w:r w:rsidRPr="00E0139F">
              <w:rPr>
                <w:color w:val="000000"/>
                <w:sz w:val="16"/>
                <w:szCs w:val="16"/>
              </w:rPr>
              <w:t>12.83</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0.00</w:t>
            </w:r>
            <w:r w:rsidR="00FC2692">
              <w:rPr>
                <w:color w:val="000000"/>
                <w:sz w:val="16"/>
                <w:szCs w:val="16"/>
              </w:rPr>
              <w:t>06</w:t>
            </w:r>
          </w:p>
        </w:tc>
      </w:tr>
      <w:tr w:rsidR="00205652" w:rsidRPr="009B1415" w:rsidTr="00E05935">
        <w:tc>
          <w:tcPr>
            <w:tcW w:w="4252" w:type="dxa"/>
            <w:vAlign w:val="bottom"/>
          </w:tcPr>
          <w:p w:rsidR="00205652" w:rsidRPr="009B1415" w:rsidRDefault="009E5A0A" w:rsidP="00E9638E">
            <w:pPr>
              <w:spacing w:before="20"/>
              <w:rPr>
                <w:b/>
                <w:sz w:val="16"/>
                <w:szCs w:val="16"/>
              </w:rPr>
            </w:pPr>
            <w:r>
              <w:rPr>
                <w:b/>
                <w:sz w:val="16"/>
                <w:szCs w:val="16"/>
              </w:rPr>
              <w:t xml:space="preserve">Non-casino </w:t>
            </w:r>
            <w:r w:rsidR="00205652" w:rsidRPr="009B1415">
              <w:rPr>
                <w:b/>
                <w:sz w:val="16"/>
                <w:szCs w:val="16"/>
              </w:rPr>
              <w:t>EGMs overall - annual</w:t>
            </w:r>
          </w:p>
        </w:tc>
        <w:tc>
          <w:tcPr>
            <w:tcW w:w="1113" w:type="dxa"/>
            <w:vAlign w:val="center"/>
          </w:tcPr>
          <w:p w:rsidR="00205652" w:rsidRPr="00DC2775" w:rsidRDefault="00205652" w:rsidP="009F52BC">
            <w:pPr>
              <w:adjustRightInd w:val="0"/>
              <w:spacing w:before="20"/>
              <w:jc w:val="right"/>
              <w:rPr>
                <w:color w:val="000000"/>
                <w:sz w:val="16"/>
                <w:szCs w:val="16"/>
              </w:rPr>
            </w:pPr>
          </w:p>
        </w:tc>
        <w:tc>
          <w:tcPr>
            <w:tcW w:w="976" w:type="dxa"/>
            <w:vAlign w:val="center"/>
          </w:tcPr>
          <w:p w:rsidR="00205652" w:rsidRPr="00DC2775" w:rsidRDefault="00205652" w:rsidP="009F52BC">
            <w:pPr>
              <w:adjustRightInd w:val="0"/>
              <w:spacing w:before="20"/>
              <w:jc w:val="right"/>
              <w:rPr>
                <w:color w:val="000000"/>
                <w:sz w:val="16"/>
                <w:szCs w:val="16"/>
              </w:rPr>
            </w:pPr>
          </w:p>
        </w:tc>
        <w:tc>
          <w:tcPr>
            <w:tcW w:w="835" w:type="dxa"/>
            <w:vAlign w:val="center"/>
          </w:tcPr>
          <w:p w:rsidR="00205652" w:rsidRPr="00DC2775" w:rsidRDefault="00205652" w:rsidP="009F52BC">
            <w:pPr>
              <w:adjustRightInd w:val="0"/>
              <w:spacing w:before="20"/>
              <w:jc w:val="right"/>
              <w:rPr>
                <w:color w:val="000000"/>
                <w:sz w:val="16"/>
                <w:szCs w:val="16"/>
              </w:rPr>
            </w:pPr>
          </w:p>
        </w:tc>
        <w:tc>
          <w:tcPr>
            <w:tcW w:w="383" w:type="dxa"/>
            <w:vAlign w:val="center"/>
          </w:tcPr>
          <w:p w:rsidR="00205652" w:rsidRPr="00DC2775"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DC2775"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41.7</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73.9</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3.96</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1.83</w:t>
            </w:r>
            <w:r>
              <w:rPr>
                <w:color w:val="000000"/>
                <w:sz w:val="16"/>
                <w:szCs w:val="16"/>
              </w:rPr>
              <w:t xml:space="preserve"> - </w:t>
            </w:r>
            <w:r w:rsidRPr="00E0139F">
              <w:rPr>
                <w:color w:val="000000"/>
                <w:sz w:val="16"/>
                <w:szCs w:val="16"/>
              </w:rPr>
              <w:t>8.58</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0.00</w:t>
            </w:r>
            <w:r w:rsidR="00FC2692">
              <w:rPr>
                <w:color w:val="000000"/>
                <w:sz w:val="16"/>
                <w:szCs w:val="16"/>
              </w:rPr>
              <w:t>05</w:t>
            </w:r>
          </w:p>
        </w:tc>
      </w:tr>
      <w:tr w:rsidR="00395C12" w:rsidRPr="009B1415" w:rsidTr="00E0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2" w:type="dxa"/>
            <w:tcBorders>
              <w:top w:val="nil"/>
              <w:left w:val="nil"/>
              <w:bottom w:val="nil"/>
              <w:right w:val="nil"/>
            </w:tcBorders>
          </w:tcPr>
          <w:p w:rsidR="00395C12" w:rsidRPr="009B1415" w:rsidRDefault="00395C12" w:rsidP="00E9638E">
            <w:pPr>
              <w:spacing w:before="20"/>
              <w:rPr>
                <w:b/>
                <w:sz w:val="16"/>
                <w:szCs w:val="16"/>
              </w:rPr>
            </w:pPr>
            <w:r w:rsidRPr="009B1415">
              <w:rPr>
                <w:b/>
                <w:sz w:val="16"/>
                <w:szCs w:val="16"/>
              </w:rPr>
              <w:t>Card games - monthly</w:t>
            </w:r>
          </w:p>
        </w:tc>
        <w:tc>
          <w:tcPr>
            <w:tcW w:w="1113"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976"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835"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383"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747"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r>
      <w:tr w:rsidR="00395C12" w:rsidRPr="009B1415" w:rsidTr="00E0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2" w:type="dxa"/>
            <w:tcBorders>
              <w:top w:val="nil"/>
              <w:left w:val="nil"/>
              <w:bottom w:val="nil"/>
              <w:right w:val="nil"/>
            </w:tcBorders>
          </w:tcPr>
          <w:p w:rsidR="00395C12" w:rsidRPr="009B1415" w:rsidRDefault="00395C12" w:rsidP="00E9638E">
            <w:pPr>
              <w:spacing w:before="20"/>
              <w:ind w:left="176"/>
              <w:rPr>
                <w:sz w:val="16"/>
                <w:szCs w:val="16"/>
              </w:rPr>
            </w:pPr>
            <w:r w:rsidRPr="009B1415">
              <w:rPr>
                <w:sz w:val="16"/>
                <w:szCs w:val="16"/>
              </w:rPr>
              <w:t>No</w:t>
            </w:r>
          </w:p>
        </w:tc>
        <w:tc>
          <w:tcPr>
            <w:tcW w:w="1113"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r w:rsidRPr="00395C12">
              <w:rPr>
                <w:color w:val="000000"/>
                <w:sz w:val="16"/>
                <w:szCs w:val="16"/>
              </w:rPr>
              <w:t>46.5</w:t>
            </w:r>
          </w:p>
        </w:tc>
        <w:tc>
          <w:tcPr>
            <w:tcW w:w="976"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r w:rsidRPr="00395C12">
              <w:rPr>
                <w:color w:val="000000"/>
                <w:sz w:val="16"/>
                <w:szCs w:val="16"/>
              </w:rPr>
              <w:t>1.00</w:t>
            </w:r>
          </w:p>
        </w:tc>
        <w:tc>
          <w:tcPr>
            <w:tcW w:w="835"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383"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c>
          <w:tcPr>
            <w:tcW w:w="747" w:type="dxa"/>
            <w:tcBorders>
              <w:top w:val="nil"/>
              <w:left w:val="nil"/>
              <w:bottom w:val="nil"/>
              <w:right w:val="nil"/>
            </w:tcBorders>
            <w:vAlign w:val="center"/>
          </w:tcPr>
          <w:p w:rsidR="00395C12" w:rsidRPr="00395C12" w:rsidRDefault="00395C12" w:rsidP="009F52BC">
            <w:pPr>
              <w:adjustRightInd w:val="0"/>
              <w:spacing w:before="20"/>
              <w:jc w:val="right"/>
              <w:rPr>
                <w:color w:val="000000"/>
                <w:sz w:val="16"/>
                <w:szCs w:val="16"/>
              </w:rPr>
            </w:pPr>
          </w:p>
        </w:tc>
      </w:tr>
      <w:tr w:rsidR="009F52BC" w:rsidRPr="009B1415" w:rsidTr="00E059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52" w:type="dxa"/>
            <w:tcBorders>
              <w:top w:val="nil"/>
              <w:left w:val="nil"/>
              <w:bottom w:val="nil"/>
              <w:right w:val="nil"/>
            </w:tcBorders>
          </w:tcPr>
          <w:p w:rsidR="009F52BC" w:rsidRPr="009B1415" w:rsidRDefault="009F52BC" w:rsidP="00E9638E">
            <w:pPr>
              <w:spacing w:before="20"/>
              <w:ind w:left="176"/>
              <w:rPr>
                <w:sz w:val="16"/>
                <w:szCs w:val="16"/>
              </w:rPr>
            </w:pPr>
            <w:r w:rsidRPr="009B1415">
              <w:rPr>
                <w:sz w:val="16"/>
                <w:szCs w:val="16"/>
              </w:rPr>
              <w:t>Yes</w:t>
            </w:r>
          </w:p>
        </w:tc>
        <w:tc>
          <w:tcPr>
            <w:tcW w:w="1113" w:type="dxa"/>
            <w:tcBorders>
              <w:top w:val="nil"/>
              <w:left w:val="nil"/>
              <w:bottom w:val="nil"/>
              <w:right w:val="nil"/>
            </w:tcBorders>
            <w:vAlign w:val="center"/>
          </w:tcPr>
          <w:p w:rsidR="009F52BC" w:rsidRPr="00395C12" w:rsidRDefault="009F52BC" w:rsidP="009F52BC">
            <w:pPr>
              <w:adjustRightInd w:val="0"/>
              <w:spacing w:before="20"/>
              <w:jc w:val="right"/>
              <w:rPr>
                <w:color w:val="000000"/>
                <w:sz w:val="16"/>
                <w:szCs w:val="16"/>
              </w:rPr>
            </w:pPr>
            <w:r w:rsidRPr="00395C12">
              <w:rPr>
                <w:color w:val="000000"/>
                <w:sz w:val="16"/>
                <w:szCs w:val="16"/>
              </w:rPr>
              <w:t>78.9</w:t>
            </w:r>
          </w:p>
        </w:tc>
        <w:tc>
          <w:tcPr>
            <w:tcW w:w="976" w:type="dxa"/>
            <w:tcBorders>
              <w:top w:val="nil"/>
              <w:left w:val="nil"/>
              <w:bottom w:val="nil"/>
              <w:right w:val="nil"/>
            </w:tcBorders>
            <w:vAlign w:val="center"/>
          </w:tcPr>
          <w:p w:rsidR="009F52BC" w:rsidRPr="00395C12" w:rsidRDefault="009F52BC" w:rsidP="009F52BC">
            <w:pPr>
              <w:adjustRightInd w:val="0"/>
              <w:spacing w:before="20"/>
              <w:jc w:val="right"/>
              <w:rPr>
                <w:color w:val="000000"/>
                <w:sz w:val="16"/>
                <w:szCs w:val="16"/>
              </w:rPr>
            </w:pPr>
            <w:r w:rsidRPr="00395C12">
              <w:rPr>
                <w:color w:val="000000"/>
                <w:sz w:val="16"/>
                <w:szCs w:val="16"/>
              </w:rPr>
              <w:t>4.30</w:t>
            </w:r>
          </w:p>
        </w:tc>
        <w:tc>
          <w:tcPr>
            <w:tcW w:w="1218" w:type="dxa"/>
            <w:gridSpan w:val="2"/>
            <w:tcBorders>
              <w:top w:val="nil"/>
              <w:left w:val="nil"/>
              <w:bottom w:val="nil"/>
              <w:right w:val="nil"/>
            </w:tcBorders>
            <w:vAlign w:val="center"/>
          </w:tcPr>
          <w:p w:rsidR="009F52BC" w:rsidRPr="00395C12" w:rsidRDefault="009F52BC" w:rsidP="009F52BC">
            <w:pPr>
              <w:adjustRightInd w:val="0"/>
              <w:spacing w:before="20"/>
              <w:jc w:val="right"/>
              <w:rPr>
                <w:color w:val="000000"/>
                <w:sz w:val="16"/>
                <w:szCs w:val="16"/>
              </w:rPr>
            </w:pPr>
            <w:r>
              <w:rPr>
                <w:color w:val="000000"/>
                <w:sz w:val="16"/>
                <w:szCs w:val="16"/>
              </w:rPr>
              <w:t>(</w:t>
            </w:r>
            <w:r w:rsidRPr="00395C12">
              <w:rPr>
                <w:color w:val="000000"/>
                <w:sz w:val="16"/>
                <w:szCs w:val="16"/>
              </w:rPr>
              <w:t>1.29</w:t>
            </w:r>
            <w:r>
              <w:rPr>
                <w:color w:val="000000"/>
                <w:sz w:val="16"/>
                <w:szCs w:val="16"/>
              </w:rPr>
              <w:t xml:space="preserve"> - </w:t>
            </w:r>
            <w:r w:rsidRPr="00395C12">
              <w:rPr>
                <w:color w:val="000000"/>
                <w:sz w:val="16"/>
                <w:szCs w:val="16"/>
              </w:rPr>
              <w:t>14.37</w:t>
            </w:r>
            <w:r>
              <w:rPr>
                <w:color w:val="000000"/>
                <w:sz w:val="16"/>
                <w:szCs w:val="16"/>
              </w:rPr>
              <w:t>)</w:t>
            </w:r>
          </w:p>
        </w:tc>
        <w:tc>
          <w:tcPr>
            <w:tcW w:w="747" w:type="dxa"/>
            <w:tcBorders>
              <w:top w:val="nil"/>
              <w:left w:val="nil"/>
              <w:bottom w:val="nil"/>
              <w:right w:val="nil"/>
            </w:tcBorders>
            <w:shd w:val="clear" w:color="auto" w:fill="D9D9D9" w:themeFill="background1" w:themeFillShade="D9"/>
            <w:vAlign w:val="center"/>
          </w:tcPr>
          <w:p w:rsidR="009F52BC" w:rsidRPr="00395C12" w:rsidRDefault="009F52BC" w:rsidP="009F52BC">
            <w:pPr>
              <w:adjustRightInd w:val="0"/>
              <w:spacing w:before="20"/>
              <w:jc w:val="right"/>
              <w:rPr>
                <w:color w:val="000000"/>
                <w:sz w:val="16"/>
                <w:szCs w:val="16"/>
              </w:rPr>
            </w:pPr>
            <w:r w:rsidRPr="00395C12">
              <w:rPr>
                <w:color w:val="000000"/>
                <w:sz w:val="16"/>
                <w:szCs w:val="16"/>
              </w:rPr>
              <w:t>0.02</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Lotto - monthly</w:t>
            </w:r>
          </w:p>
        </w:tc>
        <w:tc>
          <w:tcPr>
            <w:tcW w:w="1113" w:type="dxa"/>
            <w:vAlign w:val="center"/>
          </w:tcPr>
          <w:p w:rsidR="00205652" w:rsidRPr="00CB35E8" w:rsidRDefault="00205652" w:rsidP="009F52BC">
            <w:pPr>
              <w:adjustRightInd w:val="0"/>
              <w:spacing w:before="20"/>
              <w:jc w:val="right"/>
              <w:rPr>
                <w:color w:val="000000"/>
                <w:sz w:val="16"/>
                <w:szCs w:val="16"/>
              </w:rPr>
            </w:pPr>
          </w:p>
        </w:tc>
        <w:tc>
          <w:tcPr>
            <w:tcW w:w="976" w:type="dxa"/>
            <w:vAlign w:val="center"/>
          </w:tcPr>
          <w:p w:rsidR="00205652" w:rsidRPr="00CB35E8" w:rsidRDefault="00205652" w:rsidP="009F52BC">
            <w:pPr>
              <w:adjustRightInd w:val="0"/>
              <w:spacing w:before="20"/>
              <w:jc w:val="right"/>
              <w:rPr>
                <w:color w:val="000000"/>
                <w:sz w:val="16"/>
                <w:szCs w:val="16"/>
              </w:rPr>
            </w:pPr>
          </w:p>
        </w:tc>
        <w:tc>
          <w:tcPr>
            <w:tcW w:w="835" w:type="dxa"/>
            <w:vAlign w:val="center"/>
          </w:tcPr>
          <w:p w:rsidR="00205652" w:rsidRPr="00CB35E8" w:rsidRDefault="00205652" w:rsidP="009F52BC">
            <w:pPr>
              <w:adjustRightInd w:val="0"/>
              <w:spacing w:before="20"/>
              <w:jc w:val="right"/>
              <w:rPr>
                <w:color w:val="000000"/>
                <w:sz w:val="16"/>
                <w:szCs w:val="16"/>
              </w:rPr>
            </w:pPr>
          </w:p>
        </w:tc>
        <w:tc>
          <w:tcPr>
            <w:tcW w:w="383" w:type="dxa"/>
            <w:vAlign w:val="center"/>
          </w:tcPr>
          <w:p w:rsidR="00205652" w:rsidRPr="00CB35E8" w:rsidRDefault="00205652" w:rsidP="009F52BC">
            <w:pPr>
              <w:adjustRightInd w:val="0"/>
              <w:spacing w:before="20"/>
              <w:jc w:val="right"/>
              <w:rPr>
                <w:color w:val="000000"/>
                <w:sz w:val="16"/>
                <w:szCs w:val="16"/>
              </w:rPr>
            </w:pPr>
          </w:p>
        </w:tc>
        <w:tc>
          <w:tcPr>
            <w:tcW w:w="747" w:type="dxa"/>
            <w:vAlign w:val="center"/>
          </w:tcPr>
          <w:p w:rsidR="00205652" w:rsidRPr="00CB35E8"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39.3</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57.3</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2.08</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1.08</w:t>
            </w:r>
            <w:r>
              <w:rPr>
                <w:color w:val="000000"/>
                <w:sz w:val="16"/>
                <w:szCs w:val="16"/>
              </w:rPr>
              <w:t xml:space="preserve"> - </w:t>
            </w:r>
            <w:r w:rsidRPr="00E0139F">
              <w:rPr>
                <w:color w:val="000000"/>
                <w:sz w:val="16"/>
                <w:szCs w:val="16"/>
              </w:rPr>
              <w:t>3.99</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0.03</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Casino EGMs (NZ) - monthly</w:t>
            </w:r>
          </w:p>
        </w:tc>
        <w:tc>
          <w:tcPr>
            <w:tcW w:w="1113" w:type="dxa"/>
            <w:vAlign w:val="center"/>
          </w:tcPr>
          <w:p w:rsidR="00205652" w:rsidRPr="00E0139F" w:rsidRDefault="00205652" w:rsidP="009F52BC">
            <w:pPr>
              <w:adjustRightInd w:val="0"/>
              <w:spacing w:before="20"/>
              <w:jc w:val="right"/>
              <w:rPr>
                <w:color w:val="000000"/>
                <w:sz w:val="16"/>
                <w:szCs w:val="16"/>
              </w:rPr>
            </w:pPr>
          </w:p>
        </w:tc>
        <w:tc>
          <w:tcPr>
            <w:tcW w:w="976" w:type="dxa"/>
            <w:vAlign w:val="center"/>
          </w:tcPr>
          <w:p w:rsidR="00205652" w:rsidRPr="00E0139F" w:rsidRDefault="00205652" w:rsidP="009F52BC">
            <w:pPr>
              <w:adjustRightInd w:val="0"/>
              <w:spacing w:before="20"/>
              <w:jc w:val="right"/>
              <w:rPr>
                <w:color w:val="000000"/>
                <w:sz w:val="16"/>
                <w:szCs w:val="16"/>
              </w:rPr>
            </w:pP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47.0</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79.4</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4.36</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1.01</w:t>
            </w:r>
            <w:r>
              <w:rPr>
                <w:color w:val="000000"/>
                <w:sz w:val="16"/>
                <w:szCs w:val="16"/>
              </w:rPr>
              <w:t xml:space="preserve"> - </w:t>
            </w:r>
            <w:r w:rsidRPr="00E0139F">
              <w:rPr>
                <w:color w:val="000000"/>
                <w:sz w:val="16"/>
                <w:szCs w:val="16"/>
              </w:rPr>
              <w:t>18.73</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0.05</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Pub EGMs - monthly</w:t>
            </w:r>
          </w:p>
        </w:tc>
        <w:tc>
          <w:tcPr>
            <w:tcW w:w="1113" w:type="dxa"/>
            <w:vAlign w:val="center"/>
          </w:tcPr>
          <w:p w:rsidR="00205652" w:rsidRPr="00E0139F" w:rsidRDefault="00205652" w:rsidP="009F52BC">
            <w:pPr>
              <w:adjustRightInd w:val="0"/>
              <w:spacing w:before="20"/>
              <w:jc w:val="right"/>
              <w:rPr>
                <w:color w:val="000000"/>
                <w:sz w:val="16"/>
                <w:szCs w:val="16"/>
              </w:rPr>
            </w:pPr>
          </w:p>
        </w:tc>
        <w:tc>
          <w:tcPr>
            <w:tcW w:w="976" w:type="dxa"/>
            <w:vAlign w:val="center"/>
          </w:tcPr>
          <w:p w:rsidR="00205652" w:rsidRPr="00E0139F" w:rsidRDefault="00205652" w:rsidP="009F52BC">
            <w:pPr>
              <w:adjustRightInd w:val="0"/>
              <w:spacing w:before="20"/>
              <w:jc w:val="right"/>
              <w:rPr>
                <w:color w:val="000000"/>
                <w:sz w:val="16"/>
                <w:szCs w:val="16"/>
              </w:rPr>
            </w:pP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42.2</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shd w:val="clear" w:color="auto" w:fill="auto"/>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Borders>
              <w:bottom w:val="single" w:sz="4" w:space="0" w:color="auto"/>
            </w:tcBorders>
          </w:tcPr>
          <w:p w:rsidR="009F52BC" w:rsidRPr="009B1415" w:rsidRDefault="009F52BC" w:rsidP="00E9638E">
            <w:pPr>
              <w:spacing w:before="20"/>
              <w:ind w:left="176"/>
              <w:rPr>
                <w:sz w:val="16"/>
                <w:szCs w:val="16"/>
              </w:rPr>
            </w:pPr>
            <w:r w:rsidRPr="009B1415">
              <w:rPr>
                <w:sz w:val="16"/>
                <w:szCs w:val="16"/>
              </w:rPr>
              <w:t>Yes</w:t>
            </w:r>
          </w:p>
        </w:tc>
        <w:tc>
          <w:tcPr>
            <w:tcW w:w="1113" w:type="dxa"/>
            <w:tcBorders>
              <w:bottom w:val="single" w:sz="4" w:space="0" w:color="auto"/>
            </w:tcBorders>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73.6</w:t>
            </w:r>
          </w:p>
        </w:tc>
        <w:tc>
          <w:tcPr>
            <w:tcW w:w="976" w:type="dxa"/>
            <w:tcBorders>
              <w:bottom w:val="single" w:sz="4" w:space="0" w:color="auto"/>
            </w:tcBorders>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3.82</w:t>
            </w:r>
          </w:p>
        </w:tc>
        <w:tc>
          <w:tcPr>
            <w:tcW w:w="1218" w:type="dxa"/>
            <w:gridSpan w:val="2"/>
            <w:tcBorders>
              <w:bottom w:val="single" w:sz="4" w:space="0" w:color="auto"/>
            </w:tcBorders>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1.78</w:t>
            </w:r>
            <w:r>
              <w:rPr>
                <w:color w:val="000000"/>
                <w:sz w:val="16"/>
                <w:szCs w:val="16"/>
              </w:rPr>
              <w:t xml:space="preserve"> - </w:t>
            </w:r>
            <w:r w:rsidRPr="00E0139F">
              <w:rPr>
                <w:color w:val="000000"/>
                <w:sz w:val="16"/>
                <w:szCs w:val="16"/>
              </w:rPr>
              <w:t>8.20</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0.00</w:t>
            </w:r>
            <w:r w:rsidR="00FC2692">
              <w:rPr>
                <w:color w:val="000000"/>
                <w:sz w:val="16"/>
                <w:szCs w:val="16"/>
              </w:rPr>
              <w:t>06</w:t>
            </w:r>
          </w:p>
        </w:tc>
      </w:tr>
      <w:tr w:rsidR="00205652" w:rsidRPr="009B1415" w:rsidTr="00E05935">
        <w:tc>
          <w:tcPr>
            <w:tcW w:w="4252" w:type="dxa"/>
            <w:tcBorders>
              <w:top w:val="single" w:sz="4" w:space="0" w:color="auto"/>
            </w:tcBorders>
            <w:vAlign w:val="bottom"/>
          </w:tcPr>
          <w:p w:rsidR="00205652" w:rsidRPr="009B1415" w:rsidRDefault="00205652" w:rsidP="00985F5E">
            <w:pPr>
              <w:keepNext/>
              <w:keepLines/>
              <w:spacing w:before="20"/>
              <w:rPr>
                <w:b/>
                <w:sz w:val="16"/>
                <w:szCs w:val="16"/>
              </w:rPr>
            </w:pPr>
            <w:r w:rsidRPr="009B1415">
              <w:rPr>
                <w:b/>
                <w:sz w:val="16"/>
                <w:szCs w:val="16"/>
              </w:rPr>
              <w:lastRenderedPageBreak/>
              <w:t>Club EGMs - monthly</w:t>
            </w:r>
          </w:p>
        </w:tc>
        <w:tc>
          <w:tcPr>
            <w:tcW w:w="1113" w:type="dxa"/>
            <w:tcBorders>
              <w:top w:val="single" w:sz="4" w:space="0" w:color="auto"/>
            </w:tcBorders>
            <w:vAlign w:val="center"/>
          </w:tcPr>
          <w:p w:rsidR="00205652" w:rsidRPr="00E0139F" w:rsidRDefault="00205652" w:rsidP="00985F5E">
            <w:pPr>
              <w:keepNext/>
              <w:keepLines/>
              <w:adjustRightInd w:val="0"/>
              <w:spacing w:before="20"/>
              <w:jc w:val="right"/>
              <w:rPr>
                <w:color w:val="000000"/>
                <w:sz w:val="16"/>
                <w:szCs w:val="16"/>
              </w:rPr>
            </w:pPr>
          </w:p>
        </w:tc>
        <w:tc>
          <w:tcPr>
            <w:tcW w:w="976" w:type="dxa"/>
            <w:tcBorders>
              <w:top w:val="single" w:sz="4" w:space="0" w:color="auto"/>
            </w:tcBorders>
            <w:vAlign w:val="center"/>
          </w:tcPr>
          <w:p w:rsidR="00205652" w:rsidRPr="00E0139F" w:rsidRDefault="00205652" w:rsidP="00985F5E">
            <w:pPr>
              <w:keepNext/>
              <w:keepLines/>
              <w:adjustRightInd w:val="0"/>
              <w:spacing w:before="20"/>
              <w:jc w:val="right"/>
              <w:rPr>
                <w:color w:val="000000"/>
                <w:sz w:val="16"/>
                <w:szCs w:val="16"/>
              </w:rPr>
            </w:pPr>
          </w:p>
        </w:tc>
        <w:tc>
          <w:tcPr>
            <w:tcW w:w="835" w:type="dxa"/>
            <w:tcBorders>
              <w:top w:val="single" w:sz="4" w:space="0" w:color="auto"/>
            </w:tcBorders>
            <w:vAlign w:val="center"/>
          </w:tcPr>
          <w:p w:rsidR="00205652" w:rsidRPr="00E0139F" w:rsidRDefault="00205652" w:rsidP="00985F5E">
            <w:pPr>
              <w:keepNext/>
              <w:keepLines/>
              <w:adjustRightInd w:val="0"/>
              <w:spacing w:before="20"/>
              <w:jc w:val="right"/>
              <w:rPr>
                <w:color w:val="000000"/>
                <w:sz w:val="16"/>
                <w:szCs w:val="16"/>
              </w:rPr>
            </w:pPr>
          </w:p>
        </w:tc>
        <w:tc>
          <w:tcPr>
            <w:tcW w:w="383" w:type="dxa"/>
            <w:tcBorders>
              <w:top w:val="single" w:sz="4" w:space="0" w:color="auto"/>
            </w:tcBorders>
            <w:vAlign w:val="center"/>
          </w:tcPr>
          <w:p w:rsidR="00205652" w:rsidRPr="00E0139F" w:rsidRDefault="00205652" w:rsidP="00985F5E">
            <w:pPr>
              <w:keepNext/>
              <w:keepLines/>
              <w:adjustRightInd w:val="0"/>
              <w:spacing w:before="20"/>
              <w:jc w:val="right"/>
              <w:rPr>
                <w:color w:val="000000"/>
                <w:sz w:val="16"/>
                <w:szCs w:val="16"/>
              </w:rPr>
            </w:pPr>
          </w:p>
        </w:tc>
        <w:tc>
          <w:tcPr>
            <w:tcW w:w="747" w:type="dxa"/>
            <w:tcBorders>
              <w:top w:val="single" w:sz="4" w:space="0" w:color="auto"/>
            </w:tcBorders>
            <w:shd w:val="clear" w:color="auto" w:fill="auto"/>
            <w:vAlign w:val="center"/>
          </w:tcPr>
          <w:p w:rsidR="00205652" w:rsidRPr="00E0139F" w:rsidRDefault="00205652" w:rsidP="00985F5E">
            <w:pPr>
              <w:keepNext/>
              <w:keepLines/>
              <w:adjustRightInd w:val="0"/>
              <w:spacing w:before="20"/>
              <w:jc w:val="right"/>
              <w:rPr>
                <w:color w:val="000000"/>
                <w:sz w:val="16"/>
                <w:szCs w:val="16"/>
              </w:rPr>
            </w:pPr>
          </w:p>
        </w:tc>
      </w:tr>
      <w:tr w:rsidR="00205652" w:rsidRPr="009B1415" w:rsidTr="00E05935">
        <w:tc>
          <w:tcPr>
            <w:tcW w:w="4252" w:type="dxa"/>
          </w:tcPr>
          <w:p w:rsidR="00205652" w:rsidRPr="009B1415" w:rsidRDefault="00205652" w:rsidP="00985F5E">
            <w:pPr>
              <w:keepNext/>
              <w:keepLines/>
              <w:spacing w:before="20"/>
              <w:ind w:left="176"/>
              <w:rPr>
                <w:sz w:val="16"/>
                <w:szCs w:val="16"/>
              </w:rPr>
            </w:pPr>
            <w:r w:rsidRPr="009B1415">
              <w:rPr>
                <w:sz w:val="16"/>
                <w:szCs w:val="16"/>
              </w:rPr>
              <w:t>No</w:t>
            </w:r>
          </w:p>
        </w:tc>
        <w:tc>
          <w:tcPr>
            <w:tcW w:w="1113" w:type="dxa"/>
            <w:vAlign w:val="center"/>
          </w:tcPr>
          <w:p w:rsidR="00205652" w:rsidRPr="00E0139F" w:rsidRDefault="00205652" w:rsidP="00985F5E">
            <w:pPr>
              <w:keepNext/>
              <w:keepLines/>
              <w:adjustRightInd w:val="0"/>
              <w:spacing w:before="20"/>
              <w:jc w:val="right"/>
              <w:rPr>
                <w:color w:val="000000"/>
                <w:sz w:val="16"/>
                <w:szCs w:val="16"/>
              </w:rPr>
            </w:pPr>
            <w:r w:rsidRPr="00E0139F">
              <w:rPr>
                <w:color w:val="000000"/>
                <w:sz w:val="16"/>
                <w:szCs w:val="16"/>
              </w:rPr>
              <w:t>45.6</w:t>
            </w:r>
          </w:p>
        </w:tc>
        <w:tc>
          <w:tcPr>
            <w:tcW w:w="976" w:type="dxa"/>
            <w:vAlign w:val="center"/>
          </w:tcPr>
          <w:p w:rsidR="00205652" w:rsidRPr="00E0139F" w:rsidRDefault="00205652" w:rsidP="00985F5E">
            <w:pPr>
              <w:keepNext/>
              <w:keepLines/>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85F5E">
            <w:pPr>
              <w:keepNext/>
              <w:keepLines/>
              <w:adjustRightInd w:val="0"/>
              <w:spacing w:before="20"/>
              <w:jc w:val="right"/>
              <w:rPr>
                <w:color w:val="000000"/>
                <w:sz w:val="16"/>
                <w:szCs w:val="16"/>
              </w:rPr>
            </w:pPr>
          </w:p>
        </w:tc>
        <w:tc>
          <w:tcPr>
            <w:tcW w:w="383" w:type="dxa"/>
            <w:vAlign w:val="center"/>
          </w:tcPr>
          <w:p w:rsidR="00205652" w:rsidRPr="00E0139F" w:rsidRDefault="00205652" w:rsidP="00985F5E">
            <w:pPr>
              <w:keepNext/>
              <w:keepLines/>
              <w:adjustRightInd w:val="0"/>
              <w:spacing w:before="20"/>
              <w:jc w:val="right"/>
              <w:rPr>
                <w:color w:val="000000"/>
                <w:sz w:val="16"/>
                <w:szCs w:val="16"/>
              </w:rPr>
            </w:pPr>
          </w:p>
        </w:tc>
        <w:tc>
          <w:tcPr>
            <w:tcW w:w="747" w:type="dxa"/>
            <w:shd w:val="clear" w:color="auto" w:fill="auto"/>
            <w:vAlign w:val="center"/>
          </w:tcPr>
          <w:p w:rsidR="00205652" w:rsidRPr="00E0139F" w:rsidRDefault="00205652" w:rsidP="00985F5E">
            <w:pPr>
              <w:keepNext/>
              <w:keepLines/>
              <w:adjustRightInd w:val="0"/>
              <w:spacing w:before="20"/>
              <w:jc w:val="right"/>
              <w:rPr>
                <w:color w:val="000000"/>
                <w:sz w:val="16"/>
                <w:szCs w:val="16"/>
              </w:rPr>
            </w:pPr>
          </w:p>
        </w:tc>
      </w:tr>
      <w:tr w:rsidR="009F52BC" w:rsidRPr="009B1415" w:rsidTr="00E05935">
        <w:tc>
          <w:tcPr>
            <w:tcW w:w="4252" w:type="dxa"/>
          </w:tcPr>
          <w:p w:rsidR="009F52BC" w:rsidRPr="009B1415" w:rsidRDefault="009F52BC" w:rsidP="00985F5E">
            <w:pPr>
              <w:keepNext/>
              <w:keepLines/>
              <w:spacing w:before="20"/>
              <w:ind w:left="176"/>
              <w:rPr>
                <w:sz w:val="16"/>
                <w:szCs w:val="16"/>
              </w:rPr>
            </w:pPr>
            <w:r w:rsidRPr="009B1415">
              <w:rPr>
                <w:sz w:val="16"/>
                <w:szCs w:val="16"/>
              </w:rPr>
              <w:t>Yes</w:t>
            </w:r>
          </w:p>
        </w:tc>
        <w:tc>
          <w:tcPr>
            <w:tcW w:w="1113" w:type="dxa"/>
            <w:vAlign w:val="center"/>
          </w:tcPr>
          <w:p w:rsidR="009F52BC" w:rsidRPr="00E0139F" w:rsidRDefault="009F52BC" w:rsidP="00985F5E">
            <w:pPr>
              <w:keepNext/>
              <w:keepLines/>
              <w:adjustRightInd w:val="0"/>
              <w:spacing w:before="20"/>
              <w:jc w:val="right"/>
              <w:rPr>
                <w:color w:val="000000"/>
                <w:sz w:val="16"/>
                <w:szCs w:val="16"/>
              </w:rPr>
            </w:pPr>
            <w:r w:rsidRPr="00E0139F">
              <w:rPr>
                <w:color w:val="000000"/>
                <w:sz w:val="16"/>
                <w:szCs w:val="16"/>
              </w:rPr>
              <w:t>83.1</w:t>
            </w:r>
          </w:p>
        </w:tc>
        <w:tc>
          <w:tcPr>
            <w:tcW w:w="976" w:type="dxa"/>
            <w:vAlign w:val="center"/>
          </w:tcPr>
          <w:p w:rsidR="009F52BC" w:rsidRPr="00E0139F" w:rsidRDefault="009F52BC" w:rsidP="00985F5E">
            <w:pPr>
              <w:keepNext/>
              <w:keepLines/>
              <w:adjustRightInd w:val="0"/>
              <w:spacing w:before="20"/>
              <w:jc w:val="right"/>
              <w:rPr>
                <w:color w:val="000000"/>
                <w:sz w:val="16"/>
                <w:szCs w:val="16"/>
              </w:rPr>
            </w:pPr>
            <w:r w:rsidRPr="00E0139F">
              <w:rPr>
                <w:color w:val="000000"/>
                <w:sz w:val="16"/>
                <w:szCs w:val="16"/>
              </w:rPr>
              <w:t>5.86</w:t>
            </w:r>
          </w:p>
        </w:tc>
        <w:tc>
          <w:tcPr>
            <w:tcW w:w="1218" w:type="dxa"/>
            <w:gridSpan w:val="2"/>
            <w:vAlign w:val="center"/>
          </w:tcPr>
          <w:p w:rsidR="009F52BC" w:rsidRPr="00E0139F" w:rsidRDefault="009F52BC" w:rsidP="00985F5E">
            <w:pPr>
              <w:keepNext/>
              <w:keepLines/>
              <w:adjustRightInd w:val="0"/>
              <w:spacing w:before="20"/>
              <w:jc w:val="right"/>
              <w:rPr>
                <w:color w:val="000000"/>
                <w:sz w:val="16"/>
                <w:szCs w:val="16"/>
              </w:rPr>
            </w:pPr>
            <w:r>
              <w:rPr>
                <w:color w:val="000000"/>
                <w:sz w:val="16"/>
                <w:szCs w:val="16"/>
              </w:rPr>
              <w:t>(</w:t>
            </w:r>
            <w:r w:rsidRPr="00E0139F">
              <w:rPr>
                <w:color w:val="000000"/>
                <w:sz w:val="16"/>
                <w:szCs w:val="16"/>
              </w:rPr>
              <w:t>1.52</w:t>
            </w:r>
            <w:r>
              <w:rPr>
                <w:color w:val="000000"/>
                <w:sz w:val="16"/>
                <w:szCs w:val="16"/>
              </w:rPr>
              <w:t xml:space="preserve"> - </w:t>
            </w:r>
            <w:r w:rsidRPr="00E0139F">
              <w:rPr>
                <w:color w:val="000000"/>
                <w:sz w:val="16"/>
                <w:szCs w:val="16"/>
              </w:rPr>
              <w:t>22.52</w:t>
            </w:r>
            <w:r>
              <w:rPr>
                <w:color w:val="000000"/>
                <w:sz w:val="16"/>
                <w:szCs w:val="16"/>
              </w:rPr>
              <w:t>)</w:t>
            </w:r>
          </w:p>
        </w:tc>
        <w:tc>
          <w:tcPr>
            <w:tcW w:w="747" w:type="dxa"/>
            <w:shd w:val="clear" w:color="auto" w:fill="D9D9D9" w:themeFill="background1" w:themeFillShade="D9"/>
            <w:vAlign w:val="center"/>
          </w:tcPr>
          <w:p w:rsidR="009F52BC" w:rsidRPr="00E0139F" w:rsidRDefault="009F52BC" w:rsidP="00985F5E">
            <w:pPr>
              <w:keepNext/>
              <w:keepLines/>
              <w:adjustRightInd w:val="0"/>
              <w:spacing w:before="20"/>
              <w:jc w:val="right"/>
              <w:rPr>
                <w:color w:val="000000"/>
                <w:sz w:val="16"/>
                <w:szCs w:val="16"/>
              </w:rPr>
            </w:pPr>
            <w:r w:rsidRPr="00E0139F">
              <w:rPr>
                <w:color w:val="000000"/>
                <w:sz w:val="16"/>
                <w:szCs w:val="16"/>
              </w:rPr>
              <w:t>0.01</w:t>
            </w:r>
          </w:p>
        </w:tc>
      </w:tr>
      <w:tr w:rsidR="00205652" w:rsidRPr="009B1415" w:rsidTr="00E05935">
        <w:tc>
          <w:tcPr>
            <w:tcW w:w="4252" w:type="dxa"/>
            <w:vAlign w:val="bottom"/>
          </w:tcPr>
          <w:p w:rsidR="00205652" w:rsidRPr="009B1415" w:rsidRDefault="00205652" w:rsidP="00E9638E">
            <w:pPr>
              <w:widowControl w:val="0"/>
              <w:spacing w:before="20"/>
              <w:rPr>
                <w:b/>
                <w:sz w:val="16"/>
                <w:szCs w:val="16"/>
              </w:rPr>
            </w:pPr>
            <w:r w:rsidRPr="009B1415">
              <w:rPr>
                <w:b/>
                <w:sz w:val="16"/>
                <w:szCs w:val="16"/>
              </w:rPr>
              <w:t>EGMs overall - monthly</w:t>
            </w:r>
          </w:p>
        </w:tc>
        <w:tc>
          <w:tcPr>
            <w:tcW w:w="1113" w:type="dxa"/>
            <w:vAlign w:val="center"/>
          </w:tcPr>
          <w:p w:rsidR="00205652" w:rsidRPr="00CB35E8" w:rsidRDefault="00205652" w:rsidP="00E9638E">
            <w:pPr>
              <w:widowControl w:val="0"/>
              <w:adjustRightInd w:val="0"/>
              <w:spacing w:before="20"/>
              <w:jc w:val="right"/>
              <w:rPr>
                <w:color w:val="000000"/>
                <w:sz w:val="16"/>
                <w:szCs w:val="16"/>
              </w:rPr>
            </w:pPr>
          </w:p>
        </w:tc>
        <w:tc>
          <w:tcPr>
            <w:tcW w:w="976" w:type="dxa"/>
            <w:vAlign w:val="center"/>
          </w:tcPr>
          <w:p w:rsidR="00205652" w:rsidRPr="00CB35E8" w:rsidRDefault="00205652" w:rsidP="00E9638E">
            <w:pPr>
              <w:widowControl w:val="0"/>
              <w:adjustRightInd w:val="0"/>
              <w:spacing w:before="20"/>
              <w:jc w:val="right"/>
              <w:rPr>
                <w:color w:val="000000"/>
                <w:sz w:val="16"/>
                <w:szCs w:val="16"/>
              </w:rPr>
            </w:pPr>
          </w:p>
        </w:tc>
        <w:tc>
          <w:tcPr>
            <w:tcW w:w="835" w:type="dxa"/>
            <w:vAlign w:val="center"/>
          </w:tcPr>
          <w:p w:rsidR="00205652" w:rsidRPr="00CB35E8" w:rsidRDefault="00205652" w:rsidP="00E9638E">
            <w:pPr>
              <w:widowControl w:val="0"/>
              <w:adjustRightInd w:val="0"/>
              <w:spacing w:before="20"/>
              <w:jc w:val="right"/>
              <w:rPr>
                <w:color w:val="000000"/>
                <w:sz w:val="16"/>
                <w:szCs w:val="16"/>
              </w:rPr>
            </w:pPr>
          </w:p>
        </w:tc>
        <w:tc>
          <w:tcPr>
            <w:tcW w:w="383" w:type="dxa"/>
            <w:vAlign w:val="center"/>
          </w:tcPr>
          <w:p w:rsidR="00205652" w:rsidRPr="00CB35E8" w:rsidRDefault="00205652" w:rsidP="00E9638E">
            <w:pPr>
              <w:widowControl w:val="0"/>
              <w:adjustRightInd w:val="0"/>
              <w:spacing w:before="20"/>
              <w:jc w:val="right"/>
              <w:rPr>
                <w:color w:val="000000"/>
                <w:sz w:val="16"/>
                <w:szCs w:val="16"/>
              </w:rPr>
            </w:pPr>
          </w:p>
        </w:tc>
        <w:tc>
          <w:tcPr>
            <w:tcW w:w="747" w:type="dxa"/>
            <w:shd w:val="clear" w:color="auto" w:fill="auto"/>
            <w:vAlign w:val="center"/>
          </w:tcPr>
          <w:p w:rsidR="00205652" w:rsidRPr="00CB35E8" w:rsidRDefault="00205652" w:rsidP="00E9638E">
            <w:pPr>
              <w:widowControl w:val="0"/>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widowControl w:val="0"/>
              <w:spacing w:before="20"/>
              <w:ind w:left="176"/>
              <w:rPr>
                <w:sz w:val="16"/>
                <w:szCs w:val="16"/>
              </w:rPr>
            </w:pPr>
            <w:r w:rsidRPr="009B1415">
              <w:rPr>
                <w:sz w:val="16"/>
                <w:szCs w:val="16"/>
              </w:rPr>
              <w:t>No</w:t>
            </w:r>
          </w:p>
        </w:tc>
        <w:tc>
          <w:tcPr>
            <w:tcW w:w="1113" w:type="dxa"/>
            <w:vAlign w:val="center"/>
          </w:tcPr>
          <w:p w:rsidR="00205652" w:rsidRPr="00E0139F" w:rsidRDefault="00205652" w:rsidP="00E9638E">
            <w:pPr>
              <w:widowControl w:val="0"/>
              <w:adjustRightInd w:val="0"/>
              <w:spacing w:before="20"/>
              <w:jc w:val="right"/>
              <w:rPr>
                <w:color w:val="000000"/>
                <w:sz w:val="16"/>
                <w:szCs w:val="16"/>
              </w:rPr>
            </w:pPr>
            <w:r w:rsidRPr="00E0139F">
              <w:rPr>
                <w:color w:val="000000"/>
                <w:sz w:val="16"/>
                <w:szCs w:val="16"/>
              </w:rPr>
              <w:t>37.8</w:t>
            </w:r>
          </w:p>
        </w:tc>
        <w:tc>
          <w:tcPr>
            <w:tcW w:w="976" w:type="dxa"/>
            <w:vAlign w:val="center"/>
          </w:tcPr>
          <w:p w:rsidR="00205652" w:rsidRPr="00E0139F" w:rsidRDefault="00205652" w:rsidP="00E9638E">
            <w:pPr>
              <w:widowControl w:val="0"/>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E9638E">
            <w:pPr>
              <w:widowControl w:val="0"/>
              <w:adjustRightInd w:val="0"/>
              <w:spacing w:before="20"/>
              <w:jc w:val="right"/>
              <w:rPr>
                <w:color w:val="000000"/>
                <w:sz w:val="16"/>
                <w:szCs w:val="16"/>
              </w:rPr>
            </w:pPr>
          </w:p>
        </w:tc>
        <w:tc>
          <w:tcPr>
            <w:tcW w:w="383" w:type="dxa"/>
            <w:vAlign w:val="center"/>
          </w:tcPr>
          <w:p w:rsidR="00205652" w:rsidRPr="00E0139F" w:rsidRDefault="00205652" w:rsidP="00E9638E">
            <w:pPr>
              <w:widowControl w:val="0"/>
              <w:adjustRightInd w:val="0"/>
              <w:spacing w:before="20"/>
              <w:jc w:val="right"/>
              <w:rPr>
                <w:color w:val="000000"/>
                <w:sz w:val="16"/>
                <w:szCs w:val="16"/>
              </w:rPr>
            </w:pPr>
          </w:p>
        </w:tc>
        <w:tc>
          <w:tcPr>
            <w:tcW w:w="747" w:type="dxa"/>
            <w:shd w:val="clear" w:color="auto" w:fill="auto"/>
            <w:vAlign w:val="center"/>
          </w:tcPr>
          <w:p w:rsidR="00205652" w:rsidRPr="00E0139F" w:rsidRDefault="00205652" w:rsidP="00E9638E">
            <w:pPr>
              <w:widowControl w:val="0"/>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76.4</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5.32</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2.59</w:t>
            </w:r>
            <w:r>
              <w:rPr>
                <w:color w:val="000000"/>
                <w:sz w:val="16"/>
                <w:szCs w:val="16"/>
              </w:rPr>
              <w:t xml:space="preserve"> - </w:t>
            </w:r>
            <w:r w:rsidRPr="00E0139F">
              <w:rPr>
                <w:color w:val="000000"/>
                <w:sz w:val="16"/>
                <w:szCs w:val="16"/>
              </w:rPr>
              <w:t>10.93</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&lt;</w:t>
            </w:r>
            <w:r>
              <w:rPr>
                <w:color w:val="000000"/>
                <w:sz w:val="16"/>
                <w:szCs w:val="16"/>
              </w:rPr>
              <w:t>0</w:t>
            </w:r>
            <w:r w:rsidRPr="00E0139F">
              <w:rPr>
                <w:color w:val="000000"/>
                <w:sz w:val="16"/>
                <w:szCs w:val="16"/>
              </w:rPr>
              <w:t>.0001</w:t>
            </w:r>
          </w:p>
        </w:tc>
      </w:tr>
      <w:tr w:rsidR="00205652" w:rsidRPr="009B1415" w:rsidTr="00E05935">
        <w:tc>
          <w:tcPr>
            <w:tcW w:w="5365" w:type="dxa"/>
            <w:gridSpan w:val="2"/>
            <w:shd w:val="clear" w:color="auto" w:fill="auto"/>
            <w:vAlign w:val="center"/>
          </w:tcPr>
          <w:p w:rsidR="00205652" w:rsidRPr="000C1AB9" w:rsidRDefault="00205652" w:rsidP="00E9638E">
            <w:pPr>
              <w:spacing w:before="20"/>
              <w:rPr>
                <w:rFonts w:ascii="Calibri" w:hAnsi="Calibri"/>
                <w:b/>
                <w:bCs/>
                <w:color w:val="000000"/>
                <w:sz w:val="16"/>
                <w:szCs w:val="16"/>
              </w:rPr>
            </w:pPr>
            <w:r w:rsidRPr="000C1AB9">
              <w:rPr>
                <w:b/>
                <w:bCs/>
                <w:color w:val="000000"/>
                <w:sz w:val="16"/>
                <w:szCs w:val="16"/>
              </w:rPr>
              <w:t>Time spent playing EGMs in an average day (casino)</w:t>
            </w:r>
          </w:p>
        </w:tc>
        <w:tc>
          <w:tcPr>
            <w:tcW w:w="976" w:type="dxa"/>
            <w:vAlign w:val="center"/>
          </w:tcPr>
          <w:p w:rsidR="00205652" w:rsidRPr="000C1AB9" w:rsidRDefault="00205652" w:rsidP="009F52BC">
            <w:pPr>
              <w:spacing w:before="20"/>
              <w:jc w:val="right"/>
              <w:rPr>
                <w:rFonts w:ascii="Calibri" w:hAnsi="Calibri"/>
                <w:b/>
                <w:color w:val="000000"/>
                <w:sz w:val="16"/>
                <w:szCs w:val="16"/>
              </w:rPr>
            </w:pPr>
          </w:p>
        </w:tc>
        <w:tc>
          <w:tcPr>
            <w:tcW w:w="835" w:type="dxa"/>
            <w:vAlign w:val="center"/>
          </w:tcPr>
          <w:p w:rsidR="00205652" w:rsidRPr="000C1AB9" w:rsidRDefault="00205652" w:rsidP="009F52BC">
            <w:pPr>
              <w:spacing w:before="20"/>
              <w:jc w:val="right"/>
              <w:rPr>
                <w:rFonts w:ascii="Calibri" w:hAnsi="Calibri"/>
                <w:b/>
                <w:color w:val="000000"/>
                <w:sz w:val="16"/>
                <w:szCs w:val="16"/>
              </w:rPr>
            </w:pPr>
          </w:p>
        </w:tc>
        <w:tc>
          <w:tcPr>
            <w:tcW w:w="383" w:type="dxa"/>
            <w:vAlign w:val="center"/>
          </w:tcPr>
          <w:p w:rsidR="00205652" w:rsidRPr="000C1AB9" w:rsidRDefault="00205652" w:rsidP="009F52BC">
            <w:pPr>
              <w:spacing w:before="20"/>
              <w:jc w:val="right"/>
              <w:rPr>
                <w:rFonts w:ascii="Calibri" w:hAnsi="Calibri"/>
                <w:b/>
                <w:color w:val="000000"/>
                <w:sz w:val="16"/>
                <w:szCs w:val="16"/>
              </w:rPr>
            </w:pPr>
          </w:p>
        </w:tc>
        <w:tc>
          <w:tcPr>
            <w:tcW w:w="747" w:type="dxa"/>
            <w:vAlign w:val="center"/>
          </w:tcPr>
          <w:p w:rsidR="00205652" w:rsidRPr="000C1AB9" w:rsidRDefault="00205652" w:rsidP="009F52BC">
            <w:pPr>
              <w:spacing w:before="20"/>
              <w:jc w:val="right"/>
              <w:rPr>
                <w:rFonts w:ascii="Calibri" w:hAnsi="Calibri"/>
                <w:b/>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 time</w:t>
            </w:r>
          </w:p>
        </w:tc>
        <w:tc>
          <w:tcPr>
            <w:tcW w:w="1113"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46.3</w:t>
            </w:r>
          </w:p>
        </w:tc>
        <w:tc>
          <w:tcPr>
            <w:tcW w:w="976" w:type="dxa"/>
            <w:vAlign w:val="center"/>
          </w:tcPr>
          <w:p w:rsidR="00205652" w:rsidRPr="00E0139F" w:rsidRDefault="00205652" w:rsidP="009F52BC">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9F52BC">
            <w:pPr>
              <w:adjustRightInd w:val="0"/>
              <w:spacing w:before="20"/>
              <w:jc w:val="right"/>
              <w:rPr>
                <w:color w:val="000000"/>
                <w:sz w:val="16"/>
                <w:szCs w:val="16"/>
              </w:rPr>
            </w:pPr>
          </w:p>
        </w:tc>
        <w:tc>
          <w:tcPr>
            <w:tcW w:w="383" w:type="dxa"/>
            <w:vAlign w:val="center"/>
          </w:tcPr>
          <w:p w:rsidR="00205652" w:rsidRPr="00E0139F" w:rsidRDefault="00205652" w:rsidP="009F52BC">
            <w:pPr>
              <w:adjustRightInd w:val="0"/>
              <w:spacing w:before="20"/>
              <w:jc w:val="right"/>
              <w:rPr>
                <w:color w:val="000000"/>
                <w:sz w:val="16"/>
                <w:szCs w:val="16"/>
              </w:rPr>
            </w:pPr>
          </w:p>
        </w:tc>
        <w:tc>
          <w:tcPr>
            <w:tcW w:w="747" w:type="dxa"/>
            <w:vAlign w:val="center"/>
          </w:tcPr>
          <w:p w:rsidR="00205652" w:rsidRPr="00E0139F"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Up to 15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29.9</w:t>
            </w:r>
          </w:p>
        </w:tc>
        <w:tc>
          <w:tcPr>
            <w:tcW w:w="976" w:type="dxa"/>
            <w:vAlign w:val="center"/>
          </w:tcPr>
          <w:p w:rsidR="009F52BC" w:rsidRPr="00E0139F" w:rsidRDefault="009F52BC" w:rsidP="009F52BC">
            <w:pPr>
              <w:keepNext/>
              <w:adjustRightInd w:val="0"/>
              <w:spacing w:before="20"/>
              <w:jc w:val="right"/>
              <w:rPr>
                <w:color w:val="000000"/>
                <w:sz w:val="16"/>
                <w:szCs w:val="16"/>
              </w:rPr>
            </w:pPr>
            <w:r w:rsidRPr="00E0139F">
              <w:rPr>
                <w:color w:val="000000"/>
                <w:sz w:val="16"/>
                <w:szCs w:val="16"/>
              </w:rPr>
              <w:t>0.50</w:t>
            </w:r>
          </w:p>
        </w:tc>
        <w:tc>
          <w:tcPr>
            <w:tcW w:w="1218" w:type="dxa"/>
            <w:gridSpan w:val="2"/>
            <w:vAlign w:val="center"/>
          </w:tcPr>
          <w:p w:rsidR="009F52BC" w:rsidRPr="00E0139F" w:rsidRDefault="009F52BC" w:rsidP="009F52BC">
            <w:pPr>
              <w:keepNext/>
              <w:adjustRightInd w:val="0"/>
              <w:spacing w:before="20"/>
              <w:jc w:val="right"/>
              <w:rPr>
                <w:color w:val="000000"/>
                <w:sz w:val="16"/>
                <w:szCs w:val="16"/>
              </w:rPr>
            </w:pPr>
            <w:r>
              <w:rPr>
                <w:color w:val="000000"/>
                <w:sz w:val="16"/>
                <w:szCs w:val="16"/>
              </w:rPr>
              <w:t>(</w:t>
            </w:r>
            <w:r w:rsidRPr="00E0139F">
              <w:rPr>
                <w:color w:val="000000"/>
                <w:sz w:val="16"/>
                <w:szCs w:val="16"/>
              </w:rPr>
              <w:t>0.09</w:t>
            </w:r>
            <w:r>
              <w:rPr>
                <w:color w:val="000000"/>
                <w:sz w:val="16"/>
                <w:szCs w:val="16"/>
              </w:rPr>
              <w:t xml:space="preserve"> - </w:t>
            </w:r>
            <w:r w:rsidRPr="00E0139F">
              <w:rPr>
                <w:color w:val="000000"/>
                <w:sz w:val="16"/>
                <w:szCs w:val="16"/>
              </w:rPr>
              <w:t>2.81</w:t>
            </w:r>
            <w:r>
              <w:rPr>
                <w:color w:val="000000"/>
                <w:sz w:val="16"/>
                <w:szCs w:val="16"/>
              </w:rPr>
              <w:t>)</w:t>
            </w:r>
          </w:p>
        </w:tc>
        <w:tc>
          <w:tcPr>
            <w:tcW w:w="747" w:type="dxa"/>
            <w:vAlign w:val="center"/>
          </w:tcPr>
          <w:p w:rsidR="009F52BC" w:rsidRPr="00E0139F"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16 to 30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15.9</w:t>
            </w:r>
          </w:p>
        </w:tc>
        <w:tc>
          <w:tcPr>
            <w:tcW w:w="976" w:type="dxa"/>
            <w:vAlign w:val="center"/>
          </w:tcPr>
          <w:p w:rsidR="009F52BC" w:rsidRPr="00E0139F" w:rsidRDefault="009F52BC" w:rsidP="009F52BC">
            <w:pPr>
              <w:keepNext/>
              <w:adjustRightInd w:val="0"/>
              <w:spacing w:before="20"/>
              <w:jc w:val="right"/>
              <w:rPr>
                <w:color w:val="000000"/>
                <w:sz w:val="16"/>
                <w:szCs w:val="16"/>
              </w:rPr>
            </w:pPr>
            <w:r w:rsidRPr="00E0139F">
              <w:rPr>
                <w:color w:val="000000"/>
                <w:sz w:val="16"/>
                <w:szCs w:val="16"/>
              </w:rPr>
              <w:t>0.22</w:t>
            </w:r>
          </w:p>
        </w:tc>
        <w:tc>
          <w:tcPr>
            <w:tcW w:w="1218" w:type="dxa"/>
            <w:gridSpan w:val="2"/>
            <w:vAlign w:val="center"/>
          </w:tcPr>
          <w:p w:rsidR="009F52BC" w:rsidRPr="00E0139F" w:rsidRDefault="009F52BC" w:rsidP="009F52BC">
            <w:pPr>
              <w:keepNext/>
              <w:adjustRightInd w:val="0"/>
              <w:spacing w:before="20"/>
              <w:jc w:val="right"/>
              <w:rPr>
                <w:color w:val="000000"/>
                <w:sz w:val="16"/>
                <w:szCs w:val="16"/>
              </w:rPr>
            </w:pPr>
            <w:r>
              <w:rPr>
                <w:color w:val="000000"/>
                <w:sz w:val="16"/>
                <w:szCs w:val="16"/>
              </w:rPr>
              <w:t>(</w:t>
            </w:r>
            <w:r w:rsidRPr="00E0139F">
              <w:rPr>
                <w:color w:val="000000"/>
                <w:sz w:val="16"/>
                <w:szCs w:val="16"/>
              </w:rPr>
              <w:t>0.04</w:t>
            </w:r>
            <w:r>
              <w:rPr>
                <w:color w:val="000000"/>
                <w:sz w:val="16"/>
                <w:szCs w:val="16"/>
              </w:rPr>
              <w:t xml:space="preserve"> - </w:t>
            </w:r>
            <w:r w:rsidRPr="00E0139F">
              <w:rPr>
                <w:color w:val="000000"/>
                <w:sz w:val="16"/>
                <w:szCs w:val="16"/>
              </w:rPr>
              <w:t>1.15</w:t>
            </w:r>
            <w:r>
              <w:rPr>
                <w:color w:val="000000"/>
                <w:sz w:val="16"/>
                <w:szCs w:val="16"/>
              </w:rPr>
              <w:t>)</w:t>
            </w:r>
          </w:p>
        </w:tc>
        <w:tc>
          <w:tcPr>
            <w:tcW w:w="747" w:type="dxa"/>
            <w:vAlign w:val="center"/>
          </w:tcPr>
          <w:p w:rsidR="009F52BC" w:rsidRPr="00E0139F"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31 to 60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62.0</w:t>
            </w:r>
          </w:p>
        </w:tc>
        <w:tc>
          <w:tcPr>
            <w:tcW w:w="976" w:type="dxa"/>
            <w:vAlign w:val="center"/>
          </w:tcPr>
          <w:p w:rsidR="009F52BC" w:rsidRPr="00E0139F" w:rsidRDefault="009F52BC" w:rsidP="009F52BC">
            <w:pPr>
              <w:keepNext/>
              <w:adjustRightInd w:val="0"/>
              <w:spacing w:before="20"/>
              <w:jc w:val="right"/>
              <w:rPr>
                <w:color w:val="000000"/>
                <w:sz w:val="16"/>
                <w:szCs w:val="16"/>
              </w:rPr>
            </w:pPr>
            <w:r w:rsidRPr="00E0139F">
              <w:rPr>
                <w:color w:val="000000"/>
                <w:sz w:val="16"/>
                <w:szCs w:val="16"/>
              </w:rPr>
              <w:t>1.89</w:t>
            </w:r>
          </w:p>
        </w:tc>
        <w:tc>
          <w:tcPr>
            <w:tcW w:w="1218" w:type="dxa"/>
            <w:gridSpan w:val="2"/>
            <w:vAlign w:val="center"/>
          </w:tcPr>
          <w:p w:rsidR="009F52BC" w:rsidRPr="00E0139F" w:rsidRDefault="009F52BC" w:rsidP="009F52BC">
            <w:pPr>
              <w:keepNext/>
              <w:adjustRightInd w:val="0"/>
              <w:spacing w:before="20"/>
              <w:jc w:val="right"/>
              <w:rPr>
                <w:color w:val="000000"/>
                <w:sz w:val="16"/>
                <w:szCs w:val="16"/>
              </w:rPr>
            </w:pPr>
            <w:r>
              <w:rPr>
                <w:color w:val="000000"/>
                <w:sz w:val="16"/>
                <w:szCs w:val="16"/>
              </w:rPr>
              <w:t>(</w:t>
            </w:r>
            <w:r w:rsidRPr="00E0139F">
              <w:rPr>
                <w:color w:val="000000"/>
                <w:sz w:val="16"/>
                <w:szCs w:val="16"/>
              </w:rPr>
              <w:t>0.47</w:t>
            </w:r>
            <w:r>
              <w:rPr>
                <w:color w:val="000000"/>
                <w:sz w:val="16"/>
                <w:szCs w:val="16"/>
              </w:rPr>
              <w:t xml:space="preserve"> - </w:t>
            </w:r>
            <w:r w:rsidRPr="00E0139F">
              <w:rPr>
                <w:color w:val="000000"/>
                <w:sz w:val="16"/>
                <w:szCs w:val="16"/>
              </w:rPr>
              <w:t>7.70</w:t>
            </w:r>
            <w:r>
              <w:rPr>
                <w:color w:val="000000"/>
                <w:sz w:val="16"/>
                <w:szCs w:val="16"/>
              </w:rPr>
              <w:t>)</w:t>
            </w:r>
          </w:p>
        </w:tc>
        <w:tc>
          <w:tcPr>
            <w:tcW w:w="747" w:type="dxa"/>
            <w:vAlign w:val="center"/>
          </w:tcPr>
          <w:p w:rsidR="009F52BC" w:rsidRPr="00E0139F"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&gt;60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74.7</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3.42</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1.30</w:t>
            </w:r>
            <w:r>
              <w:rPr>
                <w:color w:val="000000"/>
                <w:sz w:val="16"/>
                <w:szCs w:val="16"/>
              </w:rPr>
              <w:t xml:space="preserve"> - </w:t>
            </w:r>
            <w:r w:rsidRPr="00E0139F">
              <w:rPr>
                <w:color w:val="000000"/>
                <w:sz w:val="16"/>
                <w:szCs w:val="16"/>
              </w:rPr>
              <w:t>8.98</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0.02</w:t>
            </w:r>
          </w:p>
        </w:tc>
      </w:tr>
      <w:tr w:rsidR="00205652" w:rsidRPr="009B1415" w:rsidTr="00E05935">
        <w:tc>
          <w:tcPr>
            <w:tcW w:w="4252" w:type="dxa"/>
            <w:vAlign w:val="bottom"/>
          </w:tcPr>
          <w:p w:rsidR="00205652" w:rsidRPr="009B1415" w:rsidRDefault="00205652" w:rsidP="00E9638E">
            <w:pPr>
              <w:spacing w:before="20"/>
              <w:rPr>
                <w:rFonts w:ascii="Calibri" w:hAnsi="Calibri"/>
                <w:b/>
                <w:bCs/>
                <w:color w:val="000000"/>
                <w:sz w:val="16"/>
                <w:szCs w:val="16"/>
              </w:rPr>
            </w:pPr>
            <w:r w:rsidRPr="009B1415">
              <w:rPr>
                <w:b/>
                <w:bCs/>
                <w:color w:val="000000"/>
                <w:sz w:val="16"/>
                <w:szCs w:val="16"/>
              </w:rPr>
              <w:t>Time spent playing EGMs in an average day (pub)</w:t>
            </w:r>
          </w:p>
        </w:tc>
        <w:tc>
          <w:tcPr>
            <w:tcW w:w="1113" w:type="dxa"/>
            <w:vAlign w:val="center"/>
          </w:tcPr>
          <w:p w:rsidR="00205652" w:rsidRPr="00E0139F" w:rsidRDefault="00205652" w:rsidP="00585838">
            <w:pPr>
              <w:adjustRightInd w:val="0"/>
              <w:spacing w:before="20"/>
              <w:jc w:val="right"/>
              <w:rPr>
                <w:color w:val="000000"/>
                <w:sz w:val="16"/>
                <w:szCs w:val="16"/>
              </w:rPr>
            </w:pPr>
          </w:p>
        </w:tc>
        <w:tc>
          <w:tcPr>
            <w:tcW w:w="976" w:type="dxa"/>
            <w:vAlign w:val="center"/>
          </w:tcPr>
          <w:p w:rsidR="00205652" w:rsidRPr="00E0139F" w:rsidRDefault="00205652" w:rsidP="00585838">
            <w:pPr>
              <w:adjustRightInd w:val="0"/>
              <w:spacing w:before="20"/>
              <w:jc w:val="right"/>
              <w:rPr>
                <w:color w:val="000000"/>
                <w:sz w:val="16"/>
                <w:szCs w:val="16"/>
              </w:rPr>
            </w:pPr>
          </w:p>
        </w:tc>
        <w:tc>
          <w:tcPr>
            <w:tcW w:w="835" w:type="dxa"/>
            <w:vAlign w:val="center"/>
          </w:tcPr>
          <w:p w:rsidR="00205652" w:rsidRPr="00E0139F" w:rsidRDefault="00205652" w:rsidP="00585838">
            <w:pPr>
              <w:adjustRightInd w:val="0"/>
              <w:spacing w:before="20"/>
              <w:jc w:val="right"/>
              <w:rPr>
                <w:color w:val="000000"/>
                <w:sz w:val="16"/>
                <w:szCs w:val="16"/>
              </w:rPr>
            </w:pPr>
          </w:p>
        </w:tc>
        <w:tc>
          <w:tcPr>
            <w:tcW w:w="383" w:type="dxa"/>
            <w:vAlign w:val="center"/>
          </w:tcPr>
          <w:p w:rsidR="00205652" w:rsidRPr="00E0139F" w:rsidRDefault="00205652" w:rsidP="00585838">
            <w:pPr>
              <w:adjustRightInd w:val="0"/>
              <w:spacing w:before="20"/>
              <w:jc w:val="right"/>
              <w:rPr>
                <w:color w:val="000000"/>
                <w:sz w:val="16"/>
                <w:szCs w:val="16"/>
              </w:rPr>
            </w:pPr>
          </w:p>
        </w:tc>
        <w:tc>
          <w:tcPr>
            <w:tcW w:w="747" w:type="dxa"/>
            <w:vAlign w:val="center"/>
          </w:tcPr>
          <w:p w:rsidR="00205652" w:rsidRPr="00E0139F" w:rsidRDefault="00205652" w:rsidP="00585838">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 time</w:t>
            </w:r>
          </w:p>
        </w:tc>
        <w:tc>
          <w:tcPr>
            <w:tcW w:w="1113" w:type="dxa"/>
            <w:vAlign w:val="center"/>
          </w:tcPr>
          <w:p w:rsidR="00205652" w:rsidRPr="00E0139F" w:rsidRDefault="00205652" w:rsidP="00585838">
            <w:pPr>
              <w:adjustRightInd w:val="0"/>
              <w:spacing w:before="20"/>
              <w:jc w:val="right"/>
              <w:rPr>
                <w:color w:val="000000"/>
                <w:sz w:val="16"/>
                <w:szCs w:val="16"/>
              </w:rPr>
            </w:pPr>
            <w:r w:rsidRPr="00E0139F">
              <w:rPr>
                <w:color w:val="000000"/>
                <w:sz w:val="16"/>
                <w:szCs w:val="16"/>
              </w:rPr>
              <w:t>43.34</w:t>
            </w:r>
          </w:p>
        </w:tc>
        <w:tc>
          <w:tcPr>
            <w:tcW w:w="976" w:type="dxa"/>
            <w:vAlign w:val="center"/>
          </w:tcPr>
          <w:p w:rsidR="00205652" w:rsidRPr="00E0139F" w:rsidRDefault="00205652" w:rsidP="00585838">
            <w:pPr>
              <w:adjustRightInd w:val="0"/>
              <w:spacing w:before="20"/>
              <w:jc w:val="right"/>
              <w:rPr>
                <w:color w:val="000000"/>
                <w:sz w:val="16"/>
                <w:szCs w:val="16"/>
              </w:rPr>
            </w:pPr>
            <w:r w:rsidRPr="00E0139F">
              <w:rPr>
                <w:color w:val="000000"/>
                <w:sz w:val="16"/>
                <w:szCs w:val="16"/>
              </w:rPr>
              <w:t>1.00</w:t>
            </w:r>
          </w:p>
        </w:tc>
        <w:tc>
          <w:tcPr>
            <w:tcW w:w="835" w:type="dxa"/>
            <w:vAlign w:val="center"/>
          </w:tcPr>
          <w:p w:rsidR="00205652" w:rsidRPr="00E0139F" w:rsidRDefault="00205652" w:rsidP="00585838">
            <w:pPr>
              <w:adjustRightInd w:val="0"/>
              <w:spacing w:before="20"/>
              <w:jc w:val="right"/>
              <w:rPr>
                <w:color w:val="000000"/>
                <w:sz w:val="16"/>
                <w:szCs w:val="16"/>
              </w:rPr>
            </w:pPr>
          </w:p>
        </w:tc>
        <w:tc>
          <w:tcPr>
            <w:tcW w:w="383" w:type="dxa"/>
            <w:vAlign w:val="center"/>
          </w:tcPr>
          <w:p w:rsidR="00205652" w:rsidRPr="00E0139F" w:rsidRDefault="00205652" w:rsidP="00585838">
            <w:pPr>
              <w:adjustRightInd w:val="0"/>
              <w:spacing w:before="20"/>
              <w:jc w:val="right"/>
              <w:rPr>
                <w:color w:val="000000"/>
                <w:sz w:val="16"/>
                <w:szCs w:val="16"/>
              </w:rPr>
            </w:pPr>
          </w:p>
        </w:tc>
        <w:tc>
          <w:tcPr>
            <w:tcW w:w="747" w:type="dxa"/>
            <w:vAlign w:val="center"/>
          </w:tcPr>
          <w:p w:rsidR="00205652" w:rsidRPr="00E0139F" w:rsidRDefault="00205652"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Up to 15 minutes</w:t>
            </w:r>
          </w:p>
        </w:tc>
        <w:tc>
          <w:tcPr>
            <w:tcW w:w="1113" w:type="dxa"/>
            <w:vAlign w:val="center"/>
          </w:tcPr>
          <w:p w:rsidR="009F52BC" w:rsidRPr="00E0139F" w:rsidRDefault="009F52BC" w:rsidP="00585838">
            <w:pPr>
              <w:adjustRightInd w:val="0"/>
              <w:spacing w:before="20"/>
              <w:jc w:val="right"/>
              <w:rPr>
                <w:color w:val="000000"/>
                <w:sz w:val="16"/>
                <w:szCs w:val="16"/>
              </w:rPr>
            </w:pPr>
            <w:r w:rsidRPr="00E0139F">
              <w:rPr>
                <w:color w:val="000000"/>
                <w:sz w:val="16"/>
                <w:szCs w:val="16"/>
              </w:rPr>
              <w:t>18.2</w:t>
            </w:r>
          </w:p>
        </w:tc>
        <w:tc>
          <w:tcPr>
            <w:tcW w:w="976" w:type="dxa"/>
            <w:vAlign w:val="center"/>
          </w:tcPr>
          <w:p w:rsidR="009F52BC" w:rsidRPr="00E0139F" w:rsidRDefault="009F52BC" w:rsidP="00585838">
            <w:pPr>
              <w:adjustRightInd w:val="0"/>
              <w:spacing w:before="20"/>
              <w:jc w:val="right"/>
              <w:rPr>
                <w:color w:val="000000"/>
                <w:sz w:val="16"/>
                <w:szCs w:val="16"/>
              </w:rPr>
            </w:pPr>
            <w:r w:rsidRPr="00E0139F">
              <w:rPr>
                <w:color w:val="000000"/>
                <w:sz w:val="16"/>
                <w:szCs w:val="16"/>
              </w:rPr>
              <w:t>0.29</w:t>
            </w:r>
          </w:p>
        </w:tc>
        <w:tc>
          <w:tcPr>
            <w:tcW w:w="1218" w:type="dxa"/>
            <w:gridSpan w:val="2"/>
            <w:vAlign w:val="center"/>
          </w:tcPr>
          <w:p w:rsidR="009F52BC" w:rsidRPr="00E0139F" w:rsidRDefault="009F52BC" w:rsidP="00585838">
            <w:pPr>
              <w:adjustRightInd w:val="0"/>
              <w:spacing w:before="20"/>
              <w:jc w:val="right"/>
              <w:rPr>
                <w:color w:val="000000"/>
                <w:sz w:val="16"/>
                <w:szCs w:val="16"/>
              </w:rPr>
            </w:pPr>
            <w:r>
              <w:rPr>
                <w:color w:val="000000"/>
                <w:sz w:val="16"/>
                <w:szCs w:val="16"/>
              </w:rPr>
              <w:t>(</w:t>
            </w:r>
            <w:r w:rsidRPr="00E0139F">
              <w:rPr>
                <w:color w:val="000000"/>
                <w:sz w:val="16"/>
                <w:szCs w:val="16"/>
              </w:rPr>
              <w:t>0.06</w:t>
            </w:r>
            <w:r>
              <w:rPr>
                <w:color w:val="000000"/>
                <w:sz w:val="16"/>
                <w:szCs w:val="16"/>
              </w:rPr>
              <w:t xml:space="preserve"> - </w:t>
            </w:r>
            <w:r w:rsidRPr="00E0139F">
              <w:rPr>
                <w:color w:val="000000"/>
                <w:sz w:val="16"/>
                <w:szCs w:val="16"/>
              </w:rPr>
              <w:t>1.32</w:t>
            </w:r>
            <w:r>
              <w:rPr>
                <w:color w:val="000000"/>
                <w:sz w:val="16"/>
                <w:szCs w:val="16"/>
              </w:rPr>
              <w:t>)</w:t>
            </w:r>
          </w:p>
        </w:tc>
        <w:tc>
          <w:tcPr>
            <w:tcW w:w="747" w:type="dxa"/>
            <w:vAlign w:val="center"/>
          </w:tcPr>
          <w:p w:rsidR="009F52BC" w:rsidRPr="00E0139F" w:rsidRDefault="009F52BC"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16 to 30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44.5</w:t>
            </w:r>
          </w:p>
        </w:tc>
        <w:tc>
          <w:tcPr>
            <w:tcW w:w="976" w:type="dxa"/>
            <w:vAlign w:val="center"/>
          </w:tcPr>
          <w:p w:rsidR="009F52BC" w:rsidRPr="00E0139F" w:rsidRDefault="009F52BC" w:rsidP="009F52BC">
            <w:pPr>
              <w:keepNext/>
              <w:adjustRightInd w:val="0"/>
              <w:spacing w:before="20"/>
              <w:jc w:val="right"/>
              <w:rPr>
                <w:color w:val="000000"/>
                <w:sz w:val="16"/>
                <w:szCs w:val="16"/>
              </w:rPr>
            </w:pPr>
            <w:r w:rsidRPr="00E0139F">
              <w:rPr>
                <w:color w:val="000000"/>
                <w:sz w:val="16"/>
                <w:szCs w:val="16"/>
              </w:rPr>
              <w:t>1.05</w:t>
            </w:r>
          </w:p>
        </w:tc>
        <w:tc>
          <w:tcPr>
            <w:tcW w:w="1218" w:type="dxa"/>
            <w:gridSpan w:val="2"/>
            <w:vAlign w:val="center"/>
          </w:tcPr>
          <w:p w:rsidR="009F52BC" w:rsidRPr="00E0139F" w:rsidRDefault="009F52BC" w:rsidP="009F52BC">
            <w:pPr>
              <w:keepNext/>
              <w:adjustRightInd w:val="0"/>
              <w:spacing w:before="20"/>
              <w:jc w:val="right"/>
              <w:rPr>
                <w:color w:val="000000"/>
                <w:sz w:val="16"/>
                <w:szCs w:val="16"/>
              </w:rPr>
            </w:pPr>
            <w:r>
              <w:rPr>
                <w:color w:val="000000"/>
                <w:sz w:val="16"/>
                <w:szCs w:val="16"/>
              </w:rPr>
              <w:t>(</w:t>
            </w:r>
            <w:r w:rsidRPr="00E0139F">
              <w:rPr>
                <w:color w:val="000000"/>
                <w:sz w:val="16"/>
                <w:szCs w:val="16"/>
              </w:rPr>
              <w:t>0.31</w:t>
            </w:r>
            <w:r>
              <w:rPr>
                <w:color w:val="000000"/>
                <w:sz w:val="16"/>
                <w:szCs w:val="16"/>
              </w:rPr>
              <w:t xml:space="preserve"> - </w:t>
            </w:r>
            <w:r w:rsidRPr="00E0139F">
              <w:rPr>
                <w:color w:val="000000"/>
                <w:sz w:val="16"/>
                <w:szCs w:val="16"/>
              </w:rPr>
              <w:t>3.57</w:t>
            </w:r>
            <w:r>
              <w:rPr>
                <w:color w:val="000000"/>
                <w:sz w:val="16"/>
                <w:szCs w:val="16"/>
              </w:rPr>
              <w:t>)</w:t>
            </w:r>
          </w:p>
        </w:tc>
        <w:tc>
          <w:tcPr>
            <w:tcW w:w="747" w:type="dxa"/>
            <w:vAlign w:val="center"/>
          </w:tcPr>
          <w:p w:rsidR="009F52BC" w:rsidRPr="00E0139F"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31 to 60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74.4</w:t>
            </w:r>
          </w:p>
        </w:tc>
        <w:tc>
          <w:tcPr>
            <w:tcW w:w="976" w:type="dxa"/>
            <w:vAlign w:val="center"/>
          </w:tcPr>
          <w:p w:rsidR="009F52BC" w:rsidRPr="00E0139F" w:rsidRDefault="009F52BC" w:rsidP="009F52BC">
            <w:pPr>
              <w:keepNext/>
              <w:adjustRightInd w:val="0"/>
              <w:spacing w:before="20"/>
              <w:jc w:val="right"/>
              <w:rPr>
                <w:color w:val="000000"/>
                <w:sz w:val="16"/>
                <w:szCs w:val="16"/>
              </w:rPr>
            </w:pPr>
            <w:r w:rsidRPr="00E0139F">
              <w:rPr>
                <w:color w:val="000000"/>
                <w:sz w:val="16"/>
                <w:szCs w:val="16"/>
              </w:rPr>
              <w:t>3.80</w:t>
            </w:r>
          </w:p>
        </w:tc>
        <w:tc>
          <w:tcPr>
            <w:tcW w:w="1218" w:type="dxa"/>
            <w:gridSpan w:val="2"/>
            <w:vAlign w:val="center"/>
          </w:tcPr>
          <w:p w:rsidR="009F52BC" w:rsidRPr="00E0139F" w:rsidRDefault="009F52BC" w:rsidP="009F52BC">
            <w:pPr>
              <w:keepNext/>
              <w:adjustRightInd w:val="0"/>
              <w:spacing w:before="20"/>
              <w:jc w:val="right"/>
              <w:rPr>
                <w:color w:val="000000"/>
                <w:sz w:val="16"/>
                <w:szCs w:val="16"/>
              </w:rPr>
            </w:pPr>
            <w:r>
              <w:rPr>
                <w:color w:val="000000"/>
                <w:sz w:val="16"/>
                <w:szCs w:val="16"/>
              </w:rPr>
              <w:t>(</w:t>
            </w:r>
            <w:r w:rsidRPr="00E0139F">
              <w:rPr>
                <w:color w:val="000000"/>
                <w:sz w:val="16"/>
                <w:szCs w:val="16"/>
              </w:rPr>
              <w:t>1.15</w:t>
            </w:r>
            <w:r>
              <w:rPr>
                <w:color w:val="000000"/>
                <w:sz w:val="16"/>
                <w:szCs w:val="16"/>
              </w:rPr>
              <w:t xml:space="preserve"> - </w:t>
            </w:r>
            <w:r w:rsidRPr="00E0139F">
              <w:rPr>
                <w:color w:val="000000"/>
                <w:sz w:val="16"/>
                <w:szCs w:val="16"/>
              </w:rPr>
              <w:t>12.53</w:t>
            </w:r>
            <w:r>
              <w:rPr>
                <w:color w:val="000000"/>
                <w:sz w:val="16"/>
                <w:szCs w:val="16"/>
              </w:rPr>
              <w:t>)</w:t>
            </w:r>
          </w:p>
        </w:tc>
        <w:tc>
          <w:tcPr>
            <w:tcW w:w="747" w:type="dxa"/>
            <w:vAlign w:val="center"/>
          </w:tcPr>
          <w:p w:rsidR="009F52BC" w:rsidRPr="00E0139F"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&gt;60 minutes</w:t>
            </w:r>
          </w:p>
        </w:tc>
        <w:tc>
          <w:tcPr>
            <w:tcW w:w="1113"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78.5</w:t>
            </w:r>
          </w:p>
        </w:tc>
        <w:tc>
          <w:tcPr>
            <w:tcW w:w="976" w:type="dxa"/>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4.76</w:t>
            </w:r>
          </w:p>
        </w:tc>
        <w:tc>
          <w:tcPr>
            <w:tcW w:w="1218" w:type="dxa"/>
            <w:gridSpan w:val="2"/>
            <w:vAlign w:val="center"/>
          </w:tcPr>
          <w:p w:rsidR="009F52BC" w:rsidRPr="00E0139F" w:rsidRDefault="009F52BC" w:rsidP="009F52BC">
            <w:pPr>
              <w:adjustRightInd w:val="0"/>
              <w:spacing w:before="20"/>
              <w:jc w:val="right"/>
              <w:rPr>
                <w:color w:val="000000"/>
                <w:sz w:val="16"/>
                <w:szCs w:val="16"/>
              </w:rPr>
            </w:pPr>
            <w:r>
              <w:rPr>
                <w:color w:val="000000"/>
                <w:sz w:val="16"/>
                <w:szCs w:val="16"/>
              </w:rPr>
              <w:t>(</w:t>
            </w:r>
            <w:r w:rsidRPr="00E0139F">
              <w:rPr>
                <w:color w:val="000000"/>
                <w:sz w:val="16"/>
                <w:szCs w:val="16"/>
              </w:rPr>
              <w:t>1.91</w:t>
            </w:r>
            <w:r>
              <w:rPr>
                <w:color w:val="000000"/>
                <w:sz w:val="16"/>
                <w:szCs w:val="16"/>
              </w:rPr>
              <w:t xml:space="preserve"> - </w:t>
            </w:r>
            <w:r w:rsidRPr="00E0139F">
              <w:rPr>
                <w:color w:val="000000"/>
                <w:sz w:val="16"/>
                <w:szCs w:val="16"/>
              </w:rPr>
              <w:t>11.86</w:t>
            </w:r>
            <w:r>
              <w:rPr>
                <w:color w:val="000000"/>
                <w:sz w:val="16"/>
                <w:szCs w:val="16"/>
              </w:rPr>
              <w:t>)</w:t>
            </w:r>
          </w:p>
        </w:tc>
        <w:tc>
          <w:tcPr>
            <w:tcW w:w="747" w:type="dxa"/>
            <w:shd w:val="clear" w:color="auto" w:fill="D9D9D9" w:themeFill="background1" w:themeFillShade="D9"/>
            <w:vAlign w:val="center"/>
          </w:tcPr>
          <w:p w:rsidR="009F52BC" w:rsidRPr="00E0139F" w:rsidRDefault="009F52BC" w:rsidP="009F52BC">
            <w:pPr>
              <w:adjustRightInd w:val="0"/>
              <w:spacing w:before="20"/>
              <w:jc w:val="right"/>
              <w:rPr>
                <w:color w:val="000000"/>
                <w:sz w:val="16"/>
                <w:szCs w:val="16"/>
              </w:rPr>
            </w:pPr>
            <w:r w:rsidRPr="00E0139F">
              <w:rPr>
                <w:color w:val="000000"/>
                <w:sz w:val="16"/>
                <w:szCs w:val="16"/>
              </w:rPr>
              <w:t>0.001</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bCs/>
                <w:color w:val="000000"/>
                <w:sz w:val="16"/>
                <w:szCs w:val="16"/>
              </w:rPr>
              <w:t>Time spent playing EGMs in an average day (club)</w:t>
            </w:r>
          </w:p>
        </w:tc>
        <w:tc>
          <w:tcPr>
            <w:tcW w:w="1113" w:type="dxa"/>
            <w:vAlign w:val="center"/>
          </w:tcPr>
          <w:p w:rsidR="00205652" w:rsidRPr="000C1AB9" w:rsidRDefault="00205652" w:rsidP="00585838">
            <w:pPr>
              <w:adjustRightInd w:val="0"/>
              <w:spacing w:before="20"/>
              <w:jc w:val="right"/>
              <w:rPr>
                <w:color w:val="000000"/>
                <w:sz w:val="16"/>
                <w:szCs w:val="16"/>
              </w:rPr>
            </w:pPr>
          </w:p>
        </w:tc>
        <w:tc>
          <w:tcPr>
            <w:tcW w:w="976" w:type="dxa"/>
            <w:vAlign w:val="center"/>
          </w:tcPr>
          <w:p w:rsidR="00205652" w:rsidRPr="000C1AB9" w:rsidRDefault="00205652" w:rsidP="00585838">
            <w:pPr>
              <w:adjustRightInd w:val="0"/>
              <w:spacing w:before="20"/>
              <w:jc w:val="right"/>
              <w:rPr>
                <w:color w:val="000000"/>
                <w:sz w:val="16"/>
                <w:szCs w:val="16"/>
              </w:rPr>
            </w:pPr>
          </w:p>
        </w:tc>
        <w:tc>
          <w:tcPr>
            <w:tcW w:w="835" w:type="dxa"/>
            <w:vAlign w:val="center"/>
          </w:tcPr>
          <w:p w:rsidR="00205652" w:rsidRPr="000C1AB9" w:rsidRDefault="00205652" w:rsidP="00585838">
            <w:pPr>
              <w:adjustRightInd w:val="0"/>
              <w:spacing w:before="20"/>
              <w:jc w:val="right"/>
              <w:rPr>
                <w:color w:val="000000"/>
                <w:sz w:val="16"/>
                <w:szCs w:val="16"/>
              </w:rPr>
            </w:pPr>
          </w:p>
        </w:tc>
        <w:tc>
          <w:tcPr>
            <w:tcW w:w="383" w:type="dxa"/>
            <w:vAlign w:val="center"/>
          </w:tcPr>
          <w:p w:rsidR="00205652" w:rsidRPr="000C1AB9" w:rsidRDefault="00205652" w:rsidP="00585838">
            <w:pPr>
              <w:adjustRightInd w:val="0"/>
              <w:spacing w:before="20"/>
              <w:jc w:val="right"/>
              <w:rPr>
                <w:color w:val="000000"/>
                <w:sz w:val="16"/>
                <w:szCs w:val="16"/>
              </w:rPr>
            </w:pPr>
          </w:p>
        </w:tc>
        <w:tc>
          <w:tcPr>
            <w:tcW w:w="747" w:type="dxa"/>
            <w:vAlign w:val="center"/>
          </w:tcPr>
          <w:p w:rsidR="00205652" w:rsidRPr="000C1AB9" w:rsidRDefault="00205652" w:rsidP="00585838">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 time</w:t>
            </w:r>
          </w:p>
        </w:tc>
        <w:tc>
          <w:tcPr>
            <w:tcW w:w="1113" w:type="dxa"/>
            <w:vAlign w:val="center"/>
          </w:tcPr>
          <w:p w:rsidR="00205652" w:rsidRPr="006F417A" w:rsidRDefault="00205652" w:rsidP="00585838">
            <w:pPr>
              <w:adjustRightInd w:val="0"/>
              <w:spacing w:before="20"/>
              <w:jc w:val="right"/>
              <w:rPr>
                <w:color w:val="000000"/>
                <w:sz w:val="16"/>
                <w:szCs w:val="16"/>
              </w:rPr>
            </w:pPr>
            <w:r w:rsidRPr="006F417A">
              <w:rPr>
                <w:color w:val="000000"/>
                <w:sz w:val="16"/>
                <w:szCs w:val="16"/>
              </w:rPr>
              <w:t>42.9</w:t>
            </w:r>
          </w:p>
        </w:tc>
        <w:tc>
          <w:tcPr>
            <w:tcW w:w="976" w:type="dxa"/>
            <w:vAlign w:val="center"/>
          </w:tcPr>
          <w:p w:rsidR="00205652" w:rsidRPr="006F417A" w:rsidRDefault="00205652" w:rsidP="00585838">
            <w:pPr>
              <w:adjustRightInd w:val="0"/>
              <w:spacing w:before="20"/>
              <w:jc w:val="right"/>
              <w:rPr>
                <w:color w:val="000000"/>
                <w:sz w:val="16"/>
                <w:szCs w:val="16"/>
              </w:rPr>
            </w:pPr>
            <w:r w:rsidRPr="006F417A">
              <w:rPr>
                <w:color w:val="000000"/>
                <w:sz w:val="16"/>
                <w:szCs w:val="16"/>
              </w:rPr>
              <w:t>1.00</w:t>
            </w:r>
          </w:p>
        </w:tc>
        <w:tc>
          <w:tcPr>
            <w:tcW w:w="835" w:type="dxa"/>
            <w:vAlign w:val="center"/>
          </w:tcPr>
          <w:p w:rsidR="00205652" w:rsidRPr="006F417A" w:rsidRDefault="00205652" w:rsidP="00585838">
            <w:pPr>
              <w:adjustRightInd w:val="0"/>
              <w:spacing w:before="20"/>
              <w:jc w:val="right"/>
              <w:rPr>
                <w:color w:val="000000"/>
                <w:sz w:val="16"/>
                <w:szCs w:val="16"/>
              </w:rPr>
            </w:pPr>
          </w:p>
        </w:tc>
        <w:tc>
          <w:tcPr>
            <w:tcW w:w="383" w:type="dxa"/>
            <w:vAlign w:val="center"/>
          </w:tcPr>
          <w:p w:rsidR="00205652" w:rsidRPr="006F417A" w:rsidRDefault="00205652" w:rsidP="00585838">
            <w:pPr>
              <w:adjustRightInd w:val="0"/>
              <w:spacing w:before="20"/>
              <w:jc w:val="right"/>
              <w:rPr>
                <w:color w:val="000000"/>
                <w:sz w:val="16"/>
                <w:szCs w:val="16"/>
              </w:rPr>
            </w:pPr>
          </w:p>
        </w:tc>
        <w:tc>
          <w:tcPr>
            <w:tcW w:w="747" w:type="dxa"/>
            <w:vAlign w:val="center"/>
          </w:tcPr>
          <w:p w:rsidR="00205652" w:rsidRPr="006F417A" w:rsidRDefault="00205652"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Up to 15 minutes</w:t>
            </w:r>
          </w:p>
        </w:tc>
        <w:tc>
          <w:tcPr>
            <w:tcW w:w="1113"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76.4</w:t>
            </w:r>
          </w:p>
        </w:tc>
        <w:tc>
          <w:tcPr>
            <w:tcW w:w="976"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4.30</w:t>
            </w:r>
          </w:p>
        </w:tc>
        <w:tc>
          <w:tcPr>
            <w:tcW w:w="1218" w:type="dxa"/>
            <w:gridSpan w:val="2"/>
            <w:vAlign w:val="center"/>
          </w:tcPr>
          <w:p w:rsidR="009F52BC" w:rsidRPr="006F417A" w:rsidRDefault="009F52BC" w:rsidP="00585838">
            <w:pPr>
              <w:adjustRightInd w:val="0"/>
              <w:spacing w:before="20"/>
              <w:jc w:val="right"/>
              <w:rPr>
                <w:color w:val="000000"/>
                <w:sz w:val="16"/>
                <w:szCs w:val="16"/>
              </w:rPr>
            </w:pPr>
            <w:r>
              <w:rPr>
                <w:color w:val="000000"/>
                <w:sz w:val="16"/>
                <w:szCs w:val="16"/>
              </w:rPr>
              <w:t>(</w:t>
            </w:r>
            <w:r w:rsidRPr="006F417A">
              <w:rPr>
                <w:color w:val="000000"/>
                <w:sz w:val="16"/>
                <w:szCs w:val="16"/>
              </w:rPr>
              <w:t>0.45</w:t>
            </w:r>
            <w:r>
              <w:rPr>
                <w:color w:val="000000"/>
                <w:sz w:val="16"/>
                <w:szCs w:val="16"/>
              </w:rPr>
              <w:t xml:space="preserve"> - </w:t>
            </w:r>
            <w:r w:rsidRPr="006F417A">
              <w:rPr>
                <w:color w:val="000000"/>
                <w:sz w:val="16"/>
                <w:szCs w:val="16"/>
              </w:rPr>
              <w:t>41.41</w:t>
            </w:r>
            <w:r>
              <w:rPr>
                <w:color w:val="000000"/>
                <w:sz w:val="16"/>
                <w:szCs w:val="16"/>
              </w:rPr>
              <w:t>)</w:t>
            </w:r>
          </w:p>
        </w:tc>
        <w:tc>
          <w:tcPr>
            <w:tcW w:w="747" w:type="dxa"/>
            <w:vAlign w:val="center"/>
          </w:tcPr>
          <w:p w:rsidR="009F52BC" w:rsidRPr="006F417A" w:rsidRDefault="009F52BC"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16 to 30 minutes</w:t>
            </w:r>
          </w:p>
        </w:tc>
        <w:tc>
          <w:tcPr>
            <w:tcW w:w="1113"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56.6</w:t>
            </w:r>
          </w:p>
        </w:tc>
        <w:tc>
          <w:tcPr>
            <w:tcW w:w="976"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1.74</w:t>
            </w:r>
          </w:p>
        </w:tc>
        <w:tc>
          <w:tcPr>
            <w:tcW w:w="1218" w:type="dxa"/>
            <w:gridSpan w:val="2"/>
            <w:vAlign w:val="center"/>
          </w:tcPr>
          <w:p w:rsidR="009F52BC" w:rsidRPr="006F417A" w:rsidRDefault="009F52BC" w:rsidP="00585838">
            <w:pPr>
              <w:adjustRightInd w:val="0"/>
              <w:spacing w:before="20"/>
              <w:jc w:val="right"/>
              <w:rPr>
                <w:color w:val="000000"/>
                <w:sz w:val="16"/>
                <w:szCs w:val="16"/>
              </w:rPr>
            </w:pPr>
            <w:r>
              <w:rPr>
                <w:color w:val="000000"/>
                <w:sz w:val="16"/>
                <w:szCs w:val="16"/>
              </w:rPr>
              <w:t>(</w:t>
            </w:r>
            <w:r w:rsidRPr="006F417A">
              <w:rPr>
                <w:color w:val="000000"/>
                <w:sz w:val="16"/>
                <w:szCs w:val="16"/>
              </w:rPr>
              <w:t>0.43</w:t>
            </w:r>
            <w:r>
              <w:rPr>
                <w:color w:val="000000"/>
                <w:sz w:val="16"/>
                <w:szCs w:val="16"/>
              </w:rPr>
              <w:t xml:space="preserve"> - </w:t>
            </w:r>
            <w:r w:rsidRPr="006F417A">
              <w:rPr>
                <w:color w:val="000000"/>
                <w:sz w:val="16"/>
                <w:szCs w:val="16"/>
              </w:rPr>
              <w:t>6.96</w:t>
            </w:r>
            <w:r>
              <w:rPr>
                <w:color w:val="000000"/>
                <w:sz w:val="16"/>
                <w:szCs w:val="16"/>
              </w:rPr>
              <w:t>)</w:t>
            </w:r>
          </w:p>
        </w:tc>
        <w:tc>
          <w:tcPr>
            <w:tcW w:w="747" w:type="dxa"/>
            <w:vAlign w:val="center"/>
          </w:tcPr>
          <w:p w:rsidR="009F52BC" w:rsidRPr="006F417A" w:rsidRDefault="009F52BC"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31 to 60 minutes</w:t>
            </w:r>
          </w:p>
        </w:tc>
        <w:tc>
          <w:tcPr>
            <w:tcW w:w="1113"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96.1</w:t>
            </w:r>
          </w:p>
        </w:tc>
        <w:tc>
          <w:tcPr>
            <w:tcW w:w="976"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32.74</w:t>
            </w:r>
          </w:p>
        </w:tc>
        <w:tc>
          <w:tcPr>
            <w:tcW w:w="1218" w:type="dxa"/>
            <w:gridSpan w:val="2"/>
            <w:vAlign w:val="center"/>
          </w:tcPr>
          <w:p w:rsidR="009F52BC" w:rsidRPr="006F417A" w:rsidRDefault="009F52BC" w:rsidP="00585838">
            <w:pPr>
              <w:adjustRightInd w:val="0"/>
              <w:spacing w:before="20"/>
              <w:jc w:val="right"/>
              <w:rPr>
                <w:color w:val="000000"/>
                <w:sz w:val="16"/>
                <w:szCs w:val="16"/>
              </w:rPr>
            </w:pPr>
            <w:r>
              <w:rPr>
                <w:color w:val="000000"/>
                <w:sz w:val="16"/>
                <w:szCs w:val="16"/>
              </w:rPr>
              <w:t>(</w:t>
            </w:r>
            <w:r w:rsidRPr="006F417A">
              <w:rPr>
                <w:color w:val="000000"/>
                <w:sz w:val="16"/>
                <w:szCs w:val="16"/>
              </w:rPr>
              <w:t>3.88</w:t>
            </w:r>
            <w:r>
              <w:rPr>
                <w:color w:val="000000"/>
                <w:sz w:val="16"/>
                <w:szCs w:val="16"/>
              </w:rPr>
              <w:t xml:space="preserve"> - </w:t>
            </w:r>
            <w:r w:rsidRPr="006F417A">
              <w:rPr>
                <w:color w:val="000000"/>
                <w:sz w:val="16"/>
                <w:szCs w:val="16"/>
              </w:rPr>
              <w:t>276.24</w:t>
            </w:r>
            <w:r>
              <w:rPr>
                <w:color w:val="000000"/>
                <w:sz w:val="16"/>
                <w:szCs w:val="16"/>
              </w:rPr>
              <w:t>)</w:t>
            </w:r>
          </w:p>
        </w:tc>
        <w:tc>
          <w:tcPr>
            <w:tcW w:w="747" w:type="dxa"/>
            <w:shd w:val="clear" w:color="auto" w:fill="auto"/>
            <w:vAlign w:val="center"/>
          </w:tcPr>
          <w:p w:rsidR="009F52BC" w:rsidRPr="006F417A" w:rsidRDefault="009F52BC" w:rsidP="00585838">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&gt;60 minutes</w:t>
            </w:r>
          </w:p>
        </w:tc>
        <w:tc>
          <w:tcPr>
            <w:tcW w:w="1113"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85.2</w:t>
            </w:r>
          </w:p>
        </w:tc>
        <w:tc>
          <w:tcPr>
            <w:tcW w:w="976" w:type="dxa"/>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7.69</w:t>
            </w:r>
          </w:p>
        </w:tc>
        <w:tc>
          <w:tcPr>
            <w:tcW w:w="1218" w:type="dxa"/>
            <w:gridSpan w:val="2"/>
            <w:vAlign w:val="center"/>
          </w:tcPr>
          <w:p w:rsidR="009F52BC" w:rsidRPr="006F417A" w:rsidRDefault="009F52BC" w:rsidP="00585838">
            <w:pPr>
              <w:adjustRightInd w:val="0"/>
              <w:spacing w:before="20"/>
              <w:jc w:val="right"/>
              <w:rPr>
                <w:color w:val="000000"/>
                <w:sz w:val="16"/>
                <w:szCs w:val="16"/>
              </w:rPr>
            </w:pPr>
            <w:r>
              <w:rPr>
                <w:color w:val="000000"/>
                <w:sz w:val="16"/>
                <w:szCs w:val="16"/>
              </w:rPr>
              <w:t>(</w:t>
            </w:r>
            <w:r w:rsidRPr="006F417A">
              <w:rPr>
                <w:color w:val="000000"/>
                <w:sz w:val="16"/>
                <w:szCs w:val="16"/>
              </w:rPr>
              <w:t>1.66</w:t>
            </w:r>
            <w:r>
              <w:rPr>
                <w:color w:val="000000"/>
                <w:sz w:val="16"/>
                <w:szCs w:val="16"/>
              </w:rPr>
              <w:t xml:space="preserve"> - </w:t>
            </w:r>
            <w:r w:rsidRPr="006F417A">
              <w:rPr>
                <w:color w:val="000000"/>
                <w:sz w:val="16"/>
                <w:szCs w:val="16"/>
              </w:rPr>
              <w:t>35.55</w:t>
            </w:r>
            <w:r>
              <w:rPr>
                <w:color w:val="000000"/>
                <w:sz w:val="16"/>
                <w:szCs w:val="16"/>
              </w:rPr>
              <w:t>)</w:t>
            </w:r>
          </w:p>
        </w:tc>
        <w:tc>
          <w:tcPr>
            <w:tcW w:w="747" w:type="dxa"/>
            <w:shd w:val="clear" w:color="auto" w:fill="D9D9D9" w:themeFill="background1" w:themeFillShade="D9"/>
            <w:vAlign w:val="center"/>
          </w:tcPr>
          <w:p w:rsidR="009F52BC" w:rsidRPr="006F417A" w:rsidRDefault="009F52BC" w:rsidP="00585838">
            <w:pPr>
              <w:adjustRightInd w:val="0"/>
              <w:spacing w:before="20"/>
              <w:jc w:val="right"/>
              <w:rPr>
                <w:color w:val="000000"/>
                <w:sz w:val="16"/>
                <w:szCs w:val="16"/>
              </w:rPr>
            </w:pPr>
            <w:r w:rsidRPr="006F417A">
              <w:rPr>
                <w:color w:val="000000"/>
                <w:sz w:val="16"/>
                <w:szCs w:val="16"/>
              </w:rPr>
              <w:t>0.001</w:t>
            </w:r>
          </w:p>
        </w:tc>
      </w:tr>
      <w:tr w:rsidR="00205652" w:rsidRPr="00205652" w:rsidTr="00E05935">
        <w:tc>
          <w:tcPr>
            <w:tcW w:w="5365" w:type="dxa"/>
            <w:gridSpan w:val="2"/>
            <w:vAlign w:val="bottom"/>
          </w:tcPr>
          <w:p w:rsidR="00205652" w:rsidRPr="00205652" w:rsidRDefault="00205652" w:rsidP="00E9638E">
            <w:pPr>
              <w:spacing w:before="20"/>
              <w:rPr>
                <w:b/>
                <w:bCs/>
                <w:color w:val="000000"/>
                <w:sz w:val="16"/>
                <w:szCs w:val="16"/>
              </w:rPr>
            </w:pPr>
            <w:r w:rsidRPr="00205652">
              <w:rPr>
                <w:b/>
                <w:bCs/>
                <w:color w:val="000000"/>
                <w:sz w:val="16"/>
                <w:szCs w:val="16"/>
              </w:rPr>
              <w:t>Methods - Avoiding places that have betting or gambling</w:t>
            </w:r>
          </w:p>
        </w:tc>
        <w:tc>
          <w:tcPr>
            <w:tcW w:w="976" w:type="dxa"/>
            <w:vAlign w:val="center"/>
          </w:tcPr>
          <w:p w:rsidR="00205652" w:rsidRPr="00205652" w:rsidRDefault="00205652" w:rsidP="00585838">
            <w:pPr>
              <w:spacing w:before="20"/>
              <w:jc w:val="both"/>
              <w:rPr>
                <w:b/>
                <w:bCs/>
                <w:color w:val="000000"/>
                <w:sz w:val="16"/>
                <w:szCs w:val="16"/>
              </w:rPr>
            </w:pPr>
          </w:p>
        </w:tc>
        <w:tc>
          <w:tcPr>
            <w:tcW w:w="835" w:type="dxa"/>
            <w:vAlign w:val="center"/>
          </w:tcPr>
          <w:p w:rsidR="00205652" w:rsidRPr="00205652" w:rsidRDefault="00205652" w:rsidP="00585838">
            <w:pPr>
              <w:spacing w:before="20"/>
              <w:jc w:val="both"/>
              <w:rPr>
                <w:b/>
                <w:bCs/>
                <w:color w:val="000000"/>
                <w:sz w:val="16"/>
                <w:szCs w:val="16"/>
              </w:rPr>
            </w:pPr>
          </w:p>
        </w:tc>
        <w:tc>
          <w:tcPr>
            <w:tcW w:w="383" w:type="dxa"/>
            <w:vAlign w:val="center"/>
          </w:tcPr>
          <w:p w:rsidR="00205652" w:rsidRPr="00205652" w:rsidRDefault="00205652" w:rsidP="00585838">
            <w:pPr>
              <w:spacing w:before="20"/>
              <w:jc w:val="both"/>
              <w:rPr>
                <w:b/>
                <w:bCs/>
                <w:color w:val="000000"/>
                <w:sz w:val="16"/>
                <w:szCs w:val="16"/>
              </w:rPr>
            </w:pPr>
          </w:p>
        </w:tc>
        <w:tc>
          <w:tcPr>
            <w:tcW w:w="747" w:type="dxa"/>
            <w:vAlign w:val="center"/>
          </w:tcPr>
          <w:p w:rsidR="00205652" w:rsidRPr="00205652" w:rsidRDefault="00205652" w:rsidP="00585838">
            <w:pPr>
              <w:spacing w:before="20"/>
              <w:jc w:val="both"/>
              <w:rPr>
                <w:b/>
                <w:bCs/>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46.4</w:t>
            </w:r>
          </w:p>
        </w:tc>
        <w:tc>
          <w:tcPr>
            <w:tcW w:w="976"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1.00</w:t>
            </w:r>
          </w:p>
        </w:tc>
        <w:tc>
          <w:tcPr>
            <w:tcW w:w="835" w:type="dxa"/>
            <w:vAlign w:val="center"/>
          </w:tcPr>
          <w:p w:rsidR="00205652" w:rsidRPr="006F417A" w:rsidRDefault="00205652" w:rsidP="009F52BC">
            <w:pPr>
              <w:adjustRightInd w:val="0"/>
              <w:spacing w:before="20"/>
              <w:jc w:val="right"/>
              <w:rPr>
                <w:color w:val="000000"/>
                <w:sz w:val="16"/>
                <w:szCs w:val="16"/>
              </w:rPr>
            </w:pPr>
          </w:p>
        </w:tc>
        <w:tc>
          <w:tcPr>
            <w:tcW w:w="383" w:type="dxa"/>
            <w:vAlign w:val="center"/>
          </w:tcPr>
          <w:p w:rsidR="00205652" w:rsidRPr="006F417A" w:rsidRDefault="00205652" w:rsidP="009F52BC">
            <w:pPr>
              <w:adjustRightInd w:val="0"/>
              <w:spacing w:before="20"/>
              <w:jc w:val="right"/>
              <w:rPr>
                <w:color w:val="000000"/>
                <w:sz w:val="16"/>
                <w:szCs w:val="16"/>
              </w:rPr>
            </w:pPr>
          </w:p>
        </w:tc>
        <w:tc>
          <w:tcPr>
            <w:tcW w:w="747" w:type="dxa"/>
            <w:vAlign w:val="center"/>
          </w:tcPr>
          <w:p w:rsidR="00205652" w:rsidRPr="006F417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68.5</w:t>
            </w:r>
          </w:p>
        </w:tc>
        <w:tc>
          <w:tcPr>
            <w:tcW w:w="976"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2.51</w:t>
            </w:r>
          </w:p>
        </w:tc>
        <w:tc>
          <w:tcPr>
            <w:tcW w:w="1218" w:type="dxa"/>
            <w:gridSpan w:val="2"/>
            <w:vAlign w:val="center"/>
          </w:tcPr>
          <w:p w:rsidR="009F52BC" w:rsidRPr="006F417A" w:rsidRDefault="009F52BC" w:rsidP="009F52BC">
            <w:pPr>
              <w:adjustRightInd w:val="0"/>
              <w:spacing w:before="20"/>
              <w:jc w:val="right"/>
              <w:rPr>
                <w:color w:val="000000"/>
                <w:sz w:val="16"/>
                <w:szCs w:val="16"/>
              </w:rPr>
            </w:pPr>
            <w:r>
              <w:rPr>
                <w:color w:val="000000"/>
                <w:sz w:val="16"/>
                <w:szCs w:val="16"/>
              </w:rPr>
              <w:t>(</w:t>
            </w:r>
            <w:r w:rsidRPr="006F417A">
              <w:rPr>
                <w:color w:val="000000"/>
                <w:sz w:val="16"/>
                <w:szCs w:val="16"/>
              </w:rPr>
              <w:t>1.05</w:t>
            </w:r>
            <w:r>
              <w:rPr>
                <w:color w:val="000000"/>
                <w:sz w:val="16"/>
                <w:szCs w:val="16"/>
              </w:rPr>
              <w:t xml:space="preserve"> - </w:t>
            </w:r>
            <w:r w:rsidRPr="006F417A">
              <w:rPr>
                <w:color w:val="000000"/>
                <w:sz w:val="16"/>
                <w:szCs w:val="16"/>
              </w:rPr>
              <w:t>6.00</w:t>
            </w:r>
            <w:r>
              <w:rPr>
                <w:color w:val="000000"/>
                <w:sz w:val="16"/>
                <w:szCs w:val="16"/>
              </w:rPr>
              <w:t>)</w:t>
            </w:r>
          </w:p>
        </w:tc>
        <w:tc>
          <w:tcPr>
            <w:tcW w:w="747" w:type="dxa"/>
            <w:shd w:val="clear" w:color="auto" w:fill="D9D9D9" w:themeFill="background1" w:themeFillShade="D9"/>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0.04</w:t>
            </w:r>
          </w:p>
        </w:tc>
      </w:tr>
      <w:tr w:rsidR="00FA7721" w:rsidRPr="009B1415" w:rsidTr="00FA7721">
        <w:tc>
          <w:tcPr>
            <w:tcW w:w="5365" w:type="dxa"/>
            <w:gridSpan w:val="2"/>
            <w:vAlign w:val="bottom"/>
          </w:tcPr>
          <w:p w:rsidR="00FA7721" w:rsidRPr="006F417A" w:rsidRDefault="00FA7721" w:rsidP="00FA7721">
            <w:pPr>
              <w:adjustRightInd w:val="0"/>
              <w:spacing w:before="20"/>
              <w:rPr>
                <w:color w:val="000000"/>
                <w:sz w:val="16"/>
                <w:szCs w:val="16"/>
              </w:rPr>
            </w:pPr>
            <w:r w:rsidRPr="009B1415">
              <w:rPr>
                <w:b/>
                <w:sz w:val="16"/>
                <w:szCs w:val="16"/>
              </w:rPr>
              <w:t xml:space="preserve">Sought help </w:t>
            </w:r>
            <w:r w:rsidRPr="00FA7721">
              <w:rPr>
                <w:b/>
                <w:sz w:val="16"/>
                <w:szCs w:val="16"/>
              </w:rPr>
              <w:t xml:space="preserve">(from formal and informal sources) </w:t>
            </w:r>
            <w:r w:rsidRPr="009B1415">
              <w:rPr>
                <w:b/>
                <w:sz w:val="16"/>
                <w:szCs w:val="16"/>
              </w:rPr>
              <w:t>in last year</w:t>
            </w:r>
          </w:p>
        </w:tc>
        <w:tc>
          <w:tcPr>
            <w:tcW w:w="976" w:type="dxa"/>
            <w:vAlign w:val="center"/>
          </w:tcPr>
          <w:p w:rsidR="00FA7721" w:rsidRPr="006F417A" w:rsidRDefault="00FA7721" w:rsidP="009F52BC">
            <w:pPr>
              <w:adjustRightInd w:val="0"/>
              <w:spacing w:before="20"/>
              <w:jc w:val="right"/>
              <w:rPr>
                <w:color w:val="000000"/>
                <w:sz w:val="16"/>
                <w:szCs w:val="16"/>
              </w:rPr>
            </w:pPr>
          </w:p>
        </w:tc>
        <w:tc>
          <w:tcPr>
            <w:tcW w:w="835" w:type="dxa"/>
            <w:vAlign w:val="center"/>
          </w:tcPr>
          <w:p w:rsidR="00FA7721" w:rsidRPr="006F417A" w:rsidRDefault="00FA7721" w:rsidP="009F52BC">
            <w:pPr>
              <w:adjustRightInd w:val="0"/>
              <w:spacing w:before="20"/>
              <w:jc w:val="right"/>
              <w:rPr>
                <w:color w:val="000000"/>
                <w:sz w:val="16"/>
                <w:szCs w:val="16"/>
              </w:rPr>
            </w:pPr>
          </w:p>
        </w:tc>
        <w:tc>
          <w:tcPr>
            <w:tcW w:w="383" w:type="dxa"/>
            <w:vAlign w:val="center"/>
          </w:tcPr>
          <w:p w:rsidR="00FA7721" w:rsidRPr="006F417A" w:rsidRDefault="00FA7721" w:rsidP="009F52BC">
            <w:pPr>
              <w:adjustRightInd w:val="0"/>
              <w:spacing w:before="20"/>
              <w:jc w:val="right"/>
              <w:rPr>
                <w:color w:val="000000"/>
                <w:sz w:val="16"/>
                <w:szCs w:val="16"/>
              </w:rPr>
            </w:pPr>
          </w:p>
        </w:tc>
        <w:tc>
          <w:tcPr>
            <w:tcW w:w="747" w:type="dxa"/>
            <w:vAlign w:val="center"/>
          </w:tcPr>
          <w:p w:rsidR="00FA7721" w:rsidRPr="006F417A" w:rsidRDefault="00FA7721"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No</w:t>
            </w:r>
          </w:p>
        </w:tc>
        <w:tc>
          <w:tcPr>
            <w:tcW w:w="1113"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47.8</w:t>
            </w:r>
          </w:p>
        </w:tc>
        <w:tc>
          <w:tcPr>
            <w:tcW w:w="976"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1.00</w:t>
            </w:r>
          </w:p>
        </w:tc>
        <w:tc>
          <w:tcPr>
            <w:tcW w:w="835" w:type="dxa"/>
            <w:vAlign w:val="center"/>
          </w:tcPr>
          <w:p w:rsidR="00205652" w:rsidRPr="006F417A" w:rsidRDefault="00205652" w:rsidP="009F52BC">
            <w:pPr>
              <w:adjustRightInd w:val="0"/>
              <w:spacing w:before="20"/>
              <w:jc w:val="right"/>
              <w:rPr>
                <w:color w:val="000000"/>
                <w:sz w:val="16"/>
                <w:szCs w:val="16"/>
              </w:rPr>
            </w:pPr>
          </w:p>
        </w:tc>
        <w:tc>
          <w:tcPr>
            <w:tcW w:w="383" w:type="dxa"/>
            <w:vAlign w:val="center"/>
          </w:tcPr>
          <w:p w:rsidR="00205652" w:rsidRPr="006F417A" w:rsidRDefault="00205652" w:rsidP="009F52BC">
            <w:pPr>
              <w:adjustRightInd w:val="0"/>
              <w:spacing w:before="20"/>
              <w:jc w:val="right"/>
              <w:rPr>
                <w:color w:val="000000"/>
                <w:sz w:val="16"/>
                <w:szCs w:val="16"/>
              </w:rPr>
            </w:pPr>
          </w:p>
        </w:tc>
        <w:tc>
          <w:tcPr>
            <w:tcW w:w="747" w:type="dxa"/>
            <w:vAlign w:val="center"/>
          </w:tcPr>
          <w:p w:rsidR="00205652" w:rsidRPr="006F417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Yes</w:t>
            </w:r>
          </w:p>
        </w:tc>
        <w:tc>
          <w:tcPr>
            <w:tcW w:w="1113"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87.1</w:t>
            </w:r>
          </w:p>
        </w:tc>
        <w:tc>
          <w:tcPr>
            <w:tcW w:w="976"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7.37</w:t>
            </w:r>
          </w:p>
        </w:tc>
        <w:tc>
          <w:tcPr>
            <w:tcW w:w="1218" w:type="dxa"/>
            <w:gridSpan w:val="2"/>
            <w:vAlign w:val="center"/>
          </w:tcPr>
          <w:p w:rsidR="009F52BC" w:rsidRPr="006F417A" w:rsidRDefault="009F52BC" w:rsidP="009F52BC">
            <w:pPr>
              <w:adjustRightInd w:val="0"/>
              <w:spacing w:before="20"/>
              <w:jc w:val="right"/>
              <w:rPr>
                <w:color w:val="000000"/>
                <w:sz w:val="16"/>
                <w:szCs w:val="16"/>
              </w:rPr>
            </w:pPr>
            <w:r>
              <w:rPr>
                <w:color w:val="000000"/>
                <w:sz w:val="16"/>
                <w:szCs w:val="16"/>
              </w:rPr>
              <w:t>(</w:t>
            </w:r>
            <w:r w:rsidRPr="006F417A">
              <w:rPr>
                <w:color w:val="000000"/>
                <w:sz w:val="16"/>
                <w:szCs w:val="16"/>
              </w:rPr>
              <w:t>1.24</w:t>
            </w:r>
            <w:r>
              <w:rPr>
                <w:color w:val="000000"/>
                <w:sz w:val="16"/>
                <w:szCs w:val="16"/>
              </w:rPr>
              <w:t xml:space="preserve"> - </w:t>
            </w:r>
            <w:r w:rsidRPr="006F417A">
              <w:rPr>
                <w:color w:val="000000"/>
                <w:sz w:val="16"/>
                <w:szCs w:val="16"/>
              </w:rPr>
              <w:t>43.94</w:t>
            </w:r>
            <w:r>
              <w:rPr>
                <w:color w:val="000000"/>
                <w:sz w:val="16"/>
                <w:szCs w:val="16"/>
              </w:rPr>
              <w:t>)</w:t>
            </w:r>
          </w:p>
        </w:tc>
        <w:tc>
          <w:tcPr>
            <w:tcW w:w="747" w:type="dxa"/>
            <w:shd w:val="clear" w:color="auto" w:fill="D9D9D9" w:themeFill="background1" w:themeFillShade="D9"/>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0.03</w:t>
            </w:r>
          </w:p>
        </w:tc>
      </w:tr>
      <w:tr w:rsidR="00205652" w:rsidRPr="009B1415" w:rsidTr="00E05935">
        <w:tc>
          <w:tcPr>
            <w:tcW w:w="4252" w:type="dxa"/>
            <w:vAlign w:val="bottom"/>
          </w:tcPr>
          <w:p w:rsidR="00205652" w:rsidRPr="009B1415" w:rsidRDefault="00205652" w:rsidP="00E9638E">
            <w:pPr>
              <w:spacing w:before="20"/>
              <w:rPr>
                <w:b/>
                <w:sz w:val="16"/>
                <w:szCs w:val="16"/>
              </w:rPr>
            </w:pPr>
            <w:r w:rsidRPr="009B1415">
              <w:rPr>
                <w:b/>
                <w:sz w:val="16"/>
                <w:szCs w:val="16"/>
              </w:rPr>
              <w:t>Quality of life (WHOQoL-8)</w:t>
            </w:r>
          </w:p>
        </w:tc>
        <w:tc>
          <w:tcPr>
            <w:tcW w:w="1113" w:type="dxa"/>
            <w:vAlign w:val="center"/>
          </w:tcPr>
          <w:p w:rsidR="00205652" w:rsidRPr="006F417A" w:rsidRDefault="00205652" w:rsidP="009F52BC">
            <w:pPr>
              <w:adjustRightInd w:val="0"/>
              <w:spacing w:before="20"/>
              <w:jc w:val="right"/>
              <w:rPr>
                <w:color w:val="000000"/>
                <w:sz w:val="16"/>
                <w:szCs w:val="16"/>
              </w:rPr>
            </w:pPr>
          </w:p>
        </w:tc>
        <w:tc>
          <w:tcPr>
            <w:tcW w:w="976" w:type="dxa"/>
            <w:vAlign w:val="center"/>
          </w:tcPr>
          <w:p w:rsidR="00205652" w:rsidRPr="006F417A" w:rsidRDefault="00205652" w:rsidP="009F52BC">
            <w:pPr>
              <w:adjustRightInd w:val="0"/>
              <w:spacing w:before="20"/>
              <w:jc w:val="right"/>
              <w:rPr>
                <w:color w:val="000000"/>
                <w:sz w:val="16"/>
                <w:szCs w:val="16"/>
              </w:rPr>
            </w:pPr>
          </w:p>
        </w:tc>
        <w:tc>
          <w:tcPr>
            <w:tcW w:w="835" w:type="dxa"/>
            <w:vAlign w:val="center"/>
          </w:tcPr>
          <w:p w:rsidR="00205652" w:rsidRPr="006F417A" w:rsidRDefault="00205652" w:rsidP="009F52BC">
            <w:pPr>
              <w:adjustRightInd w:val="0"/>
              <w:spacing w:before="20"/>
              <w:jc w:val="right"/>
              <w:rPr>
                <w:color w:val="000000"/>
                <w:sz w:val="16"/>
                <w:szCs w:val="16"/>
              </w:rPr>
            </w:pPr>
          </w:p>
        </w:tc>
        <w:tc>
          <w:tcPr>
            <w:tcW w:w="383" w:type="dxa"/>
            <w:vAlign w:val="center"/>
          </w:tcPr>
          <w:p w:rsidR="00205652" w:rsidRPr="006F417A" w:rsidRDefault="00205652" w:rsidP="009F52BC">
            <w:pPr>
              <w:adjustRightInd w:val="0"/>
              <w:spacing w:before="20"/>
              <w:jc w:val="right"/>
              <w:rPr>
                <w:color w:val="000000"/>
                <w:sz w:val="16"/>
                <w:szCs w:val="16"/>
              </w:rPr>
            </w:pPr>
          </w:p>
        </w:tc>
        <w:tc>
          <w:tcPr>
            <w:tcW w:w="747" w:type="dxa"/>
            <w:vAlign w:val="center"/>
          </w:tcPr>
          <w:p w:rsidR="00205652" w:rsidRPr="006F417A" w:rsidRDefault="00205652"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Below median ( Score 0 - 24)</w:t>
            </w:r>
          </w:p>
        </w:tc>
        <w:tc>
          <w:tcPr>
            <w:tcW w:w="1113"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55.6</w:t>
            </w:r>
          </w:p>
        </w:tc>
        <w:tc>
          <w:tcPr>
            <w:tcW w:w="976"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2.35</w:t>
            </w:r>
          </w:p>
        </w:tc>
        <w:tc>
          <w:tcPr>
            <w:tcW w:w="1218" w:type="dxa"/>
            <w:gridSpan w:val="2"/>
            <w:vAlign w:val="center"/>
          </w:tcPr>
          <w:p w:rsidR="009F52BC" w:rsidRPr="006F417A" w:rsidRDefault="009F52BC" w:rsidP="009F52BC">
            <w:pPr>
              <w:adjustRightInd w:val="0"/>
              <w:spacing w:before="20"/>
              <w:jc w:val="right"/>
              <w:rPr>
                <w:color w:val="000000"/>
                <w:sz w:val="16"/>
                <w:szCs w:val="16"/>
              </w:rPr>
            </w:pPr>
            <w:r>
              <w:rPr>
                <w:color w:val="000000"/>
                <w:sz w:val="16"/>
                <w:szCs w:val="16"/>
              </w:rPr>
              <w:t>(</w:t>
            </w:r>
            <w:r w:rsidRPr="006F417A">
              <w:rPr>
                <w:color w:val="000000"/>
                <w:sz w:val="16"/>
                <w:szCs w:val="16"/>
              </w:rPr>
              <w:t>1.15</w:t>
            </w:r>
            <w:r>
              <w:rPr>
                <w:color w:val="000000"/>
                <w:sz w:val="16"/>
                <w:szCs w:val="16"/>
              </w:rPr>
              <w:t xml:space="preserve"> - </w:t>
            </w:r>
            <w:r w:rsidRPr="006F417A">
              <w:rPr>
                <w:color w:val="000000"/>
                <w:sz w:val="16"/>
                <w:szCs w:val="16"/>
              </w:rPr>
              <w:t>4.82</w:t>
            </w:r>
            <w:r>
              <w:rPr>
                <w:color w:val="000000"/>
                <w:sz w:val="16"/>
                <w:szCs w:val="16"/>
              </w:rPr>
              <w:t>)</w:t>
            </w:r>
          </w:p>
        </w:tc>
        <w:tc>
          <w:tcPr>
            <w:tcW w:w="747" w:type="dxa"/>
            <w:vAlign w:val="center"/>
          </w:tcPr>
          <w:p w:rsidR="009F52BC" w:rsidRPr="006F417A" w:rsidRDefault="009F52BC" w:rsidP="009F52BC">
            <w:pPr>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spacing w:before="20"/>
              <w:ind w:left="176"/>
              <w:rPr>
                <w:sz w:val="16"/>
                <w:szCs w:val="16"/>
              </w:rPr>
            </w:pPr>
            <w:r w:rsidRPr="009B1415">
              <w:rPr>
                <w:sz w:val="16"/>
                <w:szCs w:val="16"/>
              </w:rPr>
              <w:t>Median score (Score 25)</w:t>
            </w:r>
          </w:p>
        </w:tc>
        <w:tc>
          <w:tcPr>
            <w:tcW w:w="1113"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61.2</w:t>
            </w:r>
          </w:p>
        </w:tc>
        <w:tc>
          <w:tcPr>
            <w:tcW w:w="976" w:type="dxa"/>
            <w:vAlign w:val="center"/>
          </w:tcPr>
          <w:p w:rsidR="009F52BC" w:rsidRPr="006F417A" w:rsidRDefault="009F52BC" w:rsidP="009F52BC">
            <w:pPr>
              <w:adjustRightInd w:val="0"/>
              <w:spacing w:before="20"/>
              <w:jc w:val="right"/>
              <w:rPr>
                <w:color w:val="000000"/>
                <w:sz w:val="16"/>
                <w:szCs w:val="16"/>
              </w:rPr>
            </w:pPr>
            <w:r w:rsidRPr="006F417A">
              <w:rPr>
                <w:color w:val="000000"/>
                <w:sz w:val="16"/>
                <w:szCs w:val="16"/>
              </w:rPr>
              <w:t>2.96</w:t>
            </w:r>
          </w:p>
        </w:tc>
        <w:tc>
          <w:tcPr>
            <w:tcW w:w="1218" w:type="dxa"/>
            <w:gridSpan w:val="2"/>
            <w:vAlign w:val="center"/>
          </w:tcPr>
          <w:p w:rsidR="009F52BC" w:rsidRPr="006F417A" w:rsidRDefault="009F52BC" w:rsidP="009F52BC">
            <w:pPr>
              <w:adjustRightInd w:val="0"/>
              <w:spacing w:before="20"/>
              <w:jc w:val="right"/>
              <w:rPr>
                <w:color w:val="000000"/>
                <w:sz w:val="16"/>
                <w:szCs w:val="16"/>
              </w:rPr>
            </w:pPr>
            <w:r>
              <w:rPr>
                <w:color w:val="000000"/>
                <w:sz w:val="16"/>
                <w:szCs w:val="16"/>
              </w:rPr>
              <w:t>(</w:t>
            </w:r>
            <w:r w:rsidRPr="006F417A">
              <w:rPr>
                <w:color w:val="000000"/>
                <w:sz w:val="16"/>
                <w:szCs w:val="16"/>
              </w:rPr>
              <w:t>0.98</w:t>
            </w:r>
            <w:r>
              <w:rPr>
                <w:color w:val="000000"/>
                <w:sz w:val="16"/>
                <w:szCs w:val="16"/>
              </w:rPr>
              <w:t xml:space="preserve"> - </w:t>
            </w:r>
            <w:r w:rsidRPr="006F417A">
              <w:rPr>
                <w:color w:val="000000"/>
                <w:sz w:val="16"/>
                <w:szCs w:val="16"/>
              </w:rPr>
              <w:t>8.93</w:t>
            </w:r>
            <w:r>
              <w:rPr>
                <w:color w:val="000000"/>
                <w:sz w:val="16"/>
                <w:szCs w:val="16"/>
              </w:rPr>
              <w:t>)</w:t>
            </w:r>
          </w:p>
        </w:tc>
        <w:tc>
          <w:tcPr>
            <w:tcW w:w="747" w:type="dxa"/>
            <w:vAlign w:val="center"/>
          </w:tcPr>
          <w:p w:rsidR="009F52BC" w:rsidRPr="006F417A" w:rsidRDefault="009F52BC" w:rsidP="009F52BC">
            <w:pPr>
              <w:adjustRightInd w:val="0"/>
              <w:spacing w:before="20"/>
              <w:jc w:val="right"/>
              <w:rPr>
                <w:color w:val="000000"/>
                <w:sz w:val="16"/>
                <w:szCs w:val="16"/>
              </w:rPr>
            </w:pPr>
          </w:p>
        </w:tc>
      </w:tr>
      <w:tr w:rsidR="00205652" w:rsidRPr="009B1415" w:rsidTr="00E05935">
        <w:tc>
          <w:tcPr>
            <w:tcW w:w="4252" w:type="dxa"/>
          </w:tcPr>
          <w:p w:rsidR="00205652" w:rsidRPr="009B1415" w:rsidRDefault="00205652" w:rsidP="00E9638E">
            <w:pPr>
              <w:spacing w:before="20"/>
              <w:ind w:left="176"/>
              <w:rPr>
                <w:sz w:val="16"/>
                <w:szCs w:val="16"/>
              </w:rPr>
            </w:pPr>
            <w:r w:rsidRPr="009B1415">
              <w:rPr>
                <w:sz w:val="16"/>
                <w:szCs w:val="16"/>
              </w:rPr>
              <w:t>Above median (Score 26 - 32)</w:t>
            </w:r>
          </w:p>
        </w:tc>
        <w:tc>
          <w:tcPr>
            <w:tcW w:w="1113"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34.8</w:t>
            </w:r>
          </w:p>
        </w:tc>
        <w:tc>
          <w:tcPr>
            <w:tcW w:w="976" w:type="dxa"/>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1.00</w:t>
            </w:r>
          </w:p>
        </w:tc>
        <w:tc>
          <w:tcPr>
            <w:tcW w:w="835" w:type="dxa"/>
            <w:vAlign w:val="center"/>
          </w:tcPr>
          <w:p w:rsidR="00205652" w:rsidRPr="006F417A" w:rsidRDefault="00205652" w:rsidP="009F52BC">
            <w:pPr>
              <w:adjustRightInd w:val="0"/>
              <w:spacing w:before="20"/>
              <w:jc w:val="right"/>
              <w:rPr>
                <w:color w:val="000000"/>
                <w:sz w:val="16"/>
                <w:szCs w:val="16"/>
              </w:rPr>
            </w:pPr>
          </w:p>
        </w:tc>
        <w:tc>
          <w:tcPr>
            <w:tcW w:w="383" w:type="dxa"/>
            <w:vAlign w:val="center"/>
          </w:tcPr>
          <w:p w:rsidR="00205652" w:rsidRPr="006F417A" w:rsidRDefault="00205652" w:rsidP="009F52BC">
            <w:pPr>
              <w:adjustRightInd w:val="0"/>
              <w:spacing w:before="20"/>
              <w:jc w:val="right"/>
              <w:rPr>
                <w:color w:val="000000"/>
                <w:sz w:val="16"/>
                <w:szCs w:val="16"/>
              </w:rPr>
            </w:pPr>
          </w:p>
        </w:tc>
        <w:tc>
          <w:tcPr>
            <w:tcW w:w="747" w:type="dxa"/>
            <w:shd w:val="clear" w:color="auto" w:fill="D9D9D9" w:themeFill="background1" w:themeFillShade="D9"/>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0.04</w:t>
            </w:r>
          </w:p>
        </w:tc>
      </w:tr>
      <w:tr w:rsidR="00205652" w:rsidRPr="009B1415" w:rsidTr="00E05935">
        <w:tc>
          <w:tcPr>
            <w:tcW w:w="4252" w:type="dxa"/>
            <w:vAlign w:val="bottom"/>
          </w:tcPr>
          <w:p w:rsidR="00205652" w:rsidRPr="009B1415" w:rsidRDefault="00205652" w:rsidP="00E9638E">
            <w:pPr>
              <w:keepNext/>
              <w:spacing w:before="20"/>
              <w:rPr>
                <w:b/>
                <w:sz w:val="16"/>
                <w:szCs w:val="16"/>
              </w:rPr>
            </w:pPr>
            <w:r w:rsidRPr="009B1415">
              <w:rPr>
                <w:b/>
                <w:bCs/>
                <w:color w:val="000000"/>
                <w:sz w:val="16"/>
                <w:szCs w:val="16"/>
              </w:rPr>
              <w:t>Current tobacco use</w:t>
            </w:r>
          </w:p>
        </w:tc>
        <w:tc>
          <w:tcPr>
            <w:tcW w:w="1113" w:type="dxa"/>
            <w:vAlign w:val="center"/>
          </w:tcPr>
          <w:p w:rsidR="00205652" w:rsidRPr="00B61EF6" w:rsidRDefault="00205652" w:rsidP="00E9638E">
            <w:pPr>
              <w:keepNext/>
              <w:adjustRightInd w:val="0"/>
              <w:spacing w:before="20"/>
              <w:jc w:val="right"/>
              <w:rPr>
                <w:color w:val="000000"/>
                <w:sz w:val="16"/>
                <w:szCs w:val="16"/>
              </w:rPr>
            </w:pPr>
          </w:p>
        </w:tc>
        <w:tc>
          <w:tcPr>
            <w:tcW w:w="976" w:type="dxa"/>
            <w:vAlign w:val="center"/>
          </w:tcPr>
          <w:p w:rsidR="00205652" w:rsidRPr="00B61EF6" w:rsidRDefault="00205652" w:rsidP="00E9638E">
            <w:pPr>
              <w:keepNext/>
              <w:adjustRightInd w:val="0"/>
              <w:spacing w:before="20"/>
              <w:jc w:val="right"/>
              <w:rPr>
                <w:color w:val="000000"/>
                <w:sz w:val="16"/>
                <w:szCs w:val="16"/>
              </w:rPr>
            </w:pPr>
          </w:p>
        </w:tc>
        <w:tc>
          <w:tcPr>
            <w:tcW w:w="835" w:type="dxa"/>
            <w:vAlign w:val="center"/>
          </w:tcPr>
          <w:p w:rsidR="00205652" w:rsidRPr="00B61EF6" w:rsidRDefault="00205652" w:rsidP="00E9638E">
            <w:pPr>
              <w:keepNext/>
              <w:adjustRightInd w:val="0"/>
              <w:spacing w:before="20"/>
              <w:jc w:val="right"/>
              <w:rPr>
                <w:color w:val="000000"/>
                <w:sz w:val="16"/>
                <w:szCs w:val="16"/>
              </w:rPr>
            </w:pPr>
          </w:p>
        </w:tc>
        <w:tc>
          <w:tcPr>
            <w:tcW w:w="383" w:type="dxa"/>
            <w:vAlign w:val="center"/>
          </w:tcPr>
          <w:p w:rsidR="00205652" w:rsidRPr="00B61EF6" w:rsidRDefault="00205652" w:rsidP="00E9638E">
            <w:pPr>
              <w:keepNext/>
              <w:adjustRightInd w:val="0"/>
              <w:spacing w:before="20"/>
              <w:jc w:val="right"/>
              <w:rPr>
                <w:color w:val="000000"/>
                <w:sz w:val="16"/>
                <w:szCs w:val="16"/>
              </w:rPr>
            </w:pPr>
          </w:p>
        </w:tc>
        <w:tc>
          <w:tcPr>
            <w:tcW w:w="747" w:type="dxa"/>
            <w:vAlign w:val="center"/>
          </w:tcPr>
          <w:p w:rsidR="00205652" w:rsidRPr="00B61EF6" w:rsidRDefault="00205652" w:rsidP="00E9638E">
            <w:pPr>
              <w:keepNext/>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keepNext/>
              <w:spacing w:before="20"/>
              <w:ind w:left="176"/>
              <w:rPr>
                <w:sz w:val="16"/>
                <w:szCs w:val="16"/>
              </w:rPr>
            </w:pPr>
            <w:r w:rsidRPr="009B1415">
              <w:rPr>
                <w:sz w:val="16"/>
                <w:szCs w:val="16"/>
              </w:rPr>
              <w:t>Does not smoke now</w:t>
            </w:r>
          </w:p>
        </w:tc>
        <w:tc>
          <w:tcPr>
            <w:tcW w:w="1113"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58.0</w:t>
            </w:r>
          </w:p>
        </w:tc>
        <w:tc>
          <w:tcPr>
            <w:tcW w:w="976"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1.99</w:t>
            </w:r>
          </w:p>
        </w:tc>
        <w:tc>
          <w:tcPr>
            <w:tcW w:w="1218" w:type="dxa"/>
            <w:gridSpan w:val="2"/>
            <w:vAlign w:val="center"/>
          </w:tcPr>
          <w:p w:rsidR="009F52BC" w:rsidRPr="006F417A" w:rsidRDefault="009F52BC" w:rsidP="00E9638E">
            <w:pPr>
              <w:keepNext/>
              <w:adjustRightInd w:val="0"/>
              <w:spacing w:before="20"/>
              <w:jc w:val="right"/>
              <w:rPr>
                <w:color w:val="000000"/>
                <w:sz w:val="16"/>
                <w:szCs w:val="16"/>
              </w:rPr>
            </w:pPr>
            <w:r>
              <w:rPr>
                <w:color w:val="000000"/>
                <w:sz w:val="16"/>
                <w:szCs w:val="16"/>
              </w:rPr>
              <w:t>(</w:t>
            </w:r>
            <w:r w:rsidRPr="006F417A">
              <w:rPr>
                <w:color w:val="000000"/>
                <w:sz w:val="16"/>
                <w:szCs w:val="16"/>
              </w:rPr>
              <w:t>0.87</w:t>
            </w:r>
            <w:r>
              <w:rPr>
                <w:color w:val="000000"/>
                <w:sz w:val="16"/>
                <w:szCs w:val="16"/>
              </w:rPr>
              <w:t xml:space="preserve"> - </w:t>
            </w:r>
            <w:r w:rsidRPr="006F417A">
              <w:rPr>
                <w:color w:val="000000"/>
                <w:sz w:val="16"/>
                <w:szCs w:val="16"/>
              </w:rPr>
              <w:t>4.59</w:t>
            </w:r>
            <w:r>
              <w:rPr>
                <w:color w:val="000000"/>
                <w:sz w:val="16"/>
                <w:szCs w:val="16"/>
              </w:rPr>
              <w:t>)</w:t>
            </w:r>
          </w:p>
        </w:tc>
        <w:tc>
          <w:tcPr>
            <w:tcW w:w="747" w:type="dxa"/>
            <w:vAlign w:val="center"/>
          </w:tcPr>
          <w:p w:rsidR="009F52BC" w:rsidRPr="006F417A" w:rsidRDefault="009F52BC" w:rsidP="00E9638E">
            <w:pPr>
              <w:keepNext/>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keepNext/>
              <w:spacing w:before="20"/>
              <w:ind w:left="176"/>
              <w:rPr>
                <w:sz w:val="16"/>
                <w:szCs w:val="16"/>
              </w:rPr>
            </w:pPr>
            <w:r>
              <w:rPr>
                <w:sz w:val="16"/>
                <w:szCs w:val="16"/>
              </w:rPr>
              <w:t>Smokes at least once a day</w:t>
            </w:r>
          </w:p>
        </w:tc>
        <w:tc>
          <w:tcPr>
            <w:tcW w:w="1113"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51.3</w:t>
            </w:r>
          </w:p>
        </w:tc>
        <w:tc>
          <w:tcPr>
            <w:tcW w:w="976"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1.52</w:t>
            </w:r>
          </w:p>
        </w:tc>
        <w:tc>
          <w:tcPr>
            <w:tcW w:w="1218" w:type="dxa"/>
            <w:gridSpan w:val="2"/>
            <w:vAlign w:val="center"/>
          </w:tcPr>
          <w:p w:rsidR="009F52BC" w:rsidRPr="006F417A" w:rsidRDefault="009F52BC" w:rsidP="00E9638E">
            <w:pPr>
              <w:keepNext/>
              <w:adjustRightInd w:val="0"/>
              <w:spacing w:before="20"/>
              <w:jc w:val="right"/>
              <w:rPr>
                <w:color w:val="000000"/>
                <w:sz w:val="16"/>
                <w:szCs w:val="16"/>
              </w:rPr>
            </w:pPr>
            <w:r>
              <w:rPr>
                <w:color w:val="000000"/>
                <w:sz w:val="16"/>
                <w:szCs w:val="16"/>
              </w:rPr>
              <w:t>(</w:t>
            </w:r>
            <w:r w:rsidRPr="006F417A">
              <w:rPr>
                <w:color w:val="000000"/>
                <w:sz w:val="16"/>
                <w:szCs w:val="16"/>
              </w:rPr>
              <w:t>0.72</w:t>
            </w:r>
            <w:r>
              <w:rPr>
                <w:color w:val="000000"/>
                <w:sz w:val="16"/>
                <w:szCs w:val="16"/>
              </w:rPr>
              <w:t xml:space="preserve"> - </w:t>
            </w:r>
            <w:r w:rsidRPr="006F417A">
              <w:rPr>
                <w:color w:val="000000"/>
                <w:sz w:val="16"/>
                <w:szCs w:val="16"/>
              </w:rPr>
              <w:t>3.24</w:t>
            </w:r>
            <w:r>
              <w:rPr>
                <w:color w:val="000000"/>
                <w:sz w:val="16"/>
                <w:szCs w:val="16"/>
              </w:rPr>
              <w:t>)</w:t>
            </w:r>
          </w:p>
        </w:tc>
        <w:tc>
          <w:tcPr>
            <w:tcW w:w="747" w:type="dxa"/>
            <w:vAlign w:val="center"/>
          </w:tcPr>
          <w:p w:rsidR="009F52BC" w:rsidRPr="006F417A" w:rsidRDefault="009F52BC" w:rsidP="00E9638E">
            <w:pPr>
              <w:keepNext/>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keepNext/>
              <w:spacing w:before="20"/>
              <w:ind w:left="176"/>
              <w:rPr>
                <w:sz w:val="16"/>
                <w:szCs w:val="16"/>
              </w:rPr>
            </w:pPr>
            <w:r>
              <w:rPr>
                <w:sz w:val="16"/>
                <w:szCs w:val="16"/>
              </w:rPr>
              <w:t>Smokes at least once a week</w:t>
            </w:r>
          </w:p>
        </w:tc>
        <w:tc>
          <w:tcPr>
            <w:tcW w:w="1113"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96.8</w:t>
            </w:r>
          </w:p>
        </w:tc>
        <w:tc>
          <w:tcPr>
            <w:tcW w:w="976"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44.36</w:t>
            </w:r>
          </w:p>
        </w:tc>
        <w:tc>
          <w:tcPr>
            <w:tcW w:w="1218" w:type="dxa"/>
            <w:gridSpan w:val="2"/>
            <w:vAlign w:val="center"/>
          </w:tcPr>
          <w:p w:rsidR="009F52BC" w:rsidRPr="006F417A" w:rsidRDefault="009F52BC" w:rsidP="00E9638E">
            <w:pPr>
              <w:keepNext/>
              <w:adjustRightInd w:val="0"/>
              <w:spacing w:before="20"/>
              <w:jc w:val="right"/>
              <w:rPr>
                <w:color w:val="000000"/>
                <w:sz w:val="16"/>
                <w:szCs w:val="16"/>
              </w:rPr>
            </w:pPr>
            <w:r>
              <w:rPr>
                <w:color w:val="000000"/>
                <w:sz w:val="16"/>
                <w:szCs w:val="16"/>
              </w:rPr>
              <w:t>(</w:t>
            </w:r>
            <w:r w:rsidRPr="006F417A">
              <w:rPr>
                <w:color w:val="000000"/>
                <w:sz w:val="16"/>
                <w:szCs w:val="16"/>
              </w:rPr>
              <w:t>4.06</w:t>
            </w:r>
            <w:r>
              <w:rPr>
                <w:color w:val="000000"/>
                <w:sz w:val="16"/>
                <w:szCs w:val="16"/>
              </w:rPr>
              <w:t xml:space="preserve"> - </w:t>
            </w:r>
            <w:r w:rsidRPr="006F417A">
              <w:rPr>
                <w:color w:val="000000"/>
                <w:sz w:val="16"/>
                <w:szCs w:val="16"/>
              </w:rPr>
              <w:t>484.10</w:t>
            </w:r>
            <w:r>
              <w:rPr>
                <w:color w:val="000000"/>
                <w:sz w:val="16"/>
                <w:szCs w:val="16"/>
              </w:rPr>
              <w:t>)</w:t>
            </w:r>
          </w:p>
        </w:tc>
        <w:tc>
          <w:tcPr>
            <w:tcW w:w="747" w:type="dxa"/>
            <w:vAlign w:val="center"/>
          </w:tcPr>
          <w:p w:rsidR="009F52BC" w:rsidRPr="006F417A" w:rsidRDefault="009F52BC" w:rsidP="00E9638E">
            <w:pPr>
              <w:keepNext/>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keepNext/>
              <w:spacing w:before="20"/>
              <w:ind w:left="176"/>
              <w:rPr>
                <w:sz w:val="16"/>
                <w:szCs w:val="16"/>
              </w:rPr>
            </w:pPr>
            <w:r>
              <w:rPr>
                <w:sz w:val="16"/>
                <w:szCs w:val="16"/>
              </w:rPr>
              <w:t>Smokes at least once a month</w:t>
            </w:r>
          </w:p>
        </w:tc>
        <w:tc>
          <w:tcPr>
            <w:tcW w:w="1113"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17.1</w:t>
            </w:r>
          </w:p>
        </w:tc>
        <w:tc>
          <w:tcPr>
            <w:tcW w:w="976"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0.30</w:t>
            </w:r>
          </w:p>
        </w:tc>
        <w:tc>
          <w:tcPr>
            <w:tcW w:w="1218" w:type="dxa"/>
            <w:gridSpan w:val="2"/>
            <w:vAlign w:val="center"/>
          </w:tcPr>
          <w:p w:rsidR="009F52BC" w:rsidRPr="006F417A" w:rsidRDefault="009F52BC" w:rsidP="00E9638E">
            <w:pPr>
              <w:keepNext/>
              <w:adjustRightInd w:val="0"/>
              <w:spacing w:before="20"/>
              <w:jc w:val="right"/>
              <w:rPr>
                <w:color w:val="000000"/>
                <w:sz w:val="16"/>
                <w:szCs w:val="16"/>
              </w:rPr>
            </w:pPr>
            <w:r>
              <w:rPr>
                <w:color w:val="000000"/>
                <w:sz w:val="16"/>
                <w:szCs w:val="16"/>
              </w:rPr>
              <w:t>(</w:t>
            </w:r>
            <w:r w:rsidRPr="006F417A">
              <w:rPr>
                <w:color w:val="000000"/>
                <w:sz w:val="16"/>
                <w:szCs w:val="16"/>
              </w:rPr>
              <w:t>0.02</w:t>
            </w:r>
            <w:r>
              <w:rPr>
                <w:color w:val="000000"/>
                <w:sz w:val="16"/>
                <w:szCs w:val="16"/>
              </w:rPr>
              <w:t xml:space="preserve"> - </w:t>
            </w:r>
            <w:r w:rsidRPr="006F417A">
              <w:rPr>
                <w:color w:val="000000"/>
                <w:sz w:val="16"/>
                <w:szCs w:val="16"/>
              </w:rPr>
              <w:t>5.07</w:t>
            </w:r>
            <w:r>
              <w:rPr>
                <w:color w:val="000000"/>
                <w:sz w:val="16"/>
                <w:szCs w:val="16"/>
              </w:rPr>
              <w:t>)</w:t>
            </w:r>
          </w:p>
        </w:tc>
        <w:tc>
          <w:tcPr>
            <w:tcW w:w="747" w:type="dxa"/>
            <w:vAlign w:val="center"/>
          </w:tcPr>
          <w:p w:rsidR="009F52BC" w:rsidRPr="006F417A" w:rsidRDefault="009F52BC" w:rsidP="00E9638E">
            <w:pPr>
              <w:keepNext/>
              <w:adjustRightInd w:val="0"/>
              <w:spacing w:before="20"/>
              <w:jc w:val="right"/>
              <w:rPr>
                <w:color w:val="000000"/>
                <w:sz w:val="16"/>
                <w:szCs w:val="16"/>
              </w:rPr>
            </w:pPr>
          </w:p>
        </w:tc>
      </w:tr>
      <w:tr w:rsidR="009F52BC" w:rsidRPr="009B1415" w:rsidTr="00E05935">
        <w:tc>
          <w:tcPr>
            <w:tcW w:w="4252" w:type="dxa"/>
          </w:tcPr>
          <w:p w:rsidR="009F52BC" w:rsidRPr="009B1415" w:rsidRDefault="009F52BC" w:rsidP="00E9638E">
            <w:pPr>
              <w:keepNext/>
              <w:spacing w:before="20"/>
              <w:ind w:left="176"/>
              <w:rPr>
                <w:sz w:val="16"/>
                <w:szCs w:val="16"/>
              </w:rPr>
            </w:pPr>
            <w:r>
              <w:rPr>
                <w:sz w:val="16"/>
                <w:szCs w:val="16"/>
              </w:rPr>
              <w:t>Smokes less than once a month</w:t>
            </w:r>
          </w:p>
        </w:tc>
        <w:tc>
          <w:tcPr>
            <w:tcW w:w="1113"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24.0</w:t>
            </w:r>
          </w:p>
        </w:tc>
        <w:tc>
          <w:tcPr>
            <w:tcW w:w="976" w:type="dxa"/>
            <w:vAlign w:val="center"/>
          </w:tcPr>
          <w:p w:rsidR="009F52BC" w:rsidRPr="006F417A" w:rsidRDefault="009F52BC" w:rsidP="00E9638E">
            <w:pPr>
              <w:keepNext/>
              <w:adjustRightInd w:val="0"/>
              <w:spacing w:before="20"/>
              <w:jc w:val="right"/>
              <w:rPr>
                <w:color w:val="000000"/>
                <w:sz w:val="16"/>
                <w:szCs w:val="16"/>
              </w:rPr>
            </w:pPr>
            <w:r w:rsidRPr="006F417A">
              <w:rPr>
                <w:color w:val="000000"/>
                <w:sz w:val="16"/>
                <w:szCs w:val="16"/>
              </w:rPr>
              <w:t>0.46</w:t>
            </w:r>
          </w:p>
        </w:tc>
        <w:tc>
          <w:tcPr>
            <w:tcW w:w="1218" w:type="dxa"/>
            <w:gridSpan w:val="2"/>
            <w:vAlign w:val="center"/>
          </w:tcPr>
          <w:p w:rsidR="009F52BC" w:rsidRPr="006F417A" w:rsidRDefault="009F52BC" w:rsidP="00E9638E">
            <w:pPr>
              <w:keepNext/>
              <w:adjustRightInd w:val="0"/>
              <w:spacing w:before="20"/>
              <w:jc w:val="right"/>
              <w:rPr>
                <w:color w:val="000000"/>
                <w:sz w:val="16"/>
                <w:szCs w:val="16"/>
              </w:rPr>
            </w:pPr>
            <w:r>
              <w:rPr>
                <w:color w:val="000000"/>
                <w:sz w:val="16"/>
                <w:szCs w:val="16"/>
              </w:rPr>
              <w:t>(</w:t>
            </w:r>
            <w:r w:rsidRPr="006F417A">
              <w:rPr>
                <w:color w:val="000000"/>
                <w:sz w:val="16"/>
                <w:szCs w:val="16"/>
              </w:rPr>
              <w:t>0.03</w:t>
            </w:r>
            <w:r>
              <w:rPr>
                <w:color w:val="000000"/>
                <w:sz w:val="16"/>
                <w:szCs w:val="16"/>
              </w:rPr>
              <w:t xml:space="preserve"> - </w:t>
            </w:r>
            <w:r w:rsidRPr="006F417A">
              <w:rPr>
                <w:color w:val="000000"/>
                <w:sz w:val="16"/>
                <w:szCs w:val="16"/>
              </w:rPr>
              <w:t>7.91</w:t>
            </w:r>
            <w:r>
              <w:rPr>
                <w:color w:val="000000"/>
                <w:sz w:val="16"/>
                <w:szCs w:val="16"/>
              </w:rPr>
              <w:t>)</w:t>
            </w:r>
          </w:p>
        </w:tc>
        <w:tc>
          <w:tcPr>
            <w:tcW w:w="747" w:type="dxa"/>
            <w:shd w:val="clear" w:color="auto" w:fill="auto"/>
            <w:vAlign w:val="center"/>
          </w:tcPr>
          <w:p w:rsidR="009F52BC" w:rsidRPr="006F417A" w:rsidRDefault="009F52BC" w:rsidP="00E9638E">
            <w:pPr>
              <w:keepNext/>
              <w:adjustRightInd w:val="0"/>
              <w:spacing w:before="20"/>
              <w:jc w:val="right"/>
              <w:rPr>
                <w:color w:val="000000"/>
                <w:sz w:val="16"/>
                <w:szCs w:val="16"/>
              </w:rPr>
            </w:pPr>
          </w:p>
        </w:tc>
      </w:tr>
      <w:tr w:rsidR="00205652" w:rsidRPr="009B1415" w:rsidTr="00E05935">
        <w:tc>
          <w:tcPr>
            <w:tcW w:w="4252" w:type="dxa"/>
            <w:tcBorders>
              <w:bottom w:val="single" w:sz="4" w:space="0" w:color="auto"/>
            </w:tcBorders>
          </w:tcPr>
          <w:p w:rsidR="00205652" w:rsidRPr="009B1415" w:rsidRDefault="00205652" w:rsidP="00E9638E">
            <w:pPr>
              <w:spacing w:before="20"/>
              <w:ind w:left="176"/>
              <w:rPr>
                <w:sz w:val="16"/>
                <w:szCs w:val="16"/>
              </w:rPr>
            </w:pPr>
            <w:r w:rsidRPr="009B1415">
              <w:rPr>
                <w:sz w:val="16"/>
                <w:szCs w:val="16"/>
              </w:rPr>
              <w:t>Never smoked</w:t>
            </w:r>
          </w:p>
        </w:tc>
        <w:tc>
          <w:tcPr>
            <w:tcW w:w="1113" w:type="dxa"/>
            <w:tcBorders>
              <w:bottom w:val="single" w:sz="4" w:space="0" w:color="auto"/>
            </w:tcBorders>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40.9</w:t>
            </w:r>
          </w:p>
        </w:tc>
        <w:tc>
          <w:tcPr>
            <w:tcW w:w="976" w:type="dxa"/>
            <w:tcBorders>
              <w:bottom w:val="single" w:sz="4" w:space="0" w:color="auto"/>
            </w:tcBorders>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1.00</w:t>
            </w:r>
          </w:p>
        </w:tc>
        <w:tc>
          <w:tcPr>
            <w:tcW w:w="835" w:type="dxa"/>
            <w:tcBorders>
              <w:bottom w:val="single" w:sz="4" w:space="0" w:color="auto"/>
            </w:tcBorders>
            <w:vAlign w:val="center"/>
          </w:tcPr>
          <w:p w:rsidR="00205652" w:rsidRPr="006F417A" w:rsidRDefault="00205652" w:rsidP="009F52BC">
            <w:pPr>
              <w:adjustRightInd w:val="0"/>
              <w:spacing w:before="20"/>
              <w:jc w:val="right"/>
              <w:rPr>
                <w:color w:val="000000"/>
                <w:sz w:val="16"/>
                <w:szCs w:val="16"/>
              </w:rPr>
            </w:pPr>
          </w:p>
        </w:tc>
        <w:tc>
          <w:tcPr>
            <w:tcW w:w="383" w:type="dxa"/>
            <w:tcBorders>
              <w:bottom w:val="single" w:sz="4" w:space="0" w:color="auto"/>
            </w:tcBorders>
            <w:vAlign w:val="center"/>
          </w:tcPr>
          <w:p w:rsidR="00205652" w:rsidRPr="006F417A" w:rsidRDefault="00205652" w:rsidP="009F52BC">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205652" w:rsidRPr="006F417A" w:rsidRDefault="00205652" w:rsidP="009F52BC">
            <w:pPr>
              <w:adjustRightInd w:val="0"/>
              <w:spacing w:before="20"/>
              <w:jc w:val="right"/>
              <w:rPr>
                <w:color w:val="000000"/>
                <w:sz w:val="16"/>
                <w:szCs w:val="16"/>
              </w:rPr>
            </w:pPr>
            <w:r w:rsidRPr="006F417A">
              <w:rPr>
                <w:color w:val="000000"/>
                <w:sz w:val="16"/>
                <w:szCs w:val="16"/>
              </w:rPr>
              <w:t>0.02</w:t>
            </w:r>
          </w:p>
        </w:tc>
      </w:tr>
    </w:tbl>
    <w:p w:rsidR="00205652" w:rsidRPr="0034241E" w:rsidRDefault="00205652" w:rsidP="00205652">
      <w:pPr>
        <w:rPr>
          <w:sz w:val="18"/>
        </w:rPr>
      </w:pPr>
      <w:r>
        <w:rPr>
          <w:sz w:val="18"/>
        </w:rPr>
        <w:t>Data</w:t>
      </w:r>
      <w:r w:rsidRPr="0034241E">
        <w:rPr>
          <w:sz w:val="18"/>
        </w:rPr>
        <w:t xml:space="preserve"> weighted for 2013 Census data (both Waves) and attrition (Wave 2)</w:t>
      </w:r>
    </w:p>
    <w:p w:rsidR="00A523AC" w:rsidRPr="00014DED" w:rsidRDefault="00A523AC" w:rsidP="00A523AC">
      <w:pPr>
        <w:tabs>
          <w:tab w:val="left" w:pos="0"/>
        </w:tabs>
        <w:jc w:val="both"/>
        <w:rPr>
          <w:szCs w:val="22"/>
        </w:rPr>
      </w:pPr>
    </w:p>
    <w:p w:rsidR="009E225E" w:rsidRPr="00014DED" w:rsidRDefault="009E225E" w:rsidP="00FD12E4">
      <w:pPr>
        <w:tabs>
          <w:tab w:val="left" w:pos="0"/>
        </w:tabs>
        <w:jc w:val="both"/>
        <w:rPr>
          <w:szCs w:val="22"/>
        </w:rPr>
      </w:pPr>
    </w:p>
    <w:p w:rsidR="00C351DC" w:rsidRPr="000432E3" w:rsidRDefault="00C351DC" w:rsidP="00C351DC">
      <w:pPr>
        <w:tabs>
          <w:tab w:val="left" w:pos="0"/>
        </w:tabs>
        <w:jc w:val="both"/>
        <w:rPr>
          <w:b/>
          <w:szCs w:val="22"/>
        </w:rPr>
      </w:pPr>
      <w:r>
        <w:rPr>
          <w:b/>
          <w:szCs w:val="22"/>
        </w:rPr>
        <w:t>Multi</w:t>
      </w:r>
      <w:r w:rsidR="007F2FB4">
        <w:rPr>
          <w:b/>
          <w:szCs w:val="22"/>
        </w:rPr>
        <w:t>ple logistic regression</w:t>
      </w:r>
    </w:p>
    <w:p w:rsidR="00C351DC" w:rsidRPr="00014DED" w:rsidRDefault="00C351DC" w:rsidP="00C351DC">
      <w:pPr>
        <w:tabs>
          <w:tab w:val="left" w:pos="0"/>
        </w:tabs>
        <w:jc w:val="both"/>
        <w:rPr>
          <w:szCs w:val="22"/>
        </w:rPr>
      </w:pPr>
    </w:p>
    <w:p w:rsidR="00C351DC" w:rsidRPr="00A123AC" w:rsidRDefault="00C351DC" w:rsidP="00C351DC">
      <w:pPr>
        <w:tabs>
          <w:tab w:val="left" w:pos="0"/>
        </w:tabs>
        <w:jc w:val="both"/>
        <w:rPr>
          <w:sz w:val="20"/>
          <w:szCs w:val="22"/>
        </w:rPr>
      </w:pPr>
      <w:r>
        <w:rPr>
          <w:szCs w:val="22"/>
        </w:rPr>
        <w:t xml:space="preserve">The variables which </w:t>
      </w:r>
      <w:r w:rsidR="00D1051C">
        <w:rPr>
          <w:szCs w:val="22"/>
        </w:rPr>
        <w:t xml:space="preserve">remained associated with greater </w:t>
      </w:r>
      <w:r w:rsidR="008C292E">
        <w:rPr>
          <w:szCs w:val="22"/>
        </w:rPr>
        <w:t xml:space="preserve">likelihood of staying as a low-risk/ moderate-risk/problem gambler in Wave 2 </w:t>
      </w:r>
      <w:r>
        <w:rPr>
          <w:szCs w:val="22"/>
        </w:rPr>
        <w:t>in the multi</w:t>
      </w:r>
      <w:r w:rsidR="007F2FB4">
        <w:rPr>
          <w:szCs w:val="22"/>
        </w:rPr>
        <w:t>ple</w:t>
      </w:r>
      <w:r>
        <w:rPr>
          <w:szCs w:val="22"/>
        </w:rPr>
        <w:t xml:space="preserve"> logistic regression analyses were annual gambling on housie or bingo</w:t>
      </w:r>
      <w:r w:rsidR="00D1051C">
        <w:rPr>
          <w:szCs w:val="22"/>
        </w:rPr>
        <w:t xml:space="preserve"> (4.54 times)</w:t>
      </w:r>
      <w:r>
        <w:rPr>
          <w:szCs w:val="22"/>
        </w:rPr>
        <w:t xml:space="preserve">, and monthly gambling on </w:t>
      </w:r>
      <w:r w:rsidR="00395C12">
        <w:rPr>
          <w:szCs w:val="22"/>
        </w:rPr>
        <w:t xml:space="preserve">card games </w:t>
      </w:r>
      <w:r w:rsidR="00D1051C">
        <w:rPr>
          <w:szCs w:val="22"/>
        </w:rPr>
        <w:t xml:space="preserve">(6.35 times) </w:t>
      </w:r>
      <w:r w:rsidR="00395C12">
        <w:rPr>
          <w:szCs w:val="22"/>
        </w:rPr>
        <w:t xml:space="preserve">and </w:t>
      </w:r>
      <w:r>
        <w:rPr>
          <w:szCs w:val="22"/>
        </w:rPr>
        <w:t>EGMs</w:t>
      </w:r>
      <w:r w:rsidR="00D1051C">
        <w:rPr>
          <w:szCs w:val="22"/>
        </w:rPr>
        <w:t xml:space="preserve"> (7.46 times).</w:t>
      </w:r>
      <w:r w:rsidR="00395C12">
        <w:rPr>
          <w:szCs w:val="22"/>
        </w:rPr>
        <w:t xml:space="preserve"> </w:t>
      </w:r>
      <w:r>
        <w:rPr>
          <w:szCs w:val="22"/>
        </w:rPr>
        <w:t xml:space="preserve"> </w:t>
      </w:r>
      <w:r w:rsidR="00D1051C">
        <w:rPr>
          <w:szCs w:val="22"/>
        </w:rPr>
        <w:t xml:space="preserve">Additionally, gambling with at least one other person was associated with </w:t>
      </w:r>
      <w:r w:rsidR="008C292E">
        <w:rPr>
          <w:i/>
          <w:szCs w:val="22"/>
        </w:rPr>
        <w:t>less likelihood</w:t>
      </w:r>
      <w:r w:rsidR="00D1051C">
        <w:rPr>
          <w:szCs w:val="22"/>
        </w:rPr>
        <w:t xml:space="preserve"> than gambling alone (</w:t>
      </w:r>
      <w:r w:rsidR="00D1051C" w:rsidRPr="00D1051C">
        <w:rPr>
          <w:szCs w:val="22"/>
        </w:rPr>
        <w:fldChar w:fldCharType="begin"/>
      </w:r>
      <w:r w:rsidR="00D1051C" w:rsidRPr="00D1051C">
        <w:rPr>
          <w:szCs w:val="22"/>
        </w:rPr>
        <w:instrText xml:space="preserve"> REF _Ref408235684 \h  \* MERGEFORMAT </w:instrText>
      </w:r>
      <w:r w:rsidR="00D1051C" w:rsidRPr="00D1051C">
        <w:rPr>
          <w:szCs w:val="22"/>
        </w:rPr>
      </w:r>
      <w:r w:rsidR="00D1051C" w:rsidRPr="00D1051C">
        <w:rPr>
          <w:szCs w:val="22"/>
        </w:rPr>
        <w:fldChar w:fldCharType="separate"/>
      </w:r>
      <w:r w:rsidR="00B2175B" w:rsidRPr="00B2175B">
        <w:rPr>
          <w:bCs/>
          <w:szCs w:val="22"/>
        </w:rPr>
        <w:t xml:space="preserve">Table </w:t>
      </w:r>
      <w:r w:rsidR="00B2175B" w:rsidRPr="00B2175B">
        <w:rPr>
          <w:bCs/>
          <w:noProof/>
          <w:szCs w:val="22"/>
        </w:rPr>
        <w:t>22</w:t>
      </w:r>
      <w:r w:rsidR="00D1051C" w:rsidRPr="00D1051C">
        <w:rPr>
          <w:szCs w:val="22"/>
        </w:rPr>
        <w:fldChar w:fldCharType="end"/>
      </w:r>
      <w:r w:rsidR="00D1051C">
        <w:rPr>
          <w:szCs w:val="22"/>
        </w:rPr>
        <w:t xml:space="preserve">).  This finding just failed to attain a level of statistical significance in the univariate analyses (p = 0.06) though the same trend was apparent </w:t>
      </w:r>
      <w:r w:rsidRPr="00A123AC">
        <w:rPr>
          <w:sz w:val="20"/>
          <w:szCs w:val="22"/>
        </w:rPr>
        <w:t>(</w:t>
      </w:r>
      <w:r w:rsidR="00A123AC" w:rsidRPr="00A123AC">
        <w:rPr>
          <w:szCs w:val="22"/>
        </w:rPr>
        <w:t>Appendix 12</w:t>
      </w:r>
      <w:r w:rsidRPr="00A123AC">
        <w:rPr>
          <w:sz w:val="20"/>
          <w:szCs w:val="22"/>
        </w:rPr>
        <w:t>).</w:t>
      </w:r>
    </w:p>
    <w:p w:rsidR="00D1051C" w:rsidRPr="00014DED" w:rsidRDefault="00D1051C" w:rsidP="00D1051C">
      <w:pPr>
        <w:tabs>
          <w:tab w:val="left" w:pos="0"/>
        </w:tabs>
        <w:jc w:val="both"/>
        <w:rPr>
          <w:szCs w:val="22"/>
        </w:rPr>
      </w:pPr>
    </w:p>
    <w:p w:rsidR="00D1051C" w:rsidRPr="00934E6A" w:rsidRDefault="00D1051C" w:rsidP="00585838">
      <w:pPr>
        <w:keepNext/>
        <w:keepLines/>
        <w:jc w:val="both"/>
        <w:rPr>
          <w:b/>
          <w:bCs/>
          <w:sz w:val="20"/>
          <w:szCs w:val="20"/>
        </w:rPr>
      </w:pPr>
      <w:bookmarkStart w:id="221" w:name="_Ref408235684"/>
      <w:bookmarkStart w:id="222" w:name="_Toc420393810"/>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22</w:t>
      </w:r>
      <w:r w:rsidRPr="00934E6A">
        <w:rPr>
          <w:b/>
          <w:bCs/>
          <w:sz w:val="20"/>
          <w:szCs w:val="20"/>
        </w:rPr>
        <w:fldChar w:fldCharType="end"/>
      </w:r>
      <w:bookmarkEnd w:id="221"/>
      <w:r w:rsidRPr="00934E6A">
        <w:rPr>
          <w:b/>
          <w:bCs/>
          <w:sz w:val="20"/>
          <w:szCs w:val="20"/>
        </w:rPr>
        <w:t xml:space="preserve">: </w:t>
      </w:r>
      <w:r>
        <w:rPr>
          <w:b/>
          <w:bCs/>
          <w:sz w:val="20"/>
          <w:szCs w:val="20"/>
        </w:rPr>
        <w:t>Multi</w:t>
      </w:r>
      <w:r w:rsidR="007F2FB4">
        <w:rPr>
          <w:b/>
          <w:bCs/>
          <w:sz w:val="20"/>
          <w:szCs w:val="20"/>
        </w:rPr>
        <w:t>ple</w:t>
      </w:r>
      <w:r>
        <w:rPr>
          <w:b/>
          <w:bCs/>
          <w:sz w:val="20"/>
          <w:szCs w:val="20"/>
        </w:rPr>
        <w:t xml:space="preserve"> l</w:t>
      </w:r>
      <w:r w:rsidRPr="00934E6A">
        <w:rPr>
          <w:b/>
          <w:bCs/>
          <w:sz w:val="20"/>
          <w:szCs w:val="20"/>
        </w:rPr>
        <w:t xml:space="preserve">ogistic regression for </w:t>
      </w:r>
      <w:r>
        <w:rPr>
          <w:b/>
          <w:bCs/>
          <w:sz w:val="20"/>
          <w:szCs w:val="20"/>
        </w:rPr>
        <w:t>staying as a low-risk/moderate-risk/problem</w:t>
      </w:r>
      <w:r w:rsidRPr="00934E6A">
        <w:rPr>
          <w:b/>
          <w:bCs/>
          <w:sz w:val="20"/>
          <w:szCs w:val="20"/>
        </w:rPr>
        <w:t xml:space="preserve"> gambler </w:t>
      </w:r>
      <w:r w:rsidR="00666D0D">
        <w:rPr>
          <w:b/>
          <w:bCs/>
          <w:sz w:val="20"/>
          <w:szCs w:val="20"/>
        </w:rPr>
        <w:t>in</w:t>
      </w:r>
      <w:r w:rsidRPr="00934E6A">
        <w:rPr>
          <w:b/>
          <w:bCs/>
          <w:sz w:val="20"/>
          <w:szCs w:val="20"/>
        </w:rPr>
        <w:t xml:space="preserve"> Wave 2</w:t>
      </w:r>
      <w:bookmarkEnd w:id="2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240"/>
        <w:gridCol w:w="653"/>
        <w:gridCol w:w="1015"/>
        <w:gridCol w:w="382"/>
        <w:gridCol w:w="813"/>
      </w:tblGrid>
      <w:tr w:rsidR="00D1051C" w:rsidRPr="00985F5E" w:rsidTr="00B513CF">
        <w:trPr>
          <w:tblHeader/>
        </w:trPr>
        <w:tc>
          <w:tcPr>
            <w:tcW w:w="4203" w:type="dxa"/>
            <w:tcBorders>
              <w:top w:val="single" w:sz="4" w:space="0" w:color="auto"/>
              <w:bottom w:val="single" w:sz="4" w:space="0" w:color="auto"/>
            </w:tcBorders>
            <w:vAlign w:val="bottom"/>
          </w:tcPr>
          <w:p w:rsidR="00D1051C" w:rsidRPr="00985F5E" w:rsidRDefault="00D1051C" w:rsidP="00585838">
            <w:pPr>
              <w:keepNext/>
              <w:keepLines/>
              <w:spacing w:before="20"/>
              <w:jc w:val="both"/>
              <w:rPr>
                <w:b/>
                <w:sz w:val="18"/>
                <w:szCs w:val="18"/>
              </w:rPr>
            </w:pPr>
            <w:r w:rsidRPr="00985F5E">
              <w:rPr>
                <w:b/>
                <w:sz w:val="18"/>
                <w:szCs w:val="18"/>
              </w:rPr>
              <w:t>Variable</w:t>
            </w:r>
          </w:p>
        </w:tc>
        <w:tc>
          <w:tcPr>
            <w:tcW w:w="1240" w:type="dxa"/>
            <w:tcBorders>
              <w:top w:val="single" w:sz="4" w:space="0" w:color="auto"/>
              <w:bottom w:val="single" w:sz="4" w:space="0" w:color="auto"/>
            </w:tcBorders>
            <w:vAlign w:val="center"/>
          </w:tcPr>
          <w:p w:rsidR="00D1051C" w:rsidRPr="00985F5E" w:rsidRDefault="00D1051C" w:rsidP="00585838">
            <w:pPr>
              <w:keepNext/>
              <w:keepLines/>
              <w:spacing w:before="20"/>
              <w:jc w:val="right"/>
              <w:rPr>
                <w:rFonts w:ascii="Calibri" w:hAnsi="Calibri"/>
                <w:b/>
                <w:bCs/>
                <w:color w:val="000000"/>
                <w:sz w:val="18"/>
                <w:szCs w:val="18"/>
              </w:rPr>
            </w:pPr>
            <w:r w:rsidRPr="00985F5E">
              <w:rPr>
                <w:rFonts w:ascii="Calibri" w:hAnsi="Calibri"/>
                <w:b/>
                <w:bCs/>
                <w:color w:val="000000"/>
                <w:sz w:val="18"/>
                <w:szCs w:val="18"/>
              </w:rPr>
              <w:t>%</w:t>
            </w:r>
          </w:p>
        </w:tc>
        <w:tc>
          <w:tcPr>
            <w:tcW w:w="653" w:type="dxa"/>
            <w:tcBorders>
              <w:top w:val="single" w:sz="4" w:space="0" w:color="auto"/>
              <w:bottom w:val="single" w:sz="4" w:space="0" w:color="auto"/>
            </w:tcBorders>
            <w:vAlign w:val="center"/>
          </w:tcPr>
          <w:p w:rsidR="00D1051C" w:rsidRPr="00985F5E" w:rsidRDefault="00D1051C" w:rsidP="00585838">
            <w:pPr>
              <w:keepNext/>
              <w:keepLines/>
              <w:spacing w:before="20"/>
              <w:jc w:val="right"/>
              <w:rPr>
                <w:rFonts w:ascii="Calibri" w:hAnsi="Calibri"/>
                <w:b/>
                <w:color w:val="000000"/>
                <w:sz w:val="18"/>
                <w:szCs w:val="18"/>
              </w:rPr>
            </w:pPr>
            <w:r w:rsidRPr="00985F5E">
              <w:rPr>
                <w:rFonts w:ascii="Calibri" w:hAnsi="Calibri"/>
                <w:b/>
                <w:color w:val="000000"/>
                <w:sz w:val="18"/>
                <w:szCs w:val="18"/>
              </w:rPr>
              <w:t>Odds Ratio</w:t>
            </w:r>
          </w:p>
        </w:tc>
        <w:tc>
          <w:tcPr>
            <w:tcW w:w="1397" w:type="dxa"/>
            <w:gridSpan w:val="2"/>
            <w:tcBorders>
              <w:top w:val="single" w:sz="4" w:space="0" w:color="auto"/>
              <w:bottom w:val="single" w:sz="4" w:space="0" w:color="auto"/>
            </w:tcBorders>
            <w:vAlign w:val="center"/>
          </w:tcPr>
          <w:p w:rsidR="00D1051C" w:rsidRPr="00985F5E" w:rsidRDefault="009F52BC" w:rsidP="00585838">
            <w:pPr>
              <w:keepNext/>
              <w:keepLines/>
              <w:spacing w:before="20"/>
              <w:jc w:val="right"/>
              <w:rPr>
                <w:rFonts w:ascii="Calibri" w:hAnsi="Calibri"/>
                <w:b/>
                <w:color w:val="000000"/>
                <w:sz w:val="18"/>
                <w:szCs w:val="18"/>
              </w:rPr>
            </w:pPr>
            <w:r w:rsidRPr="00985F5E">
              <w:rPr>
                <w:rFonts w:ascii="Calibri" w:hAnsi="Calibri"/>
                <w:b/>
                <w:color w:val="000000"/>
                <w:sz w:val="18"/>
                <w:szCs w:val="18"/>
              </w:rPr>
              <w:t>(</w:t>
            </w:r>
            <w:r w:rsidR="00D1051C" w:rsidRPr="00985F5E">
              <w:rPr>
                <w:rFonts w:ascii="Calibri" w:hAnsi="Calibri"/>
                <w:b/>
                <w:color w:val="000000"/>
                <w:sz w:val="18"/>
                <w:szCs w:val="18"/>
              </w:rPr>
              <w:t>95% CI</w:t>
            </w:r>
            <w:r w:rsidRPr="00985F5E">
              <w:rPr>
                <w:rFonts w:ascii="Calibri" w:hAnsi="Calibri"/>
                <w:b/>
                <w:color w:val="000000"/>
                <w:sz w:val="18"/>
                <w:szCs w:val="18"/>
              </w:rPr>
              <w:t>)</w:t>
            </w:r>
          </w:p>
        </w:tc>
        <w:tc>
          <w:tcPr>
            <w:tcW w:w="813" w:type="dxa"/>
            <w:tcBorders>
              <w:top w:val="single" w:sz="4" w:space="0" w:color="auto"/>
              <w:bottom w:val="single" w:sz="4" w:space="0" w:color="auto"/>
            </w:tcBorders>
            <w:vAlign w:val="center"/>
          </w:tcPr>
          <w:p w:rsidR="00D1051C" w:rsidRPr="00985F5E" w:rsidRDefault="00D1051C" w:rsidP="00585838">
            <w:pPr>
              <w:keepNext/>
              <w:keepLines/>
              <w:spacing w:before="20"/>
              <w:jc w:val="right"/>
              <w:rPr>
                <w:rFonts w:ascii="Calibri" w:hAnsi="Calibri"/>
                <w:b/>
                <w:color w:val="000000"/>
                <w:sz w:val="18"/>
                <w:szCs w:val="18"/>
              </w:rPr>
            </w:pPr>
            <w:r w:rsidRPr="00985F5E">
              <w:rPr>
                <w:rFonts w:ascii="Calibri" w:hAnsi="Calibri"/>
                <w:b/>
                <w:color w:val="000000"/>
                <w:sz w:val="18"/>
                <w:szCs w:val="18"/>
              </w:rPr>
              <w:t>p-value</w:t>
            </w:r>
          </w:p>
        </w:tc>
      </w:tr>
      <w:tr w:rsidR="00D1051C" w:rsidRPr="00985F5E" w:rsidTr="00B513CF">
        <w:tc>
          <w:tcPr>
            <w:tcW w:w="4203" w:type="dxa"/>
            <w:vAlign w:val="bottom"/>
          </w:tcPr>
          <w:p w:rsidR="00D1051C" w:rsidRPr="00985F5E" w:rsidRDefault="00D1051C" w:rsidP="00585838">
            <w:pPr>
              <w:keepNext/>
              <w:keepLines/>
              <w:spacing w:before="20"/>
              <w:jc w:val="both"/>
              <w:rPr>
                <w:b/>
                <w:sz w:val="18"/>
                <w:szCs w:val="18"/>
              </w:rPr>
            </w:pPr>
            <w:r w:rsidRPr="00985F5E">
              <w:rPr>
                <w:b/>
                <w:sz w:val="18"/>
                <w:szCs w:val="18"/>
              </w:rPr>
              <w:t>Housie or bingo - annual</w:t>
            </w:r>
          </w:p>
        </w:tc>
        <w:tc>
          <w:tcPr>
            <w:tcW w:w="1240" w:type="dxa"/>
            <w:vAlign w:val="center"/>
          </w:tcPr>
          <w:p w:rsidR="00D1051C" w:rsidRPr="00985F5E" w:rsidRDefault="00D1051C" w:rsidP="00585838">
            <w:pPr>
              <w:keepNext/>
              <w:keepLines/>
              <w:adjustRightInd w:val="0"/>
              <w:spacing w:before="20"/>
              <w:jc w:val="right"/>
              <w:rPr>
                <w:color w:val="000000"/>
                <w:sz w:val="18"/>
                <w:szCs w:val="18"/>
              </w:rPr>
            </w:pPr>
          </w:p>
        </w:tc>
        <w:tc>
          <w:tcPr>
            <w:tcW w:w="653" w:type="dxa"/>
            <w:vAlign w:val="center"/>
          </w:tcPr>
          <w:p w:rsidR="00D1051C" w:rsidRPr="00985F5E" w:rsidRDefault="00D1051C" w:rsidP="00585838">
            <w:pPr>
              <w:keepNext/>
              <w:keepLines/>
              <w:adjustRightInd w:val="0"/>
              <w:spacing w:before="20"/>
              <w:jc w:val="right"/>
              <w:rPr>
                <w:color w:val="000000"/>
                <w:sz w:val="18"/>
                <w:szCs w:val="18"/>
              </w:rPr>
            </w:pPr>
          </w:p>
        </w:tc>
        <w:tc>
          <w:tcPr>
            <w:tcW w:w="1015" w:type="dxa"/>
            <w:vAlign w:val="center"/>
          </w:tcPr>
          <w:p w:rsidR="00D1051C" w:rsidRPr="00985F5E" w:rsidRDefault="00D1051C" w:rsidP="00585838">
            <w:pPr>
              <w:keepNext/>
              <w:keepLines/>
              <w:adjustRightInd w:val="0"/>
              <w:spacing w:before="20"/>
              <w:jc w:val="right"/>
              <w:rPr>
                <w:color w:val="000000"/>
                <w:sz w:val="18"/>
                <w:szCs w:val="18"/>
              </w:rPr>
            </w:pPr>
          </w:p>
        </w:tc>
        <w:tc>
          <w:tcPr>
            <w:tcW w:w="382" w:type="dxa"/>
            <w:vAlign w:val="center"/>
          </w:tcPr>
          <w:p w:rsidR="00D1051C" w:rsidRPr="00985F5E" w:rsidRDefault="00D1051C" w:rsidP="00585838">
            <w:pPr>
              <w:keepNext/>
              <w:keepLines/>
              <w:adjustRightInd w:val="0"/>
              <w:spacing w:before="20"/>
              <w:jc w:val="right"/>
              <w:rPr>
                <w:color w:val="000000"/>
                <w:sz w:val="18"/>
                <w:szCs w:val="18"/>
              </w:rPr>
            </w:pPr>
          </w:p>
        </w:tc>
        <w:tc>
          <w:tcPr>
            <w:tcW w:w="813" w:type="dxa"/>
            <w:vAlign w:val="center"/>
          </w:tcPr>
          <w:p w:rsidR="00D1051C" w:rsidRPr="00985F5E" w:rsidRDefault="00D1051C" w:rsidP="00585838">
            <w:pPr>
              <w:keepNext/>
              <w:keepLines/>
              <w:adjustRightInd w:val="0"/>
              <w:spacing w:before="20"/>
              <w:jc w:val="right"/>
              <w:rPr>
                <w:color w:val="000000"/>
                <w:sz w:val="18"/>
                <w:szCs w:val="18"/>
              </w:rPr>
            </w:pPr>
          </w:p>
        </w:tc>
      </w:tr>
      <w:tr w:rsidR="00D1051C" w:rsidRPr="00985F5E" w:rsidTr="00B513CF">
        <w:tc>
          <w:tcPr>
            <w:tcW w:w="4203" w:type="dxa"/>
          </w:tcPr>
          <w:p w:rsidR="00D1051C" w:rsidRPr="00985F5E" w:rsidRDefault="00D1051C" w:rsidP="00585838">
            <w:pPr>
              <w:keepNext/>
              <w:keepLines/>
              <w:spacing w:before="20"/>
              <w:ind w:left="176"/>
              <w:jc w:val="both"/>
              <w:rPr>
                <w:sz w:val="18"/>
                <w:szCs w:val="18"/>
              </w:rPr>
            </w:pPr>
            <w:r w:rsidRPr="00985F5E">
              <w:rPr>
                <w:sz w:val="18"/>
                <w:szCs w:val="18"/>
              </w:rPr>
              <w:t>No</w:t>
            </w:r>
          </w:p>
        </w:tc>
        <w:tc>
          <w:tcPr>
            <w:tcW w:w="1240" w:type="dxa"/>
            <w:vAlign w:val="center"/>
          </w:tcPr>
          <w:p w:rsidR="00D1051C" w:rsidRPr="00985F5E" w:rsidRDefault="00D1051C" w:rsidP="00585838">
            <w:pPr>
              <w:keepNext/>
              <w:keepLines/>
              <w:adjustRightInd w:val="0"/>
              <w:spacing w:before="20"/>
              <w:jc w:val="right"/>
              <w:rPr>
                <w:color w:val="000000"/>
                <w:sz w:val="18"/>
                <w:szCs w:val="18"/>
              </w:rPr>
            </w:pPr>
            <w:r w:rsidRPr="00985F5E">
              <w:rPr>
                <w:color w:val="000000"/>
                <w:sz w:val="18"/>
                <w:szCs w:val="18"/>
              </w:rPr>
              <w:t>46.1</w:t>
            </w:r>
          </w:p>
        </w:tc>
        <w:tc>
          <w:tcPr>
            <w:tcW w:w="653" w:type="dxa"/>
            <w:vAlign w:val="center"/>
          </w:tcPr>
          <w:p w:rsidR="00D1051C" w:rsidRPr="00985F5E" w:rsidRDefault="00D1051C" w:rsidP="00585838">
            <w:pPr>
              <w:keepNext/>
              <w:keepLines/>
              <w:adjustRightInd w:val="0"/>
              <w:spacing w:before="20"/>
              <w:jc w:val="right"/>
              <w:rPr>
                <w:color w:val="000000"/>
                <w:sz w:val="18"/>
                <w:szCs w:val="18"/>
              </w:rPr>
            </w:pPr>
            <w:r w:rsidRPr="00985F5E">
              <w:rPr>
                <w:color w:val="000000"/>
                <w:sz w:val="18"/>
                <w:szCs w:val="18"/>
              </w:rPr>
              <w:t>1.00</w:t>
            </w:r>
          </w:p>
        </w:tc>
        <w:tc>
          <w:tcPr>
            <w:tcW w:w="1015" w:type="dxa"/>
            <w:vAlign w:val="center"/>
          </w:tcPr>
          <w:p w:rsidR="00D1051C" w:rsidRPr="00985F5E" w:rsidRDefault="00D1051C" w:rsidP="00585838">
            <w:pPr>
              <w:keepNext/>
              <w:keepLines/>
              <w:adjustRightInd w:val="0"/>
              <w:spacing w:before="20"/>
              <w:jc w:val="right"/>
              <w:rPr>
                <w:color w:val="000000"/>
                <w:sz w:val="18"/>
                <w:szCs w:val="18"/>
              </w:rPr>
            </w:pPr>
          </w:p>
        </w:tc>
        <w:tc>
          <w:tcPr>
            <w:tcW w:w="382" w:type="dxa"/>
            <w:vAlign w:val="center"/>
          </w:tcPr>
          <w:p w:rsidR="00D1051C" w:rsidRPr="00985F5E" w:rsidRDefault="00D1051C" w:rsidP="00585838">
            <w:pPr>
              <w:keepNext/>
              <w:keepLines/>
              <w:adjustRightInd w:val="0"/>
              <w:spacing w:before="20"/>
              <w:jc w:val="right"/>
              <w:rPr>
                <w:color w:val="000000"/>
                <w:sz w:val="18"/>
                <w:szCs w:val="18"/>
              </w:rPr>
            </w:pPr>
          </w:p>
        </w:tc>
        <w:tc>
          <w:tcPr>
            <w:tcW w:w="813" w:type="dxa"/>
            <w:vAlign w:val="center"/>
          </w:tcPr>
          <w:p w:rsidR="00D1051C" w:rsidRPr="00985F5E" w:rsidRDefault="00D1051C" w:rsidP="00585838">
            <w:pPr>
              <w:keepNext/>
              <w:keepLines/>
              <w:adjustRightInd w:val="0"/>
              <w:spacing w:before="20"/>
              <w:jc w:val="right"/>
              <w:rPr>
                <w:color w:val="000000"/>
                <w:sz w:val="18"/>
                <w:szCs w:val="18"/>
              </w:rPr>
            </w:pPr>
          </w:p>
        </w:tc>
      </w:tr>
      <w:tr w:rsidR="009F52BC" w:rsidRPr="00985F5E" w:rsidTr="00B513CF">
        <w:tc>
          <w:tcPr>
            <w:tcW w:w="4203" w:type="dxa"/>
          </w:tcPr>
          <w:p w:rsidR="009F52BC" w:rsidRPr="00985F5E" w:rsidRDefault="009F52BC" w:rsidP="00585838">
            <w:pPr>
              <w:keepNext/>
              <w:keepLines/>
              <w:spacing w:before="20"/>
              <w:ind w:left="176"/>
              <w:jc w:val="both"/>
              <w:rPr>
                <w:sz w:val="18"/>
                <w:szCs w:val="18"/>
              </w:rPr>
            </w:pPr>
            <w:r w:rsidRPr="00985F5E">
              <w:rPr>
                <w:sz w:val="18"/>
                <w:szCs w:val="18"/>
              </w:rPr>
              <w:t>Yes</w:t>
            </w:r>
          </w:p>
        </w:tc>
        <w:tc>
          <w:tcPr>
            <w:tcW w:w="1240" w:type="dxa"/>
            <w:vAlign w:val="center"/>
          </w:tcPr>
          <w:p w:rsidR="009F52BC" w:rsidRPr="00985F5E" w:rsidRDefault="009F52BC" w:rsidP="00585838">
            <w:pPr>
              <w:keepNext/>
              <w:keepLines/>
              <w:adjustRightInd w:val="0"/>
              <w:spacing w:before="20"/>
              <w:jc w:val="right"/>
              <w:rPr>
                <w:color w:val="000000"/>
                <w:sz w:val="18"/>
                <w:szCs w:val="18"/>
              </w:rPr>
            </w:pPr>
            <w:r w:rsidRPr="00985F5E">
              <w:rPr>
                <w:color w:val="000000"/>
                <w:sz w:val="18"/>
                <w:szCs w:val="18"/>
              </w:rPr>
              <w:t>79.6</w:t>
            </w:r>
          </w:p>
        </w:tc>
        <w:tc>
          <w:tcPr>
            <w:tcW w:w="653" w:type="dxa"/>
            <w:vAlign w:val="center"/>
          </w:tcPr>
          <w:p w:rsidR="009F52BC" w:rsidRPr="00985F5E" w:rsidRDefault="009F52BC" w:rsidP="00585838">
            <w:pPr>
              <w:keepNext/>
              <w:keepLines/>
              <w:adjustRightInd w:val="0"/>
              <w:spacing w:before="20"/>
              <w:jc w:val="right"/>
              <w:rPr>
                <w:color w:val="000000"/>
                <w:sz w:val="18"/>
                <w:szCs w:val="18"/>
              </w:rPr>
            </w:pPr>
            <w:r w:rsidRPr="00985F5E">
              <w:rPr>
                <w:color w:val="000000"/>
                <w:sz w:val="18"/>
                <w:szCs w:val="18"/>
              </w:rPr>
              <w:t>4.54</w:t>
            </w:r>
          </w:p>
        </w:tc>
        <w:tc>
          <w:tcPr>
            <w:tcW w:w="1397" w:type="dxa"/>
            <w:gridSpan w:val="2"/>
            <w:vAlign w:val="center"/>
          </w:tcPr>
          <w:p w:rsidR="009F52BC" w:rsidRPr="00985F5E" w:rsidRDefault="00014DED" w:rsidP="00585838">
            <w:pPr>
              <w:keepNext/>
              <w:keepLines/>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1.25 - 16.48</w:t>
            </w:r>
            <w:r w:rsidRPr="00985F5E">
              <w:rPr>
                <w:color w:val="000000"/>
                <w:sz w:val="18"/>
                <w:szCs w:val="18"/>
              </w:rPr>
              <w:t>)</w:t>
            </w:r>
          </w:p>
        </w:tc>
        <w:tc>
          <w:tcPr>
            <w:tcW w:w="813" w:type="dxa"/>
            <w:shd w:val="clear" w:color="auto" w:fill="D9D9D9" w:themeFill="background1" w:themeFillShade="D9"/>
            <w:vAlign w:val="center"/>
          </w:tcPr>
          <w:p w:rsidR="009F52BC" w:rsidRPr="00985F5E" w:rsidRDefault="009F52BC" w:rsidP="00585838">
            <w:pPr>
              <w:keepNext/>
              <w:keepLines/>
              <w:adjustRightInd w:val="0"/>
              <w:spacing w:before="20"/>
              <w:jc w:val="right"/>
              <w:rPr>
                <w:color w:val="000000"/>
                <w:sz w:val="18"/>
                <w:szCs w:val="18"/>
              </w:rPr>
            </w:pPr>
            <w:r w:rsidRPr="00985F5E">
              <w:rPr>
                <w:color w:val="000000"/>
                <w:sz w:val="18"/>
                <w:szCs w:val="18"/>
              </w:rPr>
              <w:t>0.02</w:t>
            </w:r>
          </w:p>
        </w:tc>
      </w:tr>
      <w:tr w:rsidR="00D1051C" w:rsidRPr="00985F5E" w:rsidTr="00B51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3" w:type="dxa"/>
            <w:tcBorders>
              <w:top w:val="nil"/>
              <w:left w:val="nil"/>
              <w:bottom w:val="nil"/>
              <w:right w:val="nil"/>
            </w:tcBorders>
          </w:tcPr>
          <w:p w:rsidR="00D1051C" w:rsidRPr="00985F5E" w:rsidRDefault="00D1051C" w:rsidP="00585838">
            <w:pPr>
              <w:keepNext/>
              <w:keepLines/>
              <w:spacing w:before="20"/>
              <w:jc w:val="both"/>
              <w:rPr>
                <w:b/>
                <w:sz w:val="18"/>
                <w:szCs w:val="18"/>
              </w:rPr>
            </w:pPr>
            <w:r w:rsidRPr="00985F5E">
              <w:rPr>
                <w:b/>
                <w:sz w:val="18"/>
                <w:szCs w:val="18"/>
              </w:rPr>
              <w:t>Card games - monthly</w:t>
            </w:r>
          </w:p>
        </w:tc>
        <w:tc>
          <w:tcPr>
            <w:tcW w:w="1240" w:type="dxa"/>
            <w:tcBorders>
              <w:top w:val="nil"/>
              <w:left w:val="nil"/>
              <w:bottom w:val="nil"/>
              <w:right w:val="nil"/>
            </w:tcBorders>
            <w:vAlign w:val="center"/>
          </w:tcPr>
          <w:p w:rsidR="00D1051C" w:rsidRPr="00985F5E" w:rsidRDefault="00D1051C" w:rsidP="00585838">
            <w:pPr>
              <w:keepNext/>
              <w:keepLines/>
              <w:adjustRightInd w:val="0"/>
              <w:spacing w:before="20"/>
              <w:jc w:val="right"/>
              <w:rPr>
                <w:color w:val="000000"/>
                <w:sz w:val="18"/>
                <w:szCs w:val="18"/>
              </w:rPr>
            </w:pPr>
          </w:p>
        </w:tc>
        <w:tc>
          <w:tcPr>
            <w:tcW w:w="653" w:type="dxa"/>
            <w:tcBorders>
              <w:top w:val="nil"/>
              <w:left w:val="nil"/>
              <w:bottom w:val="nil"/>
              <w:right w:val="nil"/>
            </w:tcBorders>
            <w:vAlign w:val="center"/>
          </w:tcPr>
          <w:p w:rsidR="00D1051C" w:rsidRPr="00985F5E" w:rsidRDefault="00D1051C" w:rsidP="00585838">
            <w:pPr>
              <w:keepNext/>
              <w:keepLines/>
              <w:adjustRightInd w:val="0"/>
              <w:spacing w:before="20"/>
              <w:jc w:val="right"/>
              <w:rPr>
                <w:color w:val="000000"/>
                <w:sz w:val="18"/>
                <w:szCs w:val="18"/>
              </w:rPr>
            </w:pPr>
          </w:p>
        </w:tc>
        <w:tc>
          <w:tcPr>
            <w:tcW w:w="1015" w:type="dxa"/>
            <w:tcBorders>
              <w:top w:val="nil"/>
              <w:left w:val="nil"/>
              <w:bottom w:val="nil"/>
              <w:right w:val="nil"/>
            </w:tcBorders>
            <w:vAlign w:val="center"/>
          </w:tcPr>
          <w:p w:rsidR="00D1051C" w:rsidRPr="00985F5E" w:rsidRDefault="00D1051C" w:rsidP="00585838">
            <w:pPr>
              <w:keepNext/>
              <w:keepLines/>
              <w:adjustRightInd w:val="0"/>
              <w:spacing w:before="20"/>
              <w:jc w:val="right"/>
              <w:rPr>
                <w:color w:val="000000"/>
                <w:sz w:val="18"/>
                <w:szCs w:val="18"/>
              </w:rPr>
            </w:pPr>
          </w:p>
        </w:tc>
        <w:tc>
          <w:tcPr>
            <w:tcW w:w="382" w:type="dxa"/>
            <w:tcBorders>
              <w:top w:val="nil"/>
              <w:left w:val="nil"/>
              <w:bottom w:val="nil"/>
              <w:right w:val="nil"/>
            </w:tcBorders>
            <w:vAlign w:val="center"/>
          </w:tcPr>
          <w:p w:rsidR="00D1051C" w:rsidRPr="00985F5E" w:rsidRDefault="00D1051C" w:rsidP="00585838">
            <w:pPr>
              <w:keepNext/>
              <w:keepLines/>
              <w:adjustRightInd w:val="0"/>
              <w:spacing w:before="20"/>
              <w:jc w:val="right"/>
              <w:rPr>
                <w:color w:val="000000"/>
                <w:sz w:val="18"/>
                <w:szCs w:val="18"/>
              </w:rPr>
            </w:pPr>
          </w:p>
        </w:tc>
        <w:tc>
          <w:tcPr>
            <w:tcW w:w="813" w:type="dxa"/>
            <w:tcBorders>
              <w:top w:val="nil"/>
              <w:left w:val="nil"/>
              <w:bottom w:val="nil"/>
              <w:right w:val="nil"/>
            </w:tcBorders>
            <w:vAlign w:val="center"/>
          </w:tcPr>
          <w:p w:rsidR="00D1051C" w:rsidRPr="00985F5E" w:rsidRDefault="00D1051C" w:rsidP="00585838">
            <w:pPr>
              <w:keepNext/>
              <w:keepLines/>
              <w:adjustRightInd w:val="0"/>
              <w:spacing w:before="20"/>
              <w:jc w:val="right"/>
              <w:rPr>
                <w:color w:val="000000"/>
                <w:sz w:val="18"/>
                <w:szCs w:val="18"/>
              </w:rPr>
            </w:pPr>
          </w:p>
        </w:tc>
      </w:tr>
      <w:tr w:rsidR="00D1051C" w:rsidRPr="00985F5E" w:rsidTr="00B51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3" w:type="dxa"/>
            <w:tcBorders>
              <w:top w:val="nil"/>
              <w:left w:val="nil"/>
              <w:bottom w:val="nil"/>
              <w:right w:val="nil"/>
            </w:tcBorders>
          </w:tcPr>
          <w:p w:rsidR="00D1051C" w:rsidRPr="00985F5E" w:rsidRDefault="00D1051C" w:rsidP="00D1051C">
            <w:pPr>
              <w:spacing w:before="20"/>
              <w:ind w:left="176"/>
              <w:jc w:val="both"/>
              <w:rPr>
                <w:sz w:val="18"/>
                <w:szCs w:val="18"/>
              </w:rPr>
            </w:pPr>
            <w:r w:rsidRPr="00985F5E">
              <w:rPr>
                <w:sz w:val="18"/>
                <w:szCs w:val="18"/>
              </w:rPr>
              <w:t>No</w:t>
            </w:r>
          </w:p>
        </w:tc>
        <w:tc>
          <w:tcPr>
            <w:tcW w:w="1240" w:type="dxa"/>
            <w:tcBorders>
              <w:top w:val="nil"/>
              <w:left w:val="nil"/>
              <w:bottom w:val="nil"/>
              <w:right w:val="nil"/>
            </w:tcBorders>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46.5</w:t>
            </w:r>
          </w:p>
        </w:tc>
        <w:tc>
          <w:tcPr>
            <w:tcW w:w="653" w:type="dxa"/>
            <w:tcBorders>
              <w:top w:val="nil"/>
              <w:left w:val="nil"/>
              <w:bottom w:val="nil"/>
              <w:right w:val="nil"/>
            </w:tcBorders>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1.00</w:t>
            </w:r>
          </w:p>
        </w:tc>
        <w:tc>
          <w:tcPr>
            <w:tcW w:w="1015" w:type="dxa"/>
            <w:tcBorders>
              <w:top w:val="nil"/>
              <w:left w:val="nil"/>
              <w:bottom w:val="nil"/>
              <w:right w:val="nil"/>
            </w:tcBorders>
            <w:vAlign w:val="center"/>
          </w:tcPr>
          <w:p w:rsidR="00D1051C" w:rsidRPr="00985F5E" w:rsidRDefault="00D1051C" w:rsidP="009F52BC">
            <w:pPr>
              <w:adjustRightInd w:val="0"/>
              <w:spacing w:before="20"/>
              <w:jc w:val="right"/>
              <w:rPr>
                <w:color w:val="000000"/>
                <w:sz w:val="18"/>
                <w:szCs w:val="18"/>
              </w:rPr>
            </w:pPr>
          </w:p>
        </w:tc>
        <w:tc>
          <w:tcPr>
            <w:tcW w:w="382" w:type="dxa"/>
            <w:tcBorders>
              <w:top w:val="nil"/>
              <w:left w:val="nil"/>
              <w:bottom w:val="nil"/>
              <w:right w:val="nil"/>
            </w:tcBorders>
            <w:vAlign w:val="center"/>
          </w:tcPr>
          <w:p w:rsidR="00D1051C" w:rsidRPr="00985F5E" w:rsidRDefault="00D1051C" w:rsidP="009F52BC">
            <w:pPr>
              <w:adjustRightInd w:val="0"/>
              <w:spacing w:before="20"/>
              <w:jc w:val="right"/>
              <w:rPr>
                <w:color w:val="000000"/>
                <w:sz w:val="18"/>
                <w:szCs w:val="18"/>
              </w:rPr>
            </w:pPr>
          </w:p>
        </w:tc>
        <w:tc>
          <w:tcPr>
            <w:tcW w:w="813" w:type="dxa"/>
            <w:tcBorders>
              <w:top w:val="nil"/>
              <w:left w:val="nil"/>
              <w:bottom w:val="nil"/>
              <w:right w:val="nil"/>
            </w:tcBorders>
            <w:vAlign w:val="center"/>
          </w:tcPr>
          <w:p w:rsidR="00D1051C" w:rsidRPr="00985F5E" w:rsidRDefault="00D1051C" w:rsidP="009F52BC">
            <w:pPr>
              <w:adjustRightInd w:val="0"/>
              <w:spacing w:before="20"/>
              <w:jc w:val="right"/>
              <w:rPr>
                <w:color w:val="000000"/>
                <w:sz w:val="18"/>
                <w:szCs w:val="18"/>
              </w:rPr>
            </w:pPr>
          </w:p>
        </w:tc>
      </w:tr>
      <w:tr w:rsidR="009F52BC" w:rsidRPr="00985F5E" w:rsidTr="00B513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03" w:type="dxa"/>
            <w:tcBorders>
              <w:top w:val="nil"/>
              <w:left w:val="nil"/>
              <w:bottom w:val="nil"/>
              <w:right w:val="nil"/>
            </w:tcBorders>
          </w:tcPr>
          <w:p w:rsidR="009F52BC" w:rsidRPr="00985F5E" w:rsidRDefault="009F52BC" w:rsidP="00D1051C">
            <w:pPr>
              <w:spacing w:before="20"/>
              <w:ind w:left="176"/>
              <w:jc w:val="both"/>
              <w:rPr>
                <w:sz w:val="18"/>
                <w:szCs w:val="18"/>
              </w:rPr>
            </w:pPr>
            <w:r w:rsidRPr="00985F5E">
              <w:rPr>
                <w:sz w:val="18"/>
                <w:szCs w:val="18"/>
              </w:rPr>
              <w:t>Yes</w:t>
            </w:r>
          </w:p>
        </w:tc>
        <w:tc>
          <w:tcPr>
            <w:tcW w:w="1240" w:type="dxa"/>
            <w:tcBorders>
              <w:top w:val="nil"/>
              <w:left w:val="nil"/>
              <w:bottom w:val="nil"/>
              <w:right w:val="nil"/>
            </w:tcBorders>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78.9</w:t>
            </w:r>
          </w:p>
        </w:tc>
        <w:tc>
          <w:tcPr>
            <w:tcW w:w="653" w:type="dxa"/>
            <w:tcBorders>
              <w:top w:val="nil"/>
              <w:left w:val="nil"/>
              <w:bottom w:val="nil"/>
              <w:right w:val="nil"/>
            </w:tcBorders>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6.35</w:t>
            </w:r>
          </w:p>
        </w:tc>
        <w:tc>
          <w:tcPr>
            <w:tcW w:w="1397" w:type="dxa"/>
            <w:gridSpan w:val="2"/>
            <w:tcBorders>
              <w:top w:val="nil"/>
              <w:left w:val="nil"/>
              <w:bottom w:val="nil"/>
              <w:right w:val="nil"/>
            </w:tcBorders>
            <w:vAlign w:val="center"/>
          </w:tcPr>
          <w:p w:rsidR="009F52BC" w:rsidRPr="00985F5E" w:rsidRDefault="00014DED" w:rsidP="009F52BC">
            <w:pPr>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1.09 - 37.15</w:t>
            </w:r>
            <w:r w:rsidRPr="00985F5E">
              <w:rPr>
                <w:color w:val="000000"/>
                <w:sz w:val="18"/>
                <w:szCs w:val="18"/>
              </w:rPr>
              <w:t>)</w:t>
            </w:r>
          </w:p>
        </w:tc>
        <w:tc>
          <w:tcPr>
            <w:tcW w:w="813" w:type="dxa"/>
            <w:tcBorders>
              <w:top w:val="nil"/>
              <w:left w:val="nil"/>
              <w:bottom w:val="nil"/>
              <w:right w:val="nil"/>
            </w:tcBorders>
            <w:shd w:val="clear" w:color="auto" w:fill="D9D9D9" w:themeFill="background1" w:themeFillShade="D9"/>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0.04</w:t>
            </w:r>
          </w:p>
        </w:tc>
      </w:tr>
      <w:tr w:rsidR="00D1051C" w:rsidRPr="00985F5E" w:rsidTr="00B513CF">
        <w:tc>
          <w:tcPr>
            <w:tcW w:w="4203" w:type="dxa"/>
            <w:vAlign w:val="bottom"/>
          </w:tcPr>
          <w:p w:rsidR="00D1051C" w:rsidRPr="00985F5E" w:rsidRDefault="00D1051C" w:rsidP="00D1051C">
            <w:pPr>
              <w:spacing w:before="20"/>
              <w:jc w:val="both"/>
              <w:rPr>
                <w:b/>
                <w:sz w:val="18"/>
                <w:szCs w:val="18"/>
              </w:rPr>
            </w:pPr>
            <w:r w:rsidRPr="00985F5E">
              <w:rPr>
                <w:b/>
                <w:sz w:val="18"/>
                <w:szCs w:val="18"/>
              </w:rPr>
              <w:t>EGMs overall - monthly</w:t>
            </w:r>
          </w:p>
        </w:tc>
        <w:tc>
          <w:tcPr>
            <w:tcW w:w="1240" w:type="dxa"/>
            <w:vAlign w:val="center"/>
          </w:tcPr>
          <w:p w:rsidR="00D1051C" w:rsidRPr="00985F5E" w:rsidRDefault="00D1051C" w:rsidP="009F52BC">
            <w:pPr>
              <w:adjustRightInd w:val="0"/>
              <w:spacing w:before="20"/>
              <w:jc w:val="right"/>
              <w:rPr>
                <w:color w:val="000000"/>
                <w:sz w:val="18"/>
                <w:szCs w:val="18"/>
              </w:rPr>
            </w:pPr>
          </w:p>
        </w:tc>
        <w:tc>
          <w:tcPr>
            <w:tcW w:w="653" w:type="dxa"/>
            <w:vAlign w:val="center"/>
          </w:tcPr>
          <w:p w:rsidR="00D1051C" w:rsidRPr="00985F5E" w:rsidRDefault="00D1051C" w:rsidP="009F52BC">
            <w:pPr>
              <w:adjustRightInd w:val="0"/>
              <w:spacing w:before="20"/>
              <w:jc w:val="right"/>
              <w:rPr>
                <w:color w:val="000000"/>
                <w:sz w:val="18"/>
                <w:szCs w:val="18"/>
              </w:rPr>
            </w:pPr>
          </w:p>
        </w:tc>
        <w:tc>
          <w:tcPr>
            <w:tcW w:w="1015" w:type="dxa"/>
            <w:vAlign w:val="center"/>
          </w:tcPr>
          <w:p w:rsidR="00D1051C" w:rsidRPr="00985F5E" w:rsidRDefault="00D1051C" w:rsidP="009F52BC">
            <w:pPr>
              <w:adjustRightInd w:val="0"/>
              <w:spacing w:before="20"/>
              <w:jc w:val="right"/>
              <w:rPr>
                <w:color w:val="000000"/>
                <w:sz w:val="18"/>
                <w:szCs w:val="18"/>
              </w:rPr>
            </w:pPr>
          </w:p>
        </w:tc>
        <w:tc>
          <w:tcPr>
            <w:tcW w:w="382" w:type="dxa"/>
            <w:vAlign w:val="center"/>
          </w:tcPr>
          <w:p w:rsidR="00D1051C" w:rsidRPr="00985F5E" w:rsidRDefault="00D1051C" w:rsidP="009F52BC">
            <w:pPr>
              <w:adjustRightInd w:val="0"/>
              <w:spacing w:before="20"/>
              <w:jc w:val="right"/>
              <w:rPr>
                <w:color w:val="000000"/>
                <w:sz w:val="18"/>
                <w:szCs w:val="18"/>
              </w:rPr>
            </w:pPr>
          </w:p>
        </w:tc>
        <w:tc>
          <w:tcPr>
            <w:tcW w:w="813" w:type="dxa"/>
            <w:shd w:val="clear" w:color="auto" w:fill="auto"/>
            <w:vAlign w:val="center"/>
          </w:tcPr>
          <w:p w:rsidR="00D1051C" w:rsidRPr="00985F5E" w:rsidRDefault="00D1051C" w:rsidP="009F52BC">
            <w:pPr>
              <w:adjustRightInd w:val="0"/>
              <w:spacing w:before="20"/>
              <w:jc w:val="right"/>
              <w:rPr>
                <w:color w:val="000000"/>
                <w:sz w:val="18"/>
                <w:szCs w:val="18"/>
              </w:rPr>
            </w:pPr>
          </w:p>
        </w:tc>
      </w:tr>
      <w:tr w:rsidR="00D1051C" w:rsidRPr="00985F5E" w:rsidTr="00B513CF">
        <w:tc>
          <w:tcPr>
            <w:tcW w:w="4203" w:type="dxa"/>
          </w:tcPr>
          <w:p w:rsidR="00D1051C" w:rsidRPr="00985F5E" w:rsidRDefault="00D1051C" w:rsidP="00D1051C">
            <w:pPr>
              <w:spacing w:before="20"/>
              <w:ind w:left="176"/>
              <w:jc w:val="both"/>
              <w:rPr>
                <w:sz w:val="18"/>
                <w:szCs w:val="18"/>
              </w:rPr>
            </w:pPr>
            <w:r w:rsidRPr="00985F5E">
              <w:rPr>
                <w:sz w:val="18"/>
                <w:szCs w:val="18"/>
              </w:rPr>
              <w:t>No</w:t>
            </w:r>
          </w:p>
        </w:tc>
        <w:tc>
          <w:tcPr>
            <w:tcW w:w="1240" w:type="dxa"/>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37.8</w:t>
            </w:r>
          </w:p>
        </w:tc>
        <w:tc>
          <w:tcPr>
            <w:tcW w:w="653" w:type="dxa"/>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1.00</w:t>
            </w:r>
          </w:p>
        </w:tc>
        <w:tc>
          <w:tcPr>
            <w:tcW w:w="1015" w:type="dxa"/>
            <w:vAlign w:val="center"/>
          </w:tcPr>
          <w:p w:rsidR="00D1051C" w:rsidRPr="00985F5E" w:rsidRDefault="00D1051C" w:rsidP="009F52BC">
            <w:pPr>
              <w:adjustRightInd w:val="0"/>
              <w:spacing w:before="20"/>
              <w:jc w:val="right"/>
              <w:rPr>
                <w:color w:val="000000"/>
                <w:sz w:val="18"/>
                <w:szCs w:val="18"/>
              </w:rPr>
            </w:pPr>
          </w:p>
        </w:tc>
        <w:tc>
          <w:tcPr>
            <w:tcW w:w="382" w:type="dxa"/>
            <w:vAlign w:val="center"/>
          </w:tcPr>
          <w:p w:rsidR="00D1051C" w:rsidRPr="00985F5E" w:rsidRDefault="00D1051C" w:rsidP="009F52BC">
            <w:pPr>
              <w:adjustRightInd w:val="0"/>
              <w:spacing w:before="20"/>
              <w:jc w:val="right"/>
              <w:rPr>
                <w:color w:val="000000"/>
                <w:sz w:val="18"/>
                <w:szCs w:val="18"/>
              </w:rPr>
            </w:pPr>
          </w:p>
        </w:tc>
        <w:tc>
          <w:tcPr>
            <w:tcW w:w="813" w:type="dxa"/>
            <w:shd w:val="clear" w:color="auto" w:fill="auto"/>
            <w:vAlign w:val="center"/>
          </w:tcPr>
          <w:p w:rsidR="00D1051C" w:rsidRPr="00985F5E" w:rsidRDefault="00D1051C" w:rsidP="009F52BC">
            <w:pPr>
              <w:adjustRightInd w:val="0"/>
              <w:spacing w:before="20"/>
              <w:jc w:val="right"/>
              <w:rPr>
                <w:color w:val="000000"/>
                <w:sz w:val="18"/>
                <w:szCs w:val="18"/>
              </w:rPr>
            </w:pPr>
          </w:p>
        </w:tc>
      </w:tr>
      <w:tr w:rsidR="009F52BC" w:rsidRPr="00985F5E" w:rsidTr="00B513CF">
        <w:tc>
          <w:tcPr>
            <w:tcW w:w="4203" w:type="dxa"/>
          </w:tcPr>
          <w:p w:rsidR="009F52BC" w:rsidRPr="00985F5E" w:rsidRDefault="009F52BC" w:rsidP="00D1051C">
            <w:pPr>
              <w:spacing w:before="20"/>
              <w:ind w:left="176"/>
              <w:jc w:val="both"/>
              <w:rPr>
                <w:sz w:val="18"/>
                <w:szCs w:val="18"/>
              </w:rPr>
            </w:pPr>
            <w:r w:rsidRPr="00985F5E">
              <w:rPr>
                <w:sz w:val="18"/>
                <w:szCs w:val="18"/>
              </w:rPr>
              <w:t>Yes</w:t>
            </w:r>
          </w:p>
        </w:tc>
        <w:tc>
          <w:tcPr>
            <w:tcW w:w="1240" w:type="dxa"/>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76.4</w:t>
            </w:r>
          </w:p>
        </w:tc>
        <w:tc>
          <w:tcPr>
            <w:tcW w:w="653" w:type="dxa"/>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7.46</w:t>
            </w:r>
          </w:p>
        </w:tc>
        <w:tc>
          <w:tcPr>
            <w:tcW w:w="1397" w:type="dxa"/>
            <w:gridSpan w:val="2"/>
            <w:vAlign w:val="center"/>
          </w:tcPr>
          <w:p w:rsidR="009F52BC" w:rsidRPr="00985F5E" w:rsidRDefault="00014DED" w:rsidP="009F52BC">
            <w:pPr>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3.51 - 15.83</w:t>
            </w:r>
            <w:r w:rsidRPr="00985F5E">
              <w:rPr>
                <w:color w:val="000000"/>
                <w:sz w:val="18"/>
                <w:szCs w:val="18"/>
              </w:rPr>
              <w:t>)</w:t>
            </w:r>
          </w:p>
        </w:tc>
        <w:tc>
          <w:tcPr>
            <w:tcW w:w="813" w:type="dxa"/>
            <w:shd w:val="clear" w:color="auto" w:fill="D9D9D9" w:themeFill="background1" w:themeFillShade="D9"/>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&lt;0.0001</w:t>
            </w:r>
          </w:p>
        </w:tc>
      </w:tr>
      <w:tr w:rsidR="00D1051C" w:rsidRPr="00985F5E" w:rsidTr="00B513CF">
        <w:tc>
          <w:tcPr>
            <w:tcW w:w="5443" w:type="dxa"/>
            <w:gridSpan w:val="2"/>
            <w:vAlign w:val="bottom"/>
          </w:tcPr>
          <w:p w:rsidR="00D1051C" w:rsidRPr="00985F5E" w:rsidRDefault="00D1051C" w:rsidP="00D1051C">
            <w:pPr>
              <w:spacing w:before="20"/>
              <w:jc w:val="both"/>
              <w:rPr>
                <w:b/>
                <w:sz w:val="18"/>
                <w:szCs w:val="18"/>
              </w:rPr>
            </w:pPr>
            <w:r w:rsidRPr="00985F5E">
              <w:rPr>
                <w:b/>
                <w:sz w:val="18"/>
                <w:szCs w:val="18"/>
              </w:rPr>
              <w:t>Who spent time with on most enjoyed activity</w:t>
            </w:r>
          </w:p>
        </w:tc>
        <w:tc>
          <w:tcPr>
            <w:tcW w:w="653" w:type="dxa"/>
            <w:vAlign w:val="center"/>
          </w:tcPr>
          <w:p w:rsidR="00D1051C" w:rsidRPr="00985F5E" w:rsidRDefault="00D1051C" w:rsidP="00D1051C">
            <w:pPr>
              <w:adjustRightInd w:val="0"/>
              <w:jc w:val="center"/>
              <w:rPr>
                <w:color w:val="000000"/>
                <w:sz w:val="18"/>
                <w:szCs w:val="18"/>
              </w:rPr>
            </w:pPr>
          </w:p>
        </w:tc>
        <w:tc>
          <w:tcPr>
            <w:tcW w:w="1015" w:type="dxa"/>
            <w:vAlign w:val="center"/>
          </w:tcPr>
          <w:p w:rsidR="00D1051C" w:rsidRPr="00985F5E" w:rsidRDefault="00D1051C" w:rsidP="00D1051C">
            <w:pPr>
              <w:adjustRightInd w:val="0"/>
              <w:jc w:val="center"/>
              <w:rPr>
                <w:color w:val="000000"/>
                <w:sz w:val="18"/>
                <w:szCs w:val="18"/>
              </w:rPr>
            </w:pPr>
          </w:p>
        </w:tc>
        <w:tc>
          <w:tcPr>
            <w:tcW w:w="382" w:type="dxa"/>
            <w:vAlign w:val="center"/>
          </w:tcPr>
          <w:p w:rsidR="00D1051C" w:rsidRPr="00985F5E" w:rsidRDefault="00D1051C" w:rsidP="00D1051C">
            <w:pPr>
              <w:adjustRightInd w:val="0"/>
              <w:jc w:val="center"/>
              <w:rPr>
                <w:color w:val="000000"/>
                <w:sz w:val="18"/>
                <w:szCs w:val="18"/>
              </w:rPr>
            </w:pPr>
          </w:p>
        </w:tc>
        <w:tc>
          <w:tcPr>
            <w:tcW w:w="813" w:type="dxa"/>
            <w:vAlign w:val="center"/>
          </w:tcPr>
          <w:p w:rsidR="00D1051C" w:rsidRPr="00985F5E" w:rsidRDefault="00D1051C" w:rsidP="00D1051C">
            <w:pPr>
              <w:adjustRightInd w:val="0"/>
              <w:jc w:val="center"/>
              <w:rPr>
                <w:color w:val="000000"/>
                <w:sz w:val="18"/>
                <w:szCs w:val="18"/>
              </w:rPr>
            </w:pPr>
          </w:p>
        </w:tc>
      </w:tr>
      <w:tr w:rsidR="00D1051C" w:rsidRPr="00985F5E" w:rsidTr="00B513CF">
        <w:tc>
          <w:tcPr>
            <w:tcW w:w="4203" w:type="dxa"/>
          </w:tcPr>
          <w:p w:rsidR="00D1051C" w:rsidRPr="00985F5E" w:rsidRDefault="00D1051C" w:rsidP="00D1051C">
            <w:pPr>
              <w:spacing w:before="20"/>
              <w:ind w:left="176"/>
              <w:jc w:val="both"/>
              <w:rPr>
                <w:sz w:val="18"/>
                <w:szCs w:val="18"/>
              </w:rPr>
            </w:pPr>
            <w:r w:rsidRPr="00985F5E">
              <w:rPr>
                <w:sz w:val="18"/>
                <w:szCs w:val="18"/>
              </w:rPr>
              <w:t>Alone</w:t>
            </w:r>
          </w:p>
        </w:tc>
        <w:tc>
          <w:tcPr>
            <w:tcW w:w="1240" w:type="dxa"/>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61.3</w:t>
            </w:r>
          </w:p>
        </w:tc>
        <w:tc>
          <w:tcPr>
            <w:tcW w:w="653" w:type="dxa"/>
            <w:vAlign w:val="center"/>
          </w:tcPr>
          <w:p w:rsidR="00D1051C" w:rsidRPr="00985F5E" w:rsidRDefault="00D1051C" w:rsidP="009F52BC">
            <w:pPr>
              <w:adjustRightInd w:val="0"/>
              <w:spacing w:before="20"/>
              <w:jc w:val="right"/>
              <w:rPr>
                <w:color w:val="000000"/>
                <w:sz w:val="18"/>
                <w:szCs w:val="18"/>
              </w:rPr>
            </w:pPr>
            <w:r w:rsidRPr="00985F5E">
              <w:rPr>
                <w:color w:val="000000"/>
                <w:sz w:val="18"/>
                <w:szCs w:val="18"/>
              </w:rPr>
              <w:t>1.00</w:t>
            </w:r>
          </w:p>
        </w:tc>
        <w:tc>
          <w:tcPr>
            <w:tcW w:w="1015" w:type="dxa"/>
            <w:vAlign w:val="center"/>
          </w:tcPr>
          <w:p w:rsidR="00D1051C" w:rsidRPr="00985F5E" w:rsidRDefault="00D1051C" w:rsidP="009F52BC">
            <w:pPr>
              <w:adjustRightInd w:val="0"/>
              <w:spacing w:before="20"/>
              <w:jc w:val="right"/>
              <w:rPr>
                <w:color w:val="000000"/>
                <w:sz w:val="18"/>
                <w:szCs w:val="18"/>
              </w:rPr>
            </w:pPr>
          </w:p>
        </w:tc>
        <w:tc>
          <w:tcPr>
            <w:tcW w:w="382" w:type="dxa"/>
            <w:vAlign w:val="center"/>
          </w:tcPr>
          <w:p w:rsidR="00D1051C" w:rsidRPr="00985F5E" w:rsidRDefault="00D1051C" w:rsidP="009F52BC">
            <w:pPr>
              <w:adjustRightInd w:val="0"/>
              <w:spacing w:before="20"/>
              <w:jc w:val="right"/>
              <w:rPr>
                <w:color w:val="000000"/>
                <w:sz w:val="18"/>
                <w:szCs w:val="18"/>
              </w:rPr>
            </w:pPr>
          </w:p>
        </w:tc>
        <w:tc>
          <w:tcPr>
            <w:tcW w:w="813" w:type="dxa"/>
            <w:vAlign w:val="center"/>
          </w:tcPr>
          <w:p w:rsidR="00D1051C" w:rsidRPr="00985F5E" w:rsidRDefault="00D1051C" w:rsidP="009F52BC">
            <w:pPr>
              <w:adjustRightInd w:val="0"/>
              <w:spacing w:before="20"/>
              <w:jc w:val="right"/>
              <w:rPr>
                <w:color w:val="000000"/>
                <w:sz w:val="18"/>
                <w:szCs w:val="18"/>
              </w:rPr>
            </w:pPr>
          </w:p>
        </w:tc>
      </w:tr>
      <w:tr w:rsidR="009F52BC" w:rsidRPr="00985F5E" w:rsidTr="00B513CF">
        <w:tc>
          <w:tcPr>
            <w:tcW w:w="4203" w:type="dxa"/>
          </w:tcPr>
          <w:p w:rsidR="009F52BC" w:rsidRPr="00985F5E" w:rsidRDefault="009F52BC" w:rsidP="00D1051C">
            <w:pPr>
              <w:spacing w:before="20"/>
              <w:ind w:left="176"/>
              <w:jc w:val="both"/>
              <w:rPr>
                <w:sz w:val="18"/>
                <w:szCs w:val="18"/>
              </w:rPr>
            </w:pPr>
            <w:r w:rsidRPr="00985F5E">
              <w:rPr>
                <w:sz w:val="18"/>
                <w:szCs w:val="18"/>
              </w:rPr>
              <w:t>With one person</w:t>
            </w:r>
          </w:p>
        </w:tc>
        <w:tc>
          <w:tcPr>
            <w:tcW w:w="1240" w:type="dxa"/>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39.1</w:t>
            </w:r>
          </w:p>
        </w:tc>
        <w:tc>
          <w:tcPr>
            <w:tcW w:w="653" w:type="dxa"/>
            <w:vAlign w:val="center"/>
          </w:tcPr>
          <w:p w:rsidR="009F52BC" w:rsidRPr="00985F5E" w:rsidRDefault="009F52BC" w:rsidP="009F52BC">
            <w:pPr>
              <w:keepNext/>
              <w:adjustRightInd w:val="0"/>
              <w:spacing w:before="20"/>
              <w:jc w:val="right"/>
              <w:rPr>
                <w:color w:val="000000"/>
                <w:sz w:val="18"/>
                <w:szCs w:val="18"/>
              </w:rPr>
            </w:pPr>
            <w:r w:rsidRPr="00985F5E">
              <w:rPr>
                <w:color w:val="000000"/>
                <w:sz w:val="18"/>
                <w:szCs w:val="18"/>
              </w:rPr>
              <w:t>0.29</w:t>
            </w:r>
          </w:p>
        </w:tc>
        <w:tc>
          <w:tcPr>
            <w:tcW w:w="1397" w:type="dxa"/>
            <w:gridSpan w:val="2"/>
            <w:vAlign w:val="center"/>
          </w:tcPr>
          <w:p w:rsidR="009F52BC" w:rsidRPr="00985F5E" w:rsidRDefault="00014DED" w:rsidP="009F52BC">
            <w:pPr>
              <w:keepNext/>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0.11 - 0.74</w:t>
            </w:r>
            <w:r w:rsidRPr="00985F5E">
              <w:rPr>
                <w:color w:val="000000"/>
                <w:sz w:val="18"/>
                <w:szCs w:val="18"/>
              </w:rPr>
              <w:t>)</w:t>
            </w:r>
          </w:p>
        </w:tc>
        <w:tc>
          <w:tcPr>
            <w:tcW w:w="813" w:type="dxa"/>
            <w:vAlign w:val="center"/>
          </w:tcPr>
          <w:p w:rsidR="009F52BC" w:rsidRPr="00985F5E" w:rsidRDefault="009F52BC" w:rsidP="009F52BC">
            <w:pPr>
              <w:adjustRightInd w:val="0"/>
              <w:spacing w:before="20"/>
              <w:jc w:val="right"/>
              <w:rPr>
                <w:color w:val="000000"/>
                <w:sz w:val="18"/>
                <w:szCs w:val="18"/>
              </w:rPr>
            </w:pPr>
          </w:p>
        </w:tc>
      </w:tr>
      <w:tr w:rsidR="009F52BC" w:rsidRPr="00985F5E" w:rsidTr="00B513CF">
        <w:tc>
          <w:tcPr>
            <w:tcW w:w="4203" w:type="dxa"/>
          </w:tcPr>
          <w:p w:rsidR="009F52BC" w:rsidRPr="00985F5E" w:rsidRDefault="009F52BC" w:rsidP="00D1051C">
            <w:pPr>
              <w:spacing w:before="20"/>
              <w:ind w:left="176"/>
              <w:jc w:val="both"/>
              <w:rPr>
                <w:sz w:val="18"/>
                <w:szCs w:val="18"/>
              </w:rPr>
            </w:pPr>
            <w:r w:rsidRPr="00985F5E">
              <w:rPr>
                <w:sz w:val="18"/>
                <w:szCs w:val="18"/>
              </w:rPr>
              <w:t>With several people/a group</w:t>
            </w:r>
          </w:p>
        </w:tc>
        <w:tc>
          <w:tcPr>
            <w:tcW w:w="1240" w:type="dxa"/>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36.6</w:t>
            </w:r>
          </w:p>
        </w:tc>
        <w:tc>
          <w:tcPr>
            <w:tcW w:w="653" w:type="dxa"/>
            <w:vAlign w:val="center"/>
          </w:tcPr>
          <w:p w:rsidR="009F52BC" w:rsidRPr="00985F5E" w:rsidRDefault="009F52BC" w:rsidP="009F52BC">
            <w:pPr>
              <w:keepNext/>
              <w:adjustRightInd w:val="0"/>
              <w:spacing w:before="20"/>
              <w:jc w:val="right"/>
              <w:rPr>
                <w:color w:val="000000"/>
                <w:sz w:val="18"/>
                <w:szCs w:val="18"/>
              </w:rPr>
            </w:pPr>
            <w:r w:rsidRPr="00985F5E">
              <w:rPr>
                <w:color w:val="000000"/>
                <w:sz w:val="18"/>
                <w:szCs w:val="18"/>
              </w:rPr>
              <w:t>0.14</w:t>
            </w:r>
          </w:p>
        </w:tc>
        <w:tc>
          <w:tcPr>
            <w:tcW w:w="1397" w:type="dxa"/>
            <w:gridSpan w:val="2"/>
            <w:vAlign w:val="center"/>
          </w:tcPr>
          <w:p w:rsidR="009F52BC" w:rsidRPr="00985F5E" w:rsidRDefault="00014DED" w:rsidP="009F52BC">
            <w:pPr>
              <w:keepNext/>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0.05 - 0.39</w:t>
            </w:r>
            <w:r w:rsidRPr="00985F5E">
              <w:rPr>
                <w:color w:val="000000"/>
                <w:sz w:val="18"/>
                <w:szCs w:val="18"/>
              </w:rPr>
              <w:t>)</w:t>
            </w:r>
          </w:p>
        </w:tc>
        <w:tc>
          <w:tcPr>
            <w:tcW w:w="813" w:type="dxa"/>
            <w:vAlign w:val="center"/>
          </w:tcPr>
          <w:p w:rsidR="009F52BC" w:rsidRPr="00985F5E" w:rsidRDefault="009F52BC" w:rsidP="009F52BC">
            <w:pPr>
              <w:adjustRightInd w:val="0"/>
              <w:spacing w:before="20"/>
              <w:jc w:val="right"/>
              <w:rPr>
                <w:color w:val="000000"/>
                <w:sz w:val="18"/>
                <w:szCs w:val="18"/>
              </w:rPr>
            </w:pPr>
          </w:p>
        </w:tc>
      </w:tr>
      <w:tr w:rsidR="009F52BC" w:rsidRPr="00985F5E" w:rsidTr="00B513CF">
        <w:tc>
          <w:tcPr>
            <w:tcW w:w="4203" w:type="dxa"/>
            <w:tcBorders>
              <w:bottom w:val="single" w:sz="4" w:space="0" w:color="auto"/>
            </w:tcBorders>
            <w:vAlign w:val="bottom"/>
          </w:tcPr>
          <w:p w:rsidR="009F52BC" w:rsidRPr="00985F5E" w:rsidRDefault="009F52BC" w:rsidP="00D1051C">
            <w:pPr>
              <w:spacing w:before="20"/>
              <w:ind w:left="176"/>
              <w:jc w:val="both"/>
              <w:rPr>
                <w:sz w:val="18"/>
                <w:szCs w:val="18"/>
              </w:rPr>
            </w:pPr>
            <w:r w:rsidRPr="00985F5E">
              <w:rPr>
                <w:sz w:val="18"/>
                <w:szCs w:val="18"/>
              </w:rPr>
              <w:t>Not reported</w:t>
            </w:r>
          </w:p>
        </w:tc>
        <w:tc>
          <w:tcPr>
            <w:tcW w:w="1240" w:type="dxa"/>
            <w:tcBorders>
              <w:bottom w:val="single" w:sz="4" w:space="0" w:color="auto"/>
            </w:tcBorders>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52.4</w:t>
            </w:r>
          </w:p>
        </w:tc>
        <w:tc>
          <w:tcPr>
            <w:tcW w:w="653" w:type="dxa"/>
            <w:tcBorders>
              <w:bottom w:val="single" w:sz="4" w:space="0" w:color="auto"/>
            </w:tcBorders>
            <w:vAlign w:val="center"/>
          </w:tcPr>
          <w:p w:rsidR="009F52BC" w:rsidRPr="00985F5E" w:rsidRDefault="009F52BC" w:rsidP="009F52BC">
            <w:pPr>
              <w:keepNext/>
              <w:adjustRightInd w:val="0"/>
              <w:spacing w:before="20"/>
              <w:jc w:val="right"/>
              <w:rPr>
                <w:color w:val="000000"/>
                <w:sz w:val="18"/>
                <w:szCs w:val="18"/>
              </w:rPr>
            </w:pPr>
            <w:r w:rsidRPr="00985F5E">
              <w:rPr>
                <w:color w:val="000000"/>
                <w:sz w:val="18"/>
                <w:szCs w:val="18"/>
              </w:rPr>
              <w:t>1.00</w:t>
            </w:r>
          </w:p>
        </w:tc>
        <w:tc>
          <w:tcPr>
            <w:tcW w:w="1397" w:type="dxa"/>
            <w:gridSpan w:val="2"/>
            <w:tcBorders>
              <w:bottom w:val="single" w:sz="4" w:space="0" w:color="auto"/>
            </w:tcBorders>
            <w:vAlign w:val="center"/>
          </w:tcPr>
          <w:p w:rsidR="009F52BC" w:rsidRPr="00985F5E" w:rsidRDefault="00014DED" w:rsidP="009F52BC">
            <w:pPr>
              <w:keepNext/>
              <w:adjustRightInd w:val="0"/>
              <w:spacing w:before="20"/>
              <w:jc w:val="right"/>
              <w:rPr>
                <w:color w:val="000000"/>
                <w:sz w:val="18"/>
                <w:szCs w:val="18"/>
              </w:rPr>
            </w:pPr>
            <w:r w:rsidRPr="00985F5E">
              <w:rPr>
                <w:color w:val="000000"/>
                <w:sz w:val="18"/>
                <w:szCs w:val="18"/>
              </w:rPr>
              <w:t>(</w:t>
            </w:r>
            <w:r w:rsidR="009F52BC" w:rsidRPr="00985F5E">
              <w:rPr>
                <w:color w:val="000000"/>
                <w:sz w:val="18"/>
                <w:szCs w:val="18"/>
              </w:rPr>
              <w:t>0.34 - 2.01</w:t>
            </w:r>
            <w:r w:rsidRPr="00985F5E">
              <w:rPr>
                <w:color w:val="000000"/>
                <w:sz w:val="18"/>
                <w:szCs w:val="18"/>
              </w:rPr>
              <w:t>)</w:t>
            </w:r>
          </w:p>
        </w:tc>
        <w:tc>
          <w:tcPr>
            <w:tcW w:w="813" w:type="dxa"/>
            <w:tcBorders>
              <w:bottom w:val="single" w:sz="4" w:space="0" w:color="auto"/>
            </w:tcBorders>
            <w:shd w:val="clear" w:color="auto" w:fill="D9D9D9" w:themeFill="background1" w:themeFillShade="D9"/>
            <w:vAlign w:val="center"/>
          </w:tcPr>
          <w:p w:rsidR="009F52BC" w:rsidRPr="00985F5E" w:rsidRDefault="009F52BC" w:rsidP="009F52BC">
            <w:pPr>
              <w:adjustRightInd w:val="0"/>
              <w:spacing w:before="20"/>
              <w:jc w:val="right"/>
              <w:rPr>
                <w:color w:val="000000"/>
                <w:sz w:val="18"/>
                <w:szCs w:val="18"/>
              </w:rPr>
            </w:pPr>
            <w:r w:rsidRPr="00985F5E">
              <w:rPr>
                <w:color w:val="000000"/>
                <w:sz w:val="18"/>
                <w:szCs w:val="18"/>
              </w:rPr>
              <w:t>0.0006</w:t>
            </w:r>
          </w:p>
        </w:tc>
      </w:tr>
    </w:tbl>
    <w:p w:rsidR="00D1051C" w:rsidRPr="0034241E" w:rsidRDefault="00D1051C" w:rsidP="00D1051C">
      <w:pPr>
        <w:rPr>
          <w:sz w:val="18"/>
        </w:rPr>
      </w:pPr>
      <w:r>
        <w:rPr>
          <w:sz w:val="18"/>
        </w:rPr>
        <w:t>Data</w:t>
      </w:r>
      <w:r w:rsidRPr="0034241E">
        <w:rPr>
          <w:sz w:val="18"/>
        </w:rPr>
        <w:t xml:space="preserve"> weighted for 2013 Census data (both Waves) and attrition (Wave 2)</w:t>
      </w:r>
    </w:p>
    <w:p w:rsidR="00D1051C" w:rsidRDefault="00D1051C" w:rsidP="00D1051C">
      <w:pPr>
        <w:tabs>
          <w:tab w:val="left" w:pos="0"/>
        </w:tabs>
        <w:jc w:val="both"/>
        <w:rPr>
          <w:szCs w:val="22"/>
        </w:rPr>
      </w:pPr>
    </w:p>
    <w:p w:rsidR="006353AA" w:rsidRPr="004649FE" w:rsidRDefault="006353AA" w:rsidP="006353AA">
      <w:pPr>
        <w:pStyle w:val="Heading3b"/>
        <w:numPr>
          <w:ilvl w:val="2"/>
          <w:numId w:val="40"/>
        </w:numPr>
        <w:tabs>
          <w:tab w:val="clear" w:pos="1146"/>
        </w:tabs>
        <w:ind w:left="709"/>
        <w:rPr>
          <w:rFonts w:ascii="Times New Roman" w:hAnsi="Times New Roman" w:cs="Times New Roman"/>
          <w:b/>
        </w:rPr>
      </w:pPr>
      <w:bookmarkStart w:id="223" w:name="_Toc420392619"/>
      <w:r w:rsidRPr="004649FE">
        <w:rPr>
          <w:rFonts w:ascii="Times New Roman" w:hAnsi="Times New Roman" w:cs="Times New Roman"/>
          <w:b/>
        </w:rPr>
        <w:t xml:space="preserve">Re-initiation of gambling </w:t>
      </w:r>
      <w:r w:rsidR="00FD72AF" w:rsidRPr="004649FE">
        <w:rPr>
          <w:rFonts w:ascii="Times New Roman" w:hAnsi="Times New Roman" w:cs="Times New Roman"/>
          <w:b/>
        </w:rPr>
        <w:t xml:space="preserve">in Wave </w:t>
      </w:r>
      <w:r w:rsidR="00BF0EA0" w:rsidRPr="004649FE">
        <w:rPr>
          <w:rFonts w:ascii="Times New Roman" w:hAnsi="Times New Roman" w:cs="Times New Roman"/>
          <w:b/>
        </w:rPr>
        <w:t>2</w:t>
      </w:r>
      <w:bookmarkEnd w:id="223"/>
    </w:p>
    <w:p w:rsidR="006353AA" w:rsidRDefault="006353AA" w:rsidP="006353AA">
      <w:pPr>
        <w:jc w:val="both"/>
        <w:rPr>
          <w:szCs w:val="22"/>
        </w:rPr>
      </w:pPr>
    </w:p>
    <w:p w:rsidR="006353AA" w:rsidRPr="008279B4" w:rsidRDefault="006353AA" w:rsidP="006353AA">
      <w:pPr>
        <w:tabs>
          <w:tab w:val="left" w:pos="0"/>
        </w:tabs>
        <w:jc w:val="both"/>
        <w:rPr>
          <w:szCs w:val="22"/>
        </w:rPr>
      </w:pPr>
      <w:r w:rsidRPr="008279B4">
        <w:rPr>
          <w:szCs w:val="22"/>
        </w:rPr>
        <w:t xml:space="preserve">In Wave 2, </w:t>
      </w:r>
      <w:r>
        <w:rPr>
          <w:szCs w:val="22"/>
        </w:rPr>
        <w:t>99</w:t>
      </w:r>
      <w:r w:rsidRPr="008279B4">
        <w:rPr>
          <w:szCs w:val="22"/>
        </w:rPr>
        <w:t xml:space="preserve"> participants (adjusted data) </w:t>
      </w:r>
      <w:r>
        <w:rPr>
          <w:szCs w:val="22"/>
        </w:rPr>
        <w:t xml:space="preserve">who </w:t>
      </w:r>
      <w:r w:rsidR="002E5C0E">
        <w:rPr>
          <w:szCs w:val="22"/>
        </w:rPr>
        <w:t xml:space="preserve">in Wave 1 </w:t>
      </w:r>
      <w:r>
        <w:rPr>
          <w:szCs w:val="22"/>
        </w:rPr>
        <w:t>had not gambled in the past year but who had previously gambled at some time in the past</w:t>
      </w:r>
      <w:r w:rsidR="006C0362">
        <w:rPr>
          <w:szCs w:val="22"/>
        </w:rPr>
        <w:t>,</w:t>
      </w:r>
      <w:r>
        <w:rPr>
          <w:szCs w:val="22"/>
        </w:rPr>
        <w:t xml:space="preserve"> started gambling again</w:t>
      </w:r>
      <w:r w:rsidRPr="008279B4">
        <w:rPr>
          <w:szCs w:val="22"/>
        </w:rPr>
        <w:t xml:space="preserve">.  A further </w:t>
      </w:r>
      <w:r>
        <w:rPr>
          <w:szCs w:val="22"/>
        </w:rPr>
        <w:t>131</w:t>
      </w:r>
      <w:r w:rsidRPr="008279B4">
        <w:rPr>
          <w:szCs w:val="22"/>
        </w:rPr>
        <w:t xml:space="preserve"> participants stayed as </w:t>
      </w:r>
      <w:r>
        <w:rPr>
          <w:szCs w:val="22"/>
        </w:rPr>
        <w:t>past</w:t>
      </w:r>
      <w:r w:rsidRPr="008279B4">
        <w:rPr>
          <w:szCs w:val="22"/>
        </w:rPr>
        <w:t xml:space="preserve"> gamblers</w:t>
      </w:r>
      <w:r>
        <w:rPr>
          <w:szCs w:val="22"/>
        </w:rPr>
        <w:t xml:space="preserve"> who did not gamble in the prior 12 months.</w:t>
      </w:r>
    </w:p>
    <w:p w:rsidR="006353AA" w:rsidRPr="008279B4" w:rsidRDefault="006353AA" w:rsidP="006353AA">
      <w:pPr>
        <w:tabs>
          <w:tab w:val="left" w:pos="0"/>
        </w:tabs>
        <w:jc w:val="both"/>
        <w:rPr>
          <w:szCs w:val="22"/>
        </w:rPr>
      </w:pPr>
    </w:p>
    <w:p w:rsidR="006353AA" w:rsidRPr="008279B4" w:rsidRDefault="006353AA" w:rsidP="006353AA">
      <w:pPr>
        <w:tabs>
          <w:tab w:val="left" w:pos="0"/>
        </w:tabs>
        <w:jc w:val="both"/>
        <w:rPr>
          <w:szCs w:val="22"/>
        </w:rPr>
      </w:pPr>
    </w:p>
    <w:p w:rsidR="006353AA" w:rsidRPr="008279B4" w:rsidRDefault="007F2FB4" w:rsidP="006353AA">
      <w:pPr>
        <w:tabs>
          <w:tab w:val="left" w:pos="0"/>
        </w:tabs>
        <w:jc w:val="both"/>
        <w:rPr>
          <w:szCs w:val="22"/>
        </w:rPr>
      </w:pPr>
      <w:r>
        <w:rPr>
          <w:b/>
          <w:szCs w:val="22"/>
        </w:rPr>
        <w:t>B</w:t>
      </w:r>
      <w:r w:rsidR="006353AA" w:rsidRPr="00345C68">
        <w:rPr>
          <w:b/>
          <w:szCs w:val="22"/>
        </w:rPr>
        <w:t xml:space="preserve">ivariate </w:t>
      </w:r>
      <w:r>
        <w:rPr>
          <w:b/>
          <w:szCs w:val="22"/>
        </w:rPr>
        <w:t>associations</w:t>
      </w:r>
    </w:p>
    <w:p w:rsidR="009E225E" w:rsidRDefault="009E225E" w:rsidP="00FD12E4">
      <w:pPr>
        <w:tabs>
          <w:tab w:val="left" w:pos="0"/>
        </w:tabs>
        <w:jc w:val="both"/>
        <w:rPr>
          <w:szCs w:val="22"/>
        </w:rPr>
      </w:pPr>
    </w:p>
    <w:p w:rsidR="001C3B11" w:rsidRPr="001C3B11" w:rsidRDefault="007F2FB4" w:rsidP="001C3B11">
      <w:pPr>
        <w:tabs>
          <w:tab w:val="left" w:pos="0"/>
        </w:tabs>
        <w:jc w:val="both"/>
        <w:rPr>
          <w:szCs w:val="22"/>
        </w:rPr>
      </w:pPr>
      <w:r>
        <w:rPr>
          <w:szCs w:val="22"/>
        </w:rPr>
        <w:t>Bivariate associations examined by l</w:t>
      </w:r>
      <w:r w:rsidR="001C3B11" w:rsidRPr="001C3B11">
        <w:rPr>
          <w:szCs w:val="22"/>
        </w:rPr>
        <w:t xml:space="preserve">ogistic regression indicated that </w:t>
      </w:r>
      <w:r w:rsidR="001C3B11">
        <w:rPr>
          <w:szCs w:val="22"/>
        </w:rPr>
        <w:t>socio-</w:t>
      </w:r>
      <w:r w:rsidR="001C3B11" w:rsidRPr="001C3B11">
        <w:rPr>
          <w:szCs w:val="22"/>
        </w:rPr>
        <w:t xml:space="preserve">demographic </w:t>
      </w:r>
      <w:r w:rsidR="001C3B11" w:rsidRPr="00EB34BD">
        <w:rPr>
          <w:szCs w:val="22"/>
        </w:rPr>
        <w:t xml:space="preserve">variables, apart from </w:t>
      </w:r>
      <w:r w:rsidR="00A430E7">
        <w:rPr>
          <w:szCs w:val="22"/>
        </w:rPr>
        <w:t xml:space="preserve">individual </w:t>
      </w:r>
      <w:r w:rsidR="001C3B11" w:rsidRPr="00EB34BD">
        <w:rPr>
          <w:szCs w:val="22"/>
        </w:rPr>
        <w:t>level of deprivation, w</w:t>
      </w:r>
      <w:r w:rsidR="001C3B11" w:rsidRPr="001C3B11">
        <w:rPr>
          <w:szCs w:val="22"/>
        </w:rPr>
        <w:t xml:space="preserve">ere not significantly associated with re-initiation of gambling </w:t>
      </w:r>
      <w:r w:rsidR="006C0362">
        <w:rPr>
          <w:szCs w:val="22"/>
        </w:rPr>
        <w:t>in Wave 2</w:t>
      </w:r>
      <w:r w:rsidR="001C3B11" w:rsidRPr="001C3B11">
        <w:rPr>
          <w:szCs w:val="22"/>
        </w:rPr>
        <w:t>.</w:t>
      </w:r>
      <w:r w:rsidR="00345C68">
        <w:rPr>
          <w:szCs w:val="22"/>
        </w:rPr>
        <w:t xml:space="preserve">  </w:t>
      </w:r>
      <w:r w:rsidR="00EB34BD">
        <w:rPr>
          <w:szCs w:val="22"/>
        </w:rPr>
        <w:t>People who reported one</w:t>
      </w:r>
      <w:r w:rsidR="00496FE5">
        <w:rPr>
          <w:szCs w:val="22"/>
        </w:rPr>
        <w:t xml:space="preserve"> or</w:t>
      </w:r>
      <w:r w:rsidR="00EB34BD">
        <w:rPr>
          <w:szCs w:val="22"/>
        </w:rPr>
        <w:t xml:space="preserve"> four deprivation characteristics were at greater risk of re-initiat</w:t>
      </w:r>
      <w:r w:rsidR="00496FE5">
        <w:rPr>
          <w:szCs w:val="22"/>
        </w:rPr>
        <w:t>ion of gambling in Wave 2 (2.43 and</w:t>
      </w:r>
      <w:r w:rsidR="00EB34BD">
        <w:rPr>
          <w:szCs w:val="22"/>
        </w:rPr>
        <w:t xml:space="preserve"> 7.86 </w:t>
      </w:r>
      <w:r w:rsidR="00496FE5">
        <w:rPr>
          <w:szCs w:val="22"/>
        </w:rPr>
        <w:t>t</w:t>
      </w:r>
      <w:r w:rsidR="00EB34BD">
        <w:rPr>
          <w:szCs w:val="22"/>
        </w:rPr>
        <w:t xml:space="preserve">imes respectively) compared with people who did not report any deprivation characteristics. </w:t>
      </w:r>
    </w:p>
    <w:p w:rsidR="001C3B11" w:rsidRPr="00345C68" w:rsidRDefault="001C3B11" w:rsidP="001C3B11">
      <w:pPr>
        <w:tabs>
          <w:tab w:val="left" w:pos="0"/>
        </w:tabs>
        <w:jc w:val="both"/>
        <w:rPr>
          <w:sz w:val="24"/>
          <w:szCs w:val="22"/>
        </w:rPr>
      </w:pPr>
    </w:p>
    <w:p w:rsidR="001C3B11" w:rsidRDefault="00345C68" w:rsidP="001C3B11">
      <w:pPr>
        <w:tabs>
          <w:tab w:val="left" w:pos="0"/>
        </w:tabs>
        <w:jc w:val="both"/>
        <w:rPr>
          <w:szCs w:val="22"/>
        </w:rPr>
      </w:pPr>
      <w:r w:rsidRPr="00345C68">
        <w:rPr>
          <w:szCs w:val="22"/>
        </w:rPr>
        <w:t>Concurrent use of other substances</w:t>
      </w:r>
      <w:r w:rsidR="005E1688">
        <w:rPr>
          <w:szCs w:val="22"/>
        </w:rPr>
        <w:t xml:space="preserve"> (alcohol, other drugs and tobacco) was significantly associated with re-initiation of gambling </w:t>
      </w:r>
      <w:r w:rsidR="006C0362">
        <w:rPr>
          <w:szCs w:val="22"/>
        </w:rPr>
        <w:t>in Wave 2</w:t>
      </w:r>
      <w:r w:rsidR="005E1688">
        <w:rPr>
          <w:szCs w:val="22"/>
        </w:rPr>
        <w:t xml:space="preserve">.  People who consumed alcohol at a hazardous level </w:t>
      </w:r>
      <w:r w:rsidR="006C0362">
        <w:rPr>
          <w:szCs w:val="22"/>
        </w:rPr>
        <w:t>had</w:t>
      </w:r>
      <w:r w:rsidR="005E1688">
        <w:rPr>
          <w:szCs w:val="22"/>
        </w:rPr>
        <w:t xml:space="preserve"> more than twice </w:t>
      </w:r>
      <w:r w:rsidR="006C0362">
        <w:rPr>
          <w:szCs w:val="22"/>
        </w:rPr>
        <w:t>the</w:t>
      </w:r>
      <w:r w:rsidR="005E1688">
        <w:rPr>
          <w:szCs w:val="22"/>
        </w:rPr>
        <w:t xml:space="preserve"> risk of re-initiating gambling than people who were not hazardous alcohol drinkers.  People who did not use drugs had a lower risk (0.4 times) (meaning that people who used drugs had a higher risk).  People who currently smoked tobacco daily </w:t>
      </w:r>
      <w:r w:rsidR="00D1333E">
        <w:rPr>
          <w:szCs w:val="22"/>
        </w:rPr>
        <w:t>had</w:t>
      </w:r>
      <w:r w:rsidR="005E1688">
        <w:rPr>
          <w:szCs w:val="22"/>
        </w:rPr>
        <w:t xml:space="preserve"> 3.74 </w:t>
      </w:r>
      <w:r w:rsidR="00D1333E">
        <w:rPr>
          <w:szCs w:val="22"/>
        </w:rPr>
        <w:t xml:space="preserve">times </w:t>
      </w:r>
      <w:r w:rsidR="005E1688">
        <w:rPr>
          <w:szCs w:val="22"/>
        </w:rPr>
        <w:t>greater risk than non-smokers</w:t>
      </w:r>
      <w:r w:rsidR="005E1688" w:rsidRPr="00166D64">
        <w:rPr>
          <w:szCs w:val="22"/>
        </w:rPr>
        <w:t xml:space="preserve">.  </w:t>
      </w:r>
      <w:r w:rsidR="00FF7A5B" w:rsidRPr="00166D64">
        <w:rPr>
          <w:szCs w:val="22"/>
        </w:rPr>
        <w:t xml:space="preserve">Similarly, people who had ever smoked daily or who had </w:t>
      </w:r>
      <w:r w:rsidR="005E1688" w:rsidRPr="00166D64">
        <w:rPr>
          <w:szCs w:val="22"/>
        </w:rPr>
        <w:t xml:space="preserve">ever smoked tobacco </w:t>
      </w:r>
      <w:r w:rsidR="00166D64" w:rsidRPr="00166D64">
        <w:rPr>
          <w:szCs w:val="22"/>
        </w:rPr>
        <w:t xml:space="preserve">(i.e. in the past) </w:t>
      </w:r>
      <w:r w:rsidR="005E1688" w:rsidRPr="00166D64">
        <w:rPr>
          <w:szCs w:val="22"/>
        </w:rPr>
        <w:t xml:space="preserve">were </w:t>
      </w:r>
      <w:r w:rsidR="00810EC7" w:rsidRPr="00166D64">
        <w:rPr>
          <w:szCs w:val="22"/>
        </w:rPr>
        <w:t xml:space="preserve">also </w:t>
      </w:r>
      <w:r w:rsidR="005E1688" w:rsidRPr="00166D64">
        <w:rPr>
          <w:szCs w:val="22"/>
        </w:rPr>
        <w:t xml:space="preserve">at </w:t>
      </w:r>
      <w:r w:rsidR="00810EC7" w:rsidRPr="00166D64">
        <w:rPr>
          <w:szCs w:val="22"/>
        </w:rPr>
        <w:t xml:space="preserve">about twice the level of risk compared to people who had </w:t>
      </w:r>
      <w:r w:rsidR="00166D64" w:rsidRPr="00166D64">
        <w:rPr>
          <w:szCs w:val="22"/>
        </w:rPr>
        <w:t>n</w:t>
      </w:r>
      <w:r w:rsidR="00810EC7" w:rsidRPr="00166D64">
        <w:rPr>
          <w:szCs w:val="22"/>
        </w:rPr>
        <w:t>ever smoked.</w:t>
      </w:r>
      <w:r w:rsidR="00D1333E">
        <w:rPr>
          <w:szCs w:val="22"/>
        </w:rPr>
        <w:t xml:space="preserve">  </w:t>
      </w:r>
    </w:p>
    <w:p w:rsidR="00166D64" w:rsidRPr="001C3B11" w:rsidRDefault="00166D64" w:rsidP="001C3B11">
      <w:pPr>
        <w:tabs>
          <w:tab w:val="left" w:pos="0"/>
        </w:tabs>
        <w:jc w:val="both"/>
        <w:rPr>
          <w:sz w:val="18"/>
          <w:szCs w:val="22"/>
          <w:highlight w:val="yellow"/>
        </w:rPr>
      </w:pPr>
    </w:p>
    <w:p w:rsidR="001C3B11" w:rsidRPr="00934E6A" w:rsidRDefault="001C3B11" w:rsidP="001C3B11">
      <w:pPr>
        <w:tabs>
          <w:tab w:val="left" w:pos="0"/>
        </w:tabs>
        <w:jc w:val="both"/>
        <w:rPr>
          <w:szCs w:val="22"/>
        </w:rPr>
      </w:pPr>
      <w:r w:rsidRPr="00810EC7">
        <w:rPr>
          <w:szCs w:val="22"/>
        </w:rPr>
        <w:t>Statistically significant associations are presented in</w:t>
      </w:r>
      <w:r w:rsidR="00810EC7" w:rsidRPr="00810EC7">
        <w:rPr>
          <w:szCs w:val="22"/>
        </w:rPr>
        <w:t xml:space="preserve"> </w:t>
      </w:r>
      <w:r w:rsidR="00810EC7" w:rsidRPr="00810EC7">
        <w:rPr>
          <w:szCs w:val="22"/>
        </w:rPr>
        <w:fldChar w:fldCharType="begin"/>
      </w:r>
      <w:r w:rsidR="00810EC7" w:rsidRPr="00810EC7">
        <w:rPr>
          <w:szCs w:val="22"/>
        </w:rPr>
        <w:instrText xml:space="preserve"> REF _Ref408321581 \h  \* MERGEFORMAT </w:instrText>
      </w:r>
      <w:r w:rsidR="00810EC7" w:rsidRPr="00810EC7">
        <w:rPr>
          <w:szCs w:val="22"/>
        </w:rPr>
      </w:r>
      <w:r w:rsidR="00810EC7" w:rsidRPr="00810EC7">
        <w:rPr>
          <w:szCs w:val="22"/>
        </w:rPr>
        <w:fldChar w:fldCharType="separate"/>
      </w:r>
      <w:r w:rsidR="00B2175B" w:rsidRPr="00B2175B">
        <w:rPr>
          <w:bCs/>
          <w:szCs w:val="22"/>
        </w:rPr>
        <w:t xml:space="preserve">Table </w:t>
      </w:r>
      <w:r w:rsidR="00B2175B" w:rsidRPr="00B2175B">
        <w:rPr>
          <w:bCs/>
          <w:noProof/>
          <w:szCs w:val="22"/>
        </w:rPr>
        <w:t>23</w:t>
      </w:r>
      <w:r w:rsidR="00810EC7" w:rsidRPr="00810EC7">
        <w:rPr>
          <w:szCs w:val="22"/>
        </w:rPr>
        <w:fldChar w:fldCharType="end"/>
      </w:r>
      <w:r w:rsidRPr="00810EC7">
        <w:rPr>
          <w:szCs w:val="22"/>
        </w:rPr>
        <w:t xml:space="preserve">; all associations (including non-statistically significant) are presented in </w:t>
      </w:r>
      <w:r w:rsidRPr="00810EC7">
        <w:t>Appendix 1</w:t>
      </w:r>
      <w:r w:rsidR="00810EC7" w:rsidRPr="00810EC7">
        <w:t>3</w:t>
      </w:r>
      <w:r w:rsidRPr="00810EC7">
        <w:t>.</w:t>
      </w:r>
    </w:p>
    <w:p w:rsidR="001C3B11" w:rsidRDefault="001C3B11" w:rsidP="00FD12E4">
      <w:pPr>
        <w:tabs>
          <w:tab w:val="left" w:pos="0"/>
        </w:tabs>
        <w:jc w:val="both"/>
        <w:rPr>
          <w:szCs w:val="22"/>
        </w:rPr>
      </w:pPr>
    </w:p>
    <w:p w:rsidR="00810EC7" w:rsidRPr="00934E6A" w:rsidRDefault="00810EC7" w:rsidP="00985F5E">
      <w:pPr>
        <w:keepNext/>
        <w:keepLines/>
        <w:jc w:val="both"/>
        <w:rPr>
          <w:b/>
          <w:bCs/>
          <w:sz w:val="20"/>
          <w:szCs w:val="20"/>
        </w:rPr>
      </w:pPr>
      <w:bookmarkStart w:id="224" w:name="_Ref408321581"/>
      <w:bookmarkStart w:id="225" w:name="_Toc420393811"/>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23</w:t>
      </w:r>
      <w:r w:rsidRPr="00934E6A">
        <w:rPr>
          <w:b/>
          <w:bCs/>
          <w:sz w:val="20"/>
          <w:szCs w:val="20"/>
        </w:rPr>
        <w:fldChar w:fldCharType="end"/>
      </w:r>
      <w:bookmarkEnd w:id="224"/>
      <w:r w:rsidRPr="00934E6A">
        <w:rPr>
          <w:b/>
          <w:bCs/>
          <w:sz w:val="20"/>
          <w:szCs w:val="20"/>
        </w:rPr>
        <w:t xml:space="preserve">: </w:t>
      </w:r>
      <w:r w:rsidR="007F2FB4">
        <w:rPr>
          <w:b/>
          <w:bCs/>
          <w:sz w:val="20"/>
          <w:szCs w:val="20"/>
        </w:rPr>
        <w:t>Bivariate associations</w:t>
      </w:r>
      <w:r w:rsidRPr="00934E6A">
        <w:rPr>
          <w:b/>
          <w:bCs/>
          <w:sz w:val="20"/>
          <w:szCs w:val="20"/>
        </w:rPr>
        <w:t xml:space="preserve"> for </w:t>
      </w:r>
      <w:r>
        <w:rPr>
          <w:b/>
          <w:bCs/>
          <w:sz w:val="20"/>
          <w:szCs w:val="20"/>
        </w:rPr>
        <w:t xml:space="preserve">re-initiation of gambling </w:t>
      </w:r>
      <w:r w:rsidR="00BF0EA0">
        <w:rPr>
          <w:b/>
          <w:bCs/>
          <w:sz w:val="20"/>
          <w:szCs w:val="20"/>
        </w:rPr>
        <w:t>in Wave 2</w:t>
      </w:r>
      <w:bookmarkEnd w:id="2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13"/>
        <w:gridCol w:w="842"/>
        <w:gridCol w:w="973"/>
        <w:gridCol w:w="282"/>
        <w:gridCol w:w="843"/>
      </w:tblGrid>
      <w:tr w:rsidR="001C3B11" w:rsidRPr="00985F5E" w:rsidTr="00E05935">
        <w:trPr>
          <w:tblHeader/>
        </w:trPr>
        <w:tc>
          <w:tcPr>
            <w:tcW w:w="4253" w:type="dxa"/>
            <w:tcBorders>
              <w:top w:val="single" w:sz="4" w:space="0" w:color="auto"/>
              <w:bottom w:val="single" w:sz="4" w:space="0" w:color="auto"/>
            </w:tcBorders>
            <w:vAlign w:val="bottom"/>
          </w:tcPr>
          <w:p w:rsidR="001C3B11" w:rsidRPr="00985F5E" w:rsidRDefault="001C3B11" w:rsidP="00985F5E">
            <w:pPr>
              <w:keepNext/>
              <w:keepLines/>
              <w:spacing w:before="20"/>
              <w:jc w:val="both"/>
              <w:rPr>
                <w:b/>
                <w:sz w:val="18"/>
                <w:szCs w:val="18"/>
              </w:rPr>
            </w:pPr>
            <w:r w:rsidRPr="00985F5E">
              <w:rPr>
                <w:b/>
                <w:sz w:val="18"/>
                <w:szCs w:val="18"/>
              </w:rPr>
              <w:t>Variable</w:t>
            </w:r>
          </w:p>
        </w:tc>
        <w:tc>
          <w:tcPr>
            <w:tcW w:w="1113" w:type="dxa"/>
            <w:tcBorders>
              <w:top w:val="single" w:sz="4" w:space="0" w:color="auto"/>
              <w:bottom w:val="single" w:sz="4" w:space="0" w:color="auto"/>
            </w:tcBorders>
            <w:vAlign w:val="center"/>
          </w:tcPr>
          <w:p w:rsidR="001C3B11" w:rsidRPr="00985F5E" w:rsidRDefault="001C3B11" w:rsidP="00985F5E">
            <w:pPr>
              <w:keepNext/>
              <w:keepLines/>
              <w:spacing w:before="20"/>
              <w:jc w:val="right"/>
              <w:rPr>
                <w:rFonts w:ascii="Calibri" w:hAnsi="Calibri"/>
                <w:b/>
                <w:bCs/>
                <w:color w:val="000000"/>
                <w:sz w:val="18"/>
                <w:szCs w:val="18"/>
              </w:rPr>
            </w:pPr>
            <w:r w:rsidRPr="00985F5E">
              <w:rPr>
                <w:rFonts w:ascii="Calibri" w:hAnsi="Calibri"/>
                <w:b/>
                <w:bCs/>
                <w:color w:val="000000"/>
                <w:sz w:val="18"/>
                <w:szCs w:val="18"/>
              </w:rPr>
              <w:t>%</w:t>
            </w:r>
          </w:p>
        </w:tc>
        <w:tc>
          <w:tcPr>
            <w:tcW w:w="842" w:type="dxa"/>
            <w:tcBorders>
              <w:top w:val="single" w:sz="4" w:space="0" w:color="auto"/>
              <w:bottom w:val="single" w:sz="4" w:space="0" w:color="auto"/>
            </w:tcBorders>
            <w:vAlign w:val="center"/>
          </w:tcPr>
          <w:p w:rsidR="001C3B11" w:rsidRPr="00985F5E" w:rsidRDefault="001C3B11" w:rsidP="00985F5E">
            <w:pPr>
              <w:keepNext/>
              <w:keepLines/>
              <w:spacing w:before="20"/>
              <w:jc w:val="right"/>
              <w:rPr>
                <w:rFonts w:ascii="Calibri" w:hAnsi="Calibri"/>
                <w:b/>
                <w:color w:val="000000"/>
                <w:sz w:val="18"/>
                <w:szCs w:val="18"/>
              </w:rPr>
            </w:pPr>
            <w:r w:rsidRPr="00985F5E">
              <w:rPr>
                <w:rFonts w:ascii="Calibri" w:hAnsi="Calibri"/>
                <w:b/>
                <w:color w:val="000000"/>
                <w:sz w:val="18"/>
                <w:szCs w:val="18"/>
              </w:rPr>
              <w:t>Odds Ratio</w:t>
            </w:r>
          </w:p>
        </w:tc>
        <w:tc>
          <w:tcPr>
            <w:tcW w:w="1255" w:type="dxa"/>
            <w:gridSpan w:val="2"/>
            <w:tcBorders>
              <w:top w:val="single" w:sz="4" w:space="0" w:color="auto"/>
              <w:bottom w:val="single" w:sz="4" w:space="0" w:color="auto"/>
            </w:tcBorders>
            <w:vAlign w:val="center"/>
          </w:tcPr>
          <w:p w:rsidR="001C3B11" w:rsidRPr="00985F5E" w:rsidRDefault="001C3B11" w:rsidP="00985F5E">
            <w:pPr>
              <w:keepNext/>
              <w:keepLines/>
              <w:spacing w:before="20"/>
              <w:jc w:val="right"/>
              <w:rPr>
                <w:rFonts w:ascii="Calibri" w:hAnsi="Calibri"/>
                <w:b/>
                <w:color w:val="000000"/>
                <w:sz w:val="18"/>
                <w:szCs w:val="18"/>
              </w:rPr>
            </w:pPr>
            <w:r w:rsidRPr="00985F5E">
              <w:rPr>
                <w:rFonts w:ascii="Calibri" w:hAnsi="Calibri"/>
                <w:b/>
                <w:color w:val="000000"/>
                <w:sz w:val="18"/>
                <w:szCs w:val="18"/>
              </w:rPr>
              <w:t>(95% CI)</w:t>
            </w:r>
          </w:p>
        </w:tc>
        <w:tc>
          <w:tcPr>
            <w:tcW w:w="843" w:type="dxa"/>
            <w:tcBorders>
              <w:top w:val="single" w:sz="4" w:space="0" w:color="auto"/>
              <w:bottom w:val="single" w:sz="4" w:space="0" w:color="auto"/>
            </w:tcBorders>
            <w:vAlign w:val="center"/>
          </w:tcPr>
          <w:p w:rsidR="001C3B11" w:rsidRPr="00985F5E" w:rsidRDefault="001C3B11" w:rsidP="00985F5E">
            <w:pPr>
              <w:keepNext/>
              <w:keepLines/>
              <w:spacing w:before="20"/>
              <w:jc w:val="right"/>
              <w:rPr>
                <w:rFonts w:ascii="Calibri" w:hAnsi="Calibri"/>
                <w:b/>
                <w:color w:val="000000"/>
                <w:sz w:val="18"/>
                <w:szCs w:val="18"/>
              </w:rPr>
            </w:pPr>
            <w:r w:rsidRPr="00985F5E">
              <w:rPr>
                <w:rFonts w:ascii="Calibri" w:hAnsi="Calibri"/>
                <w:b/>
                <w:color w:val="000000"/>
                <w:sz w:val="18"/>
                <w:szCs w:val="18"/>
              </w:rPr>
              <w:t>p-value</w:t>
            </w:r>
          </w:p>
        </w:tc>
      </w:tr>
      <w:tr w:rsidR="001C3B11" w:rsidRPr="00985F5E" w:rsidTr="00E05935">
        <w:tc>
          <w:tcPr>
            <w:tcW w:w="4253" w:type="dxa"/>
            <w:vAlign w:val="bottom"/>
          </w:tcPr>
          <w:p w:rsidR="001C3B11" w:rsidRPr="00985F5E" w:rsidRDefault="001C3B11" w:rsidP="00985F5E">
            <w:pPr>
              <w:keepNext/>
              <w:keepLines/>
              <w:spacing w:before="20"/>
              <w:jc w:val="both"/>
              <w:rPr>
                <w:b/>
                <w:sz w:val="18"/>
                <w:szCs w:val="18"/>
              </w:rPr>
            </w:pPr>
            <w:r w:rsidRPr="00985F5E">
              <w:rPr>
                <w:b/>
                <w:sz w:val="18"/>
                <w:szCs w:val="18"/>
              </w:rPr>
              <w:t xml:space="preserve">New Zealand </w:t>
            </w:r>
            <w:r w:rsidR="00A430E7" w:rsidRPr="00985F5E">
              <w:rPr>
                <w:b/>
                <w:sz w:val="18"/>
                <w:szCs w:val="18"/>
              </w:rPr>
              <w:t xml:space="preserve">Individual </w:t>
            </w:r>
            <w:r w:rsidRPr="00985F5E">
              <w:rPr>
                <w:b/>
                <w:sz w:val="18"/>
                <w:szCs w:val="18"/>
              </w:rPr>
              <w:t>Deprivation Index</w:t>
            </w:r>
          </w:p>
        </w:tc>
        <w:tc>
          <w:tcPr>
            <w:tcW w:w="1113" w:type="dxa"/>
            <w:vAlign w:val="center"/>
          </w:tcPr>
          <w:p w:rsidR="001C3B11" w:rsidRPr="00985F5E" w:rsidRDefault="001C3B11" w:rsidP="00985F5E">
            <w:pPr>
              <w:keepNext/>
              <w:keepLines/>
              <w:adjustRightInd w:val="0"/>
              <w:spacing w:before="20"/>
              <w:jc w:val="right"/>
              <w:rPr>
                <w:color w:val="000000"/>
                <w:sz w:val="18"/>
                <w:szCs w:val="18"/>
              </w:rPr>
            </w:pPr>
            <w:r w:rsidRPr="00985F5E">
              <w:rPr>
                <w:color w:val="000000"/>
                <w:sz w:val="18"/>
                <w:szCs w:val="18"/>
              </w:rPr>
              <w:t> </w:t>
            </w:r>
          </w:p>
        </w:tc>
        <w:tc>
          <w:tcPr>
            <w:tcW w:w="842" w:type="dxa"/>
            <w:vAlign w:val="center"/>
          </w:tcPr>
          <w:p w:rsidR="001C3B11" w:rsidRPr="00985F5E" w:rsidRDefault="001C3B11" w:rsidP="00985F5E">
            <w:pPr>
              <w:keepNext/>
              <w:keepLines/>
              <w:adjustRightInd w:val="0"/>
              <w:spacing w:before="20"/>
              <w:jc w:val="right"/>
              <w:rPr>
                <w:color w:val="000000"/>
                <w:sz w:val="18"/>
                <w:szCs w:val="18"/>
              </w:rPr>
            </w:pPr>
          </w:p>
        </w:tc>
        <w:tc>
          <w:tcPr>
            <w:tcW w:w="973" w:type="dxa"/>
            <w:vAlign w:val="center"/>
          </w:tcPr>
          <w:p w:rsidR="001C3B11" w:rsidRPr="00985F5E" w:rsidRDefault="001C3B11" w:rsidP="00985F5E">
            <w:pPr>
              <w:keepNext/>
              <w:keepLines/>
              <w:adjustRightInd w:val="0"/>
              <w:spacing w:before="20"/>
              <w:jc w:val="right"/>
              <w:rPr>
                <w:color w:val="000000"/>
                <w:sz w:val="18"/>
                <w:szCs w:val="18"/>
              </w:rPr>
            </w:pPr>
          </w:p>
        </w:tc>
        <w:tc>
          <w:tcPr>
            <w:tcW w:w="282" w:type="dxa"/>
            <w:vAlign w:val="center"/>
          </w:tcPr>
          <w:p w:rsidR="001C3B11" w:rsidRPr="00985F5E" w:rsidRDefault="001C3B11" w:rsidP="00985F5E">
            <w:pPr>
              <w:keepNext/>
              <w:keepLines/>
              <w:adjustRightInd w:val="0"/>
              <w:spacing w:before="20"/>
              <w:jc w:val="right"/>
              <w:rPr>
                <w:color w:val="000000"/>
                <w:sz w:val="18"/>
                <w:szCs w:val="18"/>
              </w:rPr>
            </w:pPr>
          </w:p>
        </w:tc>
        <w:tc>
          <w:tcPr>
            <w:tcW w:w="843" w:type="dxa"/>
            <w:vAlign w:val="center"/>
          </w:tcPr>
          <w:p w:rsidR="001C3B11" w:rsidRPr="00985F5E" w:rsidRDefault="001C3B11" w:rsidP="00985F5E">
            <w:pPr>
              <w:keepNext/>
              <w:keepLines/>
              <w:adjustRightInd w:val="0"/>
              <w:spacing w:before="20"/>
              <w:jc w:val="right"/>
              <w:rPr>
                <w:color w:val="000000"/>
                <w:sz w:val="18"/>
                <w:szCs w:val="18"/>
              </w:rPr>
            </w:pPr>
          </w:p>
        </w:tc>
      </w:tr>
      <w:tr w:rsidR="001C3B11" w:rsidRPr="00985F5E" w:rsidTr="00E05935">
        <w:tc>
          <w:tcPr>
            <w:tcW w:w="4253" w:type="dxa"/>
          </w:tcPr>
          <w:p w:rsidR="001C3B11" w:rsidRPr="00985F5E" w:rsidRDefault="001C3B11" w:rsidP="00985F5E">
            <w:pPr>
              <w:keepNext/>
              <w:keepLines/>
              <w:spacing w:before="20"/>
              <w:ind w:left="176"/>
              <w:jc w:val="both"/>
              <w:rPr>
                <w:sz w:val="18"/>
                <w:szCs w:val="18"/>
              </w:rPr>
            </w:pPr>
            <w:r w:rsidRPr="00985F5E">
              <w:rPr>
                <w:sz w:val="18"/>
                <w:szCs w:val="18"/>
              </w:rPr>
              <w:t>0</w:t>
            </w:r>
          </w:p>
        </w:tc>
        <w:tc>
          <w:tcPr>
            <w:tcW w:w="1113" w:type="dxa"/>
            <w:vAlign w:val="center"/>
          </w:tcPr>
          <w:p w:rsidR="001C3B11" w:rsidRPr="00985F5E" w:rsidRDefault="001C3B11" w:rsidP="00985F5E">
            <w:pPr>
              <w:keepNext/>
              <w:keepLines/>
              <w:adjustRightInd w:val="0"/>
              <w:spacing w:before="20"/>
              <w:jc w:val="right"/>
              <w:rPr>
                <w:color w:val="000000"/>
                <w:sz w:val="18"/>
                <w:szCs w:val="18"/>
              </w:rPr>
            </w:pPr>
            <w:r w:rsidRPr="00985F5E">
              <w:rPr>
                <w:color w:val="000000"/>
                <w:sz w:val="18"/>
                <w:szCs w:val="18"/>
              </w:rPr>
              <w:t>35.5</w:t>
            </w:r>
          </w:p>
        </w:tc>
        <w:tc>
          <w:tcPr>
            <w:tcW w:w="842" w:type="dxa"/>
            <w:vAlign w:val="center"/>
          </w:tcPr>
          <w:p w:rsidR="001C3B11" w:rsidRPr="00985F5E" w:rsidRDefault="001C3B11" w:rsidP="00985F5E">
            <w:pPr>
              <w:keepNext/>
              <w:keepLines/>
              <w:adjustRightInd w:val="0"/>
              <w:spacing w:before="20"/>
              <w:jc w:val="right"/>
              <w:rPr>
                <w:color w:val="000000"/>
                <w:sz w:val="18"/>
                <w:szCs w:val="18"/>
              </w:rPr>
            </w:pPr>
            <w:r w:rsidRPr="00985F5E">
              <w:rPr>
                <w:color w:val="000000"/>
                <w:sz w:val="18"/>
                <w:szCs w:val="18"/>
              </w:rPr>
              <w:t>1.00</w:t>
            </w:r>
          </w:p>
        </w:tc>
        <w:tc>
          <w:tcPr>
            <w:tcW w:w="973" w:type="dxa"/>
            <w:vAlign w:val="center"/>
          </w:tcPr>
          <w:p w:rsidR="001C3B11" w:rsidRPr="00985F5E" w:rsidRDefault="001C3B11" w:rsidP="00985F5E">
            <w:pPr>
              <w:keepNext/>
              <w:keepLines/>
              <w:adjustRightInd w:val="0"/>
              <w:spacing w:before="20"/>
              <w:jc w:val="right"/>
              <w:rPr>
                <w:color w:val="000000"/>
                <w:sz w:val="18"/>
                <w:szCs w:val="18"/>
              </w:rPr>
            </w:pPr>
          </w:p>
        </w:tc>
        <w:tc>
          <w:tcPr>
            <w:tcW w:w="282" w:type="dxa"/>
            <w:vAlign w:val="center"/>
          </w:tcPr>
          <w:p w:rsidR="001C3B11" w:rsidRPr="00985F5E" w:rsidRDefault="001C3B11" w:rsidP="00985F5E">
            <w:pPr>
              <w:keepNext/>
              <w:keepLines/>
              <w:adjustRightInd w:val="0"/>
              <w:spacing w:before="20"/>
              <w:jc w:val="right"/>
              <w:rPr>
                <w:color w:val="000000"/>
                <w:sz w:val="18"/>
                <w:szCs w:val="18"/>
              </w:rPr>
            </w:pPr>
          </w:p>
        </w:tc>
        <w:tc>
          <w:tcPr>
            <w:tcW w:w="843" w:type="dxa"/>
            <w:vAlign w:val="center"/>
          </w:tcPr>
          <w:p w:rsidR="001C3B11" w:rsidRPr="00985F5E" w:rsidRDefault="001C3B11" w:rsidP="00985F5E">
            <w:pPr>
              <w:keepNext/>
              <w:keepLines/>
              <w:adjustRightInd w:val="0"/>
              <w:spacing w:before="20"/>
              <w:jc w:val="right"/>
              <w:rPr>
                <w:color w:val="000000"/>
                <w:sz w:val="18"/>
                <w:szCs w:val="18"/>
              </w:rPr>
            </w:pPr>
          </w:p>
        </w:tc>
      </w:tr>
      <w:tr w:rsidR="00CC2ADD" w:rsidRPr="00985F5E" w:rsidTr="00E05935">
        <w:tc>
          <w:tcPr>
            <w:tcW w:w="4253" w:type="dxa"/>
          </w:tcPr>
          <w:p w:rsidR="00CC2ADD" w:rsidRPr="00985F5E" w:rsidRDefault="00CC2ADD" w:rsidP="00985F5E">
            <w:pPr>
              <w:keepNext/>
              <w:keepLines/>
              <w:spacing w:before="20"/>
              <w:ind w:left="176"/>
              <w:jc w:val="both"/>
              <w:rPr>
                <w:sz w:val="18"/>
                <w:szCs w:val="18"/>
              </w:rPr>
            </w:pPr>
            <w:r w:rsidRPr="00985F5E">
              <w:rPr>
                <w:sz w:val="18"/>
                <w:szCs w:val="18"/>
              </w:rPr>
              <w:t>1</w:t>
            </w:r>
          </w:p>
        </w:tc>
        <w:tc>
          <w:tcPr>
            <w:tcW w:w="1113" w:type="dxa"/>
            <w:vAlign w:val="center"/>
          </w:tcPr>
          <w:p w:rsidR="00CC2ADD" w:rsidRPr="00985F5E" w:rsidRDefault="00CC2ADD" w:rsidP="00985F5E">
            <w:pPr>
              <w:keepNext/>
              <w:keepLines/>
              <w:adjustRightInd w:val="0"/>
              <w:spacing w:before="20"/>
              <w:jc w:val="right"/>
              <w:rPr>
                <w:color w:val="000000"/>
                <w:sz w:val="18"/>
                <w:szCs w:val="18"/>
              </w:rPr>
            </w:pPr>
            <w:r w:rsidRPr="00985F5E">
              <w:rPr>
                <w:color w:val="000000"/>
                <w:sz w:val="18"/>
                <w:szCs w:val="18"/>
              </w:rPr>
              <w:t>57.3</w:t>
            </w:r>
          </w:p>
        </w:tc>
        <w:tc>
          <w:tcPr>
            <w:tcW w:w="842" w:type="dxa"/>
            <w:vAlign w:val="center"/>
          </w:tcPr>
          <w:p w:rsidR="00CC2ADD" w:rsidRPr="00985F5E" w:rsidRDefault="00CC2ADD" w:rsidP="00985F5E">
            <w:pPr>
              <w:keepNext/>
              <w:keepLines/>
              <w:adjustRightInd w:val="0"/>
              <w:spacing w:before="20"/>
              <w:jc w:val="right"/>
              <w:rPr>
                <w:color w:val="000000"/>
                <w:sz w:val="18"/>
                <w:szCs w:val="18"/>
              </w:rPr>
            </w:pPr>
            <w:r w:rsidRPr="00985F5E">
              <w:rPr>
                <w:color w:val="000000"/>
                <w:sz w:val="18"/>
                <w:szCs w:val="18"/>
              </w:rPr>
              <w:t>2.43</w:t>
            </w:r>
          </w:p>
        </w:tc>
        <w:tc>
          <w:tcPr>
            <w:tcW w:w="1255" w:type="dxa"/>
            <w:gridSpan w:val="2"/>
            <w:vAlign w:val="center"/>
          </w:tcPr>
          <w:p w:rsidR="00CC2ADD" w:rsidRPr="00985F5E" w:rsidRDefault="00CC2ADD" w:rsidP="00985F5E">
            <w:pPr>
              <w:keepNext/>
              <w:keepLines/>
              <w:adjustRightInd w:val="0"/>
              <w:spacing w:before="20"/>
              <w:jc w:val="right"/>
              <w:rPr>
                <w:color w:val="000000"/>
                <w:sz w:val="18"/>
                <w:szCs w:val="18"/>
              </w:rPr>
            </w:pPr>
            <w:r w:rsidRPr="00985F5E">
              <w:rPr>
                <w:color w:val="000000"/>
                <w:sz w:val="18"/>
                <w:szCs w:val="18"/>
              </w:rPr>
              <w:t>(1.07 - 5.55)</w:t>
            </w:r>
          </w:p>
        </w:tc>
        <w:tc>
          <w:tcPr>
            <w:tcW w:w="843" w:type="dxa"/>
            <w:vAlign w:val="center"/>
          </w:tcPr>
          <w:p w:rsidR="00CC2ADD" w:rsidRPr="00985F5E" w:rsidRDefault="00CC2ADD" w:rsidP="00985F5E">
            <w:pPr>
              <w:keepNext/>
              <w:keepLines/>
              <w:adjustRightInd w:val="0"/>
              <w:spacing w:before="20"/>
              <w:jc w:val="right"/>
              <w:rPr>
                <w:color w:val="000000"/>
                <w:sz w:val="18"/>
                <w:szCs w:val="18"/>
              </w:rPr>
            </w:pPr>
          </w:p>
        </w:tc>
      </w:tr>
      <w:tr w:rsidR="00CC2ADD" w:rsidRPr="00985F5E" w:rsidTr="00E05935">
        <w:tc>
          <w:tcPr>
            <w:tcW w:w="4253" w:type="dxa"/>
          </w:tcPr>
          <w:p w:rsidR="00CC2ADD" w:rsidRPr="00985F5E" w:rsidRDefault="00CC2ADD" w:rsidP="00345C68">
            <w:pPr>
              <w:spacing w:before="20"/>
              <w:ind w:left="176"/>
              <w:jc w:val="both"/>
              <w:rPr>
                <w:sz w:val="18"/>
                <w:szCs w:val="18"/>
              </w:rPr>
            </w:pPr>
            <w:r w:rsidRPr="00985F5E">
              <w:rPr>
                <w:sz w:val="18"/>
                <w:szCs w:val="18"/>
              </w:rPr>
              <w:t>2</w:t>
            </w:r>
          </w:p>
        </w:tc>
        <w:tc>
          <w:tcPr>
            <w:tcW w:w="1113"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52.0</w:t>
            </w:r>
          </w:p>
        </w:tc>
        <w:tc>
          <w:tcPr>
            <w:tcW w:w="842"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1.97</w:t>
            </w:r>
          </w:p>
        </w:tc>
        <w:tc>
          <w:tcPr>
            <w:tcW w:w="1255" w:type="dxa"/>
            <w:gridSpan w:val="2"/>
            <w:vAlign w:val="center"/>
          </w:tcPr>
          <w:p w:rsidR="00CC2ADD" w:rsidRPr="00985F5E" w:rsidRDefault="00CC2ADD" w:rsidP="00CC2ADD">
            <w:pPr>
              <w:adjustRightInd w:val="0"/>
              <w:spacing w:before="20"/>
              <w:jc w:val="right"/>
              <w:rPr>
                <w:color w:val="000000"/>
                <w:sz w:val="18"/>
                <w:szCs w:val="18"/>
              </w:rPr>
            </w:pPr>
            <w:r w:rsidRPr="00985F5E">
              <w:rPr>
                <w:color w:val="000000"/>
                <w:sz w:val="18"/>
                <w:szCs w:val="18"/>
              </w:rPr>
              <w:t>(0.63 - 6.19)</w:t>
            </w:r>
          </w:p>
        </w:tc>
        <w:tc>
          <w:tcPr>
            <w:tcW w:w="843" w:type="dxa"/>
            <w:vAlign w:val="center"/>
          </w:tcPr>
          <w:p w:rsidR="00CC2ADD" w:rsidRPr="00985F5E" w:rsidRDefault="00CC2ADD" w:rsidP="00345C68">
            <w:pPr>
              <w:adjustRightInd w:val="0"/>
              <w:spacing w:before="20"/>
              <w:jc w:val="right"/>
              <w:rPr>
                <w:color w:val="000000"/>
                <w:sz w:val="18"/>
                <w:szCs w:val="18"/>
              </w:rPr>
            </w:pPr>
          </w:p>
        </w:tc>
      </w:tr>
      <w:tr w:rsidR="00CC2ADD" w:rsidRPr="00985F5E" w:rsidTr="00E05935">
        <w:tc>
          <w:tcPr>
            <w:tcW w:w="4253" w:type="dxa"/>
          </w:tcPr>
          <w:p w:rsidR="00CC2ADD" w:rsidRPr="00985F5E" w:rsidRDefault="00CC2ADD" w:rsidP="00345C68">
            <w:pPr>
              <w:spacing w:before="20"/>
              <w:ind w:left="176"/>
              <w:jc w:val="both"/>
              <w:rPr>
                <w:sz w:val="18"/>
                <w:szCs w:val="18"/>
              </w:rPr>
            </w:pPr>
            <w:r w:rsidRPr="00985F5E">
              <w:rPr>
                <w:sz w:val="18"/>
                <w:szCs w:val="18"/>
              </w:rPr>
              <w:t>3</w:t>
            </w:r>
          </w:p>
        </w:tc>
        <w:tc>
          <w:tcPr>
            <w:tcW w:w="1113"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8.8</w:t>
            </w:r>
          </w:p>
        </w:tc>
        <w:tc>
          <w:tcPr>
            <w:tcW w:w="842"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0.18</w:t>
            </w:r>
          </w:p>
        </w:tc>
        <w:tc>
          <w:tcPr>
            <w:tcW w:w="1255" w:type="dxa"/>
            <w:gridSpan w:val="2"/>
            <w:vAlign w:val="center"/>
          </w:tcPr>
          <w:p w:rsidR="00CC2ADD" w:rsidRPr="00985F5E" w:rsidRDefault="00CC2ADD" w:rsidP="00CC2ADD">
            <w:pPr>
              <w:adjustRightInd w:val="0"/>
              <w:spacing w:before="20"/>
              <w:jc w:val="right"/>
              <w:rPr>
                <w:color w:val="000000"/>
                <w:sz w:val="18"/>
                <w:szCs w:val="18"/>
              </w:rPr>
            </w:pPr>
            <w:r w:rsidRPr="00985F5E">
              <w:rPr>
                <w:color w:val="000000"/>
                <w:sz w:val="18"/>
                <w:szCs w:val="18"/>
              </w:rPr>
              <w:t>(0.02 - 1.52)</w:t>
            </w:r>
          </w:p>
        </w:tc>
        <w:tc>
          <w:tcPr>
            <w:tcW w:w="843" w:type="dxa"/>
            <w:vAlign w:val="center"/>
          </w:tcPr>
          <w:p w:rsidR="00CC2ADD" w:rsidRPr="00985F5E" w:rsidRDefault="00CC2ADD" w:rsidP="00345C68">
            <w:pPr>
              <w:adjustRightInd w:val="0"/>
              <w:spacing w:before="20"/>
              <w:jc w:val="right"/>
              <w:rPr>
                <w:color w:val="000000"/>
                <w:sz w:val="18"/>
                <w:szCs w:val="18"/>
              </w:rPr>
            </w:pPr>
          </w:p>
        </w:tc>
      </w:tr>
      <w:tr w:rsidR="00CC2ADD" w:rsidRPr="00985F5E" w:rsidTr="00E05935">
        <w:tc>
          <w:tcPr>
            <w:tcW w:w="4253" w:type="dxa"/>
          </w:tcPr>
          <w:p w:rsidR="00CC2ADD" w:rsidRPr="00985F5E" w:rsidRDefault="00CC2ADD" w:rsidP="00345C68">
            <w:pPr>
              <w:spacing w:before="20"/>
              <w:ind w:left="176"/>
              <w:jc w:val="both"/>
              <w:rPr>
                <w:sz w:val="18"/>
                <w:szCs w:val="18"/>
              </w:rPr>
            </w:pPr>
            <w:r w:rsidRPr="00985F5E">
              <w:rPr>
                <w:sz w:val="18"/>
                <w:szCs w:val="18"/>
              </w:rPr>
              <w:t>4</w:t>
            </w:r>
          </w:p>
        </w:tc>
        <w:tc>
          <w:tcPr>
            <w:tcW w:w="1113"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81.2</w:t>
            </w:r>
          </w:p>
        </w:tc>
        <w:tc>
          <w:tcPr>
            <w:tcW w:w="842" w:type="dxa"/>
            <w:vAlign w:val="center"/>
          </w:tcPr>
          <w:p w:rsidR="00CC2ADD" w:rsidRPr="00985F5E" w:rsidRDefault="00CC2ADD" w:rsidP="00345C68">
            <w:pPr>
              <w:adjustRightInd w:val="0"/>
              <w:spacing w:before="20"/>
              <w:jc w:val="right"/>
              <w:rPr>
                <w:color w:val="000000"/>
                <w:sz w:val="18"/>
                <w:szCs w:val="18"/>
              </w:rPr>
            </w:pPr>
            <w:r w:rsidRPr="00985F5E">
              <w:rPr>
                <w:color w:val="000000"/>
                <w:sz w:val="18"/>
                <w:szCs w:val="18"/>
              </w:rPr>
              <w:t>7.86</w:t>
            </w:r>
          </w:p>
        </w:tc>
        <w:tc>
          <w:tcPr>
            <w:tcW w:w="1255" w:type="dxa"/>
            <w:gridSpan w:val="2"/>
            <w:vAlign w:val="center"/>
          </w:tcPr>
          <w:p w:rsidR="00CC2ADD" w:rsidRPr="00985F5E" w:rsidRDefault="00CC2ADD" w:rsidP="00CC2ADD">
            <w:pPr>
              <w:adjustRightInd w:val="0"/>
              <w:spacing w:before="20"/>
              <w:jc w:val="right"/>
              <w:rPr>
                <w:color w:val="000000"/>
                <w:sz w:val="18"/>
                <w:szCs w:val="18"/>
              </w:rPr>
            </w:pPr>
            <w:r w:rsidRPr="00985F5E">
              <w:rPr>
                <w:color w:val="000000"/>
                <w:sz w:val="18"/>
                <w:szCs w:val="18"/>
              </w:rPr>
              <w:t>(1.36 - 45.38)</w:t>
            </w:r>
          </w:p>
        </w:tc>
        <w:tc>
          <w:tcPr>
            <w:tcW w:w="843" w:type="dxa"/>
            <w:vAlign w:val="center"/>
          </w:tcPr>
          <w:p w:rsidR="00CC2ADD" w:rsidRPr="00985F5E" w:rsidRDefault="00CC2ADD" w:rsidP="00345C68">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5+</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64.8</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3.35</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(0.89 - 12.65)</w:t>
            </w:r>
          </w:p>
        </w:tc>
        <w:tc>
          <w:tcPr>
            <w:tcW w:w="843" w:type="dxa"/>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0.02</w:t>
            </w:r>
          </w:p>
        </w:tc>
      </w:tr>
      <w:tr w:rsidR="00A00E24" w:rsidRPr="00985F5E" w:rsidTr="00E05935">
        <w:tc>
          <w:tcPr>
            <w:tcW w:w="4253" w:type="dxa"/>
            <w:vAlign w:val="bottom"/>
          </w:tcPr>
          <w:p w:rsidR="00A00E24" w:rsidRPr="00985F5E" w:rsidRDefault="00A00E24" w:rsidP="00A00E24">
            <w:pPr>
              <w:spacing w:before="20"/>
              <w:jc w:val="both"/>
              <w:rPr>
                <w:b/>
                <w:sz w:val="18"/>
                <w:szCs w:val="18"/>
              </w:rPr>
            </w:pPr>
            <w:r w:rsidRPr="00985F5E">
              <w:rPr>
                <w:b/>
                <w:sz w:val="18"/>
                <w:szCs w:val="18"/>
              </w:rPr>
              <w:t xml:space="preserve">Hazardous alcohol consumption (AUDIT-C) </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 </w:t>
            </w:r>
          </w:p>
        </w:tc>
        <w:tc>
          <w:tcPr>
            <w:tcW w:w="842" w:type="dxa"/>
            <w:vAlign w:val="center"/>
          </w:tcPr>
          <w:p w:rsidR="00A00E24" w:rsidRPr="00985F5E" w:rsidRDefault="00A00E24" w:rsidP="00A00E24">
            <w:pPr>
              <w:adjustRightInd w:val="0"/>
              <w:spacing w:before="20"/>
              <w:jc w:val="right"/>
              <w:rPr>
                <w:color w:val="000000"/>
                <w:sz w:val="18"/>
                <w:szCs w:val="18"/>
              </w:rPr>
            </w:pP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No</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36.1</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w:t>
            </w: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Yes</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56.6</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2.31</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(1.17 - 4.56)</w:t>
            </w:r>
          </w:p>
        </w:tc>
        <w:tc>
          <w:tcPr>
            <w:tcW w:w="843" w:type="dxa"/>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0.02</w:t>
            </w:r>
          </w:p>
        </w:tc>
      </w:tr>
      <w:tr w:rsidR="00A00E24" w:rsidRPr="00985F5E" w:rsidTr="00E05935">
        <w:tc>
          <w:tcPr>
            <w:tcW w:w="4253" w:type="dxa"/>
            <w:vAlign w:val="bottom"/>
          </w:tcPr>
          <w:p w:rsidR="00A00E24" w:rsidRPr="00985F5E" w:rsidRDefault="00A00E24" w:rsidP="00A00E24">
            <w:pPr>
              <w:spacing w:before="20"/>
              <w:jc w:val="both"/>
              <w:rPr>
                <w:b/>
                <w:sz w:val="18"/>
                <w:szCs w:val="18"/>
              </w:rPr>
            </w:pPr>
            <w:r w:rsidRPr="00985F5E">
              <w:rPr>
                <w:b/>
                <w:sz w:val="18"/>
                <w:szCs w:val="18"/>
              </w:rPr>
              <w:t>Does not use drugs</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 </w:t>
            </w:r>
          </w:p>
        </w:tc>
        <w:tc>
          <w:tcPr>
            <w:tcW w:w="842" w:type="dxa"/>
            <w:vAlign w:val="center"/>
          </w:tcPr>
          <w:p w:rsidR="00A00E24" w:rsidRPr="00985F5E" w:rsidRDefault="00A00E24" w:rsidP="00A00E24">
            <w:pPr>
              <w:adjustRightInd w:val="0"/>
              <w:spacing w:before="20"/>
              <w:jc w:val="right"/>
              <w:rPr>
                <w:color w:val="000000"/>
                <w:sz w:val="18"/>
                <w:szCs w:val="18"/>
              </w:rPr>
            </w:pP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No</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62.0</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w:t>
            </w: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Yes</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39.3</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0.40</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(0.16 - 0.96)</w:t>
            </w:r>
          </w:p>
        </w:tc>
        <w:tc>
          <w:tcPr>
            <w:tcW w:w="843" w:type="dxa"/>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0.04</w:t>
            </w:r>
          </w:p>
        </w:tc>
      </w:tr>
      <w:tr w:rsidR="00A00E24" w:rsidRPr="00985F5E" w:rsidTr="00E05935">
        <w:tc>
          <w:tcPr>
            <w:tcW w:w="4253" w:type="dxa"/>
            <w:vAlign w:val="bottom"/>
          </w:tcPr>
          <w:p w:rsidR="00A00E24" w:rsidRPr="00985F5E" w:rsidRDefault="00A00E24" w:rsidP="00A00E24">
            <w:pPr>
              <w:spacing w:before="20"/>
              <w:jc w:val="both"/>
              <w:rPr>
                <w:b/>
                <w:sz w:val="18"/>
                <w:szCs w:val="18"/>
              </w:rPr>
            </w:pPr>
            <w:r w:rsidRPr="00985F5E">
              <w:rPr>
                <w:b/>
                <w:bCs/>
                <w:color w:val="000000"/>
                <w:sz w:val="18"/>
                <w:szCs w:val="18"/>
              </w:rPr>
              <w:t>Ever smoked tobacco</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 </w:t>
            </w:r>
          </w:p>
        </w:tc>
        <w:tc>
          <w:tcPr>
            <w:tcW w:w="842" w:type="dxa"/>
            <w:vAlign w:val="center"/>
          </w:tcPr>
          <w:p w:rsidR="00A00E24" w:rsidRPr="00985F5E" w:rsidRDefault="00A00E24" w:rsidP="00A00E24">
            <w:pPr>
              <w:adjustRightInd w:val="0"/>
              <w:spacing w:before="20"/>
              <w:jc w:val="right"/>
              <w:rPr>
                <w:color w:val="000000"/>
                <w:sz w:val="18"/>
                <w:szCs w:val="18"/>
              </w:rPr>
            </w:pP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Yes</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47.5</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2.09</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(1.00 - 4.35)</w:t>
            </w: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No</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30.3</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w:t>
            </w:r>
          </w:p>
        </w:tc>
        <w:tc>
          <w:tcPr>
            <w:tcW w:w="1255" w:type="dxa"/>
            <w:gridSpan w:val="2"/>
            <w:vAlign w:val="center"/>
          </w:tcPr>
          <w:p w:rsidR="00A00E24" w:rsidRPr="00985F5E" w:rsidRDefault="00A00E24" w:rsidP="00A00E24">
            <w:pPr>
              <w:adjustRightInd w:val="0"/>
              <w:spacing w:before="20"/>
              <w:jc w:val="right"/>
              <w:rPr>
                <w:color w:val="000000"/>
                <w:sz w:val="18"/>
                <w:szCs w:val="18"/>
              </w:rPr>
            </w:pPr>
          </w:p>
        </w:tc>
        <w:tc>
          <w:tcPr>
            <w:tcW w:w="843" w:type="dxa"/>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0.05</w:t>
            </w:r>
          </w:p>
        </w:tc>
      </w:tr>
      <w:tr w:rsidR="00A00E24" w:rsidRPr="00985F5E" w:rsidTr="00E05935">
        <w:tc>
          <w:tcPr>
            <w:tcW w:w="4253" w:type="dxa"/>
            <w:vAlign w:val="bottom"/>
          </w:tcPr>
          <w:p w:rsidR="00A00E24" w:rsidRPr="00985F5E" w:rsidRDefault="00A00E24" w:rsidP="00A00E24">
            <w:pPr>
              <w:spacing w:before="20"/>
              <w:jc w:val="both"/>
              <w:rPr>
                <w:b/>
                <w:sz w:val="18"/>
                <w:szCs w:val="18"/>
              </w:rPr>
            </w:pPr>
            <w:r w:rsidRPr="00985F5E">
              <w:rPr>
                <w:b/>
                <w:bCs/>
                <w:color w:val="000000"/>
                <w:sz w:val="18"/>
                <w:szCs w:val="18"/>
              </w:rPr>
              <w:t>Ever smoked daily for a period of time</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 </w:t>
            </w:r>
          </w:p>
        </w:tc>
        <w:tc>
          <w:tcPr>
            <w:tcW w:w="842" w:type="dxa"/>
            <w:vAlign w:val="center"/>
          </w:tcPr>
          <w:p w:rsidR="00A00E24" w:rsidRPr="00985F5E" w:rsidRDefault="00A00E24" w:rsidP="00A00E24">
            <w:pPr>
              <w:adjustRightInd w:val="0"/>
              <w:spacing w:before="20"/>
              <w:jc w:val="right"/>
              <w:rPr>
                <w:color w:val="000000"/>
                <w:sz w:val="18"/>
                <w:szCs w:val="18"/>
              </w:rPr>
            </w:pP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Yes</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52.9</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1.98</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(1.07 - 3.68)</w:t>
            </w: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No</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36.1</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w:t>
            </w:r>
          </w:p>
        </w:tc>
        <w:tc>
          <w:tcPr>
            <w:tcW w:w="1255" w:type="dxa"/>
            <w:gridSpan w:val="2"/>
            <w:vAlign w:val="center"/>
          </w:tcPr>
          <w:p w:rsidR="00A00E24" w:rsidRPr="00985F5E" w:rsidRDefault="00A00E24" w:rsidP="00A00E24">
            <w:pPr>
              <w:adjustRightInd w:val="0"/>
              <w:spacing w:before="20"/>
              <w:jc w:val="right"/>
              <w:rPr>
                <w:color w:val="000000"/>
                <w:sz w:val="18"/>
                <w:szCs w:val="18"/>
              </w:rPr>
            </w:pPr>
          </w:p>
        </w:tc>
        <w:tc>
          <w:tcPr>
            <w:tcW w:w="843" w:type="dxa"/>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0.03</w:t>
            </w:r>
          </w:p>
        </w:tc>
      </w:tr>
      <w:tr w:rsidR="00A00E24" w:rsidRPr="00985F5E" w:rsidTr="00E05935">
        <w:tc>
          <w:tcPr>
            <w:tcW w:w="4253" w:type="dxa"/>
            <w:vAlign w:val="bottom"/>
          </w:tcPr>
          <w:p w:rsidR="00A00E24" w:rsidRPr="00985F5E" w:rsidRDefault="00A00E24" w:rsidP="00A00E24">
            <w:pPr>
              <w:spacing w:before="20"/>
              <w:jc w:val="both"/>
              <w:rPr>
                <w:b/>
                <w:sz w:val="18"/>
                <w:szCs w:val="18"/>
              </w:rPr>
            </w:pPr>
            <w:r w:rsidRPr="00985F5E">
              <w:rPr>
                <w:b/>
                <w:bCs/>
                <w:color w:val="000000"/>
                <w:sz w:val="18"/>
                <w:szCs w:val="18"/>
              </w:rPr>
              <w:t>Current tobacco use</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 </w:t>
            </w:r>
          </w:p>
        </w:tc>
        <w:tc>
          <w:tcPr>
            <w:tcW w:w="842" w:type="dxa"/>
            <w:vAlign w:val="center"/>
          </w:tcPr>
          <w:p w:rsidR="00A00E24" w:rsidRPr="00985F5E" w:rsidRDefault="00A00E24" w:rsidP="00A00E24">
            <w:pPr>
              <w:adjustRightInd w:val="0"/>
              <w:spacing w:before="20"/>
              <w:jc w:val="right"/>
              <w:rPr>
                <w:color w:val="000000"/>
                <w:sz w:val="18"/>
                <w:szCs w:val="18"/>
              </w:rPr>
            </w:pPr>
          </w:p>
        </w:tc>
        <w:tc>
          <w:tcPr>
            <w:tcW w:w="973" w:type="dxa"/>
            <w:vAlign w:val="center"/>
          </w:tcPr>
          <w:p w:rsidR="00A00E24" w:rsidRPr="00985F5E" w:rsidRDefault="00A00E24" w:rsidP="00A00E24">
            <w:pPr>
              <w:adjustRightInd w:val="0"/>
              <w:spacing w:before="20"/>
              <w:jc w:val="right"/>
              <w:rPr>
                <w:color w:val="000000"/>
                <w:sz w:val="18"/>
                <w:szCs w:val="18"/>
              </w:rPr>
            </w:pPr>
          </w:p>
        </w:tc>
        <w:tc>
          <w:tcPr>
            <w:tcW w:w="282" w:type="dxa"/>
            <w:vAlign w:val="center"/>
          </w:tcPr>
          <w:p w:rsidR="00A00E24" w:rsidRPr="00985F5E" w:rsidRDefault="00A00E24" w:rsidP="00A00E24">
            <w:pPr>
              <w:adjustRightInd w:val="0"/>
              <w:spacing w:before="20"/>
              <w:jc w:val="right"/>
              <w:rPr>
                <w:color w:val="000000"/>
                <w:sz w:val="18"/>
                <w:szCs w:val="18"/>
              </w:rPr>
            </w:pP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Does not smoke now</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41.9</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1.23</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(0.60 - 2.53)</w:t>
            </w: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Pr>
          <w:p w:rsidR="00A00E24" w:rsidRPr="00985F5E" w:rsidRDefault="00A00E24" w:rsidP="00A00E24">
            <w:pPr>
              <w:spacing w:before="20"/>
              <w:ind w:left="176"/>
              <w:jc w:val="both"/>
              <w:rPr>
                <w:sz w:val="18"/>
                <w:szCs w:val="18"/>
              </w:rPr>
            </w:pPr>
            <w:r w:rsidRPr="00985F5E">
              <w:rPr>
                <w:sz w:val="18"/>
                <w:szCs w:val="18"/>
              </w:rPr>
              <w:t>Smokes at least once a day</w:t>
            </w:r>
          </w:p>
        </w:tc>
        <w:tc>
          <w:tcPr>
            <w:tcW w:w="1113"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68.6</w:t>
            </w:r>
          </w:p>
        </w:tc>
        <w:tc>
          <w:tcPr>
            <w:tcW w:w="842" w:type="dxa"/>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3.74</w:t>
            </w:r>
          </w:p>
        </w:tc>
        <w:tc>
          <w:tcPr>
            <w:tcW w:w="1255" w:type="dxa"/>
            <w:gridSpan w:val="2"/>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(1.48 - 9.45)</w:t>
            </w:r>
          </w:p>
        </w:tc>
        <w:tc>
          <w:tcPr>
            <w:tcW w:w="843" w:type="dxa"/>
            <w:vAlign w:val="center"/>
          </w:tcPr>
          <w:p w:rsidR="00A00E24" w:rsidRPr="00985F5E" w:rsidRDefault="00A00E24" w:rsidP="00A00E24">
            <w:pPr>
              <w:adjustRightInd w:val="0"/>
              <w:spacing w:before="20"/>
              <w:jc w:val="right"/>
              <w:rPr>
                <w:color w:val="000000"/>
                <w:sz w:val="18"/>
                <w:szCs w:val="18"/>
              </w:rPr>
            </w:pPr>
          </w:p>
        </w:tc>
      </w:tr>
      <w:tr w:rsidR="00A00E24" w:rsidRPr="00985F5E" w:rsidTr="00E05935">
        <w:tc>
          <w:tcPr>
            <w:tcW w:w="4253" w:type="dxa"/>
            <w:tcBorders>
              <w:bottom w:val="single" w:sz="4" w:space="0" w:color="auto"/>
            </w:tcBorders>
          </w:tcPr>
          <w:p w:rsidR="00A00E24" w:rsidRPr="00985F5E" w:rsidRDefault="00A00E24" w:rsidP="00A00E24">
            <w:pPr>
              <w:spacing w:before="20"/>
              <w:ind w:left="176"/>
              <w:jc w:val="both"/>
              <w:rPr>
                <w:sz w:val="18"/>
                <w:szCs w:val="18"/>
              </w:rPr>
            </w:pPr>
            <w:r w:rsidRPr="00985F5E">
              <w:rPr>
                <w:sz w:val="18"/>
                <w:szCs w:val="18"/>
              </w:rPr>
              <w:t>Never smoked</w:t>
            </w:r>
          </w:p>
        </w:tc>
        <w:tc>
          <w:tcPr>
            <w:tcW w:w="1113" w:type="dxa"/>
            <w:tcBorders>
              <w:bottom w:val="single" w:sz="4" w:space="0" w:color="auto"/>
            </w:tcBorders>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36.9</w:t>
            </w:r>
          </w:p>
        </w:tc>
        <w:tc>
          <w:tcPr>
            <w:tcW w:w="842" w:type="dxa"/>
            <w:tcBorders>
              <w:bottom w:val="single" w:sz="4" w:space="0" w:color="auto"/>
            </w:tcBorders>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1.00</w:t>
            </w:r>
          </w:p>
        </w:tc>
        <w:tc>
          <w:tcPr>
            <w:tcW w:w="973" w:type="dxa"/>
            <w:tcBorders>
              <w:bottom w:val="single" w:sz="4" w:space="0" w:color="auto"/>
            </w:tcBorders>
            <w:vAlign w:val="center"/>
          </w:tcPr>
          <w:p w:rsidR="00A00E24" w:rsidRPr="00985F5E" w:rsidRDefault="00A00E24" w:rsidP="00A00E24">
            <w:pPr>
              <w:adjustRightInd w:val="0"/>
              <w:spacing w:before="20"/>
              <w:jc w:val="right"/>
              <w:rPr>
                <w:color w:val="000000"/>
                <w:sz w:val="18"/>
                <w:szCs w:val="18"/>
              </w:rPr>
            </w:pPr>
          </w:p>
        </w:tc>
        <w:tc>
          <w:tcPr>
            <w:tcW w:w="282" w:type="dxa"/>
            <w:tcBorders>
              <w:bottom w:val="single" w:sz="4" w:space="0" w:color="auto"/>
            </w:tcBorders>
            <w:vAlign w:val="center"/>
          </w:tcPr>
          <w:p w:rsidR="00A00E24" w:rsidRPr="00985F5E" w:rsidRDefault="00A00E24" w:rsidP="00A00E24">
            <w:pPr>
              <w:adjustRightInd w:val="0"/>
              <w:spacing w:before="20"/>
              <w:jc w:val="right"/>
              <w:rPr>
                <w:color w:val="000000"/>
                <w:sz w:val="18"/>
                <w:szCs w:val="18"/>
              </w:rPr>
            </w:pPr>
          </w:p>
        </w:tc>
        <w:tc>
          <w:tcPr>
            <w:tcW w:w="843" w:type="dxa"/>
            <w:tcBorders>
              <w:bottom w:val="single" w:sz="4" w:space="0" w:color="auto"/>
            </w:tcBorders>
            <w:shd w:val="clear" w:color="auto" w:fill="D9D9D9" w:themeFill="background1" w:themeFillShade="D9"/>
            <w:vAlign w:val="center"/>
          </w:tcPr>
          <w:p w:rsidR="00A00E24" w:rsidRPr="00985F5E" w:rsidRDefault="00A00E24" w:rsidP="00A00E24">
            <w:pPr>
              <w:adjustRightInd w:val="0"/>
              <w:spacing w:before="20"/>
              <w:jc w:val="right"/>
              <w:rPr>
                <w:color w:val="000000"/>
                <w:sz w:val="18"/>
                <w:szCs w:val="18"/>
              </w:rPr>
            </w:pPr>
            <w:r w:rsidRPr="00985F5E">
              <w:rPr>
                <w:color w:val="000000"/>
                <w:sz w:val="18"/>
                <w:szCs w:val="18"/>
              </w:rPr>
              <w:t>0.02</w:t>
            </w:r>
          </w:p>
        </w:tc>
      </w:tr>
    </w:tbl>
    <w:p w:rsidR="00CC2ADD" w:rsidRPr="0034241E" w:rsidRDefault="00CC2ADD" w:rsidP="00CC2ADD">
      <w:pPr>
        <w:rPr>
          <w:sz w:val="18"/>
        </w:rPr>
      </w:pPr>
      <w:r>
        <w:rPr>
          <w:sz w:val="18"/>
        </w:rPr>
        <w:t>Data</w:t>
      </w:r>
      <w:r w:rsidRPr="0034241E">
        <w:rPr>
          <w:sz w:val="18"/>
        </w:rPr>
        <w:t xml:space="preserve"> weighted for 2013 Census data (both Waves) and attrition (Wave 2)</w:t>
      </w:r>
    </w:p>
    <w:p w:rsidR="009E225E" w:rsidRDefault="009E225E" w:rsidP="00FD12E4">
      <w:pPr>
        <w:tabs>
          <w:tab w:val="left" w:pos="0"/>
        </w:tabs>
        <w:jc w:val="both"/>
        <w:rPr>
          <w:szCs w:val="22"/>
        </w:rPr>
      </w:pPr>
    </w:p>
    <w:p w:rsidR="003D0802" w:rsidRDefault="003D0802" w:rsidP="00FD12E4">
      <w:pPr>
        <w:tabs>
          <w:tab w:val="left" w:pos="0"/>
        </w:tabs>
        <w:jc w:val="both"/>
        <w:rPr>
          <w:szCs w:val="22"/>
        </w:rPr>
      </w:pPr>
    </w:p>
    <w:p w:rsidR="003D0802" w:rsidRPr="000432E3" w:rsidRDefault="003D0802" w:rsidP="003D0802">
      <w:pPr>
        <w:keepNext/>
        <w:keepLines/>
        <w:tabs>
          <w:tab w:val="left" w:pos="0"/>
        </w:tabs>
        <w:jc w:val="both"/>
        <w:rPr>
          <w:b/>
          <w:szCs w:val="22"/>
        </w:rPr>
      </w:pPr>
      <w:r>
        <w:rPr>
          <w:b/>
          <w:szCs w:val="22"/>
        </w:rPr>
        <w:t>Multi</w:t>
      </w:r>
      <w:r w:rsidR="007F2FB4">
        <w:rPr>
          <w:b/>
          <w:szCs w:val="22"/>
        </w:rPr>
        <w:t>ple logistic regression</w:t>
      </w:r>
    </w:p>
    <w:p w:rsidR="003D0802" w:rsidRDefault="003D0802" w:rsidP="003D0802">
      <w:pPr>
        <w:keepNext/>
        <w:keepLines/>
        <w:tabs>
          <w:tab w:val="left" w:pos="0"/>
        </w:tabs>
        <w:jc w:val="both"/>
        <w:rPr>
          <w:szCs w:val="22"/>
        </w:rPr>
      </w:pPr>
    </w:p>
    <w:p w:rsidR="003D0802" w:rsidRPr="0010307E" w:rsidRDefault="003D0802" w:rsidP="00A430E7">
      <w:pPr>
        <w:tabs>
          <w:tab w:val="left" w:pos="0"/>
        </w:tabs>
        <w:jc w:val="both"/>
        <w:rPr>
          <w:szCs w:val="22"/>
          <w:highlight w:val="yellow"/>
        </w:rPr>
      </w:pPr>
      <w:r w:rsidRPr="00FC308B">
        <w:rPr>
          <w:szCs w:val="22"/>
        </w:rPr>
        <w:t>Multi</w:t>
      </w:r>
      <w:r w:rsidR="007F2FB4">
        <w:rPr>
          <w:szCs w:val="22"/>
        </w:rPr>
        <w:t>ple</w:t>
      </w:r>
      <w:r w:rsidRPr="00FC308B">
        <w:rPr>
          <w:szCs w:val="22"/>
        </w:rPr>
        <w:t xml:space="preserve"> logistic regression analyses</w:t>
      </w:r>
      <w:r w:rsidR="00E05935">
        <w:rPr>
          <w:szCs w:val="22"/>
        </w:rPr>
        <w:t xml:space="preserve"> </w:t>
      </w:r>
      <w:r w:rsidRPr="00FC308B">
        <w:rPr>
          <w:szCs w:val="22"/>
        </w:rPr>
        <w:t xml:space="preserve">showed </w:t>
      </w:r>
      <w:r w:rsidR="00A430E7">
        <w:rPr>
          <w:szCs w:val="22"/>
        </w:rPr>
        <w:t>individual deprivation level was the only factor that remained statistically signif</w:t>
      </w:r>
      <w:r w:rsidR="00496FE5">
        <w:rPr>
          <w:szCs w:val="22"/>
        </w:rPr>
        <w:t>icant</w:t>
      </w:r>
      <w:r w:rsidR="008C292E">
        <w:rPr>
          <w:szCs w:val="22"/>
        </w:rPr>
        <w:t xml:space="preserve"> in predicting re-initiation of gambling in Wave 2</w:t>
      </w:r>
      <w:r w:rsidR="00496FE5">
        <w:rPr>
          <w:szCs w:val="22"/>
        </w:rPr>
        <w:t>.  People who reported one or</w:t>
      </w:r>
      <w:r w:rsidR="00A430E7">
        <w:rPr>
          <w:szCs w:val="22"/>
        </w:rPr>
        <w:t xml:space="preserve"> four deprivation characteristics remained at greater risk of re-initiat</w:t>
      </w:r>
      <w:r w:rsidR="00496FE5">
        <w:rPr>
          <w:szCs w:val="22"/>
        </w:rPr>
        <w:t>ion of gambling in Wave 2 (2.43 and</w:t>
      </w:r>
      <w:r w:rsidR="00A430E7">
        <w:rPr>
          <w:szCs w:val="22"/>
        </w:rPr>
        <w:t xml:space="preserve"> 7.86 times respectively) compared with people who did not report any deprivation characteristics </w:t>
      </w:r>
      <w:r>
        <w:rPr>
          <w:szCs w:val="22"/>
        </w:rPr>
        <w:t>(</w:t>
      </w:r>
      <w:r w:rsidRPr="003D0802">
        <w:rPr>
          <w:szCs w:val="22"/>
        </w:rPr>
        <w:fldChar w:fldCharType="begin"/>
      </w:r>
      <w:r w:rsidRPr="003D0802">
        <w:rPr>
          <w:szCs w:val="22"/>
        </w:rPr>
        <w:instrText xml:space="preserve"> REF _Ref408322763 \h  \* MERGEFORMAT </w:instrText>
      </w:r>
      <w:r w:rsidRPr="003D0802">
        <w:rPr>
          <w:szCs w:val="22"/>
        </w:rPr>
      </w:r>
      <w:r w:rsidRPr="003D0802">
        <w:rPr>
          <w:szCs w:val="22"/>
        </w:rPr>
        <w:fldChar w:fldCharType="separate"/>
      </w:r>
      <w:r w:rsidR="00B2175B" w:rsidRPr="00B2175B">
        <w:rPr>
          <w:bCs/>
          <w:szCs w:val="22"/>
        </w:rPr>
        <w:t xml:space="preserve">Table </w:t>
      </w:r>
      <w:r w:rsidR="00B2175B" w:rsidRPr="00B2175B">
        <w:rPr>
          <w:bCs/>
          <w:noProof/>
          <w:szCs w:val="22"/>
        </w:rPr>
        <w:t>24</w:t>
      </w:r>
      <w:r w:rsidRPr="003D0802">
        <w:rPr>
          <w:szCs w:val="22"/>
        </w:rPr>
        <w:fldChar w:fldCharType="end"/>
      </w:r>
      <w:r>
        <w:rPr>
          <w:szCs w:val="22"/>
        </w:rPr>
        <w:t>).</w:t>
      </w:r>
    </w:p>
    <w:p w:rsidR="003D0802" w:rsidRPr="0010307E" w:rsidRDefault="003D0802" w:rsidP="003D0802">
      <w:pPr>
        <w:tabs>
          <w:tab w:val="left" w:pos="0"/>
        </w:tabs>
        <w:jc w:val="both"/>
        <w:rPr>
          <w:szCs w:val="22"/>
          <w:highlight w:val="yellow"/>
        </w:rPr>
      </w:pPr>
    </w:p>
    <w:p w:rsidR="00CC2ADD" w:rsidRPr="00934E6A" w:rsidRDefault="00CC2ADD" w:rsidP="00E9638E">
      <w:pPr>
        <w:keepNext/>
        <w:keepLines/>
        <w:jc w:val="both"/>
        <w:rPr>
          <w:b/>
          <w:bCs/>
          <w:sz w:val="20"/>
          <w:szCs w:val="20"/>
        </w:rPr>
      </w:pPr>
      <w:bookmarkStart w:id="226" w:name="_Ref408322763"/>
      <w:bookmarkStart w:id="227" w:name="_Toc420393812"/>
      <w:r w:rsidRPr="00934E6A">
        <w:rPr>
          <w:b/>
          <w:bCs/>
          <w:sz w:val="20"/>
          <w:szCs w:val="20"/>
        </w:rPr>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24</w:t>
      </w:r>
      <w:r w:rsidRPr="00934E6A">
        <w:rPr>
          <w:b/>
          <w:bCs/>
          <w:sz w:val="20"/>
          <w:szCs w:val="20"/>
        </w:rPr>
        <w:fldChar w:fldCharType="end"/>
      </w:r>
      <w:bookmarkEnd w:id="226"/>
      <w:r w:rsidRPr="00934E6A">
        <w:rPr>
          <w:b/>
          <w:bCs/>
          <w:sz w:val="20"/>
          <w:szCs w:val="20"/>
        </w:rPr>
        <w:t xml:space="preserve">: </w:t>
      </w:r>
      <w:r w:rsidR="003D0802">
        <w:rPr>
          <w:b/>
          <w:bCs/>
          <w:sz w:val="20"/>
          <w:szCs w:val="20"/>
        </w:rPr>
        <w:t>Multi</w:t>
      </w:r>
      <w:r w:rsidR="007F2FB4">
        <w:rPr>
          <w:b/>
          <w:bCs/>
          <w:sz w:val="20"/>
          <w:szCs w:val="20"/>
        </w:rPr>
        <w:t>ple</w:t>
      </w:r>
      <w:r w:rsidR="003D0802">
        <w:rPr>
          <w:b/>
          <w:bCs/>
          <w:sz w:val="20"/>
          <w:szCs w:val="20"/>
        </w:rPr>
        <w:t xml:space="preserve"> l</w:t>
      </w:r>
      <w:r w:rsidRPr="00934E6A">
        <w:rPr>
          <w:b/>
          <w:bCs/>
          <w:sz w:val="20"/>
          <w:szCs w:val="20"/>
        </w:rPr>
        <w:t xml:space="preserve">ogistic regression for </w:t>
      </w:r>
      <w:r>
        <w:rPr>
          <w:b/>
          <w:bCs/>
          <w:sz w:val="20"/>
          <w:szCs w:val="20"/>
        </w:rPr>
        <w:t xml:space="preserve">re-initiation of gambling </w:t>
      </w:r>
      <w:r w:rsidR="00BF0EA0">
        <w:rPr>
          <w:b/>
          <w:bCs/>
          <w:sz w:val="20"/>
          <w:szCs w:val="20"/>
        </w:rPr>
        <w:t>in Wave 2</w:t>
      </w:r>
      <w:bookmarkEnd w:id="2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113"/>
        <w:gridCol w:w="842"/>
        <w:gridCol w:w="973"/>
        <w:gridCol w:w="282"/>
        <w:gridCol w:w="843"/>
      </w:tblGrid>
      <w:tr w:rsidR="00CC2ADD" w:rsidRPr="00985F5E" w:rsidTr="00E05935">
        <w:trPr>
          <w:tblHeader/>
        </w:trPr>
        <w:tc>
          <w:tcPr>
            <w:tcW w:w="4253" w:type="dxa"/>
            <w:tcBorders>
              <w:top w:val="single" w:sz="4" w:space="0" w:color="auto"/>
              <w:bottom w:val="single" w:sz="4" w:space="0" w:color="auto"/>
            </w:tcBorders>
            <w:vAlign w:val="bottom"/>
          </w:tcPr>
          <w:p w:rsidR="00CC2ADD" w:rsidRPr="00985F5E" w:rsidRDefault="00CC2ADD" w:rsidP="00985F5E">
            <w:pPr>
              <w:keepNext/>
              <w:keepLines/>
              <w:spacing w:before="20" w:after="20"/>
              <w:jc w:val="both"/>
              <w:rPr>
                <w:b/>
                <w:sz w:val="18"/>
                <w:szCs w:val="18"/>
              </w:rPr>
            </w:pPr>
            <w:r w:rsidRPr="00985F5E">
              <w:rPr>
                <w:b/>
                <w:sz w:val="18"/>
                <w:szCs w:val="18"/>
              </w:rPr>
              <w:t>Variable</w:t>
            </w:r>
          </w:p>
        </w:tc>
        <w:tc>
          <w:tcPr>
            <w:tcW w:w="1113" w:type="dxa"/>
            <w:tcBorders>
              <w:top w:val="single" w:sz="4" w:space="0" w:color="auto"/>
              <w:bottom w:val="single" w:sz="4" w:space="0" w:color="auto"/>
            </w:tcBorders>
            <w:vAlign w:val="center"/>
          </w:tcPr>
          <w:p w:rsidR="00CC2ADD" w:rsidRPr="00985F5E" w:rsidRDefault="00CC2ADD" w:rsidP="00985F5E">
            <w:pPr>
              <w:keepNext/>
              <w:keepLines/>
              <w:spacing w:before="20" w:after="20"/>
              <w:jc w:val="right"/>
              <w:rPr>
                <w:rFonts w:ascii="Calibri" w:hAnsi="Calibri"/>
                <w:b/>
                <w:bCs/>
                <w:color w:val="000000"/>
                <w:sz w:val="18"/>
                <w:szCs w:val="18"/>
              </w:rPr>
            </w:pPr>
            <w:r w:rsidRPr="00985F5E">
              <w:rPr>
                <w:rFonts w:ascii="Calibri" w:hAnsi="Calibri"/>
                <w:b/>
                <w:bCs/>
                <w:color w:val="000000"/>
                <w:sz w:val="18"/>
                <w:szCs w:val="18"/>
              </w:rPr>
              <w:t>%</w:t>
            </w:r>
          </w:p>
        </w:tc>
        <w:tc>
          <w:tcPr>
            <w:tcW w:w="842" w:type="dxa"/>
            <w:tcBorders>
              <w:top w:val="single" w:sz="4" w:space="0" w:color="auto"/>
              <w:bottom w:val="single" w:sz="4" w:space="0" w:color="auto"/>
            </w:tcBorders>
            <w:vAlign w:val="center"/>
          </w:tcPr>
          <w:p w:rsidR="00CC2ADD" w:rsidRPr="00985F5E" w:rsidRDefault="00CC2ADD" w:rsidP="00985F5E">
            <w:pPr>
              <w:keepNext/>
              <w:keepLines/>
              <w:spacing w:before="20" w:after="20"/>
              <w:jc w:val="right"/>
              <w:rPr>
                <w:rFonts w:ascii="Calibri" w:hAnsi="Calibri"/>
                <w:b/>
                <w:color w:val="000000"/>
                <w:sz w:val="18"/>
                <w:szCs w:val="18"/>
              </w:rPr>
            </w:pPr>
            <w:r w:rsidRPr="00985F5E">
              <w:rPr>
                <w:rFonts w:ascii="Calibri" w:hAnsi="Calibri"/>
                <w:b/>
                <w:color w:val="000000"/>
                <w:sz w:val="18"/>
                <w:szCs w:val="18"/>
              </w:rPr>
              <w:t>Odds Ratio</w:t>
            </w:r>
          </w:p>
        </w:tc>
        <w:tc>
          <w:tcPr>
            <w:tcW w:w="1255" w:type="dxa"/>
            <w:gridSpan w:val="2"/>
            <w:tcBorders>
              <w:top w:val="single" w:sz="4" w:space="0" w:color="auto"/>
              <w:bottom w:val="single" w:sz="4" w:space="0" w:color="auto"/>
            </w:tcBorders>
            <w:vAlign w:val="center"/>
          </w:tcPr>
          <w:p w:rsidR="00CC2ADD" w:rsidRPr="00985F5E" w:rsidRDefault="00CC2ADD" w:rsidP="00985F5E">
            <w:pPr>
              <w:keepNext/>
              <w:keepLines/>
              <w:spacing w:before="20" w:after="20"/>
              <w:jc w:val="right"/>
              <w:rPr>
                <w:rFonts w:ascii="Calibri" w:hAnsi="Calibri"/>
                <w:b/>
                <w:color w:val="000000"/>
                <w:sz w:val="18"/>
                <w:szCs w:val="18"/>
              </w:rPr>
            </w:pPr>
            <w:r w:rsidRPr="00985F5E">
              <w:rPr>
                <w:rFonts w:ascii="Calibri" w:hAnsi="Calibri"/>
                <w:b/>
                <w:color w:val="000000"/>
                <w:sz w:val="18"/>
                <w:szCs w:val="18"/>
              </w:rPr>
              <w:t>(95% CI)</w:t>
            </w:r>
          </w:p>
        </w:tc>
        <w:tc>
          <w:tcPr>
            <w:tcW w:w="843" w:type="dxa"/>
            <w:tcBorders>
              <w:top w:val="single" w:sz="4" w:space="0" w:color="auto"/>
              <w:bottom w:val="single" w:sz="4" w:space="0" w:color="auto"/>
            </w:tcBorders>
            <w:vAlign w:val="center"/>
          </w:tcPr>
          <w:p w:rsidR="00CC2ADD" w:rsidRPr="00985F5E" w:rsidRDefault="00CC2ADD" w:rsidP="00985F5E">
            <w:pPr>
              <w:keepNext/>
              <w:keepLines/>
              <w:spacing w:before="20" w:after="20"/>
              <w:jc w:val="right"/>
              <w:rPr>
                <w:rFonts w:ascii="Calibri" w:hAnsi="Calibri"/>
                <w:b/>
                <w:color w:val="000000"/>
                <w:sz w:val="18"/>
                <w:szCs w:val="18"/>
              </w:rPr>
            </w:pPr>
            <w:r w:rsidRPr="00985F5E">
              <w:rPr>
                <w:rFonts w:ascii="Calibri" w:hAnsi="Calibri"/>
                <w:b/>
                <w:color w:val="000000"/>
                <w:sz w:val="18"/>
                <w:szCs w:val="18"/>
              </w:rPr>
              <w:t>p-value</w:t>
            </w:r>
          </w:p>
        </w:tc>
      </w:tr>
      <w:tr w:rsidR="00CC2ADD" w:rsidRPr="00985F5E" w:rsidTr="00E05935">
        <w:tc>
          <w:tcPr>
            <w:tcW w:w="4253" w:type="dxa"/>
            <w:vAlign w:val="bottom"/>
          </w:tcPr>
          <w:p w:rsidR="00CC2ADD" w:rsidRPr="00985F5E" w:rsidRDefault="00CC2ADD" w:rsidP="00985F5E">
            <w:pPr>
              <w:keepNext/>
              <w:keepLines/>
              <w:spacing w:before="20" w:after="20"/>
              <w:jc w:val="both"/>
              <w:rPr>
                <w:b/>
                <w:sz w:val="18"/>
                <w:szCs w:val="18"/>
              </w:rPr>
            </w:pPr>
            <w:r w:rsidRPr="00985F5E">
              <w:rPr>
                <w:b/>
                <w:sz w:val="18"/>
                <w:szCs w:val="18"/>
              </w:rPr>
              <w:t xml:space="preserve">New Zealand </w:t>
            </w:r>
            <w:r w:rsidR="00A430E7" w:rsidRPr="00985F5E">
              <w:rPr>
                <w:b/>
                <w:sz w:val="18"/>
                <w:szCs w:val="18"/>
              </w:rPr>
              <w:t xml:space="preserve">Individual </w:t>
            </w:r>
            <w:r w:rsidRPr="00985F5E">
              <w:rPr>
                <w:b/>
                <w:sz w:val="18"/>
                <w:szCs w:val="18"/>
              </w:rPr>
              <w:t>Deprivation Index</w:t>
            </w:r>
          </w:p>
        </w:tc>
        <w:tc>
          <w:tcPr>
            <w:tcW w:w="1113" w:type="dxa"/>
            <w:vAlign w:val="center"/>
          </w:tcPr>
          <w:p w:rsidR="00CC2ADD" w:rsidRPr="00985F5E" w:rsidRDefault="00CC2ADD" w:rsidP="00985F5E">
            <w:pPr>
              <w:keepNext/>
              <w:keepLines/>
              <w:adjustRightInd w:val="0"/>
              <w:spacing w:before="20" w:after="20"/>
              <w:jc w:val="right"/>
              <w:rPr>
                <w:color w:val="000000"/>
                <w:sz w:val="18"/>
                <w:szCs w:val="18"/>
              </w:rPr>
            </w:pPr>
            <w:r w:rsidRPr="00985F5E">
              <w:rPr>
                <w:color w:val="000000"/>
                <w:sz w:val="18"/>
                <w:szCs w:val="18"/>
              </w:rPr>
              <w:t> </w:t>
            </w:r>
          </w:p>
        </w:tc>
        <w:tc>
          <w:tcPr>
            <w:tcW w:w="842" w:type="dxa"/>
            <w:vAlign w:val="center"/>
          </w:tcPr>
          <w:p w:rsidR="00CC2ADD" w:rsidRPr="00985F5E" w:rsidRDefault="00CC2ADD" w:rsidP="00985F5E">
            <w:pPr>
              <w:keepNext/>
              <w:keepLines/>
              <w:adjustRightInd w:val="0"/>
              <w:spacing w:before="20" w:after="20"/>
              <w:jc w:val="right"/>
              <w:rPr>
                <w:color w:val="000000"/>
                <w:sz w:val="18"/>
                <w:szCs w:val="18"/>
              </w:rPr>
            </w:pPr>
          </w:p>
        </w:tc>
        <w:tc>
          <w:tcPr>
            <w:tcW w:w="973" w:type="dxa"/>
            <w:vAlign w:val="center"/>
          </w:tcPr>
          <w:p w:rsidR="00CC2ADD" w:rsidRPr="00985F5E" w:rsidRDefault="00CC2ADD" w:rsidP="00985F5E">
            <w:pPr>
              <w:keepNext/>
              <w:keepLines/>
              <w:adjustRightInd w:val="0"/>
              <w:spacing w:before="20" w:after="20"/>
              <w:jc w:val="right"/>
              <w:rPr>
                <w:color w:val="000000"/>
                <w:sz w:val="18"/>
                <w:szCs w:val="18"/>
              </w:rPr>
            </w:pPr>
          </w:p>
        </w:tc>
        <w:tc>
          <w:tcPr>
            <w:tcW w:w="282" w:type="dxa"/>
            <w:vAlign w:val="center"/>
          </w:tcPr>
          <w:p w:rsidR="00CC2ADD" w:rsidRPr="00985F5E" w:rsidRDefault="00CC2ADD" w:rsidP="00985F5E">
            <w:pPr>
              <w:keepNext/>
              <w:keepLines/>
              <w:adjustRightInd w:val="0"/>
              <w:spacing w:before="20" w:after="20"/>
              <w:jc w:val="right"/>
              <w:rPr>
                <w:color w:val="000000"/>
                <w:sz w:val="18"/>
                <w:szCs w:val="18"/>
              </w:rPr>
            </w:pPr>
          </w:p>
        </w:tc>
        <w:tc>
          <w:tcPr>
            <w:tcW w:w="843" w:type="dxa"/>
            <w:vAlign w:val="center"/>
          </w:tcPr>
          <w:p w:rsidR="00CC2ADD" w:rsidRPr="00985F5E" w:rsidRDefault="00CC2ADD" w:rsidP="00985F5E">
            <w:pPr>
              <w:keepNext/>
              <w:keepLines/>
              <w:adjustRightInd w:val="0"/>
              <w:spacing w:before="20" w:after="20"/>
              <w:jc w:val="right"/>
              <w:rPr>
                <w:color w:val="000000"/>
                <w:sz w:val="18"/>
                <w:szCs w:val="18"/>
              </w:rPr>
            </w:pPr>
          </w:p>
        </w:tc>
      </w:tr>
      <w:tr w:rsidR="003D0802" w:rsidRPr="00985F5E" w:rsidTr="00E05935">
        <w:tc>
          <w:tcPr>
            <w:tcW w:w="4253" w:type="dxa"/>
          </w:tcPr>
          <w:p w:rsidR="003D0802" w:rsidRPr="00985F5E" w:rsidRDefault="003D0802" w:rsidP="00985F5E">
            <w:pPr>
              <w:keepNext/>
              <w:keepLines/>
              <w:spacing w:before="20" w:after="20"/>
              <w:ind w:left="176"/>
              <w:jc w:val="both"/>
              <w:rPr>
                <w:sz w:val="18"/>
                <w:szCs w:val="18"/>
              </w:rPr>
            </w:pPr>
            <w:r w:rsidRPr="00985F5E">
              <w:rPr>
                <w:sz w:val="18"/>
                <w:szCs w:val="18"/>
              </w:rPr>
              <w:t>0</w:t>
            </w:r>
          </w:p>
        </w:tc>
        <w:tc>
          <w:tcPr>
            <w:tcW w:w="1113" w:type="dxa"/>
            <w:vAlign w:val="center"/>
          </w:tcPr>
          <w:p w:rsidR="003D0802" w:rsidRPr="00985F5E" w:rsidRDefault="003D0802" w:rsidP="00985F5E">
            <w:pPr>
              <w:keepNext/>
              <w:keepLines/>
              <w:adjustRightInd w:val="0"/>
              <w:spacing w:before="20" w:after="20"/>
              <w:jc w:val="right"/>
              <w:rPr>
                <w:color w:val="000000"/>
                <w:sz w:val="18"/>
                <w:szCs w:val="18"/>
              </w:rPr>
            </w:pPr>
            <w:r w:rsidRPr="00985F5E">
              <w:rPr>
                <w:color w:val="000000"/>
                <w:sz w:val="18"/>
                <w:szCs w:val="18"/>
              </w:rPr>
              <w:t>35.5</w:t>
            </w:r>
          </w:p>
        </w:tc>
        <w:tc>
          <w:tcPr>
            <w:tcW w:w="842" w:type="dxa"/>
            <w:vAlign w:val="center"/>
          </w:tcPr>
          <w:p w:rsidR="003D0802" w:rsidRPr="00985F5E" w:rsidRDefault="003D0802" w:rsidP="00985F5E">
            <w:pPr>
              <w:keepNext/>
              <w:keepLines/>
              <w:adjustRightInd w:val="0"/>
              <w:spacing w:before="20" w:after="20"/>
              <w:jc w:val="right"/>
              <w:rPr>
                <w:color w:val="000000"/>
                <w:sz w:val="18"/>
                <w:szCs w:val="18"/>
              </w:rPr>
            </w:pPr>
            <w:r w:rsidRPr="00985F5E">
              <w:rPr>
                <w:color w:val="000000"/>
                <w:sz w:val="18"/>
                <w:szCs w:val="18"/>
              </w:rPr>
              <w:t>1.00</w:t>
            </w:r>
          </w:p>
        </w:tc>
        <w:tc>
          <w:tcPr>
            <w:tcW w:w="973" w:type="dxa"/>
            <w:vAlign w:val="center"/>
          </w:tcPr>
          <w:p w:rsidR="003D0802" w:rsidRPr="00985F5E" w:rsidRDefault="003D0802" w:rsidP="00985F5E">
            <w:pPr>
              <w:keepNext/>
              <w:keepLines/>
              <w:adjustRightInd w:val="0"/>
              <w:spacing w:before="20" w:after="20"/>
              <w:jc w:val="right"/>
              <w:rPr>
                <w:color w:val="000000"/>
                <w:sz w:val="18"/>
                <w:szCs w:val="18"/>
              </w:rPr>
            </w:pPr>
          </w:p>
        </w:tc>
        <w:tc>
          <w:tcPr>
            <w:tcW w:w="282" w:type="dxa"/>
            <w:vAlign w:val="center"/>
          </w:tcPr>
          <w:p w:rsidR="003D0802" w:rsidRPr="00985F5E" w:rsidRDefault="003D0802" w:rsidP="00985F5E">
            <w:pPr>
              <w:keepNext/>
              <w:keepLines/>
              <w:adjustRightInd w:val="0"/>
              <w:spacing w:before="20" w:after="20"/>
              <w:jc w:val="right"/>
              <w:rPr>
                <w:color w:val="000000"/>
                <w:sz w:val="18"/>
                <w:szCs w:val="18"/>
              </w:rPr>
            </w:pPr>
          </w:p>
        </w:tc>
        <w:tc>
          <w:tcPr>
            <w:tcW w:w="843" w:type="dxa"/>
            <w:vAlign w:val="center"/>
          </w:tcPr>
          <w:p w:rsidR="003D0802" w:rsidRPr="00985F5E" w:rsidRDefault="003D0802" w:rsidP="00985F5E">
            <w:pPr>
              <w:keepNext/>
              <w:keepLines/>
              <w:adjustRightInd w:val="0"/>
              <w:spacing w:before="20" w:after="20"/>
              <w:jc w:val="right"/>
              <w:rPr>
                <w:color w:val="000000"/>
                <w:sz w:val="18"/>
                <w:szCs w:val="18"/>
              </w:rPr>
            </w:pPr>
          </w:p>
        </w:tc>
      </w:tr>
      <w:tr w:rsidR="003D0802" w:rsidRPr="00985F5E" w:rsidTr="00E05935">
        <w:tc>
          <w:tcPr>
            <w:tcW w:w="4253" w:type="dxa"/>
          </w:tcPr>
          <w:p w:rsidR="003D0802" w:rsidRPr="00985F5E" w:rsidRDefault="003D0802" w:rsidP="00985F5E">
            <w:pPr>
              <w:spacing w:before="20" w:after="20"/>
              <w:ind w:left="176"/>
              <w:jc w:val="both"/>
              <w:rPr>
                <w:sz w:val="18"/>
                <w:szCs w:val="18"/>
              </w:rPr>
            </w:pPr>
            <w:r w:rsidRPr="00985F5E">
              <w:rPr>
                <w:sz w:val="18"/>
                <w:szCs w:val="18"/>
              </w:rPr>
              <w:t>1</w:t>
            </w:r>
          </w:p>
        </w:tc>
        <w:tc>
          <w:tcPr>
            <w:tcW w:w="1113"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57.3</w:t>
            </w:r>
          </w:p>
        </w:tc>
        <w:tc>
          <w:tcPr>
            <w:tcW w:w="842"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2.43</w:t>
            </w:r>
          </w:p>
        </w:tc>
        <w:tc>
          <w:tcPr>
            <w:tcW w:w="1255" w:type="dxa"/>
            <w:gridSpan w:val="2"/>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(1.07 - 5.55)</w:t>
            </w:r>
          </w:p>
        </w:tc>
        <w:tc>
          <w:tcPr>
            <w:tcW w:w="843" w:type="dxa"/>
            <w:vAlign w:val="center"/>
          </w:tcPr>
          <w:p w:rsidR="003D0802" w:rsidRPr="00985F5E" w:rsidRDefault="003D0802" w:rsidP="00985F5E">
            <w:pPr>
              <w:adjustRightInd w:val="0"/>
              <w:spacing w:before="20" w:after="20"/>
              <w:jc w:val="right"/>
              <w:rPr>
                <w:color w:val="000000"/>
                <w:sz w:val="18"/>
                <w:szCs w:val="18"/>
              </w:rPr>
            </w:pPr>
          </w:p>
        </w:tc>
      </w:tr>
      <w:tr w:rsidR="003D0802" w:rsidRPr="00985F5E" w:rsidTr="00E05935">
        <w:tc>
          <w:tcPr>
            <w:tcW w:w="4253" w:type="dxa"/>
          </w:tcPr>
          <w:p w:rsidR="003D0802" w:rsidRPr="00985F5E" w:rsidRDefault="003D0802" w:rsidP="00985F5E">
            <w:pPr>
              <w:spacing w:before="20" w:after="20"/>
              <w:ind w:left="176"/>
              <w:jc w:val="both"/>
              <w:rPr>
                <w:sz w:val="18"/>
                <w:szCs w:val="18"/>
              </w:rPr>
            </w:pPr>
            <w:r w:rsidRPr="00985F5E">
              <w:rPr>
                <w:sz w:val="18"/>
                <w:szCs w:val="18"/>
              </w:rPr>
              <w:t>2</w:t>
            </w:r>
          </w:p>
        </w:tc>
        <w:tc>
          <w:tcPr>
            <w:tcW w:w="1113"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52.0</w:t>
            </w:r>
          </w:p>
        </w:tc>
        <w:tc>
          <w:tcPr>
            <w:tcW w:w="842"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1.97</w:t>
            </w:r>
          </w:p>
        </w:tc>
        <w:tc>
          <w:tcPr>
            <w:tcW w:w="1255" w:type="dxa"/>
            <w:gridSpan w:val="2"/>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(0.63 - 6.19)</w:t>
            </w:r>
          </w:p>
        </w:tc>
        <w:tc>
          <w:tcPr>
            <w:tcW w:w="843" w:type="dxa"/>
            <w:vAlign w:val="center"/>
          </w:tcPr>
          <w:p w:rsidR="003D0802" w:rsidRPr="00985F5E" w:rsidRDefault="003D0802" w:rsidP="00985F5E">
            <w:pPr>
              <w:adjustRightInd w:val="0"/>
              <w:spacing w:before="20" w:after="20"/>
              <w:jc w:val="right"/>
              <w:rPr>
                <w:color w:val="000000"/>
                <w:sz w:val="18"/>
                <w:szCs w:val="18"/>
              </w:rPr>
            </w:pPr>
          </w:p>
        </w:tc>
      </w:tr>
      <w:tr w:rsidR="003D0802" w:rsidRPr="00985F5E" w:rsidTr="00E05935">
        <w:tc>
          <w:tcPr>
            <w:tcW w:w="4253" w:type="dxa"/>
          </w:tcPr>
          <w:p w:rsidR="003D0802" w:rsidRPr="00985F5E" w:rsidRDefault="003D0802" w:rsidP="00985F5E">
            <w:pPr>
              <w:spacing w:before="20" w:after="20"/>
              <w:ind w:left="176"/>
              <w:jc w:val="both"/>
              <w:rPr>
                <w:sz w:val="18"/>
                <w:szCs w:val="18"/>
              </w:rPr>
            </w:pPr>
            <w:r w:rsidRPr="00985F5E">
              <w:rPr>
                <w:sz w:val="18"/>
                <w:szCs w:val="18"/>
              </w:rPr>
              <w:t>3</w:t>
            </w:r>
          </w:p>
        </w:tc>
        <w:tc>
          <w:tcPr>
            <w:tcW w:w="1113"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8.8</w:t>
            </w:r>
          </w:p>
        </w:tc>
        <w:tc>
          <w:tcPr>
            <w:tcW w:w="842"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0.18</w:t>
            </w:r>
          </w:p>
        </w:tc>
        <w:tc>
          <w:tcPr>
            <w:tcW w:w="1255" w:type="dxa"/>
            <w:gridSpan w:val="2"/>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(0.02 - 1.52)</w:t>
            </w:r>
          </w:p>
        </w:tc>
        <w:tc>
          <w:tcPr>
            <w:tcW w:w="843" w:type="dxa"/>
            <w:vAlign w:val="center"/>
          </w:tcPr>
          <w:p w:rsidR="003D0802" w:rsidRPr="00985F5E" w:rsidRDefault="003D0802" w:rsidP="00985F5E">
            <w:pPr>
              <w:adjustRightInd w:val="0"/>
              <w:spacing w:before="20" w:after="20"/>
              <w:jc w:val="right"/>
              <w:rPr>
                <w:color w:val="000000"/>
                <w:sz w:val="18"/>
                <w:szCs w:val="18"/>
              </w:rPr>
            </w:pPr>
          </w:p>
        </w:tc>
      </w:tr>
      <w:tr w:rsidR="003D0802" w:rsidRPr="00985F5E" w:rsidTr="00E05935">
        <w:tc>
          <w:tcPr>
            <w:tcW w:w="4253" w:type="dxa"/>
          </w:tcPr>
          <w:p w:rsidR="003D0802" w:rsidRPr="00985F5E" w:rsidRDefault="003D0802" w:rsidP="00985F5E">
            <w:pPr>
              <w:spacing w:before="20" w:after="20"/>
              <w:ind w:left="176"/>
              <w:jc w:val="both"/>
              <w:rPr>
                <w:sz w:val="18"/>
                <w:szCs w:val="18"/>
              </w:rPr>
            </w:pPr>
            <w:r w:rsidRPr="00985F5E">
              <w:rPr>
                <w:sz w:val="18"/>
                <w:szCs w:val="18"/>
              </w:rPr>
              <w:t>4</w:t>
            </w:r>
          </w:p>
        </w:tc>
        <w:tc>
          <w:tcPr>
            <w:tcW w:w="1113"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81.2</w:t>
            </w:r>
          </w:p>
        </w:tc>
        <w:tc>
          <w:tcPr>
            <w:tcW w:w="842" w:type="dxa"/>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7.86</w:t>
            </w:r>
          </w:p>
        </w:tc>
        <w:tc>
          <w:tcPr>
            <w:tcW w:w="1255" w:type="dxa"/>
            <w:gridSpan w:val="2"/>
            <w:vAlign w:val="center"/>
          </w:tcPr>
          <w:p w:rsidR="003D0802" w:rsidRPr="00985F5E" w:rsidRDefault="003D0802" w:rsidP="00985F5E">
            <w:pPr>
              <w:adjustRightInd w:val="0"/>
              <w:spacing w:before="20" w:after="20"/>
              <w:jc w:val="right"/>
              <w:rPr>
                <w:color w:val="000000"/>
                <w:sz w:val="18"/>
                <w:szCs w:val="18"/>
              </w:rPr>
            </w:pPr>
            <w:r w:rsidRPr="00985F5E">
              <w:rPr>
                <w:color w:val="000000"/>
                <w:sz w:val="18"/>
                <w:szCs w:val="18"/>
              </w:rPr>
              <w:t>(1.36 - 45.38)</w:t>
            </w:r>
          </w:p>
        </w:tc>
        <w:tc>
          <w:tcPr>
            <w:tcW w:w="843" w:type="dxa"/>
            <w:vAlign w:val="center"/>
          </w:tcPr>
          <w:p w:rsidR="003D0802" w:rsidRPr="00985F5E" w:rsidRDefault="003D0802" w:rsidP="00985F5E">
            <w:pPr>
              <w:adjustRightInd w:val="0"/>
              <w:spacing w:before="20" w:after="20"/>
              <w:jc w:val="right"/>
              <w:rPr>
                <w:color w:val="000000"/>
                <w:sz w:val="18"/>
                <w:szCs w:val="18"/>
              </w:rPr>
            </w:pPr>
          </w:p>
        </w:tc>
      </w:tr>
      <w:tr w:rsidR="00A00E24" w:rsidRPr="00985F5E" w:rsidTr="00E05935">
        <w:tc>
          <w:tcPr>
            <w:tcW w:w="4253" w:type="dxa"/>
            <w:tcBorders>
              <w:bottom w:val="single" w:sz="4" w:space="0" w:color="auto"/>
            </w:tcBorders>
          </w:tcPr>
          <w:p w:rsidR="00A00E24" w:rsidRPr="00985F5E" w:rsidRDefault="00A00E24" w:rsidP="00985F5E">
            <w:pPr>
              <w:spacing w:before="20" w:after="20"/>
              <w:ind w:left="176"/>
              <w:jc w:val="both"/>
              <w:rPr>
                <w:sz w:val="18"/>
                <w:szCs w:val="18"/>
              </w:rPr>
            </w:pPr>
            <w:r w:rsidRPr="00985F5E">
              <w:rPr>
                <w:sz w:val="18"/>
                <w:szCs w:val="18"/>
              </w:rPr>
              <w:t>5+</w:t>
            </w:r>
          </w:p>
        </w:tc>
        <w:tc>
          <w:tcPr>
            <w:tcW w:w="1113" w:type="dxa"/>
            <w:tcBorders>
              <w:bottom w:val="single" w:sz="4" w:space="0" w:color="auto"/>
            </w:tcBorders>
            <w:vAlign w:val="center"/>
          </w:tcPr>
          <w:p w:rsidR="00A00E24" w:rsidRPr="00985F5E" w:rsidRDefault="00A00E24" w:rsidP="00985F5E">
            <w:pPr>
              <w:adjustRightInd w:val="0"/>
              <w:spacing w:before="20" w:after="20"/>
              <w:jc w:val="right"/>
              <w:rPr>
                <w:color w:val="000000"/>
                <w:sz w:val="18"/>
                <w:szCs w:val="18"/>
              </w:rPr>
            </w:pPr>
            <w:r w:rsidRPr="00985F5E">
              <w:rPr>
                <w:color w:val="000000"/>
                <w:sz w:val="18"/>
                <w:szCs w:val="18"/>
              </w:rPr>
              <w:t>64.8</w:t>
            </w:r>
          </w:p>
        </w:tc>
        <w:tc>
          <w:tcPr>
            <w:tcW w:w="842" w:type="dxa"/>
            <w:tcBorders>
              <w:bottom w:val="single" w:sz="4" w:space="0" w:color="auto"/>
            </w:tcBorders>
            <w:vAlign w:val="center"/>
          </w:tcPr>
          <w:p w:rsidR="00A00E24" w:rsidRPr="00985F5E" w:rsidRDefault="00A00E24" w:rsidP="00985F5E">
            <w:pPr>
              <w:adjustRightInd w:val="0"/>
              <w:spacing w:before="20" w:after="20"/>
              <w:jc w:val="right"/>
              <w:rPr>
                <w:color w:val="000000"/>
                <w:sz w:val="18"/>
                <w:szCs w:val="18"/>
              </w:rPr>
            </w:pPr>
            <w:r w:rsidRPr="00985F5E">
              <w:rPr>
                <w:color w:val="000000"/>
                <w:sz w:val="18"/>
                <w:szCs w:val="18"/>
              </w:rPr>
              <w:t>3.35</w:t>
            </w:r>
          </w:p>
        </w:tc>
        <w:tc>
          <w:tcPr>
            <w:tcW w:w="1255" w:type="dxa"/>
            <w:gridSpan w:val="2"/>
            <w:tcBorders>
              <w:bottom w:val="single" w:sz="4" w:space="0" w:color="auto"/>
            </w:tcBorders>
            <w:vAlign w:val="center"/>
          </w:tcPr>
          <w:p w:rsidR="00A00E24" w:rsidRPr="00985F5E" w:rsidRDefault="00A00E24" w:rsidP="00985F5E">
            <w:pPr>
              <w:adjustRightInd w:val="0"/>
              <w:spacing w:before="20" w:after="20"/>
              <w:jc w:val="right"/>
              <w:rPr>
                <w:color w:val="000000"/>
                <w:sz w:val="18"/>
                <w:szCs w:val="18"/>
              </w:rPr>
            </w:pPr>
            <w:r w:rsidRPr="00985F5E">
              <w:rPr>
                <w:color w:val="000000"/>
                <w:sz w:val="18"/>
                <w:szCs w:val="18"/>
              </w:rPr>
              <w:t>(0.89 - 12.65)</w:t>
            </w:r>
          </w:p>
        </w:tc>
        <w:tc>
          <w:tcPr>
            <w:tcW w:w="843" w:type="dxa"/>
            <w:tcBorders>
              <w:bottom w:val="single" w:sz="4" w:space="0" w:color="auto"/>
            </w:tcBorders>
            <w:shd w:val="clear" w:color="auto" w:fill="D9D9D9" w:themeFill="background1" w:themeFillShade="D9"/>
            <w:vAlign w:val="center"/>
          </w:tcPr>
          <w:p w:rsidR="00A00E24" w:rsidRPr="00985F5E" w:rsidRDefault="00A00E24" w:rsidP="00985F5E">
            <w:pPr>
              <w:adjustRightInd w:val="0"/>
              <w:spacing w:before="20" w:after="20"/>
              <w:jc w:val="right"/>
              <w:rPr>
                <w:color w:val="000000"/>
                <w:sz w:val="18"/>
                <w:szCs w:val="18"/>
              </w:rPr>
            </w:pPr>
            <w:r w:rsidRPr="00985F5E">
              <w:rPr>
                <w:color w:val="000000"/>
                <w:sz w:val="18"/>
                <w:szCs w:val="18"/>
              </w:rPr>
              <w:t>0.02</w:t>
            </w:r>
          </w:p>
        </w:tc>
      </w:tr>
    </w:tbl>
    <w:p w:rsidR="00CC2ADD" w:rsidRPr="0034241E" w:rsidRDefault="00CC2ADD" w:rsidP="00CC2ADD">
      <w:pPr>
        <w:rPr>
          <w:sz w:val="18"/>
        </w:rPr>
      </w:pPr>
      <w:r>
        <w:rPr>
          <w:sz w:val="18"/>
        </w:rPr>
        <w:t>Data</w:t>
      </w:r>
      <w:r w:rsidRPr="0034241E">
        <w:rPr>
          <w:sz w:val="18"/>
        </w:rPr>
        <w:t xml:space="preserve"> weighted for 2013 Census data (both Waves) and attrition (Wave 2)</w:t>
      </w:r>
    </w:p>
    <w:p w:rsidR="00CC2ADD" w:rsidRDefault="00CC2ADD" w:rsidP="00FD12E4">
      <w:pPr>
        <w:tabs>
          <w:tab w:val="left" w:pos="0"/>
        </w:tabs>
        <w:jc w:val="both"/>
        <w:rPr>
          <w:szCs w:val="22"/>
        </w:rPr>
      </w:pPr>
    </w:p>
    <w:p w:rsidR="00FD72AF" w:rsidRPr="00DE7450" w:rsidRDefault="00FD72AF" w:rsidP="00FD72AF">
      <w:pPr>
        <w:pStyle w:val="Heading3b"/>
        <w:numPr>
          <w:ilvl w:val="2"/>
          <w:numId w:val="40"/>
        </w:numPr>
        <w:tabs>
          <w:tab w:val="clear" w:pos="1146"/>
        </w:tabs>
        <w:ind w:left="709"/>
        <w:rPr>
          <w:rFonts w:ascii="Times New Roman" w:hAnsi="Times New Roman" w:cs="Times New Roman"/>
          <w:b/>
        </w:rPr>
      </w:pPr>
      <w:bookmarkStart w:id="228" w:name="_Toc420392620"/>
      <w:r>
        <w:rPr>
          <w:rFonts w:ascii="Times New Roman" w:hAnsi="Times New Roman" w:cs="Times New Roman"/>
          <w:b/>
        </w:rPr>
        <w:lastRenderedPageBreak/>
        <w:t>Initiation of gambling in Wave 2</w:t>
      </w:r>
      <w:bookmarkEnd w:id="228"/>
    </w:p>
    <w:p w:rsidR="00FD72AF" w:rsidRDefault="00FD72AF" w:rsidP="00FD72AF">
      <w:pPr>
        <w:keepNext/>
        <w:jc w:val="both"/>
        <w:rPr>
          <w:szCs w:val="22"/>
        </w:rPr>
      </w:pPr>
    </w:p>
    <w:p w:rsidR="00FD72AF" w:rsidRPr="008279B4" w:rsidRDefault="00FD72AF" w:rsidP="00FD72AF">
      <w:pPr>
        <w:keepNext/>
        <w:tabs>
          <w:tab w:val="left" w:pos="0"/>
        </w:tabs>
        <w:jc w:val="both"/>
        <w:rPr>
          <w:szCs w:val="22"/>
        </w:rPr>
      </w:pPr>
      <w:r w:rsidRPr="008279B4">
        <w:rPr>
          <w:szCs w:val="22"/>
        </w:rPr>
        <w:t xml:space="preserve">In Wave 2, </w:t>
      </w:r>
      <w:r>
        <w:rPr>
          <w:szCs w:val="22"/>
        </w:rPr>
        <w:t>165</w:t>
      </w:r>
      <w:r w:rsidRPr="008279B4">
        <w:rPr>
          <w:szCs w:val="22"/>
        </w:rPr>
        <w:t xml:space="preserve"> participants (adjusted data) </w:t>
      </w:r>
      <w:r w:rsidR="004649FE">
        <w:rPr>
          <w:szCs w:val="22"/>
        </w:rPr>
        <w:t xml:space="preserve">who in Wave 1 </w:t>
      </w:r>
      <w:r>
        <w:rPr>
          <w:szCs w:val="22"/>
        </w:rPr>
        <w:t>had never gambled</w:t>
      </w:r>
      <w:r w:rsidR="00E5333B">
        <w:rPr>
          <w:szCs w:val="22"/>
        </w:rPr>
        <w:t>,</w:t>
      </w:r>
      <w:r>
        <w:rPr>
          <w:szCs w:val="22"/>
        </w:rPr>
        <w:t xml:space="preserve"> started gambling</w:t>
      </w:r>
      <w:r w:rsidRPr="008279B4">
        <w:rPr>
          <w:szCs w:val="22"/>
        </w:rPr>
        <w:t xml:space="preserve">.  A further </w:t>
      </w:r>
      <w:r>
        <w:rPr>
          <w:szCs w:val="22"/>
        </w:rPr>
        <w:t>35</w:t>
      </w:r>
      <w:r w:rsidR="00FA5635">
        <w:rPr>
          <w:szCs w:val="22"/>
        </w:rPr>
        <w:t>4</w:t>
      </w:r>
      <w:r w:rsidRPr="008279B4">
        <w:rPr>
          <w:szCs w:val="22"/>
        </w:rPr>
        <w:t xml:space="preserve"> participants </w:t>
      </w:r>
      <w:r w:rsidR="00FC7E13">
        <w:rPr>
          <w:szCs w:val="22"/>
        </w:rPr>
        <w:t xml:space="preserve">(adjusted data) </w:t>
      </w:r>
      <w:r w:rsidRPr="008279B4">
        <w:rPr>
          <w:szCs w:val="22"/>
        </w:rPr>
        <w:t xml:space="preserve">stayed as </w:t>
      </w:r>
      <w:r>
        <w:rPr>
          <w:szCs w:val="22"/>
        </w:rPr>
        <w:t>non-gamblers.</w:t>
      </w:r>
    </w:p>
    <w:p w:rsidR="00FD72AF" w:rsidRPr="008279B4" w:rsidRDefault="00FD72AF" w:rsidP="00FD72AF">
      <w:pPr>
        <w:tabs>
          <w:tab w:val="left" w:pos="0"/>
        </w:tabs>
        <w:jc w:val="both"/>
        <w:rPr>
          <w:szCs w:val="22"/>
        </w:rPr>
      </w:pPr>
    </w:p>
    <w:p w:rsidR="00FD72AF" w:rsidRDefault="00FD72AF" w:rsidP="00FD12E4">
      <w:pPr>
        <w:tabs>
          <w:tab w:val="left" w:pos="0"/>
        </w:tabs>
        <w:jc w:val="both"/>
        <w:rPr>
          <w:szCs w:val="22"/>
        </w:rPr>
      </w:pPr>
    </w:p>
    <w:p w:rsidR="00FD72AF" w:rsidRPr="008279B4" w:rsidRDefault="007F2FB4" w:rsidP="00FD72AF">
      <w:pPr>
        <w:tabs>
          <w:tab w:val="left" w:pos="0"/>
        </w:tabs>
        <w:jc w:val="both"/>
        <w:rPr>
          <w:szCs w:val="22"/>
        </w:rPr>
      </w:pPr>
      <w:r>
        <w:rPr>
          <w:b/>
          <w:szCs w:val="22"/>
        </w:rPr>
        <w:t>B</w:t>
      </w:r>
      <w:r w:rsidR="00FD72AF" w:rsidRPr="00345C68">
        <w:rPr>
          <w:b/>
          <w:szCs w:val="22"/>
        </w:rPr>
        <w:t xml:space="preserve">ivariate </w:t>
      </w:r>
      <w:r>
        <w:rPr>
          <w:b/>
          <w:szCs w:val="22"/>
        </w:rPr>
        <w:t>associations</w:t>
      </w:r>
    </w:p>
    <w:p w:rsidR="00FD72AF" w:rsidRDefault="00FD72AF" w:rsidP="00FD72AF">
      <w:pPr>
        <w:tabs>
          <w:tab w:val="left" w:pos="0"/>
        </w:tabs>
        <w:jc w:val="both"/>
        <w:rPr>
          <w:szCs w:val="22"/>
        </w:rPr>
      </w:pPr>
    </w:p>
    <w:p w:rsidR="00FD72AF" w:rsidRDefault="007F2FB4" w:rsidP="00FD72AF">
      <w:pPr>
        <w:tabs>
          <w:tab w:val="left" w:pos="0"/>
        </w:tabs>
        <w:jc w:val="both"/>
        <w:rPr>
          <w:szCs w:val="22"/>
        </w:rPr>
      </w:pPr>
      <w:r>
        <w:rPr>
          <w:szCs w:val="22"/>
        </w:rPr>
        <w:t>Bivariate associations examined by l</w:t>
      </w:r>
      <w:r w:rsidR="00FD72AF" w:rsidRPr="002A3E37">
        <w:rPr>
          <w:szCs w:val="22"/>
        </w:rPr>
        <w:t xml:space="preserve">ogistic regression indicated that </w:t>
      </w:r>
      <w:r w:rsidR="002A3E37" w:rsidRPr="002A3E37">
        <w:rPr>
          <w:szCs w:val="22"/>
        </w:rPr>
        <w:t xml:space="preserve">ethnicity, date of arrival in New Zealand and religion were the </w:t>
      </w:r>
      <w:r w:rsidR="00FD72AF" w:rsidRPr="002A3E37">
        <w:rPr>
          <w:szCs w:val="22"/>
        </w:rPr>
        <w:t xml:space="preserve">socio-demographic variables significantly associated with initiation of gambling </w:t>
      </w:r>
      <w:r w:rsidR="002A3E37" w:rsidRPr="002A3E37">
        <w:rPr>
          <w:szCs w:val="22"/>
        </w:rPr>
        <w:t>in Wave 2</w:t>
      </w:r>
      <w:r w:rsidR="00FD72AF" w:rsidRPr="002A3E37">
        <w:rPr>
          <w:szCs w:val="22"/>
        </w:rPr>
        <w:t xml:space="preserve">.  </w:t>
      </w:r>
      <w:r w:rsidR="002A3E37">
        <w:rPr>
          <w:szCs w:val="22"/>
        </w:rPr>
        <w:t>Māori were at greater risk (2.61 times) of starting gambling than European/</w:t>
      </w:r>
      <w:r w:rsidR="00E5333B">
        <w:rPr>
          <w:szCs w:val="22"/>
        </w:rPr>
        <w:t xml:space="preserve">Other.  </w:t>
      </w:r>
      <w:r w:rsidR="002A3E37">
        <w:rPr>
          <w:szCs w:val="22"/>
        </w:rPr>
        <w:t xml:space="preserve">Shorter-term migrants who had arrived in New Zealand after 2008 (i.e. within the past five years) had a </w:t>
      </w:r>
      <w:r w:rsidR="002A3E37">
        <w:rPr>
          <w:i/>
          <w:szCs w:val="22"/>
        </w:rPr>
        <w:t>lower</w:t>
      </w:r>
      <w:r w:rsidR="002A3E37">
        <w:rPr>
          <w:szCs w:val="22"/>
        </w:rPr>
        <w:t xml:space="preserve"> risk of starting gambling (0.30 times) compared with New Zealand born people.  Similarly, </w:t>
      </w:r>
      <w:r w:rsidR="006D4D60">
        <w:rPr>
          <w:szCs w:val="22"/>
        </w:rPr>
        <w:t xml:space="preserve">people of </w:t>
      </w:r>
      <w:r w:rsidR="001D655C">
        <w:rPr>
          <w:szCs w:val="22"/>
        </w:rPr>
        <w:t xml:space="preserve">Presbyterian and </w:t>
      </w:r>
      <w:r w:rsidR="006D4D60">
        <w:rPr>
          <w:szCs w:val="22"/>
        </w:rPr>
        <w:t xml:space="preserve">Other Christian faith also had </w:t>
      </w:r>
      <w:r w:rsidR="006D4D60">
        <w:rPr>
          <w:i/>
          <w:szCs w:val="22"/>
        </w:rPr>
        <w:t>lower</w:t>
      </w:r>
      <w:r w:rsidR="006D4D60">
        <w:rPr>
          <w:szCs w:val="22"/>
        </w:rPr>
        <w:t xml:space="preserve"> risk (0.32 </w:t>
      </w:r>
      <w:r w:rsidR="001D655C">
        <w:rPr>
          <w:szCs w:val="22"/>
        </w:rPr>
        <w:t xml:space="preserve">and 0.44 </w:t>
      </w:r>
      <w:r w:rsidR="006D4D60">
        <w:rPr>
          <w:szCs w:val="22"/>
        </w:rPr>
        <w:t>times</w:t>
      </w:r>
      <w:r w:rsidR="001D655C">
        <w:rPr>
          <w:szCs w:val="22"/>
        </w:rPr>
        <w:t xml:space="preserve"> respectively</w:t>
      </w:r>
      <w:r w:rsidR="006D4D60">
        <w:rPr>
          <w:szCs w:val="22"/>
        </w:rPr>
        <w:t>) compared with people of no religion.</w:t>
      </w:r>
    </w:p>
    <w:p w:rsidR="005E1A60" w:rsidRDefault="005E1A60" w:rsidP="00FD72AF">
      <w:pPr>
        <w:tabs>
          <w:tab w:val="left" w:pos="0"/>
        </w:tabs>
        <w:jc w:val="both"/>
        <w:rPr>
          <w:szCs w:val="22"/>
        </w:rPr>
      </w:pPr>
    </w:p>
    <w:p w:rsidR="005E1A60" w:rsidRPr="005E1A60" w:rsidRDefault="005E1A60" w:rsidP="00FD72AF">
      <w:pPr>
        <w:tabs>
          <w:tab w:val="left" w:pos="0"/>
        </w:tabs>
        <w:jc w:val="both"/>
        <w:rPr>
          <w:szCs w:val="22"/>
        </w:rPr>
      </w:pPr>
      <w:r>
        <w:rPr>
          <w:szCs w:val="22"/>
        </w:rPr>
        <w:t xml:space="preserve">People </w:t>
      </w:r>
      <w:r w:rsidR="007D3DAD">
        <w:rPr>
          <w:szCs w:val="22"/>
        </w:rPr>
        <w:t>in the low-mid range</w:t>
      </w:r>
      <w:r>
        <w:rPr>
          <w:szCs w:val="22"/>
        </w:rPr>
        <w:t xml:space="preserve"> of psychological distress (score </w:t>
      </w:r>
      <w:r w:rsidR="007D3DAD">
        <w:rPr>
          <w:szCs w:val="22"/>
        </w:rPr>
        <w:t>6-11</w:t>
      </w:r>
      <w:r>
        <w:rPr>
          <w:szCs w:val="22"/>
        </w:rPr>
        <w:t xml:space="preserve">) had a </w:t>
      </w:r>
      <w:r>
        <w:rPr>
          <w:i/>
          <w:szCs w:val="22"/>
        </w:rPr>
        <w:t>lower</w:t>
      </w:r>
      <w:r>
        <w:rPr>
          <w:szCs w:val="22"/>
        </w:rPr>
        <w:t xml:space="preserve"> risk of starting gambling (0.40 times) compared with people who had the lowest level of psychological distress (score 0</w:t>
      </w:r>
      <w:r w:rsidR="00E5333B">
        <w:rPr>
          <w:szCs w:val="22"/>
        </w:rPr>
        <w:t>-</w:t>
      </w:r>
      <w:r>
        <w:rPr>
          <w:szCs w:val="22"/>
        </w:rPr>
        <w:t>5).</w:t>
      </w:r>
    </w:p>
    <w:p w:rsidR="00FD72AF" w:rsidRPr="002A3E37" w:rsidRDefault="00FD72AF" w:rsidP="00FD72AF">
      <w:pPr>
        <w:tabs>
          <w:tab w:val="left" w:pos="0"/>
        </w:tabs>
        <w:jc w:val="both"/>
        <w:rPr>
          <w:sz w:val="24"/>
          <w:szCs w:val="22"/>
        </w:rPr>
      </w:pPr>
    </w:p>
    <w:p w:rsidR="00FD72AF" w:rsidRPr="000E7FE8" w:rsidRDefault="00FD72AF" w:rsidP="00FD72AF">
      <w:pPr>
        <w:tabs>
          <w:tab w:val="left" w:pos="0"/>
        </w:tabs>
        <w:jc w:val="both"/>
        <w:rPr>
          <w:szCs w:val="22"/>
        </w:rPr>
      </w:pPr>
      <w:r w:rsidRPr="000E7FE8">
        <w:rPr>
          <w:szCs w:val="22"/>
        </w:rPr>
        <w:t xml:space="preserve">Concurrent use of other substances (alcohol and tobacco) was significantly associated with </w:t>
      </w:r>
      <w:r w:rsidR="005E1A60" w:rsidRPr="000E7FE8">
        <w:rPr>
          <w:szCs w:val="22"/>
        </w:rPr>
        <w:t>starting gambling in Wave 2</w:t>
      </w:r>
      <w:r w:rsidRPr="000E7FE8">
        <w:rPr>
          <w:szCs w:val="22"/>
        </w:rPr>
        <w:t xml:space="preserve">.  People who consumed alcohol at a hazardous level </w:t>
      </w:r>
      <w:r w:rsidR="00E5333B">
        <w:rPr>
          <w:szCs w:val="22"/>
        </w:rPr>
        <w:t>had</w:t>
      </w:r>
      <w:r w:rsidRPr="000E7FE8">
        <w:rPr>
          <w:szCs w:val="22"/>
        </w:rPr>
        <w:t xml:space="preserve"> </w:t>
      </w:r>
      <w:r w:rsidR="005E1A60" w:rsidRPr="000E7FE8">
        <w:rPr>
          <w:szCs w:val="22"/>
        </w:rPr>
        <w:t>1.74 times</w:t>
      </w:r>
      <w:r w:rsidRPr="000E7FE8">
        <w:rPr>
          <w:szCs w:val="22"/>
        </w:rPr>
        <w:t xml:space="preserve"> </w:t>
      </w:r>
      <w:r w:rsidR="00E5333B">
        <w:rPr>
          <w:szCs w:val="22"/>
        </w:rPr>
        <w:t>the</w:t>
      </w:r>
      <w:r w:rsidRPr="000E7FE8">
        <w:rPr>
          <w:szCs w:val="22"/>
        </w:rPr>
        <w:t xml:space="preserve"> risk of </w:t>
      </w:r>
      <w:r w:rsidR="005E1A60" w:rsidRPr="000E7FE8">
        <w:rPr>
          <w:szCs w:val="22"/>
        </w:rPr>
        <w:t>starting</w:t>
      </w:r>
      <w:r w:rsidRPr="000E7FE8">
        <w:rPr>
          <w:szCs w:val="22"/>
        </w:rPr>
        <w:t xml:space="preserve"> gambling than people who were not hazardous alcohol drinkers.  People who currently smoked tobacco daily </w:t>
      </w:r>
      <w:r w:rsidR="00D1333E" w:rsidRPr="000E7FE8">
        <w:rPr>
          <w:szCs w:val="22"/>
        </w:rPr>
        <w:t>and people who d</w:t>
      </w:r>
      <w:r w:rsidR="00E5333B">
        <w:rPr>
          <w:szCs w:val="22"/>
        </w:rPr>
        <w:t>id</w:t>
      </w:r>
      <w:r w:rsidR="00D1333E" w:rsidRPr="000E7FE8">
        <w:rPr>
          <w:szCs w:val="22"/>
        </w:rPr>
        <w:t xml:space="preserve"> not currently smoke </w:t>
      </w:r>
      <w:r w:rsidR="004649FE">
        <w:rPr>
          <w:szCs w:val="22"/>
        </w:rPr>
        <w:t xml:space="preserve">(i.e. past smokers) </w:t>
      </w:r>
      <w:r w:rsidRPr="000E7FE8">
        <w:rPr>
          <w:szCs w:val="22"/>
        </w:rPr>
        <w:t>were at greater risk than non-smokers</w:t>
      </w:r>
      <w:r w:rsidR="004649FE">
        <w:rPr>
          <w:szCs w:val="22"/>
        </w:rPr>
        <w:t xml:space="preserve"> (3.40 times and</w:t>
      </w:r>
      <w:r w:rsidR="00D1333E" w:rsidRPr="000E7FE8">
        <w:rPr>
          <w:szCs w:val="22"/>
        </w:rPr>
        <w:t xml:space="preserve"> 2.21 times respectively</w:t>
      </w:r>
      <w:r w:rsidR="00D1333E" w:rsidRPr="00166D64">
        <w:rPr>
          <w:szCs w:val="22"/>
        </w:rPr>
        <w:t>)</w:t>
      </w:r>
      <w:r w:rsidRPr="00166D64">
        <w:rPr>
          <w:szCs w:val="22"/>
        </w:rPr>
        <w:t xml:space="preserve">.  </w:t>
      </w:r>
      <w:r w:rsidR="00166D64" w:rsidRPr="00166D64">
        <w:rPr>
          <w:szCs w:val="22"/>
        </w:rPr>
        <w:t xml:space="preserve">Similarly, people who had </w:t>
      </w:r>
      <w:r w:rsidRPr="00166D64">
        <w:rPr>
          <w:szCs w:val="22"/>
        </w:rPr>
        <w:t>ever smoked daily</w:t>
      </w:r>
      <w:r w:rsidR="00166D64" w:rsidRPr="00166D64">
        <w:rPr>
          <w:szCs w:val="22"/>
        </w:rPr>
        <w:t>, ever smoked more than 100</w:t>
      </w:r>
      <w:r w:rsidRPr="00166D64">
        <w:rPr>
          <w:szCs w:val="22"/>
        </w:rPr>
        <w:t xml:space="preserve"> </w:t>
      </w:r>
      <w:r w:rsidR="00166D64" w:rsidRPr="00166D64">
        <w:rPr>
          <w:szCs w:val="22"/>
        </w:rPr>
        <w:t xml:space="preserve">cigarettes in lifetime or who had </w:t>
      </w:r>
      <w:r w:rsidRPr="00166D64">
        <w:rPr>
          <w:szCs w:val="22"/>
        </w:rPr>
        <w:t xml:space="preserve">ever smoked tobacco </w:t>
      </w:r>
      <w:r w:rsidR="00166D64" w:rsidRPr="00166D64">
        <w:rPr>
          <w:szCs w:val="22"/>
        </w:rPr>
        <w:t xml:space="preserve">(i.e. in the past) </w:t>
      </w:r>
      <w:r w:rsidRPr="00166D64">
        <w:rPr>
          <w:szCs w:val="22"/>
        </w:rPr>
        <w:t xml:space="preserve">were also at about twice the level of risk compared to people who had </w:t>
      </w:r>
      <w:r w:rsidR="00166D64" w:rsidRPr="00166D64">
        <w:rPr>
          <w:szCs w:val="22"/>
        </w:rPr>
        <w:t>n</w:t>
      </w:r>
      <w:r w:rsidRPr="00166D64">
        <w:rPr>
          <w:szCs w:val="22"/>
        </w:rPr>
        <w:t>ever smoked.</w:t>
      </w:r>
    </w:p>
    <w:p w:rsidR="00FD72AF" w:rsidRPr="000E7FE8" w:rsidRDefault="00FD72AF" w:rsidP="00FD72AF">
      <w:pPr>
        <w:tabs>
          <w:tab w:val="left" w:pos="0"/>
        </w:tabs>
        <w:jc w:val="both"/>
        <w:rPr>
          <w:sz w:val="18"/>
          <w:szCs w:val="22"/>
        </w:rPr>
      </w:pPr>
    </w:p>
    <w:p w:rsidR="00FD72AF" w:rsidRPr="00934E6A" w:rsidRDefault="00FD72AF" w:rsidP="00FD72AF">
      <w:pPr>
        <w:tabs>
          <w:tab w:val="left" w:pos="0"/>
        </w:tabs>
        <w:jc w:val="both"/>
        <w:rPr>
          <w:szCs w:val="22"/>
        </w:rPr>
      </w:pPr>
      <w:r w:rsidRPr="000E7FE8">
        <w:rPr>
          <w:szCs w:val="22"/>
        </w:rPr>
        <w:t>Statistically significant associations are presented in</w:t>
      </w:r>
      <w:r w:rsidR="000E7FE8">
        <w:rPr>
          <w:szCs w:val="22"/>
        </w:rPr>
        <w:t xml:space="preserve"> </w:t>
      </w:r>
      <w:r w:rsidR="000E7FE8" w:rsidRPr="000E7FE8">
        <w:rPr>
          <w:szCs w:val="22"/>
        </w:rPr>
        <w:fldChar w:fldCharType="begin"/>
      </w:r>
      <w:r w:rsidR="000E7FE8" w:rsidRPr="000E7FE8">
        <w:rPr>
          <w:szCs w:val="22"/>
        </w:rPr>
        <w:instrText xml:space="preserve"> REF _Ref408396214 \h  \* MERGEFORMAT </w:instrText>
      </w:r>
      <w:r w:rsidR="000E7FE8" w:rsidRPr="000E7FE8">
        <w:rPr>
          <w:szCs w:val="22"/>
        </w:rPr>
      </w:r>
      <w:r w:rsidR="000E7FE8" w:rsidRPr="000E7FE8">
        <w:rPr>
          <w:szCs w:val="22"/>
        </w:rPr>
        <w:fldChar w:fldCharType="separate"/>
      </w:r>
      <w:r w:rsidR="00B2175B" w:rsidRPr="00B2175B">
        <w:rPr>
          <w:bCs/>
          <w:szCs w:val="22"/>
        </w:rPr>
        <w:t xml:space="preserve">Table </w:t>
      </w:r>
      <w:r w:rsidR="00B2175B" w:rsidRPr="00B2175B">
        <w:rPr>
          <w:bCs/>
          <w:noProof/>
          <w:szCs w:val="22"/>
        </w:rPr>
        <w:t>25</w:t>
      </w:r>
      <w:r w:rsidR="000E7FE8" w:rsidRPr="000E7FE8">
        <w:rPr>
          <w:szCs w:val="22"/>
        </w:rPr>
        <w:fldChar w:fldCharType="end"/>
      </w:r>
      <w:r w:rsidRPr="000E7FE8">
        <w:rPr>
          <w:szCs w:val="22"/>
        </w:rPr>
        <w:t xml:space="preserve">; all associations (including non-statistically significant) are presented in </w:t>
      </w:r>
      <w:r w:rsidR="000E7FE8" w:rsidRPr="000E7FE8">
        <w:t>Appendix 14</w:t>
      </w:r>
      <w:r w:rsidRPr="000E7FE8">
        <w:t>.</w:t>
      </w:r>
    </w:p>
    <w:p w:rsidR="00FD72AF" w:rsidRDefault="00FD72AF" w:rsidP="00FD12E4">
      <w:pPr>
        <w:tabs>
          <w:tab w:val="left" w:pos="0"/>
        </w:tabs>
        <w:jc w:val="both"/>
        <w:rPr>
          <w:szCs w:val="22"/>
        </w:rPr>
      </w:pPr>
    </w:p>
    <w:p w:rsidR="00166D64" w:rsidRDefault="00166D64" w:rsidP="00FD12E4">
      <w:pPr>
        <w:tabs>
          <w:tab w:val="left" w:pos="0"/>
        </w:tabs>
        <w:jc w:val="both"/>
        <w:rPr>
          <w:szCs w:val="22"/>
        </w:rPr>
      </w:pPr>
    </w:p>
    <w:p w:rsidR="00166D64" w:rsidRPr="002A3E37" w:rsidRDefault="00166D64" w:rsidP="00166D64">
      <w:pPr>
        <w:tabs>
          <w:tab w:val="left" w:pos="0"/>
        </w:tabs>
        <w:jc w:val="both"/>
        <w:rPr>
          <w:sz w:val="24"/>
          <w:szCs w:val="22"/>
        </w:rPr>
      </w:pPr>
    </w:p>
    <w:p w:rsidR="00166D64" w:rsidRDefault="00166D64" w:rsidP="00FD12E4">
      <w:pPr>
        <w:tabs>
          <w:tab w:val="left" w:pos="0"/>
        </w:tabs>
        <w:jc w:val="both"/>
        <w:rPr>
          <w:szCs w:val="22"/>
        </w:rPr>
      </w:pPr>
    </w:p>
    <w:p w:rsidR="000E7FE8" w:rsidRPr="00934E6A" w:rsidRDefault="000E7FE8" w:rsidP="00166D64">
      <w:pPr>
        <w:keepNext/>
        <w:keepLines/>
        <w:jc w:val="both"/>
        <w:rPr>
          <w:b/>
          <w:bCs/>
          <w:sz w:val="20"/>
          <w:szCs w:val="20"/>
        </w:rPr>
      </w:pPr>
      <w:bookmarkStart w:id="229" w:name="_Ref408396214"/>
      <w:bookmarkStart w:id="230" w:name="_Toc420393813"/>
      <w:r w:rsidRPr="00934E6A">
        <w:rPr>
          <w:b/>
          <w:bCs/>
          <w:sz w:val="20"/>
          <w:szCs w:val="20"/>
        </w:rPr>
        <w:lastRenderedPageBreak/>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25</w:t>
      </w:r>
      <w:r w:rsidRPr="00934E6A">
        <w:rPr>
          <w:b/>
          <w:bCs/>
          <w:sz w:val="20"/>
          <w:szCs w:val="20"/>
        </w:rPr>
        <w:fldChar w:fldCharType="end"/>
      </w:r>
      <w:bookmarkEnd w:id="229"/>
      <w:r w:rsidRPr="00934E6A">
        <w:rPr>
          <w:b/>
          <w:bCs/>
          <w:sz w:val="20"/>
          <w:szCs w:val="20"/>
        </w:rPr>
        <w:t xml:space="preserve">: </w:t>
      </w:r>
      <w:r w:rsidR="007F2FB4">
        <w:rPr>
          <w:b/>
          <w:bCs/>
          <w:sz w:val="20"/>
          <w:szCs w:val="20"/>
        </w:rPr>
        <w:t>Bivariate associations</w:t>
      </w:r>
      <w:r w:rsidRPr="00934E6A">
        <w:rPr>
          <w:b/>
          <w:bCs/>
          <w:sz w:val="20"/>
          <w:szCs w:val="20"/>
        </w:rPr>
        <w:t xml:space="preserve"> for </w:t>
      </w:r>
      <w:r>
        <w:rPr>
          <w:b/>
          <w:bCs/>
          <w:sz w:val="20"/>
          <w:szCs w:val="20"/>
        </w:rPr>
        <w:t>initiation of gambling in Wave 2</w:t>
      </w:r>
      <w:bookmarkEnd w:id="2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1236"/>
        <w:gridCol w:w="851"/>
        <w:gridCol w:w="810"/>
        <w:gridCol w:w="381"/>
        <w:gridCol w:w="813"/>
      </w:tblGrid>
      <w:tr w:rsidR="002A3E37" w:rsidRPr="00985F5E" w:rsidTr="00E05935">
        <w:trPr>
          <w:tblHeader/>
        </w:trPr>
        <w:tc>
          <w:tcPr>
            <w:tcW w:w="4215" w:type="dxa"/>
            <w:tcBorders>
              <w:top w:val="single" w:sz="4" w:space="0" w:color="auto"/>
              <w:bottom w:val="single" w:sz="4" w:space="0" w:color="auto"/>
            </w:tcBorders>
            <w:vAlign w:val="bottom"/>
          </w:tcPr>
          <w:p w:rsidR="002A3E37" w:rsidRPr="00985F5E" w:rsidRDefault="002A3E37" w:rsidP="00166D64">
            <w:pPr>
              <w:keepNext/>
              <w:keepLines/>
              <w:spacing w:before="20"/>
              <w:jc w:val="both"/>
              <w:rPr>
                <w:b/>
                <w:sz w:val="18"/>
                <w:szCs w:val="18"/>
              </w:rPr>
            </w:pPr>
            <w:r w:rsidRPr="00985F5E">
              <w:rPr>
                <w:b/>
                <w:sz w:val="18"/>
                <w:szCs w:val="18"/>
              </w:rPr>
              <w:t>Variable</w:t>
            </w:r>
          </w:p>
        </w:tc>
        <w:tc>
          <w:tcPr>
            <w:tcW w:w="1236" w:type="dxa"/>
            <w:tcBorders>
              <w:top w:val="single" w:sz="4" w:space="0" w:color="auto"/>
              <w:bottom w:val="single" w:sz="4" w:space="0" w:color="auto"/>
            </w:tcBorders>
            <w:vAlign w:val="center"/>
          </w:tcPr>
          <w:p w:rsidR="002A3E37" w:rsidRPr="00985F5E" w:rsidRDefault="002A3E37" w:rsidP="00166D64">
            <w:pPr>
              <w:keepNext/>
              <w:keepLines/>
              <w:spacing w:before="20"/>
              <w:jc w:val="right"/>
              <w:rPr>
                <w:rFonts w:ascii="Calibri" w:hAnsi="Calibri"/>
                <w:b/>
                <w:bCs/>
                <w:color w:val="000000"/>
                <w:sz w:val="18"/>
                <w:szCs w:val="18"/>
              </w:rPr>
            </w:pPr>
            <w:r w:rsidRPr="00985F5E">
              <w:rPr>
                <w:rFonts w:ascii="Calibri" w:hAnsi="Calibri"/>
                <w:b/>
                <w:bCs/>
                <w:color w:val="000000"/>
                <w:sz w:val="18"/>
                <w:szCs w:val="18"/>
              </w:rPr>
              <w:t>%</w:t>
            </w:r>
          </w:p>
        </w:tc>
        <w:tc>
          <w:tcPr>
            <w:tcW w:w="851" w:type="dxa"/>
            <w:tcBorders>
              <w:top w:val="single" w:sz="4" w:space="0" w:color="auto"/>
              <w:bottom w:val="single" w:sz="4" w:space="0" w:color="auto"/>
            </w:tcBorders>
            <w:vAlign w:val="center"/>
          </w:tcPr>
          <w:p w:rsidR="002A3E37" w:rsidRPr="00985F5E" w:rsidRDefault="002A3E37" w:rsidP="00166D64">
            <w:pPr>
              <w:keepNext/>
              <w:keepLines/>
              <w:spacing w:before="20"/>
              <w:jc w:val="right"/>
              <w:rPr>
                <w:rFonts w:ascii="Calibri" w:hAnsi="Calibri"/>
                <w:b/>
                <w:color w:val="000000"/>
                <w:sz w:val="18"/>
                <w:szCs w:val="18"/>
              </w:rPr>
            </w:pPr>
            <w:r w:rsidRPr="00985F5E">
              <w:rPr>
                <w:rFonts w:ascii="Calibri" w:hAnsi="Calibri"/>
                <w:b/>
                <w:color w:val="000000"/>
                <w:sz w:val="18"/>
                <w:szCs w:val="18"/>
              </w:rPr>
              <w:t>Odds Ratio</w:t>
            </w:r>
          </w:p>
        </w:tc>
        <w:tc>
          <w:tcPr>
            <w:tcW w:w="1191" w:type="dxa"/>
            <w:gridSpan w:val="2"/>
            <w:tcBorders>
              <w:top w:val="single" w:sz="4" w:space="0" w:color="auto"/>
              <w:bottom w:val="single" w:sz="4" w:space="0" w:color="auto"/>
            </w:tcBorders>
            <w:vAlign w:val="center"/>
          </w:tcPr>
          <w:p w:rsidR="002A3E37" w:rsidRPr="00985F5E" w:rsidRDefault="002A3E37" w:rsidP="00166D64">
            <w:pPr>
              <w:keepNext/>
              <w:keepLines/>
              <w:spacing w:before="20"/>
              <w:jc w:val="right"/>
              <w:rPr>
                <w:rFonts w:ascii="Calibri" w:hAnsi="Calibri"/>
                <w:b/>
                <w:color w:val="000000"/>
                <w:sz w:val="18"/>
                <w:szCs w:val="18"/>
              </w:rPr>
            </w:pPr>
            <w:r w:rsidRPr="00985F5E">
              <w:rPr>
                <w:rFonts w:ascii="Calibri" w:hAnsi="Calibri"/>
                <w:b/>
                <w:color w:val="000000"/>
                <w:sz w:val="18"/>
                <w:szCs w:val="18"/>
              </w:rPr>
              <w:t>(95% CI)</w:t>
            </w:r>
          </w:p>
        </w:tc>
        <w:tc>
          <w:tcPr>
            <w:tcW w:w="813" w:type="dxa"/>
            <w:tcBorders>
              <w:top w:val="single" w:sz="4" w:space="0" w:color="auto"/>
              <w:bottom w:val="single" w:sz="4" w:space="0" w:color="auto"/>
            </w:tcBorders>
            <w:vAlign w:val="center"/>
          </w:tcPr>
          <w:p w:rsidR="002A3E37" w:rsidRPr="00985F5E" w:rsidRDefault="002A3E37" w:rsidP="00166D64">
            <w:pPr>
              <w:keepNext/>
              <w:keepLines/>
              <w:spacing w:before="20"/>
              <w:jc w:val="right"/>
              <w:rPr>
                <w:rFonts w:ascii="Calibri" w:hAnsi="Calibri"/>
                <w:b/>
                <w:color w:val="000000"/>
                <w:sz w:val="18"/>
                <w:szCs w:val="18"/>
              </w:rPr>
            </w:pPr>
            <w:r w:rsidRPr="00985F5E">
              <w:rPr>
                <w:rFonts w:ascii="Calibri" w:hAnsi="Calibri"/>
                <w:b/>
                <w:color w:val="000000"/>
                <w:sz w:val="18"/>
                <w:szCs w:val="18"/>
              </w:rPr>
              <w:t>p-value</w:t>
            </w:r>
          </w:p>
        </w:tc>
      </w:tr>
      <w:tr w:rsidR="002A3E37" w:rsidRPr="00985F5E" w:rsidTr="00E05935">
        <w:tc>
          <w:tcPr>
            <w:tcW w:w="4215" w:type="dxa"/>
            <w:vAlign w:val="bottom"/>
          </w:tcPr>
          <w:p w:rsidR="002A3E37" w:rsidRPr="00985F5E" w:rsidRDefault="002A3E37" w:rsidP="00166D64">
            <w:pPr>
              <w:keepNext/>
              <w:keepLines/>
              <w:spacing w:before="20"/>
              <w:jc w:val="both"/>
              <w:rPr>
                <w:b/>
                <w:sz w:val="18"/>
                <w:szCs w:val="18"/>
              </w:rPr>
            </w:pPr>
            <w:r w:rsidRPr="00985F5E">
              <w:rPr>
                <w:b/>
                <w:sz w:val="18"/>
                <w:szCs w:val="18"/>
              </w:rPr>
              <w:t>Ethnic group (prioritised)</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 </w:t>
            </w:r>
          </w:p>
        </w:tc>
        <w:tc>
          <w:tcPr>
            <w:tcW w:w="851" w:type="dxa"/>
            <w:vAlign w:val="center"/>
          </w:tcPr>
          <w:p w:rsidR="002A3E37" w:rsidRPr="00985F5E" w:rsidRDefault="002A3E37" w:rsidP="00166D64">
            <w:pPr>
              <w:keepNext/>
              <w:keepLines/>
              <w:adjustRightInd w:val="0"/>
              <w:spacing w:before="20"/>
              <w:jc w:val="right"/>
              <w:rPr>
                <w:color w:val="000000"/>
                <w:sz w:val="18"/>
                <w:szCs w:val="18"/>
              </w:rPr>
            </w:pP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Māori</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55.6</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2.61</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(1.20 - 5.68)</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Pacific</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31.4</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0.95</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(0.52 - 1.74)</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Asian</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22.5</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0.60</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(0.35 - 1.04)</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2A3E37" w:rsidRPr="00985F5E" w:rsidTr="00E05935">
        <w:tc>
          <w:tcPr>
            <w:tcW w:w="4215" w:type="dxa"/>
          </w:tcPr>
          <w:p w:rsidR="002A3E37" w:rsidRPr="00985F5E" w:rsidRDefault="002A3E37" w:rsidP="00166D64">
            <w:pPr>
              <w:keepNext/>
              <w:keepLines/>
              <w:spacing w:before="20"/>
              <w:ind w:left="176"/>
              <w:jc w:val="both"/>
              <w:rPr>
                <w:sz w:val="18"/>
                <w:szCs w:val="18"/>
              </w:rPr>
            </w:pPr>
            <w:r w:rsidRPr="00985F5E">
              <w:rPr>
                <w:sz w:val="18"/>
                <w:szCs w:val="18"/>
              </w:rPr>
              <w:t>European/Other</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32.5</w:t>
            </w:r>
          </w:p>
        </w:tc>
        <w:tc>
          <w:tcPr>
            <w:tcW w:w="851"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1.00</w:t>
            </w: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shd w:val="clear" w:color="auto" w:fill="D9D9D9" w:themeFill="background1" w:themeFillShade="D9"/>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0.01</w:t>
            </w:r>
          </w:p>
        </w:tc>
      </w:tr>
      <w:tr w:rsidR="002A3E37" w:rsidRPr="00985F5E" w:rsidTr="00E05935">
        <w:tc>
          <w:tcPr>
            <w:tcW w:w="4215" w:type="dxa"/>
            <w:vAlign w:val="bottom"/>
          </w:tcPr>
          <w:p w:rsidR="002A3E37" w:rsidRPr="00985F5E" w:rsidRDefault="002A3E37" w:rsidP="00166D64">
            <w:pPr>
              <w:keepNext/>
              <w:keepLines/>
              <w:spacing w:before="20"/>
              <w:jc w:val="both"/>
              <w:rPr>
                <w:b/>
                <w:sz w:val="18"/>
                <w:szCs w:val="18"/>
              </w:rPr>
            </w:pPr>
            <w:r w:rsidRPr="00985F5E">
              <w:rPr>
                <w:b/>
                <w:sz w:val="18"/>
                <w:szCs w:val="18"/>
              </w:rPr>
              <w:t>Arrival in NZ</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 </w:t>
            </w:r>
          </w:p>
        </w:tc>
        <w:tc>
          <w:tcPr>
            <w:tcW w:w="851" w:type="dxa"/>
            <w:vAlign w:val="center"/>
          </w:tcPr>
          <w:p w:rsidR="002A3E37" w:rsidRPr="00985F5E" w:rsidRDefault="002A3E37" w:rsidP="00166D64">
            <w:pPr>
              <w:keepNext/>
              <w:keepLines/>
              <w:adjustRightInd w:val="0"/>
              <w:spacing w:before="20"/>
              <w:jc w:val="right"/>
              <w:rPr>
                <w:color w:val="000000"/>
                <w:sz w:val="18"/>
                <w:szCs w:val="18"/>
              </w:rPr>
            </w:pP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2A3E37" w:rsidRPr="00985F5E" w:rsidTr="00E05935">
        <w:tc>
          <w:tcPr>
            <w:tcW w:w="4215" w:type="dxa"/>
          </w:tcPr>
          <w:p w:rsidR="002A3E37" w:rsidRPr="00985F5E" w:rsidRDefault="002A3E37" w:rsidP="00166D64">
            <w:pPr>
              <w:keepNext/>
              <w:keepLines/>
              <w:spacing w:before="20"/>
              <w:ind w:left="176"/>
              <w:jc w:val="both"/>
              <w:rPr>
                <w:sz w:val="18"/>
                <w:szCs w:val="18"/>
              </w:rPr>
            </w:pPr>
            <w:r w:rsidRPr="00985F5E">
              <w:rPr>
                <w:sz w:val="18"/>
                <w:szCs w:val="18"/>
              </w:rPr>
              <w:t>NZ born</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35.6</w:t>
            </w:r>
          </w:p>
        </w:tc>
        <w:tc>
          <w:tcPr>
            <w:tcW w:w="851"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1.00</w:t>
            </w: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before 2008</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32.5</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0.87</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(0.55 - 1.38)</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since 2008</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14.2</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0.30</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(0.13 - 0.71)</w:t>
            </w:r>
          </w:p>
        </w:tc>
        <w:tc>
          <w:tcPr>
            <w:tcW w:w="813" w:type="dxa"/>
            <w:shd w:val="clear" w:color="auto" w:fill="D9D9D9" w:themeFill="background1" w:themeFillShade="D9"/>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0.02</w:t>
            </w:r>
          </w:p>
        </w:tc>
      </w:tr>
      <w:tr w:rsidR="002A3E37" w:rsidRPr="00985F5E" w:rsidTr="00E05935">
        <w:tc>
          <w:tcPr>
            <w:tcW w:w="4215" w:type="dxa"/>
            <w:vAlign w:val="bottom"/>
          </w:tcPr>
          <w:p w:rsidR="002A3E37" w:rsidRPr="00985F5E" w:rsidRDefault="002A3E37" w:rsidP="00166D64">
            <w:pPr>
              <w:keepNext/>
              <w:keepLines/>
              <w:spacing w:before="20"/>
              <w:jc w:val="both"/>
              <w:rPr>
                <w:b/>
                <w:sz w:val="18"/>
                <w:szCs w:val="18"/>
              </w:rPr>
            </w:pPr>
            <w:r w:rsidRPr="00985F5E">
              <w:rPr>
                <w:b/>
                <w:sz w:val="18"/>
                <w:szCs w:val="18"/>
              </w:rPr>
              <w:t>Religion</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 </w:t>
            </w:r>
          </w:p>
        </w:tc>
        <w:tc>
          <w:tcPr>
            <w:tcW w:w="851" w:type="dxa"/>
            <w:vAlign w:val="center"/>
          </w:tcPr>
          <w:p w:rsidR="002A3E37" w:rsidRPr="00985F5E" w:rsidRDefault="002A3E37" w:rsidP="00166D64">
            <w:pPr>
              <w:keepNext/>
              <w:keepLines/>
              <w:adjustRightInd w:val="0"/>
              <w:spacing w:before="20"/>
              <w:jc w:val="right"/>
              <w:rPr>
                <w:color w:val="000000"/>
                <w:sz w:val="18"/>
                <w:szCs w:val="18"/>
              </w:rPr>
            </w:pP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2A3E37" w:rsidRPr="00985F5E" w:rsidTr="00E05935">
        <w:tc>
          <w:tcPr>
            <w:tcW w:w="4215" w:type="dxa"/>
          </w:tcPr>
          <w:p w:rsidR="002A3E37" w:rsidRPr="00985F5E" w:rsidRDefault="002A3E37" w:rsidP="00166D64">
            <w:pPr>
              <w:keepNext/>
              <w:keepLines/>
              <w:spacing w:before="20"/>
              <w:ind w:left="176"/>
              <w:jc w:val="both"/>
              <w:rPr>
                <w:sz w:val="18"/>
                <w:szCs w:val="18"/>
              </w:rPr>
            </w:pPr>
            <w:r w:rsidRPr="00985F5E">
              <w:rPr>
                <w:sz w:val="18"/>
                <w:szCs w:val="18"/>
              </w:rPr>
              <w:t>No religion</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40.7</w:t>
            </w:r>
          </w:p>
        </w:tc>
        <w:tc>
          <w:tcPr>
            <w:tcW w:w="851"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1.00</w:t>
            </w: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Anglican</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42.3</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1.07</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(0.49 - 2.32)</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Catholic</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48.4</w:t>
            </w:r>
          </w:p>
        </w:tc>
        <w:tc>
          <w:tcPr>
            <w:tcW w:w="851"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1.37</w:t>
            </w:r>
          </w:p>
        </w:tc>
        <w:tc>
          <w:tcPr>
            <w:tcW w:w="1191" w:type="dxa"/>
            <w:gridSpan w:val="2"/>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(0.65 - 2.86)</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Presbyterian</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36.1</w:t>
            </w:r>
          </w:p>
        </w:tc>
        <w:tc>
          <w:tcPr>
            <w:tcW w:w="851" w:type="dxa"/>
            <w:vAlign w:val="center"/>
          </w:tcPr>
          <w:p w:rsidR="005F7D22" w:rsidRPr="00985F5E" w:rsidRDefault="00A00E24" w:rsidP="00730092">
            <w:pPr>
              <w:keepNext/>
              <w:keepLines/>
              <w:adjustRightInd w:val="0"/>
              <w:spacing w:before="20"/>
              <w:jc w:val="right"/>
              <w:rPr>
                <w:color w:val="000000"/>
                <w:sz w:val="18"/>
                <w:szCs w:val="18"/>
              </w:rPr>
            </w:pPr>
            <w:r w:rsidRPr="00985F5E">
              <w:rPr>
                <w:color w:val="000000"/>
                <w:sz w:val="18"/>
                <w:szCs w:val="18"/>
              </w:rPr>
              <w:t>0.</w:t>
            </w:r>
            <w:r w:rsidR="00730092">
              <w:rPr>
                <w:color w:val="000000"/>
                <w:sz w:val="18"/>
                <w:szCs w:val="18"/>
              </w:rPr>
              <w:t>3</w:t>
            </w:r>
            <w:r w:rsidRPr="00985F5E">
              <w:rPr>
                <w:color w:val="000000"/>
                <w:sz w:val="18"/>
                <w:szCs w:val="18"/>
              </w:rPr>
              <w:t>2</w:t>
            </w:r>
          </w:p>
        </w:tc>
        <w:tc>
          <w:tcPr>
            <w:tcW w:w="1191" w:type="dxa"/>
            <w:gridSpan w:val="2"/>
            <w:vAlign w:val="center"/>
          </w:tcPr>
          <w:p w:rsidR="005F7D22" w:rsidRPr="00985F5E" w:rsidRDefault="00A00E24" w:rsidP="00730092">
            <w:pPr>
              <w:keepNext/>
              <w:keepLines/>
              <w:adjustRightInd w:val="0"/>
              <w:spacing w:before="20"/>
              <w:jc w:val="right"/>
              <w:rPr>
                <w:color w:val="000000"/>
                <w:sz w:val="18"/>
                <w:szCs w:val="18"/>
              </w:rPr>
            </w:pPr>
            <w:r w:rsidRPr="00985F5E">
              <w:rPr>
                <w:color w:val="000000"/>
                <w:sz w:val="18"/>
                <w:szCs w:val="18"/>
              </w:rPr>
              <w:t>(0.</w:t>
            </w:r>
            <w:r w:rsidR="00730092">
              <w:rPr>
                <w:color w:val="000000"/>
                <w:sz w:val="18"/>
                <w:szCs w:val="18"/>
              </w:rPr>
              <w:t>17</w:t>
            </w:r>
            <w:r w:rsidRPr="00985F5E">
              <w:rPr>
                <w:color w:val="000000"/>
                <w:sz w:val="18"/>
                <w:szCs w:val="18"/>
              </w:rPr>
              <w:t xml:space="preserve"> - </w:t>
            </w:r>
            <w:r w:rsidR="00730092">
              <w:rPr>
                <w:color w:val="000000"/>
                <w:sz w:val="18"/>
                <w:szCs w:val="18"/>
              </w:rPr>
              <w:t>0.59</w:t>
            </w:r>
            <w:r w:rsidRPr="00985F5E">
              <w:rPr>
                <w:color w:val="000000"/>
                <w:sz w:val="18"/>
                <w:szCs w:val="18"/>
              </w:rPr>
              <w:t>)</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Other Christian</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18.0</w:t>
            </w:r>
          </w:p>
        </w:tc>
        <w:tc>
          <w:tcPr>
            <w:tcW w:w="851" w:type="dxa"/>
            <w:vAlign w:val="center"/>
          </w:tcPr>
          <w:p w:rsidR="005F7D22" w:rsidRPr="00985F5E" w:rsidRDefault="00A00E24" w:rsidP="00730092">
            <w:pPr>
              <w:keepNext/>
              <w:keepLines/>
              <w:adjustRightInd w:val="0"/>
              <w:spacing w:before="20"/>
              <w:jc w:val="right"/>
              <w:rPr>
                <w:color w:val="000000"/>
                <w:sz w:val="18"/>
                <w:szCs w:val="18"/>
              </w:rPr>
            </w:pPr>
            <w:r w:rsidRPr="00985F5E">
              <w:rPr>
                <w:color w:val="000000"/>
                <w:sz w:val="18"/>
                <w:szCs w:val="18"/>
              </w:rPr>
              <w:t>0.</w:t>
            </w:r>
            <w:r w:rsidR="00730092">
              <w:rPr>
                <w:color w:val="000000"/>
                <w:sz w:val="18"/>
                <w:szCs w:val="18"/>
              </w:rPr>
              <w:t>44</w:t>
            </w:r>
          </w:p>
        </w:tc>
        <w:tc>
          <w:tcPr>
            <w:tcW w:w="1191" w:type="dxa"/>
            <w:gridSpan w:val="2"/>
            <w:vAlign w:val="center"/>
          </w:tcPr>
          <w:p w:rsidR="005F7D22" w:rsidRPr="00985F5E" w:rsidRDefault="00A00E24" w:rsidP="00730092">
            <w:pPr>
              <w:keepNext/>
              <w:keepLines/>
              <w:adjustRightInd w:val="0"/>
              <w:spacing w:before="20"/>
              <w:jc w:val="right"/>
              <w:rPr>
                <w:color w:val="000000"/>
                <w:sz w:val="18"/>
                <w:szCs w:val="18"/>
              </w:rPr>
            </w:pPr>
            <w:r w:rsidRPr="00985F5E">
              <w:rPr>
                <w:color w:val="000000"/>
                <w:sz w:val="18"/>
                <w:szCs w:val="18"/>
              </w:rPr>
              <w:t>(0.</w:t>
            </w:r>
            <w:r w:rsidR="00730092">
              <w:rPr>
                <w:color w:val="000000"/>
                <w:sz w:val="18"/>
                <w:szCs w:val="18"/>
              </w:rPr>
              <w:t>22</w:t>
            </w:r>
            <w:r w:rsidRPr="00985F5E">
              <w:rPr>
                <w:color w:val="000000"/>
                <w:sz w:val="18"/>
                <w:szCs w:val="18"/>
              </w:rPr>
              <w:t xml:space="preserve"> - 0.</w:t>
            </w:r>
            <w:r w:rsidR="00730092">
              <w:rPr>
                <w:color w:val="000000"/>
                <w:sz w:val="18"/>
                <w:szCs w:val="18"/>
              </w:rPr>
              <w:t>88</w:t>
            </w:r>
            <w:r w:rsidRPr="00985F5E">
              <w:rPr>
                <w:color w:val="000000"/>
                <w:sz w:val="18"/>
                <w:szCs w:val="18"/>
              </w:rPr>
              <w:t>)</w:t>
            </w:r>
          </w:p>
        </w:tc>
        <w:tc>
          <w:tcPr>
            <w:tcW w:w="813" w:type="dxa"/>
            <w:vAlign w:val="center"/>
          </w:tcPr>
          <w:p w:rsidR="005F7D22" w:rsidRPr="00985F5E" w:rsidRDefault="005F7D22" w:rsidP="00166D64">
            <w:pPr>
              <w:keepNext/>
              <w:keepLines/>
              <w:adjustRightInd w:val="0"/>
              <w:spacing w:before="20"/>
              <w:jc w:val="right"/>
              <w:rPr>
                <w:color w:val="000000"/>
                <w:sz w:val="18"/>
                <w:szCs w:val="18"/>
              </w:rPr>
            </w:pPr>
          </w:p>
        </w:tc>
      </w:tr>
      <w:tr w:rsidR="005F7D22" w:rsidRPr="00985F5E" w:rsidTr="00E05935">
        <w:tc>
          <w:tcPr>
            <w:tcW w:w="4215" w:type="dxa"/>
          </w:tcPr>
          <w:p w:rsidR="005F7D22" w:rsidRPr="00985F5E" w:rsidRDefault="005F7D22" w:rsidP="00166D64">
            <w:pPr>
              <w:keepNext/>
              <w:keepLines/>
              <w:spacing w:before="20"/>
              <w:ind w:left="176"/>
              <w:jc w:val="both"/>
              <w:rPr>
                <w:sz w:val="18"/>
                <w:szCs w:val="18"/>
              </w:rPr>
            </w:pPr>
            <w:r w:rsidRPr="00985F5E">
              <w:rPr>
                <w:sz w:val="18"/>
                <w:szCs w:val="18"/>
              </w:rPr>
              <w:t xml:space="preserve">Other </w:t>
            </w:r>
            <w:r w:rsidR="00092224" w:rsidRPr="00985F5E">
              <w:rPr>
                <w:sz w:val="18"/>
                <w:szCs w:val="18"/>
              </w:rPr>
              <w:t>Religion</w:t>
            </w:r>
          </w:p>
        </w:tc>
        <w:tc>
          <w:tcPr>
            <w:tcW w:w="1236" w:type="dxa"/>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23.1</w:t>
            </w:r>
          </w:p>
        </w:tc>
        <w:tc>
          <w:tcPr>
            <w:tcW w:w="851" w:type="dxa"/>
            <w:vAlign w:val="center"/>
          </w:tcPr>
          <w:p w:rsidR="005F7D22" w:rsidRPr="00985F5E" w:rsidRDefault="00A00E24" w:rsidP="00730092">
            <w:pPr>
              <w:keepNext/>
              <w:keepLines/>
              <w:adjustRightInd w:val="0"/>
              <w:spacing w:before="20"/>
              <w:jc w:val="right"/>
              <w:rPr>
                <w:color w:val="000000"/>
                <w:sz w:val="18"/>
                <w:szCs w:val="18"/>
              </w:rPr>
            </w:pPr>
            <w:r w:rsidRPr="00985F5E">
              <w:rPr>
                <w:color w:val="000000"/>
                <w:sz w:val="18"/>
                <w:szCs w:val="18"/>
              </w:rPr>
              <w:t>0.</w:t>
            </w:r>
            <w:r w:rsidR="00730092">
              <w:rPr>
                <w:color w:val="000000"/>
                <w:sz w:val="18"/>
                <w:szCs w:val="18"/>
              </w:rPr>
              <w:t>82</w:t>
            </w:r>
          </w:p>
        </w:tc>
        <w:tc>
          <w:tcPr>
            <w:tcW w:w="1191" w:type="dxa"/>
            <w:gridSpan w:val="2"/>
            <w:vAlign w:val="center"/>
          </w:tcPr>
          <w:p w:rsidR="005F7D22" w:rsidRPr="00985F5E" w:rsidRDefault="00A00E24" w:rsidP="00166D64">
            <w:pPr>
              <w:keepNext/>
              <w:keepLines/>
              <w:adjustRightInd w:val="0"/>
              <w:spacing w:before="20"/>
              <w:jc w:val="right"/>
              <w:rPr>
                <w:color w:val="000000"/>
                <w:sz w:val="18"/>
                <w:szCs w:val="18"/>
              </w:rPr>
            </w:pPr>
            <w:r w:rsidRPr="00985F5E">
              <w:rPr>
                <w:color w:val="000000"/>
                <w:sz w:val="18"/>
                <w:szCs w:val="18"/>
              </w:rPr>
              <w:t>(0.35 - 1.94)</w:t>
            </w:r>
          </w:p>
        </w:tc>
        <w:tc>
          <w:tcPr>
            <w:tcW w:w="813" w:type="dxa"/>
            <w:shd w:val="clear" w:color="auto" w:fill="D9D9D9" w:themeFill="background1" w:themeFillShade="D9"/>
            <w:vAlign w:val="center"/>
          </w:tcPr>
          <w:p w:rsidR="005F7D22" w:rsidRPr="00985F5E" w:rsidRDefault="005F7D22" w:rsidP="00166D64">
            <w:pPr>
              <w:keepNext/>
              <w:keepLines/>
              <w:adjustRightInd w:val="0"/>
              <w:spacing w:before="20"/>
              <w:jc w:val="right"/>
              <w:rPr>
                <w:color w:val="000000"/>
                <w:sz w:val="18"/>
                <w:szCs w:val="18"/>
              </w:rPr>
            </w:pPr>
            <w:r w:rsidRPr="00985F5E">
              <w:rPr>
                <w:color w:val="000000"/>
                <w:sz w:val="18"/>
                <w:szCs w:val="18"/>
              </w:rPr>
              <w:t>0.0002</w:t>
            </w:r>
          </w:p>
        </w:tc>
      </w:tr>
      <w:tr w:rsidR="002A3E37" w:rsidRPr="00985F5E" w:rsidTr="00E05935">
        <w:tc>
          <w:tcPr>
            <w:tcW w:w="4215" w:type="dxa"/>
            <w:vAlign w:val="bottom"/>
          </w:tcPr>
          <w:p w:rsidR="002A3E37" w:rsidRPr="00985F5E" w:rsidRDefault="002A3E37" w:rsidP="00166D64">
            <w:pPr>
              <w:keepNext/>
              <w:keepLines/>
              <w:spacing w:before="20"/>
              <w:jc w:val="both"/>
              <w:rPr>
                <w:b/>
                <w:sz w:val="18"/>
                <w:szCs w:val="18"/>
              </w:rPr>
            </w:pPr>
            <w:r w:rsidRPr="00985F5E">
              <w:rPr>
                <w:b/>
                <w:sz w:val="18"/>
                <w:szCs w:val="18"/>
              </w:rPr>
              <w:t>Psychological distress (Kessler-10)</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 </w:t>
            </w:r>
          </w:p>
        </w:tc>
        <w:tc>
          <w:tcPr>
            <w:tcW w:w="851" w:type="dxa"/>
            <w:vAlign w:val="center"/>
          </w:tcPr>
          <w:p w:rsidR="002A3E37" w:rsidRPr="00985F5E" w:rsidRDefault="002A3E37" w:rsidP="00166D64">
            <w:pPr>
              <w:keepNext/>
              <w:keepLines/>
              <w:adjustRightInd w:val="0"/>
              <w:spacing w:before="20"/>
              <w:jc w:val="right"/>
              <w:rPr>
                <w:color w:val="000000"/>
                <w:sz w:val="18"/>
                <w:szCs w:val="18"/>
              </w:rPr>
            </w:pP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2A3E37" w:rsidRPr="00985F5E" w:rsidTr="00E05935">
        <w:tc>
          <w:tcPr>
            <w:tcW w:w="4215" w:type="dxa"/>
          </w:tcPr>
          <w:p w:rsidR="002A3E37" w:rsidRPr="00985F5E" w:rsidRDefault="002A3E37" w:rsidP="00166D64">
            <w:pPr>
              <w:keepNext/>
              <w:keepLines/>
              <w:spacing w:before="20"/>
              <w:ind w:left="176"/>
              <w:jc w:val="both"/>
              <w:rPr>
                <w:sz w:val="18"/>
                <w:szCs w:val="18"/>
              </w:rPr>
            </w:pPr>
            <w:r w:rsidRPr="00985F5E">
              <w:rPr>
                <w:sz w:val="18"/>
                <w:szCs w:val="18"/>
              </w:rPr>
              <w:t>Score 0 - 5</w:t>
            </w:r>
          </w:p>
        </w:tc>
        <w:tc>
          <w:tcPr>
            <w:tcW w:w="1236"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33.9</w:t>
            </w:r>
          </w:p>
        </w:tc>
        <w:tc>
          <w:tcPr>
            <w:tcW w:w="851" w:type="dxa"/>
            <w:vAlign w:val="center"/>
          </w:tcPr>
          <w:p w:rsidR="002A3E37" w:rsidRPr="00985F5E" w:rsidRDefault="002A3E37" w:rsidP="00166D64">
            <w:pPr>
              <w:keepNext/>
              <w:keepLines/>
              <w:adjustRightInd w:val="0"/>
              <w:spacing w:before="20"/>
              <w:jc w:val="right"/>
              <w:rPr>
                <w:color w:val="000000"/>
                <w:sz w:val="18"/>
                <w:szCs w:val="18"/>
              </w:rPr>
            </w:pPr>
            <w:r w:rsidRPr="00985F5E">
              <w:rPr>
                <w:color w:val="000000"/>
                <w:sz w:val="18"/>
                <w:szCs w:val="18"/>
              </w:rPr>
              <w:t>1.00</w:t>
            </w:r>
          </w:p>
        </w:tc>
        <w:tc>
          <w:tcPr>
            <w:tcW w:w="810" w:type="dxa"/>
            <w:vAlign w:val="center"/>
          </w:tcPr>
          <w:p w:rsidR="002A3E37" w:rsidRPr="00985F5E" w:rsidRDefault="002A3E37" w:rsidP="00166D64">
            <w:pPr>
              <w:keepNext/>
              <w:keepLines/>
              <w:adjustRightInd w:val="0"/>
              <w:spacing w:before="20"/>
              <w:jc w:val="right"/>
              <w:rPr>
                <w:color w:val="000000"/>
                <w:sz w:val="18"/>
                <w:szCs w:val="18"/>
              </w:rPr>
            </w:pPr>
          </w:p>
        </w:tc>
        <w:tc>
          <w:tcPr>
            <w:tcW w:w="381" w:type="dxa"/>
            <w:vAlign w:val="center"/>
          </w:tcPr>
          <w:p w:rsidR="002A3E37" w:rsidRPr="00985F5E" w:rsidRDefault="002A3E37" w:rsidP="00166D64">
            <w:pPr>
              <w:keepNext/>
              <w:keepLines/>
              <w:adjustRightInd w:val="0"/>
              <w:spacing w:before="20"/>
              <w:jc w:val="right"/>
              <w:rPr>
                <w:color w:val="000000"/>
                <w:sz w:val="18"/>
                <w:szCs w:val="18"/>
              </w:rPr>
            </w:pPr>
          </w:p>
        </w:tc>
        <w:tc>
          <w:tcPr>
            <w:tcW w:w="813" w:type="dxa"/>
            <w:vAlign w:val="center"/>
          </w:tcPr>
          <w:p w:rsidR="002A3E37" w:rsidRPr="00985F5E" w:rsidRDefault="002A3E37" w:rsidP="00166D64">
            <w:pPr>
              <w:keepNext/>
              <w:keepLines/>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keepNext/>
              <w:keepLines/>
              <w:spacing w:before="20"/>
              <w:ind w:left="176"/>
              <w:jc w:val="both"/>
              <w:rPr>
                <w:sz w:val="18"/>
                <w:szCs w:val="18"/>
              </w:rPr>
            </w:pPr>
            <w:r w:rsidRPr="00985F5E">
              <w:rPr>
                <w:sz w:val="18"/>
                <w:szCs w:val="18"/>
              </w:rPr>
              <w:t>Score 6 - 11</w:t>
            </w:r>
          </w:p>
        </w:tc>
        <w:tc>
          <w:tcPr>
            <w:tcW w:w="1236" w:type="dxa"/>
            <w:vAlign w:val="center"/>
          </w:tcPr>
          <w:p w:rsidR="007D3DAD" w:rsidRPr="00985F5E" w:rsidRDefault="007D3DAD" w:rsidP="007D3DAD">
            <w:pPr>
              <w:keepNext/>
              <w:keepLines/>
              <w:adjustRightInd w:val="0"/>
              <w:spacing w:before="20"/>
              <w:jc w:val="right"/>
              <w:rPr>
                <w:color w:val="000000"/>
                <w:sz w:val="18"/>
                <w:szCs w:val="18"/>
              </w:rPr>
            </w:pPr>
            <w:r w:rsidRPr="00985F5E">
              <w:rPr>
                <w:color w:val="000000"/>
                <w:sz w:val="18"/>
                <w:szCs w:val="18"/>
              </w:rPr>
              <w:t>17.0</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0.40</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(0.20 - 0.81)</w:t>
            </w:r>
          </w:p>
        </w:tc>
        <w:tc>
          <w:tcPr>
            <w:tcW w:w="813" w:type="dxa"/>
            <w:vAlign w:val="center"/>
          </w:tcPr>
          <w:p w:rsidR="007D3DAD" w:rsidRPr="00985F5E" w:rsidRDefault="007D3DAD" w:rsidP="007D3DAD">
            <w:pPr>
              <w:keepNext/>
              <w:keepLines/>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Score 12 - 19</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52.1</w:t>
            </w:r>
          </w:p>
        </w:tc>
        <w:tc>
          <w:tcPr>
            <w:tcW w:w="851" w:type="dxa"/>
            <w:vAlign w:val="center"/>
          </w:tcPr>
          <w:p w:rsidR="007D3DAD" w:rsidRPr="00985F5E" w:rsidRDefault="007D3DAD" w:rsidP="007D3DAD">
            <w:pPr>
              <w:keepNext/>
              <w:keepLines/>
              <w:adjustRightInd w:val="0"/>
              <w:spacing w:before="20"/>
              <w:jc w:val="right"/>
              <w:rPr>
                <w:color w:val="000000"/>
                <w:sz w:val="18"/>
                <w:szCs w:val="18"/>
              </w:rPr>
            </w:pPr>
            <w:r w:rsidRPr="00985F5E">
              <w:rPr>
                <w:color w:val="000000"/>
                <w:sz w:val="18"/>
                <w:szCs w:val="18"/>
              </w:rPr>
              <w:t>2.12</w:t>
            </w:r>
          </w:p>
        </w:tc>
        <w:tc>
          <w:tcPr>
            <w:tcW w:w="1191" w:type="dxa"/>
            <w:gridSpan w:val="2"/>
            <w:vAlign w:val="center"/>
          </w:tcPr>
          <w:p w:rsidR="007D3DAD" w:rsidRPr="00985F5E" w:rsidRDefault="007D3DAD" w:rsidP="007D3DAD">
            <w:pPr>
              <w:keepNext/>
              <w:keepLines/>
              <w:adjustRightInd w:val="0"/>
              <w:spacing w:before="20"/>
              <w:jc w:val="right"/>
              <w:rPr>
                <w:color w:val="000000"/>
                <w:sz w:val="18"/>
                <w:szCs w:val="18"/>
              </w:rPr>
            </w:pPr>
            <w:r w:rsidRPr="00985F5E">
              <w:rPr>
                <w:color w:val="000000"/>
                <w:sz w:val="18"/>
                <w:szCs w:val="18"/>
              </w:rPr>
              <w:t>(0.90 - 5.03)</w:t>
            </w:r>
          </w:p>
        </w:tc>
        <w:tc>
          <w:tcPr>
            <w:tcW w:w="813" w:type="dxa"/>
            <w:vAlign w:val="center"/>
          </w:tcPr>
          <w:p w:rsidR="007D3DAD" w:rsidRPr="00985F5E" w:rsidRDefault="007D3DAD" w:rsidP="007D3DAD">
            <w:pPr>
              <w:keepNext/>
              <w:keepLines/>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Score 20 - 40</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37.8</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1.19</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(0.31 - 4.53)</w:t>
            </w:r>
          </w:p>
        </w:tc>
        <w:tc>
          <w:tcPr>
            <w:tcW w:w="813" w:type="dxa"/>
            <w:shd w:val="clear" w:color="auto" w:fill="D9D9D9" w:themeFill="background1" w:themeFillShade="D9"/>
            <w:vAlign w:val="center"/>
          </w:tcPr>
          <w:p w:rsidR="007D3DAD" w:rsidRPr="00985F5E" w:rsidRDefault="007D3DAD" w:rsidP="007D3DAD">
            <w:pPr>
              <w:keepNext/>
              <w:keepLines/>
              <w:adjustRightInd w:val="0"/>
              <w:spacing w:before="20"/>
              <w:jc w:val="right"/>
              <w:rPr>
                <w:color w:val="000000"/>
                <w:sz w:val="18"/>
                <w:szCs w:val="18"/>
              </w:rPr>
            </w:pPr>
            <w:r w:rsidRPr="00985F5E">
              <w:rPr>
                <w:color w:val="000000"/>
                <w:sz w:val="18"/>
                <w:szCs w:val="18"/>
              </w:rPr>
              <w:t>0.01</w:t>
            </w:r>
          </w:p>
        </w:tc>
      </w:tr>
      <w:tr w:rsidR="007D3DAD" w:rsidRPr="00985F5E" w:rsidTr="00E05935">
        <w:tc>
          <w:tcPr>
            <w:tcW w:w="4215" w:type="dxa"/>
            <w:vAlign w:val="bottom"/>
          </w:tcPr>
          <w:p w:rsidR="007D3DAD" w:rsidRPr="00985F5E" w:rsidRDefault="007D3DAD" w:rsidP="007D3DAD">
            <w:pPr>
              <w:spacing w:before="20"/>
              <w:jc w:val="both"/>
              <w:rPr>
                <w:b/>
                <w:sz w:val="18"/>
                <w:szCs w:val="18"/>
              </w:rPr>
            </w:pPr>
            <w:r w:rsidRPr="00985F5E">
              <w:rPr>
                <w:b/>
                <w:sz w:val="18"/>
                <w:szCs w:val="18"/>
              </w:rPr>
              <w:t xml:space="preserve">Hazardous alcohol consumption (AUDIT-C) </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 </w:t>
            </w:r>
          </w:p>
        </w:tc>
        <w:tc>
          <w:tcPr>
            <w:tcW w:w="851" w:type="dxa"/>
            <w:vAlign w:val="center"/>
          </w:tcPr>
          <w:p w:rsidR="007D3DAD" w:rsidRPr="00985F5E" w:rsidRDefault="007D3DAD" w:rsidP="007D3DAD">
            <w:pPr>
              <w:adjustRightInd w:val="0"/>
              <w:spacing w:before="20"/>
              <w:jc w:val="right"/>
              <w:rPr>
                <w:color w:val="000000"/>
                <w:sz w:val="18"/>
                <w:szCs w:val="18"/>
              </w:rPr>
            </w:pP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No</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29.5</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1.00</w:t>
            </w: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Yes</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42.2</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1.74</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(1.01 - 3.01)</w:t>
            </w:r>
          </w:p>
        </w:tc>
        <w:tc>
          <w:tcPr>
            <w:tcW w:w="813" w:type="dxa"/>
            <w:shd w:val="clear" w:color="auto" w:fill="D9D9D9" w:themeFill="background1" w:themeFillShade="D9"/>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0.05</w:t>
            </w:r>
          </w:p>
        </w:tc>
      </w:tr>
      <w:tr w:rsidR="007D3DAD" w:rsidRPr="00985F5E" w:rsidTr="00E05935">
        <w:tc>
          <w:tcPr>
            <w:tcW w:w="4215" w:type="dxa"/>
            <w:vAlign w:val="bottom"/>
          </w:tcPr>
          <w:p w:rsidR="007D3DAD" w:rsidRPr="00985F5E" w:rsidRDefault="007D3DAD" w:rsidP="007D3DAD">
            <w:pPr>
              <w:spacing w:before="20"/>
              <w:jc w:val="both"/>
              <w:rPr>
                <w:b/>
                <w:sz w:val="18"/>
                <w:szCs w:val="18"/>
              </w:rPr>
            </w:pPr>
            <w:r w:rsidRPr="00985F5E">
              <w:rPr>
                <w:b/>
                <w:bCs/>
                <w:color w:val="000000"/>
                <w:sz w:val="18"/>
                <w:szCs w:val="18"/>
              </w:rPr>
              <w:t>Ever smoked tobacco</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 </w:t>
            </w:r>
          </w:p>
        </w:tc>
        <w:tc>
          <w:tcPr>
            <w:tcW w:w="851" w:type="dxa"/>
            <w:vAlign w:val="center"/>
          </w:tcPr>
          <w:p w:rsidR="007D3DAD" w:rsidRPr="00985F5E" w:rsidRDefault="007D3DAD" w:rsidP="007D3DAD">
            <w:pPr>
              <w:adjustRightInd w:val="0"/>
              <w:spacing w:before="20"/>
              <w:jc w:val="right"/>
              <w:rPr>
                <w:color w:val="000000"/>
                <w:sz w:val="18"/>
                <w:szCs w:val="18"/>
              </w:rPr>
            </w:pP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Yes</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39.8</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1.99</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(1.28 - 3.09)</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No</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24.9</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1.00</w:t>
            </w:r>
          </w:p>
        </w:tc>
        <w:tc>
          <w:tcPr>
            <w:tcW w:w="1191" w:type="dxa"/>
            <w:gridSpan w:val="2"/>
            <w:vAlign w:val="center"/>
          </w:tcPr>
          <w:p w:rsidR="007D3DAD" w:rsidRPr="00985F5E" w:rsidRDefault="007D3DAD" w:rsidP="007D3DAD">
            <w:pPr>
              <w:adjustRightInd w:val="0"/>
              <w:spacing w:before="20"/>
              <w:jc w:val="right"/>
              <w:rPr>
                <w:color w:val="000000"/>
                <w:sz w:val="18"/>
                <w:szCs w:val="18"/>
              </w:rPr>
            </w:pPr>
          </w:p>
        </w:tc>
        <w:tc>
          <w:tcPr>
            <w:tcW w:w="813" w:type="dxa"/>
            <w:shd w:val="clear" w:color="auto" w:fill="D9D9D9" w:themeFill="background1" w:themeFillShade="D9"/>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0.002</w:t>
            </w:r>
          </w:p>
        </w:tc>
      </w:tr>
      <w:tr w:rsidR="007D3DAD" w:rsidRPr="00985F5E" w:rsidTr="00E05935">
        <w:tc>
          <w:tcPr>
            <w:tcW w:w="4215" w:type="dxa"/>
            <w:vAlign w:val="bottom"/>
          </w:tcPr>
          <w:p w:rsidR="007D3DAD" w:rsidRPr="00985F5E" w:rsidRDefault="007D3DAD" w:rsidP="007D3DAD">
            <w:pPr>
              <w:spacing w:before="20"/>
              <w:jc w:val="both"/>
              <w:rPr>
                <w:b/>
                <w:sz w:val="18"/>
                <w:szCs w:val="18"/>
              </w:rPr>
            </w:pPr>
            <w:r w:rsidRPr="00985F5E">
              <w:rPr>
                <w:b/>
                <w:bCs/>
                <w:color w:val="000000"/>
                <w:sz w:val="18"/>
                <w:szCs w:val="18"/>
              </w:rPr>
              <w:t>Ever smoked more than 100 cigarettes in lifetime</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 </w:t>
            </w:r>
          </w:p>
        </w:tc>
        <w:tc>
          <w:tcPr>
            <w:tcW w:w="851" w:type="dxa"/>
            <w:vAlign w:val="center"/>
          </w:tcPr>
          <w:p w:rsidR="007D3DAD" w:rsidRPr="00985F5E" w:rsidRDefault="007D3DAD" w:rsidP="007D3DAD">
            <w:pPr>
              <w:adjustRightInd w:val="0"/>
              <w:spacing w:before="20"/>
              <w:jc w:val="right"/>
              <w:rPr>
                <w:color w:val="000000"/>
                <w:sz w:val="18"/>
                <w:szCs w:val="18"/>
              </w:rPr>
            </w:pP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Yes</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45.6</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2.45</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(1.55 - 3.88)</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No</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25.5</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1.00</w:t>
            </w:r>
          </w:p>
        </w:tc>
        <w:tc>
          <w:tcPr>
            <w:tcW w:w="1191" w:type="dxa"/>
            <w:gridSpan w:val="2"/>
            <w:vAlign w:val="center"/>
          </w:tcPr>
          <w:p w:rsidR="007D3DAD" w:rsidRPr="00985F5E" w:rsidRDefault="007D3DAD" w:rsidP="007D3DAD">
            <w:pPr>
              <w:adjustRightInd w:val="0"/>
              <w:spacing w:before="20"/>
              <w:jc w:val="right"/>
              <w:rPr>
                <w:color w:val="000000"/>
                <w:sz w:val="18"/>
                <w:szCs w:val="18"/>
              </w:rPr>
            </w:pPr>
          </w:p>
        </w:tc>
        <w:tc>
          <w:tcPr>
            <w:tcW w:w="813" w:type="dxa"/>
            <w:shd w:val="clear" w:color="auto" w:fill="D9D9D9" w:themeFill="background1" w:themeFillShade="D9"/>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0.0001</w:t>
            </w:r>
          </w:p>
        </w:tc>
      </w:tr>
      <w:tr w:rsidR="007D3DAD" w:rsidRPr="00985F5E" w:rsidTr="00E05935">
        <w:tc>
          <w:tcPr>
            <w:tcW w:w="4215" w:type="dxa"/>
            <w:vAlign w:val="bottom"/>
          </w:tcPr>
          <w:p w:rsidR="007D3DAD" w:rsidRPr="00985F5E" w:rsidRDefault="007D3DAD" w:rsidP="007D3DAD">
            <w:pPr>
              <w:spacing w:before="20"/>
              <w:jc w:val="both"/>
              <w:rPr>
                <w:b/>
                <w:sz w:val="18"/>
                <w:szCs w:val="18"/>
              </w:rPr>
            </w:pPr>
            <w:r w:rsidRPr="00985F5E">
              <w:rPr>
                <w:b/>
                <w:bCs/>
                <w:color w:val="000000"/>
                <w:sz w:val="18"/>
                <w:szCs w:val="18"/>
              </w:rPr>
              <w:t>Ever smoked daily for a period of time</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 </w:t>
            </w:r>
          </w:p>
        </w:tc>
        <w:tc>
          <w:tcPr>
            <w:tcW w:w="851" w:type="dxa"/>
            <w:vAlign w:val="center"/>
          </w:tcPr>
          <w:p w:rsidR="007D3DAD" w:rsidRPr="00985F5E" w:rsidRDefault="007D3DAD" w:rsidP="007D3DAD">
            <w:pPr>
              <w:adjustRightInd w:val="0"/>
              <w:spacing w:before="20"/>
              <w:jc w:val="right"/>
              <w:rPr>
                <w:color w:val="000000"/>
                <w:sz w:val="18"/>
                <w:szCs w:val="18"/>
              </w:rPr>
            </w:pP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Yes</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46.4</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2.49</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(1.56 - 3.97)</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No</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25.8</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1.00</w:t>
            </w:r>
          </w:p>
        </w:tc>
        <w:tc>
          <w:tcPr>
            <w:tcW w:w="1191" w:type="dxa"/>
            <w:gridSpan w:val="2"/>
            <w:vAlign w:val="center"/>
          </w:tcPr>
          <w:p w:rsidR="007D3DAD" w:rsidRPr="00985F5E" w:rsidRDefault="007D3DAD" w:rsidP="007D3DAD">
            <w:pPr>
              <w:adjustRightInd w:val="0"/>
              <w:spacing w:before="20"/>
              <w:jc w:val="right"/>
              <w:rPr>
                <w:color w:val="000000"/>
                <w:sz w:val="18"/>
                <w:szCs w:val="18"/>
              </w:rPr>
            </w:pPr>
          </w:p>
        </w:tc>
        <w:tc>
          <w:tcPr>
            <w:tcW w:w="813" w:type="dxa"/>
            <w:shd w:val="clear" w:color="auto" w:fill="D9D9D9" w:themeFill="background1" w:themeFillShade="D9"/>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0.0001</w:t>
            </w:r>
          </w:p>
        </w:tc>
      </w:tr>
      <w:tr w:rsidR="007D3DAD" w:rsidRPr="00985F5E" w:rsidTr="00E05935">
        <w:tc>
          <w:tcPr>
            <w:tcW w:w="4215" w:type="dxa"/>
            <w:vAlign w:val="bottom"/>
          </w:tcPr>
          <w:p w:rsidR="007D3DAD" w:rsidRPr="00985F5E" w:rsidRDefault="007D3DAD" w:rsidP="007D3DAD">
            <w:pPr>
              <w:spacing w:before="20"/>
              <w:jc w:val="both"/>
              <w:rPr>
                <w:b/>
                <w:sz w:val="18"/>
                <w:szCs w:val="18"/>
              </w:rPr>
            </w:pPr>
            <w:r w:rsidRPr="00985F5E">
              <w:rPr>
                <w:b/>
                <w:bCs/>
                <w:color w:val="000000"/>
                <w:sz w:val="18"/>
                <w:szCs w:val="18"/>
              </w:rPr>
              <w:t>Current tobacco use</w:t>
            </w:r>
          </w:p>
        </w:tc>
        <w:tc>
          <w:tcPr>
            <w:tcW w:w="1236" w:type="dxa"/>
            <w:vAlign w:val="center"/>
          </w:tcPr>
          <w:p w:rsidR="007D3DAD" w:rsidRPr="00985F5E" w:rsidRDefault="007D3DAD" w:rsidP="007D3DAD">
            <w:pPr>
              <w:adjustRightInd w:val="0"/>
              <w:spacing w:before="20"/>
              <w:jc w:val="right"/>
              <w:rPr>
                <w:color w:val="000000"/>
                <w:sz w:val="18"/>
                <w:szCs w:val="18"/>
              </w:rPr>
            </w:pPr>
          </w:p>
        </w:tc>
        <w:tc>
          <w:tcPr>
            <w:tcW w:w="851" w:type="dxa"/>
            <w:vAlign w:val="center"/>
          </w:tcPr>
          <w:p w:rsidR="007D3DAD" w:rsidRPr="00985F5E" w:rsidRDefault="007D3DAD" w:rsidP="007D3DAD">
            <w:pPr>
              <w:adjustRightInd w:val="0"/>
              <w:spacing w:before="20"/>
              <w:jc w:val="right"/>
              <w:rPr>
                <w:color w:val="000000"/>
                <w:sz w:val="18"/>
                <w:szCs w:val="18"/>
              </w:rPr>
            </w:pPr>
          </w:p>
        </w:tc>
        <w:tc>
          <w:tcPr>
            <w:tcW w:w="810" w:type="dxa"/>
            <w:vAlign w:val="center"/>
          </w:tcPr>
          <w:p w:rsidR="007D3DAD" w:rsidRPr="00985F5E" w:rsidRDefault="007D3DAD" w:rsidP="007D3DAD">
            <w:pPr>
              <w:adjustRightInd w:val="0"/>
              <w:spacing w:before="20"/>
              <w:jc w:val="right"/>
              <w:rPr>
                <w:color w:val="000000"/>
                <w:sz w:val="18"/>
                <w:szCs w:val="18"/>
              </w:rPr>
            </w:pPr>
          </w:p>
        </w:tc>
        <w:tc>
          <w:tcPr>
            <w:tcW w:w="381" w:type="dxa"/>
            <w:vAlign w:val="center"/>
          </w:tcPr>
          <w:p w:rsidR="007D3DAD" w:rsidRPr="00985F5E" w:rsidRDefault="007D3DAD" w:rsidP="007D3DAD">
            <w:pPr>
              <w:adjustRightInd w:val="0"/>
              <w:spacing w:before="20"/>
              <w:jc w:val="right"/>
              <w:rPr>
                <w:color w:val="000000"/>
                <w:sz w:val="18"/>
                <w:szCs w:val="18"/>
              </w:rPr>
            </w:pP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Does not smoke now</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43.1</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2.21</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(1.26 - 3.87)</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Smokes at least once a day</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53.8</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3.40</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(1.77 - 6.52)</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Pr>
          <w:p w:rsidR="007D3DAD" w:rsidRPr="00985F5E" w:rsidRDefault="007D3DAD" w:rsidP="007D3DAD">
            <w:pPr>
              <w:spacing w:before="20"/>
              <w:ind w:left="176"/>
              <w:jc w:val="both"/>
              <w:rPr>
                <w:sz w:val="18"/>
                <w:szCs w:val="18"/>
              </w:rPr>
            </w:pPr>
            <w:r w:rsidRPr="00985F5E">
              <w:rPr>
                <w:sz w:val="18"/>
                <w:szCs w:val="18"/>
              </w:rPr>
              <w:t>Smokes at least once a week</w:t>
            </w:r>
          </w:p>
        </w:tc>
        <w:tc>
          <w:tcPr>
            <w:tcW w:w="1236"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3.7</w:t>
            </w:r>
          </w:p>
        </w:tc>
        <w:tc>
          <w:tcPr>
            <w:tcW w:w="851" w:type="dxa"/>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0.11</w:t>
            </w:r>
          </w:p>
        </w:tc>
        <w:tc>
          <w:tcPr>
            <w:tcW w:w="1191" w:type="dxa"/>
            <w:gridSpan w:val="2"/>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(0.01 - 1.06)</w:t>
            </w:r>
          </w:p>
        </w:tc>
        <w:tc>
          <w:tcPr>
            <w:tcW w:w="813" w:type="dxa"/>
            <w:vAlign w:val="center"/>
          </w:tcPr>
          <w:p w:rsidR="007D3DAD" w:rsidRPr="00985F5E" w:rsidRDefault="007D3DAD" w:rsidP="007D3DAD">
            <w:pPr>
              <w:adjustRightInd w:val="0"/>
              <w:spacing w:before="20"/>
              <w:jc w:val="right"/>
              <w:rPr>
                <w:color w:val="000000"/>
                <w:sz w:val="18"/>
                <w:szCs w:val="18"/>
              </w:rPr>
            </w:pPr>
          </w:p>
        </w:tc>
      </w:tr>
      <w:tr w:rsidR="007D3DAD" w:rsidRPr="00985F5E" w:rsidTr="00E05935">
        <w:tc>
          <w:tcPr>
            <w:tcW w:w="4215" w:type="dxa"/>
            <w:tcBorders>
              <w:bottom w:val="single" w:sz="4" w:space="0" w:color="auto"/>
            </w:tcBorders>
          </w:tcPr>
          <w:p w:rsidR="007D3DAD" w:rsidRPr="00985F5E" w:rsidRDefault="007D3DAD" w:rsidP="007D3DAD">
            <w:pPr>
              <w:spacing w:before="20"/>
              <w:ind w:left="176"/>
              <w:jc w:val="both"/>
              <w:rPr>
                <w:sz w:val="18"/>
                <w:szCs w:val="18"/>
              </w:rPr>
            </w:pPr>
            <w:r w:rsidRPr="00985F5E">
              <w:rPr>
                <w:sz w:val="18"/>
                <w:szCs w:val="18"/>
              </w:rPr>
              <w:t>Never smoked</w:t>
            </w:r>
          </w:p>
        </w:tc>
        <w:tc>
          <w:tcPr>
            <w:tcW w:w="1236" w:type="dxa"/>
            <w:tcBorders>
              <w:bottom w:val="single" w:sz="4" w:space="0" w:color="auto"/>
            </w:tcBorders>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25.5</w:t>
            </w:r>
          </w:p>
        </w:tc>
        <w:tc>
          <w:tcPr>
            <w:tcW w:w="851" w:type="dxa"/>
            <w:tcBorders>
              <w:bottom w:val="single" w:sz="4" w:space="0" w:color="auto"/>
            </w:tcBorders>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1.00</w:t>
            </w:r>
          </w:p>
        </w:tc>
        <w:tc>
          <w:tcPr>
            <w:tcW w:w="810" w:type="dxa"/>
            <w:tcBorders>
              <w:bottom w:val="single" w:sz="4" w:space="0" w:color="auto"/>
            </w:tcBorders>
            <w:vAlign w:val="center"/>
          </w:tcPr>
          <w:p w:rsidR="007D3DAD" w:rsidRPr="00985F5E" w:rsidRDefault="007D3DAD" w:rsidP="007D3DAD">
            <w:pPr>
              <w:adjustRightInd w:val="0"/>
              <w:spacing w:before="20"/>
              <w:jc w:val="right"/>
              <w:rPr>
                <w:color w:val="000000"/>
                <w:sz w:val="18"/>
                <w:szCs w:val="18"/>
              </w:rPr>
            </w:pPr>
          </w:p>
        </w:tc>
        <w:tc>
          <w:tcPr>
            <w:tcW w:w="381" w:type="dxa"/>
            <w:tcBorders>
              <w:bottom w:val="single" w:sz="4" w:space="0" w:color="auto"/>
            </w:tcBorders>
            <w:vAlign w:val="center"/>
          </w:tcPr>
          <w:p w:rsidR="007D3DAD" w:rsidRPr="00985F5E" w:rsidRDefault="007D3DAD" w:rsidP="007D3DAD">
            <w:pPr>
              <w:adjustRightInd w:val="0"/>
              <w:spacing w:before="20"/>
              <w:jc w:val="right"/>
              <w:rPr>
                <w:color w:val="000000"/>
                <w:sz w:val="18"/>
                <w:szCs w:val="18"/>
              </w:rPr>
            </w:pPr>
          </w:p>
        </w:tc>
        <w:tc>
          <w:tcPr>
            <w:tcW w:w="813" w:type="dxa"/>
            <w:tcBorders>
              <w:bottom w:val="single" w:sz="4" w:space="0" w:color="auto"/>
            </w:tcBorders>
            <w:shd w:val="clear" w:color="auto" w:fill="D9D9D9" w:themeFill="background1" w:themeFillShade="D9"/>
            <w:vAlign w:val="center"/>
          </w:tcPr>
          <w:p w:rsidR="007D3DAD" w:rsidRPr="00985F5E" w:rsidRDefault="007D3DAD" w:rsidP="007D3DAD">
            <w:pPr>
              <w:adjustRightInd w:val="0"/>
              <w:spacing w:before="20"/>
              <w:jc w:val="right"/>
              <w:rPr>
                <w:color w:val="000000"/>
                <w:sz w:val="18"/>
                <w:szCs w:val="18"/>
              </w:rPr>
            </w:pPr>
            <w:r w:rsidRPr="00985F5E">
              <w:rPr>
                <w:color w:val="000000"/>
                <w:sz w:val="18"/>
                <w:szCs w:val="18"/>
              </w:rPr>
              <w:t>&lt;0.0001</w:t>
            </w:r>
          </w:p>
        </w:tc>
      </w:tr>
    </w:tbl>
    <w:p w:rsidR="002A3E37" w:rsidRPr="00985F5E" w:rsidRDefault="002A3E37" w:rsidP="002A3E37">
      <w:pPr>
        <w:rPr>
          <w:sz w:val="18"/>
          <w:szCs w:val="18"/>
        </w:rPr>
      </w:pPr>
      <w:r w:rsidRPr="00985F5E">
        <w:rPr>
          <w:sz w:val="18"/>
          <w:szCs w:val="18"/>
        </w:rPr>
        <w:t>Data weighted for 2013 Census data (both Waves) and attrition (Wave 2)</w:t>
      </w:r>
    </w:p>
    <w:p w:rsidR="00E6425A" w:rsidRDefault="00E6425A" w:rsidP="00FD12E4">
      <w:pPr>
        <w:tabs>
          <w:tab w:val="left" w:pos="0"/>
        </w:tabs>
        <w:jc w:val="both"/>
        <w:rPr>
          <w:szCs w:val="22"/>
        </w:rPr>
      </w:pPr>
    </w:p>
    <w:p w:rsidR="00BA4410" w:rsidRDefault="00BA4410" w:rsidP="00FD12E4">
      <w:pPr>
        <w:tabs>
          <w:tab w:val="left" w:pos="0"/>
        </w:tabs>
        <w:jc w:val="both"/>
        <w:rPr>
          <w:szCs w:val="22"/>
        </w:rPr>
      </w:pPr>
    </w:p>
    <w:p w:rsidR="00BA4410" w:rsidRPr="000432E3" w:rsidRDefault="00BA4410" w:rsidP="00BA4410">
      <w:pPr>
        <w:keepNext/>
        <w:keepLines/>
        <w:tabs>
          <w:tab w:val="left" w:pos="0"/>
        </w:tabs>
        <w:jc w:val="both"/>
        <w:rPr>
          <w:b/>
          <w:szCs w:val="22"/>
        </w:rPr>
      </w:pPr>
      <w:r>
        <w:rPr>
          <w:b/>
          <w:szCs w:val="22"/>
        </w:rPr>
        <w:t>Multi</w:t>
      </w:r>
      <w:r w:rsidR="007F2FB4">
        <w:rPr>
          <w:b/>
          <w:szCs w:val="22"/>
        </w:rPr>
        <w:t>ple logistic regression</w:t>
      </w:r>
    </w:p>
    <w:p w:rsidR="00BA4410" w:rsidRDefault="00BA4410" w:rsidP="00BA4410">
      <w:pPr>
        <w:keepNext/>
        <w:keepLines/>
        <w:tabs>
          <w:tab w:val="left" w:pos="0"/>
        </w:tabs>
        <w:jc w:val="both"/>
        <w:rPr>
          <w:szCs w:val="22"/>
        </w:rPr>
      </w:pPr>
    </w:p>
    <w:p w:rsidR="00BA4410" w:rsidRDefault="00BA4410" w:rsidP="00BA4410">
      <w:pPr>
        <w:tabs>
          <w:tab w:val="left" w:pos="0"/>
        </w:tabs>
        <w:jc w:val="both"/>
        <w:rPr>
          <w:szCs w:val="22"/>
        </w:rPr>
      </w:pPr>
      <w:r w:rsidRPr="003D518A">
        <w:rPr>
          <w:szCs w:val="22"/>
        </w:rPr>
        <w:t>Multi</w:t>
      </w:r>
      <w:r w:rsidR="007F2FB4">
        <w:rPr>
          <w:szCs w:val="22"/>
        </w:rPr>
        <w:t>ple</w:t>
      </w:r>
      <w:r w:rsidRPr="003D518A">
        <w:rPr>
          <w:szCs w:val="22"/>
        </w:rPr>
        <w:t xml:space="preserve"> logistic regression analyses</w:t>
      </w:r>
      <w:r w:rsidR="00E05935">
        <w:rPr>
          <w:szCs w:val="22"/>
        </w:rPr>
        <w:t xml:space="preserve"> </w:t>
      </w:r>
      <w:r w:rsidRPr="003D518A">
        <w:rPr>
          <w:szCs w:val="22"/>
        </w:rPr>
        <w:t>showed that date of arrival in New Zealand, religion, psychological distress and current tobacco smoking remained significantly associated with initiation of gambling in Wave 2.</w:t>
      </w:r>
      <w:r>
        <w:rPr>
          <w:szCs w:val="22"/>
        </w:rPr>
        <w:t xml:space="preserve">  Shorter-term migrants who had arrived in New Zealand after 2008 (i.e. within the past five years) remained at </w:t>
      </w:r>
      <w:r>
        <w:rPr>
          <w:i/>
          <w:szCs w:val="22"/>
        </w:rPr>
        <w:t>lower</w:t>
      </w:r>
      <w:r>
        <w:rPr>
          <w:szCs w:val="22"/>
        </w:rPr>
        <w:t xml:space="preserve"> risk of starting gambling (0.30 times) compared with New Zealand born people.  However, </w:t>
      </w:r>
      <w:r w:rsidR="001D655C">
        <w:rPr>
          <w:szCs w:val="22"/>
        </w:rPr>
        <w:t xml:space="preserve">in regard to religion, </w:t>
      </w:r>
      <w:r>
        <w:rPr>
          <w:szCs w:val="22"/>
        </w:rPr>
        <w:t xml:space="preserve">only </w:t>
      </w:r>
      <w:r w:rsidR="001D655C">
        <w:rPr>
          <w:szCs w:val="22"/>
        </w:rPr>
        <w:t xml:space="preserve">people of </w:t>
      </w:r>
      <w:r>
        <w:rPr>
          <w:szCs w:val="22"/>
        </w:rPr>
        <w:t xml:space="preserve">Other </w:t>
      </w:r>
      <w:r w:rsidR="001D655C">
        <w:rPr>
          <w:szCs w:val="22"/>
        </w:rPr>
        <w:t>Christian faith</w:t>
      </w:r>
      <w:r>
        <w:rPr>
          <w:szCs w:val="22"/>
        </w:rPr>
        <w:t xml:space="preserve"> </w:t>
      </w:r>
      <w:r w:rsidR="001D655C">
        <w:rPr>
          <w:szCs w:val="22"/>
        </w:rPr>
        <w:t>continued to be</w:t>
      </w:r>
      <w:r>
        <w:rPr>
          <w:szCs w:val="22"/>
        </w:rPr>
        <w:t xml:space="preserve"> at </w:t>
      </w:r>
      <w:r>
        <w:rPr>
          <w:i/>
          <w:szCs w:val="22"/>
        </w:rPr>
        <w:t>lower</w:t>
      </w:r>
      <w:r>
        <w:rPr>
          <w:szCs w:val="22"/>
        </w:rPr>
        <w:t xml:space="preserve"> risk (0.37 times) compared with people of no religion.</w:t>
      </w:r>
    </w:p>
    <w:p w:rsidR="00BA4410" w:rsidRDefault="00BA4410" w:rsidP="00BA4410">
      <w:pPr>
        <w:tabs>
          <w:tab w:val="left" w:pos="0"/>
        </w:tabs>
        <w:jc w:val="both"/>
        <w:rPr>
          <w:szCs w:val="22"/>
        </w:rPr>
      </w:pPr>
    </w:p>
    <w:p w:rsidR="00BA4410" w:rsidRDefault="00BA4410" w:rsidP="00BA4410">
      <w:pPr>
        <w:tabs>
          <w:tab w:val="left" w:pos="0"/>
        </w:tabs>
        <w:jc w:val="both"/>
        <w:rPr>
          <w:szCs w:val="22"/>
        </w:rPr>
      </w:pPr>
      <w:r>
        <w:rPr>
          <w:szCs w:val="22"/>
        </w:rPr>
        <w:lastRenderedPageBreak/>
        <w:t xml:space="preserve">People in the low-mid range of psychological distress (score 6-11) also remained at </w:t>
      </w:r>
      <w:r>
        <w:rPr>
          <w:i/>
          <w:szCs w:val="22"/>
        </w:rPr>
        <w:t>lower</w:t>
      </w:r>
      <w:r>
        <w:rPr>
          <w:szCs w:val="22"/>
        </w:rPr>
        <w:t xml:space="preserve"> risk of starting gambling (0.36 times) compared with people who had the lowest level of psychological distress.</w:t>
      </w:r>
    </w:p>
    <w:p w:rsidR="00985F5E" w:rsidRPr="005E1A60" w:rsidRDefault="00985F5E" w:rsidP="00BA4410">
      <w:pPr>
        <w:tabs>
          <w:tab w:val="left" w:pos="0"/>
        </w:tabs>
        <w:jc w:val="both"/>
        <w:rPr>
          <w:szCs w:val="22"/>
        </w:rPr>
      </w:pPr>
    </w:p>
    <w:p w:rsidR="003D518A" w:rsidRPr="003D518A" w:rsidRDefault="00BA4410" w:rsidP="0076193D">
      <w:pPr>
        <w:tabs>
          <w:tab w:val="left" w:pos="0"/>
        </w:tabs>
        <w:jc w:val="both"/>
        <w:rPr>
          <w:szCs w:val="22"/>
        </w:rPr>
      </w:pPr>
      <w:r>
        <w:rPr>
          <w:szCs w:val="22"/>
        </w:rPr>
        <w:t>Daily c</w:t>
      </w:r>
      <w:r w:rsidR="003D518A" w:rsidRPr="000E7FE8">
        <w:rPr>
          <w:szCs w:val="22"/>
        </w:rPr>
        <w:t>urrent tobacco</w:t>
      </w:r>
      <w:r w:rsidR="003D518A">
        <w:rPr>
          <w:szCs w:val="22"/>
        </w:rPr>
        <w:t xml:space="preserve"> use remained</w:t>
      </w:r>
      <w:r w:rsidR="003D518A" w:rsidRPr="000E7FE8">
        <w:rPr>
          <w:szCs w:val="22"/>
        </w:rPr>
        <w:t xml:space="preserve"> significantly associated with starting gambling in Wave 2.  People who currently smoked tobacco daily were at greater risk than non-smokers (</w:t>
      </w:r>
      <w:r>
        <w:rPr>
          <w:szCs w:val="22"/>
        </w:rPr>
        <w:t>2.83 </w:t>
      </w:r>
      <w:r w:rsidR="003D518A" w:rsidRPr="000E7FE8">
        <w:rPr>
          <w:szCs w:val="22"/>
        </w:rPr>
        <w:t>times)</w:t>
      </w:r>
      <w:r w:rsidR="0076193D">
        <w:rPr>
          <w:szCs w:val="22"/>
        </w:rPr>
        <w:t>.</w:t>
      </w:r>
    </w:p>
    <w:p w:rsidR="003D518A" w:rsidRPr="003D518A" w:rsidRDefault="003D518A" w:rsidP="0076193D">
      <w:pPr>
        <w:tabs>
          <w:tab w:val="left" w:pos="0"/>
        </w:tabs>
        <w:jc w:val="both"/>
        <w:rPr>
          <w:szCs w:val="22"/>
        </w:rPr>
      </w:pPr>
    </w:p>
    <w:p w:rsidR="00E6425A" w:rsidRPr="0076193D" w:rsidRDefault="0076193D" w:rsidP="0076193D">
      <w:pPr>
        <w:tabs>
          <w:tab w:val="left" w:pos="0"/>
        </w:tabs>
        <w:jc w:val="both"/>
        <w:rPr>
          <w:szCs w:val="22"/>
        </w:rPr>
      </w:pPr>
      <w:r w:rsidRPr="0076193D">
        <w:rPr>
          <w:szCs w:val="22"/>
        </w:rPr>
        <w:t>Data are presented in</w:t>
      </w:r>
      <w:r>
        <w:rPr>
          <w:szCs w:val="22"/>
        </w:rPr>
        <w:t xml:space="preserve"> </w:t>
      </w:r>
      <w:r w:rsidRPr="0076193D">
        <w:rPr>
          <w:szCs w:val="22"/>
        </w:rPr>
        <w:fldChar w:fldCharType="begin"/>
      </w:r>
      <w:r w:rsidRPr="0076193D">
        <w:rPr>
          <w:szCs w:val="22"/>
        </w:rPr>
        <w:instrText xml:space="preserve"> REF _Ref408402957 \h  \* MERGEFORMAT </w:instrText>
      </w:r>
      <w:r w:rsidRPr="0076193D">
        <w:rPr>
          <w:szCs w:val="22"/>
        </w:rPr>
      </w:r>
      <w:r w:rsidRPr="0076193D">
        <w:rPr>
          <w:szCs w:val="22"/>
        </w:rPr>
        <w:fldChar w:fldCharType="separate"/>
      </w:r>
      <w:r w:rsidR="00B2175B" w:rsidRPr="00B2175B">
        <w:rPr>
          <w:bCs/>
          <w:szCs w:val="22"/>
        </w:rPr>
        <w:t xml:space="preserve">Table </w:t>
      </w:r>
      <w:r w:rsidR="00B2175B" w:rsidRPr="00B2175B">
        <w:rPr>
          <w:bCs/>
          <w:noProof/>
          <w:szCs w:val="22"/>
        </w:rPr>
        <w:t>26</w:t>
      </w:r>
      <w:r w:rsidRPr="0076193D">
        <w:rPr>
          <w:szCs w:val="22"/>
        </w:rPr>
        <w:fldChar w:fldCharType="end"/>
      </w:r>
      <w:r>
        <w:rPr>
          <w:szCs w:val="22"/>
        </w:rPr>
        <w:t>.</w:t>
      </w:r>
    </w:p>
    <w:p w:rsidR="00E6425A" w:rsidRPr="0010307E" w:rsidRDefault="00E6425A" w:rsidP="0076193D">
      <w:pPr>
        <w:tabs>
          <w:tab w:val="left" w:pos="0"/>
        </w:tabs>
        <w:jc w:val="both"/>
        <w:rPr>
          <w:szCs w:val="22"/>
          <w:highlight w:val="yellow"/>
        </w:rPr>
      </w:pPr>
    </w:p>
    <w:p w:rsidR="00E6425A" w:rsidRPr="00934E6A" w:rsidRDefault="00E6425A" w:rsidP="0076193D">
      <w:pPr>
        <w:jc w:val="both"/>
        <w:rPr>
          <w:b/>
          <w:bCs/>
          <w:sz w:val="20"/>
          <w:szCs w:val="20"/>
        </w:rPr>
      </w:pPr>
      <w:bookmarkStart w:id="231" w:name="_Ref408402957"/>
      <w:bookmarkStart w:id="232" w:name="_Toc420393814"/>
      <w:r w:rsidRPr="00934E6A">
        <w:rPr>
          <w:b/>
          <w:bCs/>
          <w:sz w:val="20"/>
          <w:szCs w:val="20"/>
        </w:rPr>
        <w:t xml:space="preserve">Table </w:t>
      </w:r>
      <w:r w:rsidRPr="00934E6A">
        <w:rPr>
          <w:b/>
          <w:bCs/>
          <w:sz w:val="20"/>
          <w:szCs w:val="20"/>
        </w:rPr>
        <w:fldChar w:fldCharType="begin"/>
      </w:r>
      <w:r w:rsidRPr="00934E6A">
        <w:rPr>
          <w:b/>
          <w:bCs/>
          <w:sz w:val="20"/>
          <w:szCs w:val="20"/>
        </w:rPr>
        <w:instrText xml:space="preserve"> SEQ Table \* ARABIC </w:instrText>
      </w:r>
      <w:r w:rsidRPr="00934E6A">
        <w:rPr>
          <w:b/>
          <w:bCs/>
          <w:sz w:val="20"/>
          <w:szCs w:val="20"/>
        </w:rPr>
        <w:fldChar w:fldCharType="separate"/>
      </w:r>
      <w:r w:rsidR="00B2175B">
        <w:rPr>
          <w:b/>
          <w:bCs/>
          <w:noProof/>
          <w:sz w:val="20"/>
          <w:szCs w:val="20"/>
        </w:rPr>
        <w:t>26</w:t>
      </w:r>
      <w:r w:rsidRPr="00934E6A">
        <w:rPr>
          <w:b/>
          <w:bCs/>
          <w:sz w:val="20"/>
          <w:szCs w:val="20"/>
        </w:rPr>
        <w:fldChar w:fldCharType="end"/>
      </w:r>
      <w:bookmarkEnd w:id="231"/>
      <w:r w:rsidRPr="00934E6A">
        <w:rPr>
          <w:b/>
          <w:bCs/>
          <w:sz w:val="20"/>
          <w:szCs w:val="20"/>
        </w:rPr>
        <w:t xml:space="preserve">: </w:t>
      </w:r>
      <w:r>
        <w:rPr>
          <w:b/>
          <w:bCs/>
          <w:sz w:val="20"/>
          <w:szCs w:val="20"/>
        </w:rPr>
        <w:t>Multi</w:t>
      </w:r>
      <w:r w:rsidR="007F2FB4">
        <w:rPr>
          <w:b/>
          <w:bCs/>
          <w:sz w:val="20"/>
          <w:szCs w:val="20"/>
        </w:rPr>
        <w:t>ple</w:t>
      </w:r>
      <w:r>
        <w:rPr>
          <w:b/>
          <w:bCs/>
          <w:sz w:val="20"/>
          <w:szCs w:val="20"/>
        </w:rPr>
        <w:t xml:space="preserve"> l</w:t>
      </w:r>
      <w:r w:rsidRPr="00934E6A">
        <w:rPr>
          <w:b/>
          <w:bCs/>
          <w:sz w:val="20"/>
          <w:szCs w:val="20"/>
        </w:rPr>
        <w:t xml:space="preserve">ogistic regression for </w:t>
      </w:r>
      <w:r>
        <w:rPr>
          <w:b/>
          <w:bCs/>
          <w:sz w:val="20"/>
          <w:szCs w:val="20"/>
        </w:rPr>
        <w:t>initiation of gambling in Wave 2</w:t>
      </w:r>
      <w:bookmarkEnd w:id="232"/>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1134"/>
        <w:gridCol w:w="992"/>
        <w:gridCol w:w="851"/>
        <w:gridCol w:w="283"/>
        <w:gridCol w:w="851"/>
      </w:tblGrid>
      <w:tr w:rsidR="00E6425A" w:rsidRPr="00985F5E" w:rsidTr="00E05935">
        <w:trPr>
          <w:tblHeader/>
        </w:trPr>
        <w:tc>
          <w:tcPr>
            <w:tcW w:w="4361" w:type="dxa"/>
            <w:tcBorders>
              <w:top w:val="single" w:sz="4" w:space="0" w:color="auto"/>
              <w:bottom w:val="single" w:sz="4" w:space="0" w:color="auto"/>
            </w:tcBorders>
            <w:vAlign w:val="bottom"/>
          </w:tcPr>
          <w:p w:rsidR="00E6425A" w:rsidRPr="00985F5E" w:rsidRDefault="00E6425A" w:rsidP="00985F5E">
            <w:pPr>
              <w:spacing w:before="20" w:after="20"/>
              <w:jc w:val="both"/>
              <w:rPr>
                <w:b/>
                <w:sz w:val="18"/>
                <w:szCs w:val="18"/>
              </w:rPr>
            </w:pPr>
            <w:r w:rsidRPr="00985F5E">
              <w:rPr>
                <w:b/>
                <w:sz w:val="18"/>
                <w:szCs w:val="18"/>
              </w:rPr>
              <w:t>Variable</w:t>
            </w:r>
          </w:p>
        </w:tc>
        <w:tc>
          <w:tcPr>
            <w:tcW w:w="1134" w:type="dxa"/>
            <w:tcBorders>
              <w:top w:val="single" w:sz="4" w:space="0" w:color="auto"/>
              <w:bottom w:val="single" w:sz="4" w:space="0" w:color="auto"/>
            </w:tcBorders>
            <w:vAlign w:val="center"/>
          </w:tcPr>
          <w:p w:rsidR="00E6425A" w:rsidRPr="00985F5E" w:rsidRDefault="00E6425A" w:rsidP="00985F5E">
            <w:pPr>
              <w:spacing w:before="20" w:after="20"/>
              <w:jc w:val="right"/>
              <w:rPr>
                <w:rFonts w:ascii="Calibri" w:hAnsi="Calibri"/>
                <w:b/>
                <w:bCs/>
                <w:color w:val="000000"/>
                <w:sz w:val="18"/>
                <w:szCs w:val="18"/>
              </w:rPr>
            </w:pPr>
            <w:r w:rsidRPr="00985F5E">
              <w:rPr>
                <w:rFonts w:ascii="Calibri" w:hAnsi="Calibri"/>
                <w:b/>
                <w:bCs/>
                <w:color w:val="000000"/>
                <w:sz w:val="18"/>
                <w:szCs w:val="18"/>
              </w:rPr>
              <w:t>%</w:t>
            </w:r>
          </w:p>
        </w:tc>
        <w:tc>
          <w:tcPr>
            <w:tcW w:w="992" w:type="dxa"/>
            <w:tcBorders>
              <w:top w:val="single" w:sz="4" w:space="0" w:color="auto"/>
              <w:bottom w:val="single" w:sz="4" w:space="0" w:color="auto"/>
            </w:tcBorders>
            <w:vAlign w:val="center"/>
          </w:tcPr>
          <w:p w:rsidR="00E6425A" w:rsidRPr="00985F5E" w:rsidRDefault="00E6425A" w:rsidP="00985F5E">
            <w:pPr>
              <w:spacing w:before="20" w:after="20"/>
              <w:jc w:val="right"/>
              <w:rPr>
                <w:rFonts w:ascii="Calibri" w:hAnsi="Calibri"/>
                <w:b/>
                <w:color w:val="000000"/>
                <w:sz w:val="18"/>
                <w:szCs w:val="18"/>
              </w:rPr>
            </w:pPr>
            <w:r w:rsidRPr="00985F5E">
              <w:rPr>
                <w:rFonts w:ascii="Calibri" w:hAnsi="Calibri"/>
                <w:b/>
                <w:color w:val="000000"/>
                <w:sz w:val="18"/>
                <w:szCs w:val="18"/>
              </w:rPr>
              <w:t>Odds Ratio</w:t>
            </w:r>
          </w:p>
        </w:tc>
        <w:tc>
          <w:tcPr>
            <w:tcW w:w="1134" w:type="dxa"/>
            <w:gridSpan w:val="2"/>
            <w:tcBorders>
              <w:top w:val="single" w:sz="4" w:space="0" w:color="auto"/>
              <w:bottom w:val="single" w:sz="4" w:space="0" w:color="auto"/>
            </w:tcBorders>
            <w:vAlign w:val="center"/>
          </w:tcPr>
          <w:p w:rsidR="00E6425A" w:rsidRPr="00985F5E" w:rsidRDefault="00E6425A" w:rsidP="00985F5E">
            <w:pPr>
              <w:spacing w:before="20" w:after="20"/>
              <w:jc w:val="right"/>
              <w:rPr>
                <w:rFonts w:ascii="Calibri" w:hAnsi="Calibri"/>
                <w:b/>
                <w:color w:val="000000"/>
                <w:sz w:val="18"/>
                <w:szCs w:val="18"/>
              </w:rPr>
            </w:pPr>
            <w:r w:rsidRPr="00985F5E">
              <w:rPr>
                <w:rFonts w:ascii="Calibri" w:hAnsi="Calibri"/>
                <w:b/>
                <w:color w:val="000000"/>
                <w:sz w:val="18"/>
                <w:szCs w:val="18"/>
              </w:rPr>
              <w:t>(95% CI)</w:t>
            </w:r>
          </w:p>
        </w:tc>
        <w:tc>
          <w:tcPr>
            <w:tcW w:w="851" w:type="dxa"/>
            <w:tcBorders>
              <w:top w:val="single" w:sz="4" w:space="0" w:color="auto"/>
              <w:bottom w:val="single" w:sz="4" w:space="0" w:color="auto"/>
            </w:tcBorders>
            <w:vAlign w:val="center"/>
          </w:tcPr>
          <w:p w:rsidR="00E6425A" w:rsidRPr="00985F5E" w:rsidRDefault="00E6425A" w:rsidP="00985F5E">
            <w:pPr>
              <w:spacing w:before="20" w:after="20"/>
              <w:jc w:val="right"/>
              <w:rPr>
                <w:rFonts w:ascii="Calibri" w:hAnsi="Calibri"/>
                <w:b/>
                <w:color w:val="000000"/>
                <w:sz w:val="18"/>
                <w:szCs w:val="18"/>
              </w:rPr>
            </w:pPr>
            <w:r w:rsidRPr="00985F5E">
              <w:rPr>
                <w:rFonts w:ascii="Calibri" w:hAnsi="Calibri"/>
                <w:b/>
                <w:color w:val="000000"/>
                <w:sz w:val="18"/>
                <w:szCs w:val="18"/>
              </w:rPr>
              <w:t>p-value</w:t>
            </w:r>
          </w:p>
        </w:tc>
      </w:tr>
      <w:tr w:rsidR="00E6425A" w:rsidRPr="00985F5E" w:rsidTr="00E05935">
        <w:tc>
          <w:tcPr>
            <w:tcW w:w="4361" w:type="dxa"/>
            <w:vAlign w:val="bottom"/>
          </w:tcPr>
          <w:p w:rsidR="00E6425A" w:rsidRPr="00985F5E" w:rsidRDefault="00E6425A" w:rsidP="00985F5E">
            <w:pPr>
              <w:spacing w:before="20" w:after="20"/>
              <w:jc w:val="both"/>
              <w:rPr>
                <w:b/>
                <w:sz w:val="18"/>
                <w:szCs w:val="18"/>
              </w:rPr>
            </w:pPr>
            <w:r w:rsidRPr="00985F5E">
              <w:rPr>
                <w:b/>
                <w:sz w:val="18"/>
                <w:szCs w:val="18"/>
              </w:rPr>
              <w:t>Arrival in NZ</w:t>
            </w:r>
          </w:p>
        </w:tc>
        <w:tc>
          <w:tcPr>
            <w:tcW w:w="1134" w:type="dxa"/>
            <w:vAlign w:val="center"/>
          </w:tcPr>
          <w:p w:rsidR="00E6425A" w:rsidRPr="00985F5E" w:rsidRDefault="00E6425A" w:rsidP="00985F5E">
            <w:pPr>
              <w:adjustRightInd w:val="0"/>
              <w:spacing w:before="20" w:after="20"/>
              <w:jc w:val="right"/>
              <w:rPr>
                <w:color w:val="000000"/>
                <w:sz w:val="18"/>
                <w:szCs w:val="18"/>
              </w:rPr>
            </w:pPr>
            <w:r w:rsidRPr="00985F5E">
              <w:rPr>
                <w:color w:val="000000"/>
                <w:sz w:val="18"/>
                <w:szCs w:val="18"/>
              </w:rPr>
              <w:t> </w:t>
            </w:r>
          </w:p>
        </w:tc>
        <w:tc>
          <w:tcPr>
            <w:tcW w:w="992" w:type="dxa"/>
            <w:vAlign w:val="center"/>
          </w:tcPr>
          <w:p w:rsidR="00E6425A" w:rsidRPr="00985F5E" w:rsidRDefault="00E6425A" w:rsidP="00985F5E">
            <w:pPr>
              <w:adjustRightInd w:val="0"/>
              <w:spacing w:before="20" w:after="20"/>
              <w:jc w:val="right"/>
              <w:rPr>
                <w:color w:val="000000"/>
                <w:sz w:val="18"/>
                <w:szCs w:val="18"/>
              </w:rPr>
            </w:pPr>
          </w:p>
        </w:tc>
        <w:tc>
          <w:tcPr>
            <w:tcW w:w="851" w:type="dxa"/>
            <w:vAlign w:val="center"/>
          </w:tcPr>
          <w:p w:rsidR="00E6425A" w:rsidRPr="00985F5E" w:rsidRDefault="00E6425A" w:rsidP="00985F5E">
            <w:pPr>
              <w:adjustRightInd w:val="0"/>
              <w:spacing w:before="20" w:after="20"/>
              <w:jc w:val="right"/>
              <w:rPr>
                <w:color w:val="000000"/>
                <w:sz w:val="18"/>
                <w:szCs w:val="18"/>
              </w:rPr>
            </w:pPr>
          </w:p>
        </w:tc>
        <w:tc>
          <w:tcPr>
            <w:tcW w:w="283" w:type="dxa"/>
            <w:vAlign w:val="center"/>
          </w:tcPr>
          <w:p w:rsidR="00E6425A" w:rsidRPr="00985F5E" w:rsidRDefault="00E6425A" w:rsidP="00985F5E">
            <w:pPr>
              <w:adjustRightInd w:val="0"/>
              <w:spacing w:before="20" w:after="20"/>
              <w:jc w:val="right"/>
              <w:rPr>
                <w:color w:val="000000"/>
                <w:sz w:val="18"/>
                <w:szCs w:val="18"/>
              </w:rPr>
            </w:pPr>
          </w:p>
        </w:tc>
        <w:tc>
          <w:tcPr>
            <w:tcW w:w="851" w:type="dxa"/>
            <w:vAlign w:val="center"/>
          </w:tcPr>
          <w:p w:rsidR="00E6425A" w:rsidRPr="00985F5E" w:rsidRDefault="00E6425A"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NZ born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35.6</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1.00</w:t>
            </w: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tcPr>
          <w:p w:rsidR="00A54261" w:rsidRPr="00985F5E" w:rsidRDefault="00A54261" w:rsidP="00985F5E">
            <w:pPr>
              <w:keepNext/>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before 2008</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32.5</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0.98</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(0.59 - 1.63)</w:t>
            </w:r>
          </w:p>
        </w:tc>
        <w:tc>
          <w:tcPr>
            <w:tcW w:w="851" w:type="dxa"/>
          </w:tcPr>
          <w:p w:rsidR="00A54261" w:rsidRPr="00985F5E" w:rsidRDefault="00A54261" w:rsidP="00985F5E">
            <w:pPr>
              <w:keepNext/>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since 2008</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14.2</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0.30</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(0.11 - 0.80)</w:t>
            </w:r>
          </w:p>
        </w:tc>
        <w:tc>
          <w:tcPr>
            <w:tcW w:w="851" w:type="dxa"/>
            <w:shd w:val="clear" w:color="auto" w:fill="D9D9D9" w:themeFill="background1" w:themeFillShade="D9"/>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0.05</w:t>
            </w:r>
          </w:p>
        </w:tc>
      </w:tr>
      <w:tr w:rsidR="00A54261" w:rsidRPr="00985F5E" w:rsidTr="00E05935">
        <w:tc>
          <w:tcPr>
            <w:tcW w:w="4361" w:type="dxa"/>
            <w:vAlign w:val="bottom"/>
          </w:tcPr>
          <w:p w:rsidR="00A54261" w:rsidRPr="00985F5E" w:rsidRDefault="00A54261" w:rsidP="00985F5E">
            <w:pPr>
              <w:spacing w:before="20" w:after="20"/>
              <w:jc w:val="both"/>
              <w:rPr>
                <w:b/>
                <w:sz w:val="18"/>
                <w:szCs w:val="18"/>
              </w:rPr>
            </w:pPr>
            <w:r w:rsidRPr="00985F5E">
              <w:rPr>
                <w:b/>
                <w:sz w:val="18"/>
                <w:szCs w:val="18"/>
              </w:rPr>
              <w:t>Religion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 </w:t>
            </w:r>
          </w:p>
        </w:tc>
        <w:tc>
          <w:tcPr>
            <w:tcW w:w="992"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No religion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40.7</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1.00</w:t>
            </w: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Anglican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42.3</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1.08</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(0.47 - 2.49)</w:t>
            </w:r>
          </w:p>
        </w:tc>
        <w:tc>
          <w:tcPr>
            <w:tcW w:w="851" w:type="dxa"/>
          </w:tcPr>
          <w:p w:rsidR="00A54261" w:rsidRPr="00985F5E" w:rsidRDefault="00A54261" w:rsidP="00985F5E">
            <w:pPr>
              <w:keepNext/>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Catholic</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48.4</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1.39</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(0.60 - 3.22)</w:t>
            </w:r>
          </w:p>
        </w:tc>
        <w:tc>
          <w:tcPr>
            <w:tcW w:w="851" w:type="dxa"/>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Presbyterian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36.1</w:t>
            </w:r>
          </w:p>
        </w:tc>
        <w:tc>
          <w:tcPr>
            <w:tcW w:w="992" w:type="dxa"/>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w:t>
            </w:r>
            <w:r w:rsidR="001D655C">
              <w:rPr>
                <w:color w:val="000000"/>
                <w:sz w:val="18"/>
                <w:szCs w:val="18"/>
              </w:rPr>
              <w:t>74</w:t>
            </w:r>
          </w:p>
        </w:tc>
        <w:tc>
          <w:tcPr>
            <w:tcW w:w="1134" w:type="dxa"/>
            <w:gridSpan w:val="2"/>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(0.31 - 1.</w:t>
            </w:r>
            <w:r w:rsidR="001D655C">
              <w:rPr>
                <w:color w:val="000000"/>
                <w:sz w:val="18"/>
                <w:szCs w:val="18"/>
              </w:rPr>
              <w:t>77</w:t>
            </w:r>
            <w:r w:rsidRPr="00985F5E">
              <w:rPr>
                <w:color w:val="000000"/>
                <w:sz w:val="18"/>
                <w:szCs w:val="18"/>
              </w:rPr>
              <w:t>)</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Other Christian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18.0</w:t>
            </w:r>
          </w:p>
        </w:tc>
        <w:tc>
          <w:tcPr>
            <w:tcW w:w="992" w:type="dxa"/>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w:t>
            </w:r>
            <w:r w:rsidR="001D655C">
              <w:rPr>
                <w:color w:val="000000"/>
                <w:sz w:val="18"/>
                <w:szCs w:val="18"/>
              </w:rPr>
              <w:t>37</w:t>
            </w:r>
          </w:p>
        </w:tc>
        <w:tc>
          <w:tcPr>
            <w:tcW w:w="1134" w:type="dxa"/>
            <w:gridSpan w:val="2"/>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w:t>
            </w:r>
            <w:r w:rsidR="001D655C">
              <w:rPr>
                <w:color w:val="000000"/>
                <w:sz w:val="18"/>
                <w:szCs w:val="18"/>
              </w:rPr>
              <w:t>19</w:t>
            </w:r>
            <w:r w:rsidRPr="00985F5E">
              <w:rPr>
                <w:color w:val="000000"/>
                <w:sz w:val="18"/>
                <w:szCs w:val="18"/>
              </w:rPr>
              <w:t xml:space="preserve"> - </w:t>
            </w:r>
            <w:r w:rsidR="001D655C">
              <w:rPr>
                <w:color w:val="000000"/>
                <w:sz w:val="18"/>
                <w:szCs w:val="18"/>
              </w:rPr>
              <w:t>0.71</w:t>
            </w:r>
            <w:r w:rsidRPr="00985F5E">
              <w:rPr>
                <w:color w:val="000000"/>
                <w:sz w:val="18"/>
                <w:szCs w:val="18"/>
              </w:rPr>
              <w:t>)</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 xml:space="preserve">Other </w:t>
            </w:r>
            <w:r w:rsidR="001D655C" w:rsidRPr="00985F5E">
              <w:rPr>
                <w:sz w:val="18"/>
                <w:szCs w:val="18"/>
              </w:rPr>
              <w:t>Religion</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23.1</w:t>
            </w:r>
          </w:p>
        </w:tc>
        <w:tc>
          <w:tcPr>
            <w:tcW w:w="992" w:type="dxa"/>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w:t>
            </w:r>
            <w:r w:rsidR="001D655C">
              <w:rPr>
                <w:color w:val="000000"/>
                <w:sz w:val="18"/>
                <w:szCs w:val="18"/>
              </w:rPr>
              <w:t>69</w:t>
            </w:r>
          </w:p>
        </w:tc>
        <w:tc>
          <w:tcPr>
            <w:tcW w:w="1134" w:type="dxa"/>
            <w:gridSpan w:val="2"/>
            <w:vAlign w:val="center"/>
          </w:tcPr>
          <w:p w:rsidR="00A54261" w:rsidRPr="00985F5E" w:rsidRDefault="00A00E24" w:rsidP="001D655C">
            <w:pPr>
              <w:adjustRightInd w:val="0"/>
              <w:spacing w:before="20" w:after="20"/>
              <w:jc w:val="right"/>
              <w:rPr>
                <w:color w:val="000000"/>
                <w:sz w:val="18"/>
                <w:szCs w:val="18"/>
              </w:rPr>
            </w:pPr>
            <w:r w:rsidRPr="00985F5E">
              <w:rPr>
                <w:color w:val="000000"/>
                <w:sz w:val="18"/>
                <w:szCs w:val="18"/>
              </w:rPr>
              <w:t>(0.</w:t>
            </w:r>
            <w:r w:rsidR="001D655C">
              <w:rPr>
                <w:color w:val="000000"/>
                <w:sz w:val="18"/>
                <w:szCs w:val="18"/>
              </w:rPr>
              <w:t>31</w:t>
            </w:r>
            <w:r w:rsidRPr="00985F5E">
              <w:rPr>
                <w:color w:val="000000"/>
                <w:sz w:val="18"/>
                <w:szCs w:val="18"/>
              </w:rPr>
              <w:t xml:space="preserve"> - </w:t>
            </w:r>
            <w:r w:rsidR="001D655C">
              <w:rPr>
                <w:color w:val="000000"/>
                <w:sz w:val="18"/>
                <w:szCs w:val="18"/>
              </w:rPr>
              <w:t>1.54</w:t>
            </w:r>
            <w:r w:rsidRPr="00985F5E">
              <w:rPr>
                <w:color w:val="000000"/>
                <w:sz w:val="18"/>
                <w:szCs w:val="18"/>
              </w:rPr>
              <w:t>)</w:t>
            </w:r>
          </w:p>
        </w:tc>
        <w:tc>
          <w:tcPr>
            <w:tcW w:w="851" w:type="dxa"/>
            <w:shd w:val="clear" w:color="auto" w:fill="D9D9D9" w:themeFill="background1" w:themeFillShade="D9"/>
          </w:tcPr>
          <w:p w:rsidR="00A54261" w:rsidRPr="00985F5E" w:rsidRDefault="00A54261" w:rsidP="00985F5E">
            <w:pPr>
              <w:keepNext/>
              <w:adjustRightInd w:val="0"/>
              <w:spacing w:before="20" w:after="20"/>
              <w:jc w:val="right"/>
              <w:rPr>
                <w:color w:val="000000"/>
                <w:sz w:val="18"/>
                <w:szCs w:val="18"/>
              </w:rPr>
            </w:pPr>
            <w:r w:rsidRPr="00985F5E">
              <w:rPr>
                <w:color w:val="000000"/>
                <w:sz w:val="18"/>
                <w:szCs w:val="18"/>
              </w:rPr>
              <w:t>0.01</w:t>
            </w:r>
          </w:p>
        </w:tc>
      </w:tr>
      <w:tr w:rsidR="00A54261" w:rsidRPr="00985F5E" w:rsidTr="00E05935">
        <w:tc>
          <w:tcPr>
            <w:tcW w:w="4361" w:type="dxa"/>
            <w:vAlign w:val="bottom"/>
          </w:tcPr>
          <w:p w:rsidR="00A54261" w:rsidRPr="00985F5E" w:rsidRDefault="00A54261" w:rsidP="00985F5E">
            <w:pPr>
              <w:spacing w:before="20" w:after="20"/>
              <w:jc w:val="both"/>
              <w:rPr>
                <w:b/>
                <w:sz w:val="18"/>
                <w:szCs w:val="18"/>
              </w:rPr>
            </w:pPr>
            <w:r w:rsidRPr="00985F5E">
              <w:rPr>
                <w:b/>
                <w:sz w:val="18"/>
                <w:szCs w:val="18"/>
              </w:rPr>
              <w:t>Psychological distress (Kessler-10)</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 </w:t>
            </w:r>
          </w:p>
        </w:tc>
        <w:tc>
          <w:tcPr>
            <w:tcW w:w="992"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Score 0 - 5</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33.9</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1.00</w:t>
            </w: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Score 6 - 11</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17.0</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0.36</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(0.18 - 0.72)</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Score 12 - 19</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52.1</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1.82</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(0.71 - 4.68)</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Score 20 - 40</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37.8</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0.70</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(0.11 - 4.49)</w:t>
            </w:r>
          </w:p>
        </w:tc>
        <w:tc>
          <w:tcPr>
            <w:tcW w:w="851" w:type="dxa"/>
            <w:shd w:val="clear" w:color="auto" w:fill="D9D9D9" w:themeFill="background1" w:themeFillShade="D9"/>
          </w:tcPr>
          <w:p w:rsidR="00A54261" w:rsidRPr="00985F5E" w:rsidRDefault="00A54261" w:rsidP="00985F5E">
            <w:pPr>
              <w:keepNext/>
              <w:adjustRightInd w:val="0"/>
              <w:spacing w:before="20" w:after="20"/>
              <w:jc w:val="right"/>
              <w:rPr>
                <w:color w:val="000000"/>
                <w:sz w:val="18"/>
                <w:szCs w:val="18"/>
              </w:rPr>
            </w:pPr>
            <w:r w:rsidRPr="00985F5E">
              <w:rPr>
                <w:color w:val="000000"/>
                <w:sz w:val="18"/>
                <w:szCs w:val="18"/>
              </w:rPr>
              <w:t>0.01</w:t>
            </w:r>
          </w:p>
        </w:tc>
      </w:tr>
      <w:tr w:rsidR="00A54261" w:rsidRPr="00985F5E" w:rsidTr="00E05935">
        <w:tc>
          <w:tcPr>
            <w:tcW w:w="4361" w:type="dxa"/>
            <w:vAlign w:val="bottom"/>
          </w:tcPr>
          <w:p w:rsidR="00A54261" w:rsidRPr="00985F5E" w:rsidRDefault="00A54261" w:rsidP="00985F5E">
            <w:pPr>
              <w:spacing w:before="20" w:after="20"/>
              <w:jc w:val="both"/>
              <w:rPr>
                <w:b/>
                <w:sz w:val="18"/>
                <w:szCs w:val="18"/>
              </w:rPr>
            </w:pPr>
            <w:r w:rsidRPr="00985F5E">
              <w:rPr>
                <w:b/>
                <w:bCs/>
                <w:color w:val="000000"/>
                <w:sz w:val="18"/>
                <w:szCs w:val="18"/>
              </w:rPr>
              <w:t>Current tobacco use</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 </w:t>
            </w:r>
          </w:p>
        </w:tc>
        <w:tc>
          <w:tcPr>
            <w:tcW w:w="992"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c>
          <w:tcPr>
            <w:tcW w:w="283" w:type="dxa"/>
            <w:vAlign w:val="center"/>
          </w:tcPr>
          <w:p w:rsidR="00A54261" w:rsidRPr="00985F5E" w:rsidRDefault="00A54261" w:rsidP="00985F5E">
            <w:pPr>
              <w:adjustRightInd w:val="0"/>
              <w:spacing w:before="20" w:after="20"/>
              <w:jc w:val="right"/>
              <w:rPr>
                <w:color w:val="000000"/>
                <w:sz w:val="18"/>
                <w:szCs w:val="18"/>
              </w:rPr>
            </w:pP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Does not smoke now</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43.1</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1.78</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(0.98 - 3.22)</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Smokes at least once a day</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53.8</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2.83</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(1.33 - 6.03)</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Pr>
          <w:p w:rsidR="00A54261" w:rsidRPr="00985F5E" w:rsidRDefault="00A54261" w:rsidP="00985F5E">
            <w:pPr>
              <w:spacing w:before="20" w:after="20"/>
              <w:ind w:left="176"/>
              <w:jc w:val="both"/>
              <w:rPr>
                <w:sz w:val="18"/>
                <w:szCs w:val="18"/>
              </w:rPr>
            </w:pPr>
            <w:r w:rsidRPr="00985F5E">
              <w:rPr>
                <w:sz w:val="18"/>
                <w:szCs w:val="18"/>
              </w:rPr>
              <w:t>Smokes at least once a week</w:t>
            </w:r>
          </w:p>
        </w:tc>
        <w:tc>
          <w:tcPr>
            <w:tcW w:w="1134"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3.7</w:t>
            </w:r>
          </w:p>
        </w:tc>
        <w:tc>
          <w:tcPr>
            <w:tcW w:w="992" w:type="dxa"/>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0.13</w:t>
            </w:r>
          </w:p>
        </w:tc>
        <w:tc>
          <w:tcPr>
            <w:tcW w:w="1134" w:type="dxa"/>
            <w:gridSpan w:val="2"/>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(0.01 - 1.25)</w:t>
            </w:r>
          </w:p>
        </w:tc>
        <w:tc>
          <w:tcPr>
            <w:tcW w:w="851" w:type="dxa"/>
            <w:vAlign w:val="center"/>
          </w:tcPr>
          <w:p w:rsidR="00A54261" w:rsidRPr="00985F5E" w:rsidRDefault="00A54261" w:rsidP="00985F5E">
            <w:pPr>
              <w:adjustRightInd w:val="0"/>
              <w:spacing w:before="20" w:after="20"/>
              <w:jc w:val="right"/>
              <w:rPr>
                <w:color w:val="000000"/>
                <w:sz w:val="18"/>
                <w:szCs w:val="18"/>
              </w:rPr>
            </w:pPr>
          </w:p>
        </w:tc>
      </w:tr>
      <w:tr w:rsidR="00A54261" w:rsidRPr="00985F5E" w:rsidTr="00E05935">
        <w:tc>
          <w:tcPr>
            <w:tcW w:w="4361" w:type="dxa"/>
            <w:tcBorders>
              <w:bottom w:val="single" w:sz="4" w:space="0" w:color="auto"/>
            </w:tcBorders>
          </w:tcPr>
          <w:p w:rsidR="00A54261" w:rsidRPr="00985F5E" w:rsidRDefault="00A54261" w:rsidP="00985F5E">
            <w:pPr>
              <w:spacing w:before="20" w:after="20"/>
              <w:ind w:left="176"/>
              <w:jc w:val="both"/>
              <w:rPr>
                <w:sz w:val="18"/>
                <w:szCs w:val="18"/>
              </w:rPr>
            </w:pPr>
            <w:r w:rsidRPr="00985F5E">
              <w:rPr>
                <w:sz w:val="18"/>
                <w:szCs w:val="18"/>
              </w:rPr>
              <w:t>Never smoked</w:t>
            </w:r>
          </w:p>
        </w:tc>
        <w:tc>
          <w:tcPr>
            <w:tcW w:w="1134" w:type="dxa"/>
            <w:tcBorders>
              <w:bottom w:val="single" w:sz="4" w:space="0" w:color="auto"/>
            </w:tcBorders>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25.5</w:t>
            </w:r>
          </w:p>
        </w:tc>
        <w:tc>
          <w:tcPr>
            <w:tcW w:w="992" w:type="dxa"/>
            <w:tcBorders>
              <w:bottom w:val="single" w:sz="4" w:space="0" w:color="auto"/>
            </w:tcBorders>
            <w:vAlign w:val="center"/>
          </w:tcPr>
          <w:p w:rsidR="00A54261" w:rsidRPr="00985F5E" w:rsidRDefault="00A54261" w:rsidP="00985F5E">
            <w:pPr>
              <w:adjustRightInd w:val="0"/>
              <w:spacing w:before="20" w:after="20"/>
              <w:jc w:val="right"/>
              <w:rPr>
                <w:color w:val="000000"/>
                <w:sz w:val="18"/>
                <w:szCs w:val="18"/>
              </w:rPr>
            </w:pPr>
            <w:r w:rsidRPr="00985F5E">
              <w:rPr>
                <w:color w:val="000000"/>
                <w:sz w:val="18"/>
                <w:szCs w:val="18"/>
              </w:rPr>
              <w:t>1.00</w:t>
            </w:r>
          </w:p>
        </w:tc>
        <w:tc>
          <w:tcPr>
            <w:tcW w:w="851" w:type="dxa"/>
            <w:tcBorders>
              <w:bottom w:val="single" w:sz="4" w:space="0" w:color="auto"/>
            </w:tcBorders>
            <w:vAlign w:val="center"/>
          </w:tcPr>
          <w:p w:rsidR="00A54261" w:rsidRPr="00985F5E" w:rsidRDefault="00A54261" w:rsidP="00985F5E">
            <w:pPr>
              <w:adjustRightInd w:val="0"/>
              <w:spacing w:before="20" w:after="20"/>
              <w:jc w:val="right"/>
              <w:rPr>
                <w:color w:val="000000"/>
                <w:sz w:val="18"/>
                <w:szCs w:val="18"/>
              </w:rPr>
            </w:pPr>
          </w:p>
        </w:tc>
        <w:tc>
          <w:tcPr>
            <w:tcW w:w="283" w:type="dxa"/>
            <w:tcBorders>
              <w:bottom w:val="single" w:sz="4" w:space="0" w:color="auto"/>
            </w:tcBorders>
            <w:vAlign w:val="center"/>
          </w:tcPr>
          <w:p w:rsidR="00A54261" w:rsidRPr="00985F5E" w:rsidRDefault="00A54261" w:rsidP="00985F5E">
            <w:pPr>
              <w:adjustRightInd w:val="0"/>
              <w:spacing w:before="20" w:after="20"/>
              <w:jc w:val="right"/>
              <w:rPr>
                <w:color w:val="000000"/>
                <w:sz w:val="18"/>
                <w:szCs w:val="18"/>
              </w:rPr>
            </w:pPr>
          </w:p>
        </w:tc>
        <w:tc>
          <w:tcPr>
            <w:tcW w:w="851" w:type="dxa"/>
            <w:tcBorders>
              <w:bottom w:val="single" w:sz="4" w:space="0" w:color="auto"/>
            </w:tcBorders>
            <w:shd w:val="clear" w:color="auto" w:fill="D9D9D9" w:themeFill="background1" w:themeFillShade="D9"/>
          </w:tcPr>
          <w:p w:rsidR="00A54261" w:rsidRPr="00985F5E" w:rsidRDefault="00A54261" w:rsidP="00985F5E">
            <w:pPr>
              <w:adjustRightInd w:val="0"/>
              <w:spacing w:before="20" w:after="20"/>
              <w:jc w:val="right"/>
              <w:rPr>
                <w:color w:val="000000"/>
                <w:sz w:val="18"/>
                <w:szCs w:val="18"/>
              </w:rPr>
            </w:pPr>
            <w:r w:rsidRPr="00985F5E">
              <w:rPr>
                <w:color w:val="000000"/>
                <w:sz w:val="18"/>
                <w:szCs w:val="18"/>
              </w:rPr>
              <w:t>0.004</w:t>
            </w:r>
          </w:p>
        </w:tc>
      </w:tr>
    </w:tbl>
    <w:p w:rsidR="00E6425A" w:rsidRPr="00985F5E" w:rsidRDefault="00E6425A" w:rsidP="00E6425A">
      <w:pPr>
        <w:rPr>
          <w:sz w:val="18"/>
          <w:szCs w:val="18"/>
        </w:rPr>
      </w:pPr>
      <w:r w:rsidRPr="00985F5E">
        <w:rPr>
          <w:sz w:val="18"/>
          <w:szCs w:val="18"/>
        </w:rPr>
        <w:t>Data weighted for 2013 Census data (both Waves) and attrition (Wave 2)</w:t>
      </w:r>
    </w:p>
    <w:p w:rsidR="00E6425A" w:rsidRDefault="00E6425A" w:rsidP="00E6425A">
      <w:pPr>
        <w:tabs>
          <w:tab w:val="left" w:pos="0"/>
        </w:tabs>
        <w:jc w:val="both"/>
        <w:rPr>
          <w:szCs w:val="22"/>
        </w:rPr>
      </w:pPr>
    </w:p>
    <w:p w:rsidR="00E6425A" w:rsidRPr="00D13ADD" w:rsidRDefault="00E6425A" w:rsidP="00FD12E4">
      <w:pPr>
        <w:tabs>
          <w:tab w:val="left" w:pos="0"/>
        </w:tabs>
        <w:jc w:val="both"/>
        <w:rPr>
          <w:szCs w:val="22"/>
        </w:rPr>
      </w:pPr>
    </w:p>
    <w:p w:rsidR="00675530" w:rsidRPr="00DA2BCC" w:rsidRDefault="00EC3B71" w:rsidP="00675530">
      <w:pPr>
        <w:pStyle w:val="Heading1"/>
        <w:keepNext w:val="0"/>
        <w:pBdr>
          <w:top w:val="single" w:sz="4" w:space="1" w:color="auto"/>
          <w:left w:val="single" w:sz="4" w:space="4" w:color="auto"/>
          <w:bottom w:val="single" w:sz="4" w:space="1" w:color="auto"/>
          <w:right w:val="single" w:sz="4" w:space="4" w:color="auto"/>
        </w:pBdr>
        <w:shd w:val="clear" w:color="auto" w:fill="E0E0E0"/>
        <w:tabs>
          <w:tab w:val="left" w:pos="360"/>
        </w:tabs>
        <w:ind w:left="360"/>
        <w:jc w:val="both"/>
        <w:rPr>
          <w:rFonts w:cs="Times New Roman"/>
          <w:sz w:val="22"/>
          <w:szCs w:val="22"/>
        </w:rPr>
      </w:pPr>
      <w:r w:rsidRPr="00DA2BCC">
        <w:rPr>
          <w:sz w:val="22"/>
          <w:szCs w:val="22"/>
        </w:rPr>
        <w:br w:type="page"/>
      </w:r>
      <w:bookmarkStart w:id="233" w:name="_Toc371414935"/>
      <w:bookmarkStart w:id="234" w:name="_Toc399511086"/>
      <w:bookmarkStart w:id="235" w:name="_Toc399511231"/>
      <w:bookmarkStart w:id="236" w:name="_Toc403052542"/>
      <w:bookmarkStart w:id="237" w:name="_Toc403052878"/>
      <w:bookmarkStart w:id="238" w:name="_Toc420392621"/>
      <w:r w:rsidR="00E30EF7">
        <w:rPr>
          <w:sz w:val="22"/>
          <w:szCs w:val="22"/>
        </w:rPr>
        <w:lastRenderedPageBreak/>
        <w:t xml:space="preserve">SUMMARY, </w:t>
      </w:r>
      <w:r w:rsidR="00675530" w:rsidRPr="00DA2BCC">
        <w:rPr>
          <w:rFonts w:cs="Times New Roman"/>
          <w:sz w:val="22"/>
          <w:szCs w:val="22"/>
        </w:rPr>
        <w:t>DISCUSSION</w:t>
      </w:r>
      <w:bookmarkEnd w:id="233"/>
      <w:r w:rsidR="00CD4146">
        <w:rPr>
          <w:rFonts w:cs="Times New Roman"/>
          <w:sz w:val="22"/>
          <w:szCs w:val="22"/>
        </w:rPr>
        <w:t xml:space="preserve"> AND CONCLUSIONS</w:t>
      </w:r>
      <w:bookmarkEnd w:id="234"/>
      <w:bookmarkEnd w:id="235"/>
      <w:bookmarkEnd w:id="236"/>
      <w:bookmarkEnd w:id="237"/>
      <w:bookmarkEnd w:id="238"/>
    </w:p>
    <w:p w:rsidR="00E347A7" w:rsidRDefault="00E347A7" w:rsidP="008963C0">
      <w:pPr>
        <w:jc w:val="both"/>
        <w:rPr>
          <w:szCs w:val="22"/>
        </w:rPr>
      </w:pPr>
    </w:p>
    <w:p w:rsidR="003B3C33" w:rsidRPr="003B3C33" w:rsidRDefault="003B3C33" w:rsidP="003B3C33">
      <w:pPr>
        <w:jc w:val="both"/>
        <w:rPr>
          <w:szCs w:val="22"/>
        </w:rPr>
      </w:pPr>
      <w:r w:rsidRPr="003B3C33">
        <w:rPr>
          <w:szCs w:val="22"/>
        </w:rPr>
        <w:t>The main purpose of the present study is to assess, for the first time, the incidence of problem and at-risk gambling as well as to examine, prospectively, other transitions including problem remission.  However, it also provides information that enables estimat</w:t>
      </w:r>
      <w:r w:rsidR="00766BFA">
        <w:rPr>
          <w:szCs w:val="22"/>
        </w:rPr>
        <w:t>ion of</w:t>
      </w:r>
      <w:r w:rsidRPr="003B3C33">
        <w:rPr>
          <w:szCs w:val="22"/>
        </w:rPr>
        <w:t xml:space="preserve"> the national prevalence of gambling participation and problem gambling prevalence in 2013.  This part of the study is cross-sectional.  By comparing the results with those of the baseline survey, it is possible to identify changes at the population level from 2012 to 2013.  Given that it is very unlikely that national gambling participation and problem gambling prevalence rates would change during a 12 month period, the present survey provides, in effect, a replication of the 2012 survey.  This is important because there is a degree of uncertainty about the results of a single survey, especially estimates based on small numbers.  Problem gambling estimates are based on very small numbers.  The 2013 results assist in assessing the reliability of the 2012 survey findings.  </w:t>
      </w:r>
      <w:r w:rsidR="00766BFA">
        <w:rPr>
          <w:szCs w:val="22"/>
        </w:rPr>
        <w:t>However</w:t>
      </w:r>
      <w:r w:rsidRPr="003B3C33">
        <w:rPr>
          <w:szCs w:val="22"/>
        </w:rPr>
        <w:t>, it should be noted that the 2013 survey does not include 18 year-olds</w:t>
      </w:r>
      <w:r w:rsidR="00766BFA">
        <w:rPr>
          <w:szCs w:val="22"/>
        </w:rPr>
        <w:t xml:space="preserve"> as</w:t>
      </w:r>
      <w:r w:rsidRPr="003B3C33">
        <w:rPr>
          <w:szCs w:val="22"/>
        </w:rPr>
        <w:t xml:space="preserve"> all participants are a year older than they were in 2012.  Consequently, the estimates apply to a slightly different population.  The sample size is also smaller, through attrition.  Given that attrition was non-random, this could also affect the results.  However, it is likely that sample weighting totally or largely corrected for this.  Smaller sample size also means that confidence intervals will be larger than they were in 2012.  As a result the estimates will generally be somewhat less precise.</w:t>
      </w:r>
    </w:p>
    <w:p w:rsidR="003B3C33" w:rsidRDefault="003B3C33" w:rsidP="003B3C33">
      <w:pPr>
        <w:jc w:val="both"/>
        <w:rPr>
          <w:szCs w:val="22"/>
        </w:rPr>
      </w:pPr>
    </w:p>
    <w:p w:rsidR="003B3C33" w:rsidRPr="003B3C33" w:rsidRDefault="003B3C33" w:rsidP="003B3C33">
      <w:pPr>
        <w:jc w:val="both"/>
        <w:rPr>
          <w:szCs w:val="22"/>
        </w:rPr>
      </w:pPr>
    </w:p>
    <w:p w:rsidR="003B3C33" w:rsidRPr="003B3C33" w:rsidRDefault="003B3C33" w:rsidP="003B3C33">
      <w:pPr>
        <w:jc w:val="both"/>
        <w:rPr>
          <w:b/>
          <w:szCs w:val="22"/>
        </w:rPr>
      </w:pPr>
      <w:r w:rsidRPr="003B3C33">
        <w:rPr>
          <w:b/>
          <w:szCs w:val="22"/>
        </w:rPr>
        <w:t>Population-level change and stability from 2102 to 2013</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As expected, there was no or minor change from 2012 to 20</w:t>
      </w:r>
      <w:r w:rsidR="000D5867">
        <w:rPr>
          <w:szCs w:val="22"/>
        </w:rPr>
        <w:t xml:space="preserve">13 in gambling participation.  </w:t>
      </w:r>
      <w:r w:rsidRPr="003B3C33">
        <w:rPr>
          <w:szCs w:val="22"/>
        </w:rPr>
        <w:t>Given the overlap in confidence levels it is most unlikely that there were significant changes in the prevalence of:</w:t>
      </w:r>
    </w:p>
    <w:p w:rsidR="003B3C33" w:rsidRPr="000D5867" w:rsidRDefault="000D5867" w:rsidP="000D5867">
      <w:pPr>
        <w:pStyle w:val="ListParagraph"/>
        <w:numPr>
          <w:ilvl w:val="0"/>
          <w:numId w:val="47"/>
        </w:numPr>
        <w:jc w:val="both"/>
        <w:rPr>
          <w:szCs w:val="22"/>
        </w:rPr>
      </w:pPr>
      <w:r w:rsidRPr="000D5867">
        <w:rPr>
          <w:szCs w:val="22"/>
        </w:rPr>
        <w:t xml:space="preserve">Past </w:t>
      </w:r>
      <w:r w:rsidR="003B3C33" w:rsidRPr="000D5867">
        <w:rPr>
          <w:szCs w:val="22"/>
        </w:rPr>
        <w:t>year gambling</w:t>
      </w:r>
    </w:p>
    <w:p w:rsidR="003B3C33" w:rsidRPr="000D5867" w:rsidRDefault="000D5867" w:rsidP="000D5867">
      <w:pPr>
        <w:pStyle w:val="ListParagraph"/>
        <w:numPr>
          <w:ilvl w:val="0"/>
          <w:numId w:val="47"/>
        </w:numPr>
        <w:jc w:val="both"/>
        <w:rPr>
          <w:szCs w:val="22"/>
        </w:rPr>
      </w:pPr>
      <w:r w:rsidRPr="000D5867">
        <w:rPr>
          <w:szCs w:val="22"/>
        </w:rPr>
        <w:t xml:space="preserve">Past </w:t>
      </w:r>
      <w:r w:rsidR="003B3C33" w:rsidRPr="000D5867">
        <w:rPr>
          <w:szCs w:val="22"/>
        </w:rPr>
        <w:t>year infrequent, regular non-continuous and regular continuous gambling</w:t>
      </w:r>
    </w:p>
    <w:p w:rsidR="003B3C33" w:rsidRPr="000D5867" w:rsidRDefault="000D5867" w:rsidP="000D5867">
      <w:pPr>
        <w:pStyle w:val="ListParagraph"/>
        <w:numPr>
          <w:ilvl w:val="0"/>
          <w:numId w:val="47"/>
        </w:numPr>
        <w:jc w:val="both"/>
        <w:rPr>
          <w:szCs w:val="22"/>
        </w:rPr>
      </w:pPr>
      <w:r w:rsidRPr="000D5867">
        <w:rPr>
          <w:szCs w:val="22"/>
        </w:rPr>
        <w:t xml:space="preserve">Gambling </w:t>
      </w:r>
      <w:r w:rsidR="003B3C33" w:rsidRPr="000D5867">
        <w:rPr>
          <w:szCs w:val="22"/>
        </w:rPr>
        <w:t>frequency, expenditure and most preferred activity</w:t>
      </w:r>
    </w:p>
    <w:p w:rsidR="003B3C33" w:rsidRPr="000D5867" w:rsidRDefault="000D5867" w:rsidP="000D5867">
      <w:pPr>
        <w:pStyle w:val="ListParagraph"/>
        <w:numPr>
          <w:ilvl w:val="0"/>
          <w:numId w:val="47"/>
        </w:numPr>
        <w:jc w:val="both"/>
        <w:rPr>
          <w:szCs w:val="22"/>
        </w:rPr>
      </w:pPr>
      <w:r w:rsidRPr="000D5867">
        <w:rPr>
          <w:szCs w:val="22"/>
        </w:rPr>
        <w:t>Person</w:t>
      </w:r>
      <w:r w:rsidR="003B3C33" w:rsidRPr="000D5867">
        <w:rPr>
          <w:szCs w:val="22"/>
        </w:rPr>
        <w:t>/s gambled with.</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 xml:space="preserve">There was a slight reduction in the proportion of adults who took part in </w:t>
      </w:r>
      <w:r w:rsidR="000D5867">
        <w:rPr>
          <w:szCs w:val="22"/>
        </w:rPr>
        <w:t>seven to nine</w:t>
      </w:r>
      <w:r w:rsidRPr="003B3C33">
        <w:rPr>
          <w:szCs w:val="22"/>
        </w:rPr>
        <w:t xml:space="preserve"> gambling activities during the past 12 months as well as in the proportions who took part in some continuous activities including pub and casino EGMs, casino table games, sports betting and making bets with friends or workmates.  Past month participation in most forms of gambling was the same or very similar in the two surveys.  Past month EGM participation, when pub, club and casino EGM participation was combined, was slightly lower in 2013.  While these findings suggest stability, for the most part,</w:t>
      </w:r>
      <w:r w:rsidR="000D5867">
        <w:rPr>
          <w:szCs w:val="22"/>
        </w:rPr>
        <w:t xml:space="preserve"> </w:t>
      </w:r>
      <w:r w:rsidRPr="003B3C33">
        <w:rPr>
          <w:szCs w:val="22"/>
        </w:rPr>
        <w:t xml:space="preserve">from 2012 to 2013, there are also indications that there was a slight reduction on some measures that are risk factors for problem and at-risk gambling.  These findings also increase our confidence in the general adult population estimates derived from the 2012 survey.  </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The population prevalence estimates derived from the 2012 baseline survey initially used 2006 Census data (Abbott et al</w:t>
      </w:r>
      <w:r w:rsidR="000D5867">
        <w:rPr>
          <w:szCs w:val="22"/>
        </w:rPr>
        <w:t>.</w:t>
      </w:r>
      <w:r w:rsidRPr="003B3C33">
        <w:rPr>
          <w:szCs w:val="22"/>
        </w:rPr>
        <w:t>, 2014a, 2014b).  In the present report</w:t>
      </w:r>
      <w:r w:rsidR="000D5867">
        <w:rPr>
          <w:szCs w:val="22"/>
        </w:rPr>
        <w:t>,</w:t>
      </w:r>
      <w:r w:rsidRPr="003B3C33">
        <w:rPr>
          <w:szCs w:val="22"/>
        </w:rPr>
        <w:t xml:space="preserve"> some baseline estimates were recalculated using the more recent 2013 </w:t>
      </w:r>
      <w:r w:rsidR="000D5867">
        <w:rPr>
          <w:szCs w:val="22"/>
        </w:rPr>
        <w:t>Census.  Very small reductions (0.1 </w:t>
      </w:r>
      <w:r w:rsidRPr="003B3C33">
        <w:rPr>
          <w:szCs w:val="22"/>
        </w:rPr>
        <w:t>%) were evident in the PGSI problem, moderate-risk and low-risk groups.  However</w:t>
      </w:r>
      <w:r w:rsidR="000D5867">
        <w:rPr>
          <w:szCs w:val="22"/>
        </w:rPr>
        <w:t>,</w:t>
      </w:r>
      <w:r w:rsidRPr="003B3C33">
        <w:rPr>
          <w:szCs w:val="22"/>
        </w:rPr>
        <w:t xml:space="preserve"> the confidence intervals overlapped markedly.  </w:t>
      </w:r>
      <w:r w:rsidR="000D5867">
        <w:rPr>
          <w:szCs w:val="22"/>
        </w:rPr>
        <w:t>For</w:t>
      </w:r>
      <w:r w:rsidRPr="003B3C33">
        <w:rPr>
          <w:szCs w:val="22"/>
        </w:rPr>
        <w:t xml:space="preserve"> the problem gambling estimate (0.7% using the 2006 Census; 0.6% using the 2013 Census) the confidence intervals remained the same (0.4%</w:t>
      </w:r>
      <w:r w:rsidR="000D5867">
        <w:rPr>
          <w:szCs w:val="22"/>
        </w:rPr>
        <w:t xml:space="preserve"> </w:t>
      </w:r>
      <w:r w:rsidRPr="003B3C33">
        <w:rPr>
          <w:szCs w:val="22"/>
        </w:rPr>
        <w:t>-</w:t>
      </w:r>
      <w:r w:rsidR="000D5867">
        <w:rPr>
          <w:szCs w:val="22"/>
        </w:rPr>
        <w:t xml:space="preserve"> </w:t>
      </w:r>
      <w:r w:rsidRPr="003B3C33">
        <w:rPr>
          <w:szCs w:val="22"/>
        </w:rPr>
        <w:t xml:space="preserve">0.9%). </w:t>
      </w:r>
    </w:p>
    <w:p w:rsidR="007D6FE5" w:rsidRPr="009F5E09" w:rsidRDefault="003B3C33" w:rsidP="003B3C33">
      <w:pPr>
        <w:jc w:val="both"/>
        <w:rPr>
          <w:szCs w:val="22"/>
        </w:rPr>
      </w:pPr>
      <w:r w:rsidRPr="009F5E09">
        <w:rPr>
          <w:szCs w:val="22"/>
        </w:rPr>
        <w:lastRenderedPageBreak/>
        <w:t xml:space="preserve">Prevalence estimates from the 2013 survey were also derived using the 2013 Census.  From 2012 to 2013 there </w:t>
      </w:r>
      <w:r w:rsidR="001B539B" w:rsidRPr="009F5E09">
        <w:rPr>
          <w:szCs w:val="22"/>
        </w:rPr>
        <w:t>appeared to be</w:t>
      </w:r>
      <w:r w:rsidR="00036A40" w:rsidRPr="009F5E09">
        <w:rPr>
          <w:szCs w:val="22"/>
        </w:rPr>
        <w:t xml:space="preserve"> a</w:t>
      </w:r>
      <w:r w:rsidRPr="009F5E09">
        <w:rPr>
          <w:szCs w:val="22"/>
        </w:rPr>
        <w:t xml:space="preserve"> very small increase in the prevalence of non-gambling (0.9%)</w:t>
      </w:r>
      <w:r w:rsidR="00036A40" w:rsidRPr="009F5E09">
        <w:rPr>
          <w:szCs w:val="22"/>
        </w:rPr>
        <w:t xml:space="preserve"> and in the prevalence of low-risk gambling (0.7%)</w:t>
      </w:r>
      <w:r w:rsidRPr="009F5E09">
        <w:rPr>
          <w:szCs w:val="22"/>
        </w:rPr>
        <w:t xml:space="preserve">.  There </w:t>
      </w:r>
      <w:r w:rsidR="001B539B" w:rsidRPr="009F5E09">
        <w:rPr>
          <w:szCs w:val="22"/>
        </w:rPr>
        <w:t>appeared to be</w:t>
      </w:r>
      <w:r w:rsidRPr="009F5E09">
        <w:rPr>
          <w:szCs w:val="22"/>
        </w:rPr>
        <w:t xml:space="preserve"> small decreases in problem</w:t>
      </w:r>
      <w:r w:rsidR="00036A40" w:rsidRPr="009F5E09">
        <w:rPr>
          <w:szCs w:val="22"/>
        </w:rPr>
        <w:t xml:space="preserve"> and</w:t>
      </w:r>
      <w:r w:rsidRPr="009F5E09">
        <w:rPr>
          <w:szCs w:val="22"/>
        </w:rPr>
        <w:t xml:space="preserve"> moderate-risk gambling (</w:t>
      </w:r>
      <w:r w:rsidR="00036A40" w:rsidRPr="009F5E09">
        <w:rPr>
          <w:szCs w:val="22"/>
        </w:rPr>
        <w:t>0.1% and 0.2</w:t>
      </w:r>
      <w:r w:rsidRPr="009F5E09">
        <w:rPr>
          <w:szCs w:val="22"/>
        </w:rPr>
        <w:t>%</w:t>
      </w:r>
      <w:r w:rsidR="00036A40" w:rsidRPr="009F5E09">
        <w:rPr>
          <w:szCs w:val="22"/>
        </w:rPr>
        <w:t xml:space="preserve"> respectively</w:t>
      </w:r>
      <w:r w:rsidRPr="009F5E09">
        <w:rPr>
          <w:szCs w:val="22"/>
        </w:rPr>
        <w:t xml:space="preserve">).  </w:t>
      </w:r>
      <w:r w:rsidR="001B539B" w:rsidRPr="009F5E09">
        <w:rPr>
          <w:szCs w:val="22"/>
        </w:rPr>
        <w:t>However, d</w:t>
      </w:r>
      <w:r w:rsidR="000D5867" w:rsidRPr="009F5E09">
        <w:rPr>
          <w:szCs w:val="22"/>
        </w:rPr>
        <w:t>ue to</w:t>
      </w:r>
      <w:r w:rsidRPr="009F5E09">
        <w:rPr>
          <w:szCs w:val="22"/>
        </w:rPr>
        <w:t xml:space="preserve"> the smaller sample size in 2013, confidence intervals increased meaning that the 2013 </w:t>
      </w:r>
      <w:r w:rsidR="001B539B" w:rsidRPr="009F5E09">
        <w:rPr>
          <w:szCs w:val="22"/>
        </w:rPr>
        <w:t xml:space="preserve">point </w:t>
      </w:r>
      <w:r w:rsidRPr="009F5E09">
        <w:rPr>
          <w:szCs w:val="22"/>
        </w:rPr>
        <w:t>estimates are less precise tha</w:t>
      </w:r>
      <w:r w:rsidR="000D5867" w:rsidRPr="009F5E09">
        <w:rPr>
          <w:szCs w:val="22"/>
        </w:rPr>
        <w:t>n</w:t>
      </w:r>
      <w:r w:rsidRPr="009F5E09">
        <w:rPr>
          <w:szCs w:val="22"/>
        </w:rPr>
        <w:t xml:space="preserve"> their 2012 counterparts.  </w:t>
      </w:r>
      <w:r w:rsidR="001B539B" w:rsidRPr="009F5E09">
        <w:rPr>
          <w:szCs w:val="22"/>
        </w:rPr>
        <w:t>As there was a</w:t>
      </w:r>
      <w:r w:rsidRPr="009F5E09">
        <w:rPr>
          <w:szCs w:val="22"/>
        </w:rPr>
        <w:t xml:space="preserve"> substantial overlap in confidence intervals </w:t>
      </w:r>
      <w:r w:rsidR="001B539B" w:rsidRPr="009F5E09">
        <w:rPr>
          <w:szCs w:val="22"/>
        </w:rPr>
        <w:t>there is, therefore, no evidence that there was an actual difference in prevalence estimates from 2012 to 2013</w:t>
      </w:r>
      <w:r w:rsidRPr="009F5E09">
        <w:rPr>
          <w:szCs w:val="22"/>
        </w:rPr>
        <w:t>.  In 2013</w:t>
      </w:r>
      <w:r w:rsidR="000D5867" w:rsidRPr="009F5E09">
        <w:rPr>
          <w:szCs w:val="22"/>
        </w:rPr>
        <w:t>,</w:t>
      </w:r>
      <w:r w:rsidRPr="009F5E09">
        <w:rPr>
          <w:szCs w:val="22"/>
        </w:rPr>
        <w:t xml:space="preserve"> the prevalence estimates and accompanying confidence intervals were</w:t>
      </w:r>
      <w:r w:rsidR="00036A40" w:rsidRPr="009F5E09">
        <w:rPr>
          <w:szCs w:val="22"/>
        </w:rPr>
        <w:t>: problem gambling (0.5%; CI 0.3</w:t>
      </w:r>
      <w:r w:rsidR="001641C5" w:rsidRPr="009F5E09">
        <w:rPr>
          <w:szCs w:val="22"/>
        </w:rPr>
        <w:t xml:space="preserve"> </w:t>
      </w:r>
      <w:r w:rsidRPr="009F5E09">
        <w:rPr>
          <w:szCs w:val="22"/>
        </w:rPr>
        <w:t>-</w:t>
      </w:r>
      <w:r w:rsidR="001641C5" w:rsidRPr="009F5E09">
        <w:rPr>
          <w:szCs w:val="22"/>
        </w:rPr>
        <w:t xml:space="preserve"> </w:t>
      </w:r>
      <w:r w:rsidRPr="009F5E09">
        <w:rPr>
          <w:szCs w:val="22"/>
        </w:rPr>
        <w:t>0.7), moderate-risk gambling (1.</w:t>
      </w:r>
      <w:r w:rsidR="00036A40" w:rsidRPr="009F5E09">
        <w:rPr>
          <w:szCs w:val="22"/>
        </w:rPr>
        <w:t>5</w:t>
      </w:r>
      <w:r w:rsidRPr="009F5E09">
        <w:rPr>
          <w:szCs w:val="22"/>
        </w:rPr>
        <w:t>%; CI 1.</w:t>
      </w:r>
      <w:r w:rsidR="00036A40" w:rsidRPr="009F5E09">
        <w:rPr>
          <w:szCs w:val="22"/>
        </w:rPr>
        <w:t>1</w:t>
      </w:r>
      <w:r w:rsidR="001641C5" w:rsidRPr="009F5E09">
        <w:rPr>
          <w:szCs w:val="22"/>
        </w:rPr>
        <w:t xml:space="preserve"> </w:t>
      </w:r>
      <w:r w:rsidRPr="009F5E09">
        <w:rPr>
          <w:szCs w:val="22"/>
        </w:rPr>
        <w:t>-</w:t>
      </w:r>
      <w:r w:rsidR="001641C5" w:rsidRPr="009F5E09">
        <w:rPr>
          <w:szCs w:val="22"/>
        </w:rPr>
        <w:t xml:space="preserve"> </w:t>
      </w:r>
      <w:r w:rsidRPr="009F5E09">
        <w:rPr>
          <w:szCs w:val="22"/>
        </w:rPr>
        <w:t>1.9) and low-risk gambling (</w:t>
      </w:r>
      <w:r w:rsidR="00036A40" w:rsidRPr="009F5E09">
        <w:rPr>
          <w:szCs w:val="22"/>
        </w:rPr>
        <w:t>5.6</w:t>
      </w:r>
      <w:r w:rsidRPr="009F5E09">
        <w:rPr>
          <w:szCs w:val="22"/>
        </w:rPr>
        <w:t xml:space="preserve">%; CI </w:t>
      </w:r>
      <w:r w:rsidR="00036A40" w:rsidRPr="009F5E09">
        <w:rPr>
          <w:szCs w:val="22"/>
        </w:rPr>
        <w:t>4.8</w:t>
      </w:r>
      <w:r w:rsidR="001641C5" w:rsidRPr="009F5E09">
        <w:rPr>
          <w:szCs w:val="22"/>
        </w:rPr>
        <w:t xml:space="preserve"> </w:t>
      </w:r>
      <w:r w:rsidRPr="009F5E09">
        <w:rPr>
          <w:szCs w:val="22"/>
        </w:rPr>
        <w:t>-</w:t>
      </w:r>
      <w:r w:rsidR="001641C5" w:rsidRPr="009F5E09">
        <w:rPr>
          <w:szCs w:val="22"/>
        </w:rPr>
        <w:t xml:space="preserve"> </w:t>
      </w:r>
      <w:r w:rsidR="00036A40" w:rsidRPr="009F5E09">
        <w:rPr>
          <w:szCs w:val="22"/>
        </w:rPr>
        <w:t>6.5</w:t>
      </w:r>
      <w:r w:rsidRPr="009F5E09">
        <w:rPr>
          <w:szCs w:val="22"/>
        </w:rPr>
        <w:t xml:space="preserve">).  It will be of interest to compare these estimates with those derived from the 2014 and 2015 surveys.  This information will provide a clearer indication of </w:t>
      </w:r>
      <w:r w:rsidR="002E17A9" w:rsidRPr="009F5E09">
        <w:rPr>
          <w:szCs w:val="22"/>
        </w:rPr>
        <w:t xml:space="preserve">prevalence </w:t>
      </w:r>
      <w:r w:rsidRPr="009F5E09">
        <w:rPr>
          <w:szCs w:val="22"/>
        </w:rPr>
        <w:t xml:space="preserve">stability and trends over time.  </w:t>
      </w:r>
    </w:p>
    <w:p w:rsidR="007D6FE5" w:rsidRPr="009F5E09" w:rsidRDefault="007D6FE5" w:rsidP="003B3C33">
      <w:pPr>
        <w:jc w:val="both"/>
        <w:rPr>
          <w:szCs w:val="22"/>
        </w:rPr>
      </w:pPr>
    </w:p>
    <w:p w:rsidR="003B3C33" w:rsidRPr="003B3C33" w:rsidRDefault="007D6FE5" w:rsidP="003B3C33">
      <w:pPr>
        <w:jc w:val="both"/>
        <w:rPr>
          <w:szCs w:val="22"/>
        </w:rPr>
      </w:pPr>
      <w:r w:rsidRPr="009F5E09">
        <w:rPr>
          <w:szCs w:val="22"/>
        </w:rPr>
        <w:t xml:space="preserve">Just less than a third of participants in both surveys reported that they thought they knew someone with a gambling problem.  In both surveys, 0.3% of adults reported seeking help </w:t>
      </w:r>
      <w:r w:rsidR="009E314A" w:rsidRPr="009F5E09">
        <w:rPr>
          <w:szCs w:val="22"/>
        </w:rPr>
        <w:t xml:space="preserve">(from formal and informal sources) </w:t>
      </w:r>
      <w:r w:rsidRPr="009F5E09">
        <w:rPr>
          <w:szCs w:val="22"/>
        </w:rPr>
        <w:t xml:space="preserve">for a gambling problem.  </w:t>
      </w:r>
      <w:r w:rsidR="003B3C33" w:rsidRPr="009F5E09">
        <w:rPr>
          <w:szCs w:val="22"/>
        </w:rPr>
        <w:t>It is of interest that the help-seeking rate</w:t>
      </w:r>
      <w:r w:rsidR="00FA7721">
        <w:rPr>
          <w:szCs w:val="22"/>
        </w:rPr>
        <w:t xml:space="preserve"> </w:t>
      </w:r>
      <w:r w:rsidR="00FA7721" w:rsidRPr="009F5E09">
        <w:rPr>
          <w:szCs w:val="22"/>
        </w:rPr>
        <w:t xml:space="preserve">(from formal and informal sources) </w:t>
      </w:r>
      <w:r w:rsidR="003B3C33" w:rsidRPr="009F5E09">
        <w:rPr>
          <w:szCs w:val="22"/>
        </w:rPr>
        <w:t xml:space="preserve">is </w:t>
      </w:r>
      <w:r w:rsidR="001641C5" w:rsidRPr="009F5E09">
        <w:rPr>
          <w:szCs w:val="22"/>
        </w:rPr>
        <w:t>60%</w:t>
      </w:r>
      <w:r w:rsidR="003B3C33" w:rsidRPr="009F5E09">
        <w:rPr>
          <w:szCs w:val="22"/>
        </w:rPr>
        <w:t xml:space="preserve"> of </w:t>
      </w:r>
      <w:r w:rsidR="001641C5" w:rsidRPr="009F5E09">
        <w:rPr>
          <w:szCs w:val="22"/>
        </w:rPr>
        <w:t xml:space="preserve">the </w:t>
      </w:r>
      <w:r w:rsidR="003B3C33" w:rsidRPr="009F5E09">
        <w:rPr>
          <w:szCs w:val="22"/>
        </w:rPr>
        <w:t>2013 problem gambling prevalence rate.  It is probable that the great majority of people who report seeking help are</w:t>
      </w:r>
      <w:r w:rsidR="003B3C33" w:rsidRPr="003B3C33">
        <w:rPr>
          <w:szCs w:val="22"/>
        </w:rPr>
        <w:t xml:space="preserve"> problem gamblers.  </w:t>
      </w:r>
      <w:r>
        <w:rPr>
          <w:szCs w:val="22"/>
        </w:rPr>
        <w:t>T</w:t>
      </w:r>
      <w:r w:rsidR="003B3C33" w:rsidRPr="003B3C33">
        <w:rPr>
          <w:szCs w:val="22"/>
        </w:rPr>
        <w:t>his indicates a very high level of help-seeking</w:t>
      </w:r>
      <w:r w:rsidR="00FA7721">
        <w:rPr>
          <w:szCs w:val="22"/>
        </w:rPr>
        <w:t xml:space="preserve"> </w:t>
      </w:r>
      <w:r w:rsidR="00FA7721" w:rsidRPr="009F5E09">
        <w:rPr>
          <w:szCs w:val="22"/>
        </w:rPr>
        <w:t>(from formal and informal sources)</w:t>
      </w:r>
      <w:r w:rsidR="003B3C33" w:rsidRPr="003B3C33">
        <w:rPr>
          <w:szCs w:val="22"/>
        </w:rPr>
        <w:t>.  Further investigation is required to assess this and obtain further information on the type</w:t>
      </w:r>
      <w:r>
        <w:rPr>
          <w:szCs w:val="22"/>
        </w:rPr>
        <w:t>s</w:t>
      </w:r>
      <w:r w:rsidR="003B3C33" w:rsidRPr="003B3C33">
        <w:rPr>
          <w:szCs w:val="22"/>
        </w:rPr>
        <w:t xml:space="preserve"> of help sought and obtained.   </w:t>
      </w:r>
    </w:p>
    <w:p w:rsidR="003B3C33" w:rsidRDefault="003B3C33" w:rsidP="003B3C33">
      <w:pPr>
        <w:jc w:val="both"/>
        <w:rPr>
          <w:szCs w:val="22"/>
        </w:rPr>
      </w:pPr>
    </w:p>
    <w:p w:rsidR="003B3C33" w:rsidRPr="003B3C33" w:rsidRDefault="003B3C33" w:rsidP="003B3C33">
      <w:pPr>
        <w:jc w:val="both"/>
        <w:rPr>
          <w:szCs w:val="22"/>
        </w:rPr>
      </w:pPr>
    </w:p>
    <w:p w:rsidR="003B3C33" w:rsidRPr="003B3C33" w:rsidRDefault="003B3C33" w:rsidP="003B3C33">
      <w:pPr>
        <w:jc w:val="both"/>
        <w:rPr>
          <w:b/>
          <w:szCs w:val="22"/>
        </w:rPr>
      </w:pPr>
      <w:r w:rsidRPr="003B3C33">
        <w:rPr>
          <w:b/>
          <w:szCs w:val="22"/>
        </w:rPr>
        <w:t xml:space="preserve">Incidence and transitions from 2012 to 2013 </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The great majority of information gathered in the New Zealand and overseas participation and problem gambl</w:t>
      </w:r>
      <w:r w:rsidR="00EE0B56">
        <w:rPr>
          <w:szCs w:val="22"/>
        </w:rPr>
        <w:t>ing prevalence surveys is cross-</w:t>
      </w:r>
      <w:r w:rsidRPr="003B3C33">
        <w:rPr>
          <w:szCs w:val="22"/>
        </w:rPr>
        <w:t>sectional.  This means that the tempor</w:t>
      </w:r>
      <w:r w:rsidR="00EE0B56">
        <w:rPr>
          <w:szCs w:val="22"/>
        </w:rPr>
        <w:t>al direction of relationships (c</w:t>
      </w:r>
      <w:r w:rsidRPr="003B3C33">
        <w:rPr>
          <w:szCs w:val="22"/>
        </w:rPr>
        <w:t>hicken or egg) is unknown or uncertain.  While some of the New Zealand surveys asked participants about changes in their gambling participation over time (notably Abbott, 2001; Abbott &amp; Volberg, 1992, 200</w:t>
      </w:r>
      <w:r w:rsidR="00FB156E">
        <w:rPr>
          <w:szCs w:val="22"/>
        </w:rPr>
        <w:t>0</w:t>
      </w:r>
      <w:r w:rsidRPr="003B3C33">
        <w:rPr>
          <w:szCs w:val="22"/>
        </w:rPr>
        <w:t>; Abbott et al</w:t>
      </w:r>
      <w:r w:rsidR="00EE0B56">
        <w:rPr>
          <w:szCs w:val="22"/>
        </w:rPr>
        <w:t>.</w:t>
      </w:r>
      <w:r w:rsidRPr="003B3C33">
        <w:rPr>
          <w:szCs w:val="22"/>
        </w:rPr>
        <w:t xml:space="preserve">, 2014a, 2014b), this information was obtained retrospectively, by asking people about things they did and experienced in the past.  Sometimes these questions concerned quite distant events.  Although providing some indication of change over time at </w:t>
      </w:r>
      <w:r w:rsidR="00EE0B56">
        <w:rPr>
          <w:szCs w:val="22"/>
        </w:rPr>
        <w:t>an</w:t>
      </w:r>
      <w:r w:rsidRPr="003B3C33">
        <w:rPr>
          <w:szCs w:val="22"/>
        </w:rPr>
        <w:t xml:space="preserve"> individual level, </w:t>
      </w:r>
      <w:r w:rsidR="00EE0B56">
        <w:rPr>
          <w:szCs w:val="22"/>
        </w:rPr>
        <w:t>information gathered in this way</w:t>
      </w:r>
      <w:r w:rsidRPr="003B3C33">
        <w:rPr>
          <w:szCs w:val="22"/>
        </w:rPr>
        <w:t xml:space="preserve"> is subject to recall </w:t>
      </w:r>
      <w:r w:rsidR="00EE0B56">
        <w:rPr>
          <w:szCs w:val="22"/>
        </w:rPr>
        <w:t xml:space="preserve">bias </w:t>
      </w:r>
      <w:r w:rsidRPr="003B3C33">
        <w:rPr>
          <w:szCs w:val="22"/>
        </w:rPr>
        <w:t>and a variety of other distortions.  Prospective studies are required to assess this type of change over time.</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Earlier it was mentioned that the SOGS was adapted for the 1990 New Zealand national survey.  The original SOGS was a lifetime measure, with questions asking if people had ever engaged in particular behaviours and experienced adverse gambling-related outcomes.  This reflected the conceptualisation of pathological gambling as a chronic or chronically relapsing disorder.  The SOGS-R retained the lifetime measure and added a current (past six months) frame.  When this adapted measure was first used (Abbott &amp; Volberg, 1991, 1996)</w:t>
      </w:r>
      <w:r w:rsidR="00EE0B56">
        <w:rPr>
          <w:szCs w:val="22"/>
        </w:rPr>
        <w:t>,</w:t>
      </w:r>
      <w:r w:rsidRPr="003B3C33">
        <w:rPr>
          <w:szCs w:val="22"/>
        </w:rPr>
        <w:t xml:space="preserve"> it was found that the current probable pathological and problem gambling estimates were substantially lower than the lifetime estimates.  In psychiatric epidemiology this difference is generally regarded as an indication of recovery over time.  It can</w:t>
      </w:r>
      <w:r w:rsidR="00EE0B56">
        <w:rPr>
          <w:szCs w:val="22"/>
        </w:rPr>
        <w:t>,</w:t>
      </w:r>
      <w:r w:rsidRPr="003B3C33">
        <w:rPr>
          <w:szCs w:val="22"/>
        </w:rPr>
        <w:t xml:space="preserve"> however</w:t>
      </w:r>
      <w:r w:rsidR="00EE0B56">
        <w:rPr>
          <w:szCs w:val="22"/>
        </w:rPr>
        <w:t>,</w:t>
      </w:r>
      <w:r w:rsidRPr="003B3C33">
        <w:rPr>
          <w:szCs w:val="22"/>
        </w:rPr>
        <w:t xml:space="preserve"> reflect other things and ‘lifetime’ estimates are likely to </w:t>
      </w:r>
      <w:r w:rsidR="00EE0B56">
        <w:rPr>
          <w:szCs w:val="22"/>
        </w:rPr>
        <w:t xml:space="preserve">be </w:t>
      </w:r>
      <w:r w:rsidRPr="003B3C33">
        <w:rPr>
          <w:szCs w:val="22"/>
        </w:rPr>
        <w:t xml:space="preserve">unreliable as they are based on recall and interpretation of distant events, especially </w:t>
      </w:r>
      <w:r w:rsidR="00EE0B56">
        <w:rPr>
          <w:szCs w:val="22"/>
        </w:rPr>
        <w:t>for</w:t>
      </w:r>
      <w:r w:rsidRPr="003B3C33">
        <w:rPr>
          <w:szCs w:val="22"/>
        </w:rPr>
        <w:t xml:space="preserve"> older people.  As with gambling participation and other aspects of gambling, retrospective accounts are a poor proxy for studies that focus on the recent past and current experience</w:t>
      </w:r>
      <w:r w:rsidR="00EE0B56">
        <w:rPr>
          <w:szCs w:val="22"/>
        </w:rPr>
        <w:t>,</w:t>
      </w:r>
      <w:r w:rsidRPr="003B3C33">
        <w:rPr>
          <w:szCs w:val="22"/>
        </w:rPr>
        <w:t xml:space="preserve"> and are prospective.  When </w:t>
      </w:r>
      <w:r w:rsidR="007D6FE5">
        <w:rPr>
          <w:szCs w:val="22"/>
        </w:rPr>
        <w:t xml:space="preserve">subgroups of </w:t>
      </w:r>
      <w:r w:rsidRPr="003B3C33">
        <w:rPr>
          <w:szCs w:val="22"/>
        </w:rPr>
        <w:t>participants in the 1991 national survey were re-assessed seven years later (Abbott, Williams &amp; Volberg, 1999, 2004)</w:t>
      </w:r>
      <w:r w:rsidR="00EE0B56">
        <w:rPr>
          <w:szCs w:val="22"/>
        </w:rPr>
        <w:t>,</w:t>
      </w:r>
      <w:r w:rsidRPr="003B3C33">
        <w:rPr>
          <w:szCs w:val="22"/>
        </w:rPr>
        <w:t xml:space="preserve"> it was found that </w:t>
      </w:r>
      <w:r w:rsidRPr="003B3C33">
        <w:rPr>
          <w:szCs w:val="22"/>
        </w:rPr>
        <w:lastRenderedPageBreak/>
        <w:t>a substantial number of 1991 lifetime probable pathological and problem gamblers were no longer in these categories in 1998.  In other words</w:t>
      </w:r>
      <w:r w:rsidR="00EE0B56">
        <w:rPr>
          <w:szCs w:val="22"/>
        </w:rPr>
        <w:t>,</w:t>
      </w:r>
      <w:r w:rsidRPr="003B3C33">
        <w:rPr>
          <w:szCs w:val="22"/>
        </w:rPr>
        <w:t xml:space="preserve"> participants failed to report problem gambling symptoms that they had previously reported.  This means that the ‘lifetime’ SOGS significantly under-detects past problems.      </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In the present study</w:t>
      </w:r>
      <w:r w:rsidR="00D94CBF">
        <w:rPr>
          <w:szCs w:val="22"/>
        </w:rPr>
        <w:t>,</w:t>
      </w:r>
      <w:r w:rsidRPr="003B3C33">
        <w:rPr>
          <w:szCs w:val="22"/>
        </w:rPr>
        <w:t xml:space="preserve"> the incidence of PGSI problem gambling was 0.28% (CI 0.10</w:t>
      </w:r>
      <w:r w:rsidR="00D94CBF">
        <w:rPr>
          <w:szCs w:val="22"/>
        </w:rPr>
        <w:t xml:space="preserve"> </w:t>
      </w:r>
      <w:r w:rsidRPr="003B3C33">
        <w:rPr>
          <w:szCs w:val="22"/>
        </w:rPr>
        <w:t>-</w:t>
      </w:r>
      <w:r w:rsidR="00D94CBF">
        <w:rPr>
          <w:szCs w:val="22"/>
        </w:rPr>
        <w:t xml:space="preserve"> </w:t>
      </w:r>
      <w:r w:rsidRPr="003B3C33">
        <w:rPr>
          <w:szCs w:val="22"/>
        </w:rPr>
        <w:t>0.45), an estimated 8,046 people.  The moderate-risk incidence was 1.1% (CI 0.7</w:t>
      </w:r>
      <w:r w:rsidR="00D94CBF">
        <w:rPr>
          <w:szCs w:val="22"/>
        </w:rPr>
        <w:t xml:space="preserve"> </w:t>
      </w:r>
      <w:r w:rsidRPr="003B3C33">
        <w:rPr>
          <w:szCs w:val="22"/>
        </w:rPr>
        <w:t>-</w:t>
      </w:r>
      <w:r w:rsidR="00D94CBF">
        <w:rPr>
          <w:szCs w:val="22"/>
        </w:rPr>
        <w:t xml:space="preserve"> </w:t>
      </w:r>
      <w:r w:rsidRPr="003B3C33">
        <w:rPr>
          <w:szCs w:val="22"/>
        </w:rPr>
        <w:t xml:space="preserve">1.5), an estimated 31,158 people.  These were people who were not moderate-risk or problem gamblers in 2012 but who became moderate-risk </w:t>
      </w:r>
      <w:r w:rsidR="00D94CBF">
        <w:rPr>
          <w:szCs w:val="22"/>
        </w:rPr>
        <w:t xml:space="preserve">or problem </w:t>
      </w:r>
      <w:r w:rsidRPr="003B3C33">
        <w:rPr>
          <w:szCs w:val="22"/>
        </w:rPr>
        <w:t>gamblers in 2013.  This provides an estimate of ‘inflow’, the proportion and number of adults who develop moderate to more severe gambling-related problems during a two year period.  The combined problem and moderate-risk estimate of 1.4% is identical to the inc</w:t>
      </w:r>
      <w:r w:rsidR="00D94CBF">
        <w:rPr>
          <w:szCs w:val="22"/>
        </w:rPr>
        <w:t xml:space="preserve">idence rate obtained in Sweden </w:t>
      </w:r>
      <w:r w:rsidRPr="003B3C33">
        <w:rPr>
          <w:szCs w:val="22"/>
        </w:rPr>
        <w:t xml:space="preserve">(Statens </w:t>
      </w:r>
      <w:r w:rsidR="00A37672" w:rsidRPr="00786DBF">
        <w:t>Folkh</w:t>
      </w:r>
      <w:r w:rsidR="00A37672" w:rsidRPr="00A64EF9">
        <w:t>ä</w:t>
      </w:r>
      <w:r w:rsidR="00A37672">
        <w:t>l</w:t>
      </w:r>
      <w:r w:rsidR="00A37672" w:rsidRPr="00786DBF">
        <w:t>soinstitut</w:t>
      </w:r>
      <w:r w:rsidRPr="003B3C33">
        <w:rPr>
          <w:szCs w:val="22"/>
        </w:rPr>
        <w:t>, 2012), the only other national study to date that has measured incidence.  The recent Victorian survey also provided an incidence estimate for problem gambling (Billi et al</w:t>
      </w:r>
      <w:r w:rsidR="00D94CBF">
        <w:rPr>
          <w:szCs w:val="22"/>
        </w:rPr>
        <w:t>.</w:t>
      </w:r>
      <w:r w:rsidRPr="003B3C33">
        <w:rPr>
          <w:szCs w:val="22"/>
        </w:rPr>
        <w:t xml:space="preserve">, 2014a).  This estimate was 0.36%, similar to that of the present study.  Given that the 2013 problem gambling and moderate-risk gambling prevalence rates were 0.5% and 1.4% respectively, it is evident that over half of the problem gamblers in that year were new problem gamblers and that over three-quarters of moderate-risk gamblers were </w:t>
      </w:r>
      <w:r w:rsidR="007D6FE5">
        <w:rPr>
          <w:szCs w:val="22"/>
        </w:rPr>
        <w:t>people who had moved into these categories during the past 12 months</w:t>
      </w:r>
      <w:r w:rsidRPr="003B3C33">
        <w:rPr>
          <w:szCs w:val="22"/>
        </w:rPr>
        <w:t>.</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The lifetime SOGS was included in the NGS to enable comparison with lifetime prevalence estimates in the earlier 1991 and 2000 national surveys</w:t>
      </w:r>
      <w:r w:rsidR="00D94CBF">
        <w:rPr>
          <w:szCs w:val="22"/>
        </w:rPr>
        <w:t>,</w:t>
      </w:r>
      <w:r w:rsidRPr="003B3C33">
        <w:rPr>
          <w:szCs w:val="22"/>
        </w:rPr>
        <w:t xml:space="preserve"> and to provide an indication of what proportion of ‘new’ problem gamblers develop</w:t>
      </w:r>
      <w:r w:rsidR="007D6FE5">
        <w:rPr>
          <w:szCs w:val="22"/>
        </w:rPr>
        <w:t>ed</w:t>
      </w:r>
      <w:r w:rsidRPr="003B3C33">
        <w:rPr>
          <w:szCs w:val="22"/>
        </w:rPr>
        <w:t xml:space="preserve"> problems for the first time rather than relaps</w:t>
      </w:r>
      <w:r w:rsidR="007D6FE5">
        <w:rPr>
          <w:szCs w:val="22"/>
        </w:rPr>
        <w:t>ed</w:t>
      </w:r>
      <w:r w:rsidRPr="003B3C33">
        <w:rPr>
          <w:szCs w:val="22"/>
        </w:rPr>
        <w:t>.  Lifetime measures were also included in the Swedish and Victorian studies for the latter purpose.  In the present study</w:t>
      </w:r>
      <w:r w:rsidR="00D94CBF">
        <w:rPr>
          <w:szCs w:val="22"/>
        </w:rPr>
        <w:t>,</w:t>
      </w:r>
      <w:r w:rsidRPr="003B3C33">
        <w:rPr>
          <w:szCs w:val="22"/>
        </w:rPr>
        <w:t xml:space="preserve"> it was found that of those who developed problem</w:t>
      </w:r>
      <w:r w:rsidR="00D94CBF">
        <w:rPr>
          <w:szCs w:val="22"/>
        </w:rPr>
        <w:t>s</w:t>
      </w:r>
      <w:r w:rsidRPr="003B3C33">
        <w:rPr>
          <w:szCs w:val="22"/>
        </w:rPr>
        <w:t xml:space="preserve"> between 2012 and 2013, slightly over half (51.6%) were new problem gamblers and slightly under a half (48.4%) were people who, while not problem gamblers during the 12 months prior to 2012, were assessed as previously having been a problem or</w:t>
      </w:r>
      <w:r w:rsidR="00D94CBF">
        <w:rPr>
          <w:szCs w:val="22"/>
        </w:rPr>
        <w:t xml:space="preserve"> probable pathological gambler.</w:t>
      </w:r>
      <w:r w:rsidRPr="003B3C33">
        <w:rPr>
          <w:szCs w:val="22"/>
        </w:rPr>
        <w:t xml:space="preserve">  In Victoria</w:t>
      </w:r>
      <w:r w:rsidR="00D94CBF">
        <w:rPr>
          <w:szCs w:val="22"/>
        </w:rPr>
        <w:t>,</w:t>
      </w:r>
      <w:r w:rsidRPr="003B3C33">
        <w:rPr>
          <w:szCs w:val="22"/>
        </w:rPr>
        <w:t xml:space="preserve"> two-thirds of </w:t>
      </w:r>
      <w:r w:rsidR="0052363E">
        <w:rPr>
          <w:szCs w:val="22"/>
        </w:rPr>
        <w:t>inciden</w:t>
      </w:r>
      <w:r w:rsidR="007D6FE5">
        <w:rPr>
          <w:szCs w:val="22"/>
        </w:rPr>
        <w:t>t</w:t>
      </w:r>
      <w:r w:rsidR="0052363E">
        <w:rPr>
          <w:szCs w:val="22"/>
        </w:rPr>
        <w:t xml:space="preserve"> </w:t>
      </w:r>
      <w:r w:rsidRPr="003B3C33">
        <w:rPr>
          <w:szCs w:val="22"/>
        </w:rPr>
        <w:t>problem gamblers had a previous history of probable pathological or problem gambling.  As mentioned in the introduction</w:t>
      </w:r>
      <w:r w:rsidR="00D94CBF">
        <w:rPr>
          <w:szCs w:val="22"/>
        </w:rPr>
        <w:t>,</w:t>
      </w:r>
      <w:r w:rsidRPr="003B3C33">
        <w:rPr>
          <w:szCs w:val="22"/>
        </w:rPr>
        <w:t xml:space="preserve"> the NODS Clip2 was used to assess lifetime problems in the Victorian study.  It is not known to what extent the differences in the two studies are due to actual differences in the populations or to methodological differences.  In any event</w:t>
      </w:r>
      <w:r w:rsidR="00D94CBF">
        <w:rPr>
          <w:szCs w:val="22"/>
        </w:rPr>
        <w:t>,</w:t>
      </w:r>
      <w:r w:rsidRPr="003B3C33">
        <w:rPr>
          <w:szCs w:val="22"/>
        </w:rPr>
        <w:t xml:space="preserve"> in both studies it is evident that substantial numbers of ‘new’ problem gamblers are people who are relapsing rather than developing problems for the first time.</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In the present study, of those who became moderate-risk gamblers in 2013, nearly three-quarters (71.1%) were people who had not previously been probable pathological or problem gamblers and just over a quarter (28.9%) had been probable pathological or problem gamblers.  Overall</w:t>
      </w:r>
      <w:r w:rsidR="00D02DFC">
        <w:rPr>
          <w:szCs w:val="22"/>
        </w:rPr>
        <w:t>,</w:t>
      </w:r>
      <w:r w:rsidRPr="003B3C33">
        <w:rPr>
          <w:szCs w:val="22"/>
        </w:rPr>
        <w:t xml:space="preserve"> three-quarters (74.3%) of 2013 ‘new’ problem and moderate-risk gamblers were assessed as not previously having been a probable pathological or problem gambler and a quarter (24.5%) were assessed as previously having a problem.  In Sweden</w:t>
      </w:r>
      <w:r w:rsidR="00D02DFC">
        <w:rPr>
          <w:szCs w:val="22"/>
        </w:rPr>
        <w:t>,</w:t>
      </w:r>
      <w:r w:rsidRPr="003B3C33">
        <w:rPr>
          <w:szCs w:val="22"/>
        </w:rPr>
        <w:t xml:space="preserve"> a fifth of </w:t>
      </w:r>
      <w:r w:rsidR="0052363E">
        <w:rPr>
          <w:szCs w:val="22"/>
        </w:rPr>
        <w:t>inciden</w:t>
      </w:r>
      <w:r w:rsidR="007D6FE5">
        <w:rPr>
          <w:szCs w:val="22"/>
        </w:rPr>
        <w:t>t</w:t>
      </w:r>
      <w:r w:rsidR="0052363E">
        <w:rPr>
          <w:szCs w:val="22"/>
        </w:rPr>
        <w:t xml:space="preserve"> </w:t>
      </w:r>
      <w:r w:rsidRPr="003B3C33">
        <w:rPr>
          <w:szCs w:val="22"/>
        </w:rPr>
        <w:t>problem and moderate-risk gamblers had previously been assessed as being a probable pathological or problem gambler.  These findings suggest that while less prone to relapse than problem gamblers, a substantial minority of people with less severe problems relapse.</w:t>
      </w:r>
    </w:p>
    <w:p w:rsidR="003B3C33" w:rsidRPr="003B3C33" w:rsidRDefault="003B3C33" w:rsidP="003B3C33">
      <w:pPr>
        <w:jc w:val="both"/>
        <w:rPr>
          <w:szCs w:val="22"/>
        </w:rPr>
      </w:pPr>
    </w:p>
    <w:p w:rsidR="003B3C33" w:rsidRPr="003B3C33" w:rsidRDefault="003B3C33" w:rsidP="003B3C33">
      <w:pPr>
        <w:jc w:val="both"/>
        <w:rPr>
          <w:szCs w:val="22"/>
        </w:rPr>
      </w:pPr>
      <w:r w:rsidRPr="003B3C33">
        <w:rPr>
          <w:szCs w:val="22"/>
        </w:rPr>
        <w:t xml:space="preserve">It has been mentioned that the original SOGS, in the ‘lifetime’ format, has been shown to significantly under-estimate past lifetime problems.  This means that it is highly probable that the proportions of problem and moderate-risk gamblers who are relapsing are actually higher, possibly significantly so, than appears to be the case.  This will be examined prospectively in </w:t>
      </w:r>
      <w:r w:rsidRPr="003B3C33">
        <w:rPr>
          <w:szCs w:val="22"/>
        </w:rPr>
        <w:lastRenderedPageBreak/>
        <w:t>subsequent waves of the NGS.  However, the time period will be limited to four years.  Longer term prospective studies are required to more fully assess the life course of problem gambling in the community.</w:t>
      </w:r>
    </w:p>
    <w:p w:rsidR="003B3C33" w:rsidRPr="003B3C33" w:rsidRDefault="003B3C33" w:rsidP="003B3C33">
      <w:pPr>
        <w:jc w:val="both"/>
        <w:rPr>
          <w:szCs w:val="22"/>
        </w:rPr>
      </w:pPr>
      <w:r w:rsidRPr="003B3C33">
        <w:rPr>
          <w:szCs w:val="22"/>
        </w:rPr>
        <w:t xml:space="preserve">   </w:t>
      </w:r>
    </w:p>
    <w:p w:rsidR="003B3C33" w:rsidRPr="003B3C33" w:rsidRDefault="003B3C33" w:rsidP="003B3C33">
      <w:pPr>
        <w:jc w:val="both"/>
        <w:rPr>
          <w:szCs w:val="22"/>
        </w:rPr>
      </w:pPr>
      <w:r w:rsidRPr="003B3C33">
        <w:rPr>
          <w:szCs w:val="22"/>
        </w:rPr>
        <w:t>Of those who were problem gamblers in 2012, over a half (55.9%), an estimated 7,261 people, were no longer problem gamblers in 2013; 9.7% became moderate-risk gamblers and 46.2% became low-risk or non-problem gamblers in 2013.  None became non-gamblers.  A slightly higher proportion of moderate-risk gamblers (62.9%), an estimated 25,782 people, were no longer moderate-risk or problem gamblers in 2013.  From the foregoing results and discussion</w:t>
      </w:r>
      <w:r w:rsidR="00D02DFC">
        <w:rPr>
          <w:szCs w:val="22"/>
        </w:rPr>
        <w:t>,</w:t>
      </w:r>
      <w:r w:rsidRPr="003B3C33">
        <w:rPr>
          <w:szCs w:val="22"/>
        </w:rPr>
        <w:t xml:space="preserve"> it appears that while problem and moderate-risk prevalence rates did not change, even during the relatively short 12 month period</w:t>
      </w:r>
      <w:r w:rsidR="0068515F">
        <w:rPr>
          <w:szCs w:val="22"/>
        </w:rPr>
        <w:t>,</w:t>
      </w:r>
      <w:r w:rsidRPr="003B3C33">
        <w:rPr>
          <w:szCs w:val="22"/>
        </w:rPr>
        <w:t xml:space="preserve"> there was substantial change at the individual level.  Most people who were in the problem and moderate-risk groups in 2013 were not in these groups the previous year.  A number of previous prospective studies, including the Swedish, Victorian and Canadian studies, found similar movement in and out of problem groups over relatively short time periods.  However, it is also evident that many ‘new’ problem and moderate-risk gamblers are not actually new</w:t>
      </w:r>
      <w:r w:rsidR="00D02DFC">
        <w:rPr>
          <w:szCs w:val="22"/>
        </w:rPr>
        <w:t>;</w:t>
      </w:r>
      <w:r w:rsidRPr="003B3C33">
        <w:rPr>
          <w:szCs w:val="22"/>
        </w:rPr>
        <w:t xml:space="preserve"> they have been in these categories previously and are relapsing.  As originally found in Abbott, Williams and Volberg (1999, 2004)</w:t>
      </w:r>
      <w:r w:rsidR="00D02DFC">
        <w:rPr>
          <w:szCs w:val="22"/>
        </w:rPr>
        <w:t>,</w:t>
      </w:r>
      <w:r w:rsidRPr="003B3C33">
        <w:rPr>
          <w:szCs w:val="22"/>
        </w:rPr>
        <w:t xml:space="preserve"> people with more severe problems appear to be more prone to relapse.  It is possible that the levelling out of problem gambling prevalence that has been found in some jurisdictions</w:t>
      </w:r>
      <w:r w:rsidR="00D02DFC">
        <w:rPr>
          <w:szCs w:val="22"/>
        </w:rPr>
        <w:t>,</w:t>
      </w:r>
      <w:r w:rsidRPr="003B3C33">
        <w:rPr>
          <w:szCs w:val="22"/>
        </w:rPr>
        <w:t xml:space="preserve"> including New Zealand</w:t>
      </w:r>
      <w:r w:rsidR="00D02DFC">
        <w:rPr>
          <w:szCs w:val="22"/>
        </w:rPr>
        <w:t>,</w:t>
      </w:r>
      <w:r w:rsidRPr="003B3C33">
        <w:rPr>
          <w:szCs w:val="22"/>
        </w:rPr>
        <w:t xml:space="preserve"> reflects a reduction in the overall incidence of people with first time problems and a recycling and accumulation of people with more serious problems </w:t>
      </w:r>
      <w:r w:rsidR="00D02DFC">
        <w:rPr>
          <w:szCs w:val="22"/>
        </w:rPr>
        <w:t>who</w:t>
      </w:r>
      <w:r w:rsidRPr="003B3C33">
        <w:rPr>
          <w:szCs w:val="22"/>
        </w:rPr>
        <w:t xml:space="preserve"> are prone to relapse.  This will be able to </w:t>
      </w:r>
      <w:r w:rsidR="007D6FE5">
        <w:rPr>
          <w:szCs w:val="22"/>
        </w:rPr>
        <w:t>be partially assessed in the nex</w:t>
      </w:r>
      <w:r w:rsidRPr="003B3C33">
        <w:rPr>
          <w:szCs w:val="22"/>
        </w:rPr>
        <w:t>t two NGS waves.</w:t>
      </w:r>
    </w:p>
    <w:p w:rsidR="003B3C33" w:rsidRPr="003B3C33" w:rsidRDefault="003B3C33" w:rsidP="003B3C33">
      <w:pPr>
        <w:jc w:val="both"/>
        <w:rPr>
          <w:szCs w:val="22"/>
        </w:rPr>
      </w:pPr>
    </w:p>
    <w:p w:rsidR="003B3C33" w:rsidRDefault="003B3C33" w:rsidP="003B3C33">
      <w:pPr>
        <w:jc w:val="both"/>
        <w:rPr>
          <w:szCs w:val="22"/>
        </w:rPr>
      </w:pPr>
      <w:r w:rsidRPr="003B3C33">
        <w:rPr>
          <w:szCs w:val="22"/>
        </w:rPr>
        <w:t>A number of other transitions additional to movement into and out of the problem and moderate-risk categories were considered in the study.  Non-problem and non-gamblers were the most stable, with 82.5% and 64.7% respectively remaining in the same category.  Problem gamblers, as discussed above</w:t>
      </w:r>
      <w:r w:rsidR="001819B3">
        <w:rPr>
          <w:szCs w:val="22"/>
        </w:rPr>
        <w:t>,</w:t>
      </w:r>
      <w:r w:rsidRPr="003B3C33">
        <w:rPr>
          <w:szCs w:val="22"/>
        </w:rPr>
        <w:t xml:space="preserve"> were the next most stable albeit that only 44.1% remained problem gamblers.  Low-risk and moderate-risk gamblers were the least stable with only a quarter of each remaining in these categories.  A significant majority of people in the latter groups moved into lower risk or non-problem groups rather than into higher-risk or problem groups.  Similar results were obtained in the </w:t>
      </w:r>
      <w:r w:rsidR="007D6FE5">
        <w:rPr>
          <w:szCs w:val="22"/>
        </w:rPr>
        <w:t xml:space="preserve">recent </w:t>
      </w:r>
      <w:r w:rsidRPr="003B3C33">
        <w:rPr>
          <w:szCs w:val="22"/>
        </w:rPr>
        <w:t>Swedish</w:t>
      </w:r>
      <w:r w:rsidR="007D6FE5">
        <w:rPr>
          <w:szCs w:val="22"/>
        </w:rPr>
        <w:t>,</w:t>
      </w:r>
      <w:r w:rsidRPr="003B3C33">
        <w:rPr>
          <w:szCs w:val="22"/>
        </w:rPr>
        <w:t xml:space="preserve"> Victorian </w:t>
      </w:r>
      <w:r w:rsidR="007D6FE5">
        <w:rPr>
          <w:szCs w:val="22"/>
        </w:rPr>
        <w:t xml:space="preserve">and Canadian </w:t>
      </w:r>
      <w:r w:rsidRPr="003B3C33">
        <w:rPr>
          <w:szCs w:val="22"/>
        </w:rPr>
        <w:t xml:space="preserve">studies.  Although referred to as moderate-risk, only one in ten people in this group became problem gamblers during the next 12 months.  Although much lower proportions of non-gamblers, non-problem gamblers and low-risk gamblers became problem gamblers than was the case for moderate-risk gamblers, </w:t>
      </w:r>
      <w:r w:rsidR="001819B3">
        <w:rPr>
          <w:szCs w:val="22"/>
        </w:rPr>
        <w:t>approximately a half of inciden</w:t>
      </w:r>
      <w:r w:rsidR="007D6FE5">
        <w:rPr>
          <w:szCs w:val="22"/>
        </w:rPr>
        <w:t>t</w:t>
      </w:r>
      <w:r w:rsidRPr="003B3C33">
        <w:rPr>
          <w:szCs w:val="22"/>
        </w:rPr>
        <w:t xml:space="preserve"> problem gamblers came from these groups.  This is because these groups are much larger than the moderate-risk group.  From the results mentioned above</w:t>
      </w:r>
      <w:r w:rsidR="001819B3">
        <w:rPr>
          <w:szCs w:val="22"/>
        </w:rPr>
        <w:t>,</w:t>
      </w:r>
      <w:r w:rsidRPr="003B3C33">
        <w:rPr>
          <w:szCs w:val="22"/>
        </w:rPr>
        <w:t xml:space="preserve"> it is evident that a number of these people will have experienced gambling problems in the past, prior to the study period.  In regard to public policy, while prevention programmes could be directed to moderate-risk gamblers with a view to reducing progression to more serious problems, this would miss a substantial number of people who develop problems.  Including a focus on people who experienced problems, with a view to preventing relapse, would substantially increase coverage.  Further research is required to determine how frequently people progress rapidly from non-gambling and non-problem gambling to moderate-risk and problem gambling and what proportions have experienced gambling problems in the past.</w:t>
      </w:r>
    </w:p>
    <w:p w:rsidR="00492778" w:rsidRPr="003B3C33" w:rsidRDefault="00492778" w:rsidP="003B3C33">
      <w:pPr>
        <w:jc w:val="both"/>
        <w:rPr>
          <w:szCs w:val="22"/>
        </w:rPr>
      </w:pPr>
    </w:p>
    <w:p w:rsidR="003B3C33" w:rsidRDefault="003B3C33" w:rsidP="003B3C33">
      <w:pPr>
        <w:jc w:val="both"/>
        <w:rPr>
          <w:szCs w:val="22"/>
        </w:rPr>
      </w:pPr>
    </w:p>
    <w:p w:rsidR="00492778" w:rsidRPr="00492778" w:rsidRDefault="00492778" w:rsidP="00B70C8F">
      <w:pPr>
        <w:keepNext/>
        <w:jc w:val="both"/>
        <w:rPr>
          <w:b/>
          <w:szCs w:val="22"/>
        </w:rPr>
      </w:pPr>
      <w:r w:rsidRPr="00492778">
        <w:rPr>
          <w:b/>
          <w:szCs w:val="22"/>
        </w:rPr>
        <w:lastRenderedPageBreak/>
        <w:t xml:space="preserve">The </w:t>
      </w:r>
      <w:r>
        <w:rPr>
          <w:b/>
          <w:szCs w:val="22"/>
        </w:rPr>
        <w:t xml:space="preserve">prediction of gambling, at-risk </w:t>
      </w:r>
      <w:r w:rsidRPr="00492778">
        <w:rPr>
          <w:b/>
          <w:szCs w:val="22"/>
        </w:rPr>
        <w:t>gambling and problem gambling</w:t>
      </w:r>
    </w:p>
    <w:p w:rsidR="00492778" w:rsidRPr="00492778" w:rsidRDefault="00492778" w:rsidP="00B70C8F">
      <w:pPr>
        <w:keepNext/>
        <w:jc w:val="both"/>
        <w:rPr>
          <w:szCs w:val="22"/>
        </w:rPr>
      </w:pPr>
    </w:p>
    <w:p w:rsidR="00492778" w:rsidRPr="00492778" w:rsidRDefault="00492778" w:rsidP="00B70C8F">
      <w:pPr>
        <w:keepNext/>
        <w:jc w:val="both"/>
        <w:rPr>
          <w:szCs w:val="22"/>
        </w:rPr>
      </w:pPr>
      <w:r w:rsidRPr="00492778">
        <w:rPr>
          <w:szCs w:val="22"/>
        </w:rPr>
        <w:t>Predictors of a number of the transitions discussed in the preceding section were identified.  The identification of factors predicting problem and moderate-risk gambling onset was of particular interest.  The number of people from the non-problem and gambling risk groups who became problem gamblers during the 12 month study period was small and there was insufficient statistical power to consider them on their own.  Consequently the problem and moderate-risk groups were combined in the analyses discussed here.  There was also interest in identifying predictors of movement from the non-problem group into either of the two risk or problem gambling groups.  Consequently these three groups were combined and compared with the non-problem gambling group that did not devel</w:t>
      </w:r>
      <w:r>
        <w:rPr>
          <w:szCs w:val="22"/>
        </w:rPr>
        <w:t>op at-risk or problem gambling.</w:t>
      </w:r>
      <w:r w:rsidRPr="00492778">
        <w:rPr>
          <w:szCs w:val="22"/>
        </w:rPr>
        <w:t xml:space="preserve">  A further interest was in identifying factors that predicted persistent rather than transitory at-risk and problem states.  </w:t>
      </w:r>
    </w:p>
    <w:p w:rsidR="00492778" w:rsidRPr="00492778" w:rsidRDefault="00492778" w:rsidP="00492778">
      <w:pPr>
        <w:jc w:val="both"/>
        <w:rPr>
          <w:szCs w:val="22"/>
        </w:rPr>
      </w:pPr>
    </w:p>
    <w:p w:rsidR="00492778" w:rsidRDefault="00492778" w:rsidP="00492778">
      <w:pPr>
        <w:jc w:val="both"/>
        <w:rPr>
          <w:szCs w:val="22"/>
        </w:rPr>
      </w:pPr>
      <w:r>
        <w:rPr>
          <w:szCs w:val="22"/>
        </w:rPr>
        <w:t>A</w:t>
      </w:r>
      <w:r w:rsidRPr="00492778">
        <w:rPr>
          <w:szCs w:val="22"/>
        </w:rPr>
        <w:t>ddition</w:t>
      </w:r>
      <w:r>
        <w:rPr>
          <w:szCs w:val="22"/>
        </w:rPr>
        <w:t>al</w:t>
      </w:r>
      <w:r w:rsidRPr="00492778">
        <w:rPr>
          <w:szCs w:val="22"/>
        </w:rPr>
        <w:t xml:space="preserve"> to identifying predictors of the onset and stability of at-risk and problem gambling, predictors of starting gambling during the study period were also </w:t>
      </w:r>
      <w:r w:rsidR="0068515F">
        <w:rPr>
          <w:szCs w:val="22"/>
        </w:rPr>
        <w:t>examined</w:t>
      </w:r>
      <w:r w:rsidRPr="00492778">
        <w:rPr>
          <w:szCs w:val="22"/>
        </w:rPr>
        <w:t xml:space="preserve">.  Two categories were considered: (a) people who had not gambled during the past 12 months and who also reported that they had not gambled prior to that, and (b) people who had not gambled during the past 12 months and who reported that they had gambled previously.  This separation was made to see whether or not different factors predict taking up gambling for the first time and returning to gambling after a year or more of abstinence.  </w:t>
      </w:r>
    </w:p>
    <w:p w:rsidR="00492778" w:rsidRPr="00492778" w:rsidRDefault="00492778" w:rsidP="00492778">
      <w:pPr>
        <w:jc w:val="both"/>
        <w:rPr>
          <w:szCs w:val="22"/>
        </w:rPr>
      </w:pPr>
    </w:p>
    <w:p w:rsidR="00492778" w:rsidRPr="00492778" w:rsidRDefault="00492778" w:rsidP="00492778">
      <w:pPr>
        <w:jc w:val="both"/>
        <w:rPr>
          <w:szCs w:val="22"/>
        </w:rPr>
      </w:pPr>
    </w:p>
    <w:p w:rsidR="00492778" w:rsidRPr="00492778" w:rsidRDefault="00492778" w:rsidP="00492778">
      <w:pPr>
        <w:jc w:val="both"/>
        <w:rPr>
          <w:b/>
          <w:i/>
          <w:szCs w:val="22"/>
        </w:rPr>
      </w:pPr>
      <w:r w:rsidRPr="00492778">
        <w:rPr>
          <w:b/>
          <w:i/>
          <w:szCs w:val="22"/>
        </w:rPr>
        <w:t>Predictors of at-risk and problem gambling</w:t>
      </w:r>
    </w:p>
    <w:p w:rsidR="00492778" w:rsidRPr="00492778" w:rsidRDefault="00492778" w:rsidP="00492778">
      <w:pPr>
        <w:jc w:val="both"/>
        <w:rPr>
          <w:szCs w:val="22"/>
        </w:rPr>
      </w:pPr>
    </w:p>
    <w:p w:rsidR="00492778" w:rsidRPr="00492778" w:rsidRDefault="00492778" w:rsidP="00492778">
      <w:pPr>
        <w:jc w:val="both"/>
        <w:rPr>
          <w:szCs w:val="22"/>
          <w:u w:val="single"/>
        </w:rPr>
      </w:pPr>
      <w:r w:rsidRPr="00492778">
        <w:rPr>
          <w:szCs w:val="22"/>
          <w:u w:val="single"/>
        </w:rPr>
        <w:t>Gambling-related factors</w:t>
      </w:r>
    </w:p>
    <w:p w:rsidR="00492778" w:rsidRPr="00492778" w:rsidRDefault="00492778" w:rsidP="00492778">
      <w:pPr>
        <w:jc w:val="both"/>
        <w:rPr>
          <w:szCs w:val="22"/>
        </w:rPr>
      </w:pPr>
      <w:r w:rsidRPr="00492778">
        <w:rPr>
          <w:szCs w:val="22"/>
        </w:rPr>
        <w:t>As mentioned in the incidence and transitions section, being a past problem or at-risk gambler is a very strong predictor of being a current problem gambler.  Over a half of people who were problem gamblers in 2013 had been problem or moderate-risk gamblers in 2012, and a further 14% had been low-risk.  Additionally, just under a half of ‘new’ problem gamblers in 2013 (those who were problem gamblers in 2013 but not 2012) scored as lifetime probable pathological or problem gamblers, meaning that they had experienced problems prior to 2012 and relapsed subsequently.  To a somewhat lesser extent</w:t>
      </w:r>
      <w:r>
        <w:rPr>
          <w:szCs w:val="22"/>
        </w:rPr>
        <w:t>,</w:t>
      </w:r>
      <w:r w:rsidRPr="00492778">
        <w:rPr>
          <w:szCs w:val="22"/>
        </w:rPr>
        <w:t xml:space="preserve"> past at-risk and problem gambling also predicted future moderate-risk gambling.  </w:t>
      </w:r>
    </w:p>
    <w:p w:rsidR="00492778" w:rsidRPr="00492778" w:rsidRDefault="00492778" w:rsidP="00492778">
      <w:pPr>
        <w:jc w:val="both"/>
        <w:rPr>
          <w:szCs w:val="22"/>
        </w:rPr>
      </w:pPr>
    </w:p>
    <w:p w:rsidR="00492778" w:rsidRPr="00492778" w:rsidRDefault="00492778" w:rsidP="00492778">
      <w:pPr>
        <w:jc w:val="both"/>
        <w:rPr>
          <w:szCs w:val="22"/>
        </w:rPr>
      </w:pPr>
      <w:r>
        <w:rPr>
          <w:szCs w:val="22"/>
        </w:rPr>
        <w:t>A</w:t>
      </w:r>
      <w:r w:rsidRPr="00492778">
        <w:rPr>
          <w:szCs w:val="22"/>
        </w:rPr>
        <w:t>ddition</w:t>
      </w:r>
      <w:r>
        <w:rPr>
          <w:szCs w:val="22"/>
        </w:rPr>
        <w:t>al</w:t>
      </w:r>
      <w:r w:rsidRPr="00492778">
        <w:rPr>
          <w:szCs w:val="22"/>
        </w:rPr>
        <w:t xml:space="preserve"> to past problem and at-risk gambling, a number of gambling participation measures were strong predictor</w:t>
      </w:r>
      <w:r>
        <w:rPr>
          <w:szCs w:val="22"/>
        </w:rPr>
        <w:t>s of the transition to moderate-</w:t>
      </w:r>
      <w:r w:rsidRPr="00492778">
        <w:rPr>
          <w:szCs w:val="22"/>
        </w:rPr>
        <w:t xml:space="preserve">risk or problem gambling as well as the transition to low-risk, moderate-risk or problem gambling.  The strongest predictors in this category included gambling intensity (number of different gambling activities participated in, typical monthly expenditure and time spent playing EGMs in a typical day), weekly or more frequent participation in continuous gambling forms generally and participation, particularly regular participation, in a variety of specific gambling activities including EGMs, casino table games, </w:t>
      </w:r>
      <w:r>
        <w:rPr>
          <w:szCs w:val="22"/>
        </w:rPr>
        <w:t>horse and dog race</w:t>
      </w:r>
      <w:r w:rsidRPr="00492778">
        <w:rPr>
          <w:szCs w:val="22"/>
        </w:rPr>
        <w:t xml:space="preserve"> betting</w:t>
      </w:r>
      <w:r>
        <w:rPr>
          <w:szCs w:val="22"/>
        </w:rPr>
        <w:t>,</w:t>
      </w:r>
      <w:r w:rsidRPr="00492778">
        <w:rPr>
          <w:szCs w:val="22"/>
        </w:rPr>
        <w:t xml:space="preserve"> and housie or bingo.  Some other activities were weaker predictors, predominantly with regard to the transition to the low-risk/moderate-risk/problem gambling group.  Activities included sports betting, Instant Kiwi, card games, bets with friends and workma</w:t>
      </w:r>
      <w:r>
        <w:rPr>
          <w:szCs w:val="22"/>
        </w:rPr>
        <w:t>tes, raffles/lotteries, Lotto, k</w:t>
      </w:r>
      <w:r w:rsidRPr="00492778">
        <w:rPr>
          <w:szCs w:val="22"/>
        </w:rPr>
        <w:t>eno, text games and short-term speculative investments.  These results are broadly consistent with findings from previous New Zealand and international cross-sectional prevalence surveys, including the 2012 NGS (Abbott et al</w:t>
      </w:r>
      <w:r>
        <w:rPr>
          <w:szCs w:val="22"/>
        </w:rPr>
        <w:t>.</w:t>
      </w:r>
      <w:r w:rsidRPr="00492778">
        <w:rPr>
          <w:szCs w:val="22"/>
        </w:rPr>
        <w:t xml:space="preserve">, 2014b) as well as from prospective studies summarised and discussed in the introduction.  They indicate that past gambling problems, intensity of participation and regular involvement in </w:t>
      </w:r>
      <w:r w:rsidRPr="00492778">
        <w:rPr>
          <w:szCs w:val="22"/>
        </w:rPr>
        <w:lastRenderedPageBreak/>
        <w:t xml:space="preserve">EGMs, casino table games and some other forms of continuous gambling, are all strongly associated with problem and at-risk gambling. </w:t>
      </w:r>
      <w:r>
        <w:rPr>
          <w:szCs w:val="22"/>
        </w:rPr>
        <w:t xml:space="preserve"> </w:t>
      </w:r>
      <w:r w:rsidRPr="00492778">
        <w:rPr>
          <w:szCs w:val="22"/>
        </w:rPr>
        <w:t>The results of the present study further indicate that they precede and predict the onset of future risk and problem gambling in the adult New Zealand population.</w:t>
      </w:r>
    </w:p>
    <w:p w:rsidR="00B70C8F" w:rsidRDefault="00B70C8F" w:rsidP="00492778">
      <w:pPr>
        <w:jc w:val="both"/>
        <w:rPr>
          <w:szCs w:val="22"/>
        </w:rPr>
      </w:pPr>
    </w:p>
    <w:p w:rsidR="00492778" w:rsidRPr="00492778" w:rsidRDefault="00492778" w:rsidP="00492778">
      <w:pPr>
        <w:jc w:val="both"/>
        <w:rPr>
          <w:szCs w:val="22"/>
        </w:rPr>
      </w:pPr>
      <w:r w:rsidRPr="00492778">
        <w:rPr>
          <w:szCs w:val="22"/>
        </w:rPr>
        <w:t>Two additional gambling-related factors predicted future risk or problems.  People who reported spending time with one other person or a group of people when participating in their most enjoyed gambling activity were much less likely to become a moderate-risk or problem gambler during the next 12 months.  People who gambled alone were at much higher risk.  Gambling alone was also very strongly associated with lifetime and current problem gambling in the 1999 New Zealand national survey (Abbott &amp; Volberg, 2000).  In that study</w:t>
      </w:r>
      <w:r>
        <w:rPr>
          <w:szCs w:val="22"/>
        </w:rPr>
        <w:t>,</w:t>
      </w:r>
      <w:r w:rsidRPr="00492778">
        <w:rPr>
          <w:szCs w:val="22"/>
        </w:rPr>
        <w:t xml:space="preserve"> usually gambling with friends and workmates was associated with a low probability of being a problem gambler.  It appears likely that gambling alone is an important risk factor for the development of hazardous and problem gambling and that gambling with others is protective.  However, </w:t>
      </w:r>
      <w:r>
        <w:rPr>
          <w:szCs w:val="22"/>
        </w:rPr>
        <w:t>in contrast, the 2012 NGS cross-</w:t>
      </w:r>
      <w:r w:rsidRPr="00492778">
        <w:rPr>
          <w:szCs w:val="22"/>
        </w:rPr>
        <w:t>sectional analyses did not find that people who gambled alone had a higher prevalence of moderate-risk and problem gambling than those who gambled with other</w:t>
      </w:r>
      <w:r>
        <w:rPr>
          <w:szCs w:val="22"/>
        </w:rPr>
        <w:t>s.  It is unclear why the cross-</w:t>
      </w:r>
      <w:r w:rsidRPr="00492778">
        <w:rPr>
          <w:szCs w:val="22"/>
        </w:rPr>
        <w:t xml:space="preserve">sectional and prospective </w:t>
      </w:r>
      <w:r w:rsidR="0068515F">
        <w:rPr>
          <w:szCs w:val="22"/>
        </w:rPr>
        <w:t xml:space="preserve">NGS </w:t>
      </w:r>
      <w:r w:rsidRPr="00492778">
        <w:rPr>
          <w:szCs w:val="22"/>
        </w:rPr>
        <w:t xml:space="preserve">results differ.  Further investigation is warranted and future waves of the present study will provide some relevant information on this matter.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Knowing people with gambling problems was the other gambling-related risk factor, but only in the case of the transition into the larger low-risk, moderate-risk or problem ga</w:t>
      </w:r>
      <w:r w:rsidR="00A51E9C">
        <w:rPr>
          <w:szCs w:val="22"/>
        </w:rPr>
        <w:t>mbling group.  Many prior cross-</w:t>
      </w:r>
      <w:r w:rsidRPr="00492778">
        <w:rPr>
          <w:szCs w:val="22"/>
        </w:rPr>
        <w:t>sectional studies including the 1991, 1999 and 2012 New Zealand national surveys have found having family members and friends who are problem gamblers is associated with a higher probability of being a problem gambler.  Williams et al</w:t>
      </w:r>
      <w:r w:rsidR="00A51E9C">
        <w:rPr>
          <w:szCs w:val="22"/>
        </w:rPr>
        <w:t>.</w:t>
      </w:r>
      <w:r w:rsidRPr="00492778">
        <w:rPr>
          <w:szCs w:val="22"/>
        </w:rPr>
        <w:t xml:space="preserve"> (2015), as in the present study, also found this was a predictor of future problem gambling.  While not included in the present analy</w:t>
      </w:r>
      <w:r w:rsidR="00A51E9C">
        <w:rPr>
          <w:szCs w:val="22"/>
        </w:rPr>
        <w:t>ses other research, both cross-</w:t>
      </w:r>
      <w:r w:rsidRPr="00492778">
        <w:rPr>
          <w:szCs w:val="22"/>
        </w:rPr>
        <w:t>sectional and</w:t>
      </w:r>
      <w:r w:rsidR="00A51E9C">
        <w:rPr>
          <w:szCs w:val="22"/>
        </w:rPr>
        <w:t>,</w:t>
      </w:r>
      <w:r w:rsidRPr="00492778">
        <w:rPr>
          <w:szCs w:val="22"/>
        </w:rPr>
        <w:t xml:space="preserve"> more recently</w:t>
      </w:r>
      <w:r w:rsidR="00A51E9C">
        <w:rPr>
          <w:szCs w:val="22"/>
        </w:rPr>
        <w:t>,</w:t>
      </w:r>
      <w:r w:rsidRPr="00492778">
        <w:rPr>
          <w:szCs w:val="22"/>
        </w:rPr>
        <w:t xml:space="preserve"> prospective has identified other gambling-related predictors including experiencing a big win in the past year, having family or friends who are regular gamblers, gambling to escape or win money and having more gambling fallacies (Williams et al</w:t>
      </w:r>
      <w:r w:rsidR="00A51E9C">
        <w:rPr>
          <w:szCs w:val="22"/>
        </w:rPr>
        <w:t>.</w:t>
      </w:r>
      <w:r w:rsidRPr="00492778">
        <w:rPr>
          <w:szCs w:val="22"/>
        </w:rPr>
        <w:t>, 2015).  Overall, in the present study as in Williams et al</w:t>
      </w:r>
      <w:r w:rsidR="00A51E9C">
        <w:rPr>
          <w:szCs w:val="22"/>
        </w:rPr>
        <w:t>.</w:t>
      </w:r>
      <w:r w:rsidRPr="00492778">
        <w:rPr>
          <w:szCs w:val="22"/>
        </w:rPr>
        <w:t xml:space="preserve"> (2015) and the recent Victorian and Swedish studies, gambling-related factors are very strongly implicated in the progression from non-problem gambling to hazardous and problematic gambling.</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Participants were asked a variety of questions about their use of strategies that could reduce gambling participation and expenditure such as </w:t>
      </w:r>
      <w:r w:rsidRPr="009F5E09">
        <w:rPr>
          <w:szCs w:val="22"/>
        </w:rPr>
        <w:t xml:space="preserve">setting separate gambling budgets, avoiding gambling venues, leaving credit cards at home </w:t>
      </w:r>
      <w:r w:rsidR="00A51E9C" w:rsidRPr="009F5E09">
        <w:rPr>
          <w:szCs w:val="22"/>
        </w:rPr>
        <w:t>when gambling and seeking help</w:t>
      </w:r>
      <w:r w:rsidR="009E314A" w:rsidRPr="009F5E09">
        <w:rPr>
          <w:szCs w:val="22"/>
        </w:rPr>
        <w:t xml:space="preserve"> from formal and informal sources</w:t>
      </w:r>
      <w:r w:rsidR="00A51E9C" w:rsidRPr="009F5E09">
        <w:rPr>
          <w:szCs w:val="22"/>
        </w:rPr>
        <w:t>.</w:t>
      </w:r>
      <w:r w:rsidRPr="009F5E09">
        <w:rPr>
          <w:szCs w:val="22"/>
        </w:rPr>
        <w:t xml:space="preserve">  Greater use of strategies of this type predicted future at-risk and problem gambling.  Seeking help </w:t>
      </w:r>
      <w:r w:rsidR="003E1E3A" w:rsidRPr="009F5E09">
        <w:rPr>
          <w:szCs w:val="22"/>
        </w:rPr>
        <w:t xml:space="preserve">(from formal and informal sources) </w:t>
      </w:r>
      <w:r w:rsidRPr="009F5E09">
        <w:rPr>
          <w:szCs w:val="22"/>
        </w:rPr>
        <w:t>for gambling also predicted movement from the non-p</w:t>
      </w:r>
      <w:r w:rsidR="00A51E9C" w:rsidRPr="009F5E09">
        <w:rPr>
          <w:szCs w:val="22"/>
        </w:rPr>
        <w:t>roblem-low risk to the moderate-</w:t>
      </w:r>
      <w:r w:rsidRPr="009F5E09">
        <w:rPr>
          <w:szCs w:val="22"/>
        </w:rPr>
        <w:t>risk</w:t>
      </w:r>
      <w:r w:rsidR="00A51E9C" w:rsidRPr="009F5E09">
        <w:rPr>
          <w:szCs w:val="22"/>
        </w:rPr>
        <w:t xml:space="preserve">/ </w:t>
      </w:r>
      <w:r w:rsidRPr="009F5E09">
        <w:rPr>
          <w:szCs w:val="22"/>
        </w:rPr>
        <w:t>problem gambling group.  This relationship was particularly strong with almost a third of this group reporting that they sought help</w:t>
      </w:r>
      <w:r w:rsidRPr="00492778">
        <w:rPr>
          <w:szCs w:val="22"/>
        </w:rPr>
        <w:t xml:space="preserve"> </w:t>
      </w:r>
      <w:r w:rsidR="003E1E3A" w:rsidRPr="009F5E09">
        <w:rPr>
          <w:szCs w:val="22"/>
        </w:rPr>
        <w:t xml:space="preserve">(from formal and informal sources) </w:t>
      </w:r>
      <w:r w:rsidRPr="00492778">
        <w:rPr>
          <w:szCs w:val="22"/>
        </w:rPr>
        <w:t>during the previous year.  Less than two percent of those who did</w:t>
      </w:r>
      <w:r w:rsidR="00A51E9C">
        <w:rPr>
          <w:szCs w:val="22"/>
        </w:rPr>
        <w:t xml:space="preserve"> </w:t>
      </w:r>
      <w:r w:rsidRPr="00492778">
        <w:rPr>
          <w:szCs w:val="22"/>
        </w:rPr>
        <w:t>n</w:t>
      </w:r>
      <w:r w:rsidR="00A51E9C">
        <w:rPr>
          <w:szCs w:val="22"/>
        </w:rPr>
        <w:t>o</w:t>
      </w:r>
      <w:r w:rsidRPr="00492778">
        <w:rPr>
          <w:szCs w:val="22"/>
        </w:rPr>
        <w:t>t make this transition reported seeking help</w:t>
      </w:r>
      <w:r w:rsidR="003E1E3A">
        <w:rPr>
          <w:szCs w:val="22"/>
        </w:rPr>
        <w:t xml:space="preserve"> </w:t>
      </w:r>
      <w:r w:rsidR="003E1E3A" w:rsidRPr="009F5E09">
        <w:rPr>
          <w:szCs w:val="22"/>
        </w:rPr>
        <w:t>(from formal and informal sources)</w:t>
      </w:r>
      <w:r w:rsidRPr="00492778">
        <w:rPr>
          <w:szCs w:val="22"/>
        </w:rPr>
        <w:t>.  This finding underlines the relatively high level of help-seeking, in this instance among those who subsequently develop or are in the process of developing gambling problems.  Further waves of the present study should provide i</w:t>
      </w:r>
      <w:r w:rsidR="00A51E9C">
        <w:rPr>
          <w:szCs w:val="22"/>
        </w:rPr>
        <w:t>nformation that will help clarif</w:t>
      </w:r>
      <w:r w:rsidRPr="00492778">
        <w:rPr>
          <w:szCs w:val="22"/>
        </w:rPr>
        <w:t xml:space="preserve">y the meaning of the relationships between gambling control strategies, help seeking and problem gambling development.  It is unlikely that they contribute to the development of risky and problematic gambling and more likely that the association arises because people who are starting to lose </w:t>
      </w:r>
      <w:r w:rsidRPr="00492778">
        <w:rPr>
          <w:szCs w:val="22"/>
        </w:rPr>
        <w:lastRenderedPageBreak/>
        <w:t xml:space="preserve">control over their gambling and experience adverse consequences make greater use of strategies to attempt to maintain or regain control.             </w:t>
      </w:r>
    </w:p>
    <w:p w:rsidR="00492778" w:rsidRPr="00492778" w:rsidRDefault="00492778" w:rsidP="00492778">
      <w:pPr>
        <w:jc w:val="both"/>
        <w:rPr>
          <w:szCs w:val="22"/>
        </w:rPr>
      </w:pPr>
    </w:p>
    <w:p w:rsidR="00492778" w:rsidRPr="00A51E9C" w:rsidRDefault="00492778" w:rsidP="003E1E3A">
      <w:pPr>
        <w:keepNext/>
        <w:jc w:val="both"/>
        <w:rPr>
          <w:szCs w:val="22"/>
          <w:u w:val="single"/>
        </w:rPr>
      </w:pPr>
      <w:r w:rsidRPr="00A51E9C">
        <w:rPr>
          <w:szCs w:val="22"/>
          <w:u w:val="single"/>
        </w:rPr>
        <w:t>Ethnicity and other socio</w:t>
      </w:r>
      <w:r w:rsidR="00A51E9C" w:rsidRPr="00A51E9C">
        <w:rPr>
          <w:szCs w:val="22"/>
          <w:u w:val="single"/>
        </w:rPr>
        <w:t>-</w:t>
      </w:r>
      <w:r w:rsidRPr="00A51E9C">
        <w:rPr>
          <w:szCs w:val="22"/>
          <w:u w:val="single"/>
        </w:rPr>
        <w:t>demographic factors</w:t>
      </w:r>
    </w:p>
    <w:p w:rsidR="00492778" w:rsidRPr="00492778" w:rsidRDefault="00492778" w:rsidP="003E1E3A">
      <w:pPr>
        <w:keepNext/>
        <w:jc w:val="both"/>
        <w:rPr>
          <w:szCs w:val="22"/>
        </w:rPr>
      </w:pPr>
      <w:r w:rsidRPr="00492778">
        <w:rPr>
          <w:szCs w:val="22"/>
        </w:rPr>
        <w:t>All national surveys conducted in New Zealand since 199</w:t>
      </w:r>
      <w:r w:rsidR="00A51E9C">
        <w:rPr>
          <w:szCs w:val="22"/>
        </w:rPr>
        <w:t>1</w:t>
      </w:r>
      <w:r w:rsidRPr="00492778">
        <w:rPr>
          <w:szCs w:val="22"/>
        </w:rPr>
        <w:t xml:space="preserve"> have found substantial ethnic differences in pro</w:t>
      </w:r>
      <w:r w:rsidR="00A51E9C">
        <w:rPr>
          <w:szCs w:val="22"/>
        </w:rPr>
        <w:t>blem gambling prevalence, with Māori</w:t>
      </w:r>
      <w:r w:rsidRPr="00492778">
        <w:rPr>
          <w:szCs w:val="22"/>
        </w:rPr>
        <w:t xml:space="preserve"> and Pacific </w:t>
      </w:r>
      <w:r w:rsidR="00F50E6B">
        <w:rPr>
          <w:szCs w:val="22"/>
        </w:rPr>
        <w:t>people</w:t>
      </w:r>
      <w:r w:rsidRPr="00492778">
        <w:rPr>
          <w:szCs w:val="22"/>
        </w:rPr>
        <w:t xml:space="preserve"> typically having rates three or more times higher than those of European/</w:t>
      </w:r>
      <w:r w:rsidR="00A51E9C" w:rsidRPr="00492778">
        <w:rPr>
          <w:szCs w:val="22"/>
        </w:rPr>
        <w:t xml:space="preserve">Other </w:t>
      </w:r>
      <w:r w:rsidRPr="00492778">
        <w:rPr>
          <w:szCs w:val="22"/>
        </w:rPr>
        <w:t>(Abbott et al</w:t>
      </w:r>
      <w:r w:rsidR="00A51E9C">
        <w:rPr>
          <w:szCs w:val="22"/>
        </w:rPr>
        <w:t>., 2014b).  Māori</w:t>
      </w:r>
      <w:r w:rsidRPr="00492778">
        <w:rPr>
          <w:szCs w:val="22"/>
        </w:rPr>
        <w:t xml:space="preserve"> and Pacific people are demographically younger, have lower </w:t>
      </w:r>
      <w:r w:rsidR="00A51E9C" w:rsidRPr="00492778">
        <w:rPr>
          <w:szCs w:val="22"/>
        </w:rPr>
        <w:t xml:space="preserve">levels </w:t>
      </w:r>
      <w:r w:rsidR="00A51E9C">
        <w:rPr>
          <w:szCs w:val="22"/>
        </w:rPr>
        <w:t xml:space="preserve">of </w:t>
      </w:r>
      <w:r w:rsidRPr="00492778">
        <w:rPr>
          <w:szCs w:val="22"/>
        </w:rPr>
        <w:t xml:space="preserve">education, are over-represented in high deprivation neighbourhoods (which also have high EGM venue and TAB densities) and </w:t>
      </w:r>
      <w:r w:rsidR="00A51E9C">
        <w:rPr>
          <w:szCs w:val="22"/>
        </w:rPr>
        <w:t xml:space="preserve">are </w:t>
      </w:r>
      <w:r w:rsidRPr="00492778">
        <w:rPr>
          <w:szCs w:val="22"/>
        </w:rPr>
        <w:t>more often unemployed.  While these factors contribute to their higher prevalence of problem and moderate-risk gambling, ethnic differences remain when the effects of these and other factors are controlled in multivariate analyses.  In the 2012 NGS, when demographic risk factors were conside</w:t>
      </w:r>
      <w:r w:rsidR="00A51E9C">
        <w:rPr>
          <w:szCs w:val="22"/>
        </w:rPr>
        <w:t>red together in this way, only Māori</w:t>
      </w:r>
      <w:r w:rsidRPr="00492778">
        <w:rPr>
          <w:szCs w:val="22"/>
        </w:rPr>
        <w:t xml:space="preserve"> and Pacific ethnicity and male gender remained as independent risk factors for problem gambling.  Membership of these groups also predicted combined problem and moderate-risk gambling.  </w:t>
      </w:r>
      <w:r w:rsidR="00A51E9C">
        <w:rPr>
          <w:szCs w:val="22"/>
        </w:rPr>
        <w:t>For</w:t>
      </w:r>
      <w:r w:rsidRPr="00492778">
        <w:rPr>
          <w:szCs w:val="22"/>
        </w:rPr>
        <w:t xml:space="preserve"> the combined group, Asian ethnicity was also a risk factor.  Additional independent risk factors included younger age, lack of formal education, unemployment and residence in the most deprived deprivation quintile.  People of </w:t>
      </w:r>
      <w:r w:rsidR="00A51E9C" w:rsidRPr="00492778">
        <w:rPr>
          <w:szCs w:val="22"/>
        </w:rPr>
        <w:t xml:space="preserve">Other </w:t>
      </w:r>
      <w:r w:rsidRPr="00492778">
        <w:rPr>
          <w:szCs w:val="22"/>
        </w:rPr>
        <w:t>Christian and non-Christian religions also were at greater risk than those of some other religious groups.</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In the present study</w:t>
      </w:r>
      <w:r w:rsidR="00A51E9C">
        <w:rPr>
          <w:szCs w:val="22"/>
        </w:rPr>
        <w:t>,</w:t>
      </w:r>
      <w:r w:rsidRPr="00492778">
        <w:rPr>
          <w:szCs w:val="22"/>
        </w:rPr>
        <w:t xml:space="preserve"> ethnicity was found to be strongly associated with the onset of proble</w:t>
      </w:r>
      <w:r w:rsidR="00A51E9C">
        <w:rPr>
          <w:szCs w:val="22"/>
        </w:rPr>
        <w:t>m and moderate-risk gambling.  Māori</w:t>
      </w:r>
      <w:r w:rsidRPr="00492778">
        <w:rPr>
          <w:szCs w:val="22"/>
        </w:rPr>
        <w:t xml:space="preserve">, Pacific </w:t>
      </w:r>
      <w:r w:rsidR="00F50E6B">
        <w:rPr>
          <w:szCs w:val="22"/>
        </w:rPr>
        <w:t>people</w:t>
      </w:r>
      <w:r w:rsidRPr="00492778">
        <w:rPr>
          <w:szCs w:val="22"/>
        </w:rPr>
        <w:t xml:space="preserve"> and Asian</w:t>
      </w:r>
      <w:r w:rsidR="00971147">
        <w:rPr>
          <w:szCs w:val="22"/>
        </w:rPr>
        <w:t xml:space="preserve"> people</w:t>
      </w:r>
      <w:r w:rsidRPr="00492778">
        <w:rPr>
          <w:szCs w:val="22"/>
        </w:rPr>
        <w:t xml:space="preserve"> were significantly more likely than European/</w:t>
      </w:r>
      <w:r w:rsidR="00A51E9C" w:rsidRPr="00492778">
        <w:rPr>
          <w:szCs w:val="22"/>
        </w:rPr>
        <w:t xml:space="preserve">Other </w:t>
      </w:r>
      <w:r w:rsidRPr="00492778">
        <w:rPr>
          <w:szCs w:val="22"/>
        </w:rPr>
        <w:t>to become mode</w:t>
      </w:r>
      <w:r w:rsidR="007E07CF">
        <w:rPr>
          <w:szCs w:val="22"/>
        </w:rPr>
        <w:t>rate-risk and problem gamblers.</w:t>
      </w:r>
      <w:r w:rsidRPr="00492778">
        <w:rPr>
          <w:szCs w:val="22"/>
        </w:rPr>
        <w:t xml:space="preserve">  The results were similar for the transition from non-problem gambling to low-, moderate- or problem gambling.  As with the 2012 prevalence findings, ethnic differences remained when they were considered alongside other factors in multiple regression analyses.  Unlike the prevalence analyses that just included demographic variables, these analyses included a much wider range of measures including gambling involvement, recent life events, psychological distress and quality of life.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In contrast to the situation for moderate-risk and problem gambling prevalence, males and females had similar moderate-risk and problem gambling incidence rates and gender differences did not emerge in the multivariate analyses.  Migrants were also at higher risk than New Zealand born, as were people living in middle income households relative to those in the lowest and highest income categories.  The household income differences remained significant in multivariate analyses.  Gender differences were also lacking with respect to movement from non-problem gambling to low-risk, moderate-risk or problem gambling.  Migrant status and household income did not predict m</w:t>
      </w:r>
      <w:r w:rsidR="00A51E9C">
        <w:rPr>
          <w:szCs w:val="22"/>
        </w:rPr>
        <w:t>ovement into this wider at-risk/</w:t>
      </w:r>
      <w:r w:rsidRPr="00492778">
        <w:rPr>
          <w:szCs w:val="22"/>
        </w:rPr>
        <w:t xml:space="preserve">problem grouping.  However, </w:t>
      </w:r>
      <w:r w:rsidR="00A51E9C" w:rsidRPr="00492778">
        <w:rPr>
          <w:szCs w:val="22"/>
        </w:rPr>
        <w:t xml:space="preserve">Other </w:t>
      </w:r>
      <w:r w:rsidRPr="00492778">
        <w:rPr>
          <w:szCs w:val="22"/>
        </w:rPr>
        <w:t xml:space="preserve">Christians and people of </w:t>
      </w:r>
      <w:r w:rsidR="00A51E9C" w:rsidRPr="00492778">
        <w:rPr>
          <w:szCs w:val="22"/>
        </w:rPr>
        <w:t xml:space="preserve">Other Religion </w:t>
      </w:r>
      <w:r w:rsidRPr="00492778">
        <w:rPr>
          <w:szCs w:val="22"/>
        </w:rPr>
        <w:t xml:space="preserve">were at greater risk.  People with university degrees or higher (relative to </w:t>
      </w:r>
      <w:r w:rsidR="00A51E9C">
        <w:rPr>
          <w:szCs w:val="22"/>
        </w:rPr>
        <w:t>those with no formal qualifications</w:t>
      </w:r>
      <w:r w:rsidRPr="00492778">
        <w:rPr>
          <w:szCs w:val="22"/>
        </w:rPr>
        <w:t xml:space="preserve">) and Christchurch and Wellington residents (relative to Auckland residents) were at lower risk.  In the multivariate analysis, of the foregoing univariate demographic predictors, only the ethnic differences remained.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While risk factors for moderate-risk and problem gambling incidence and prevalence are somewhat similar, there are some differences that may indicate future shifts in the composition </w:t>
      </w:r>
      <w:r w:rsidR="00A51E9C">
        <w:rPr>
          <w:szCs w:val="22"/>
        </w:rPr>
        <w:t xml:space="preserve">of </w:t>
      </w:r>
      <w:r w:rsidRPr="00492778">
        <w:rPr>
          <w:szCs w:val="22"/>
        </w:rPr>
        <w:t>the current moderate-risk and problem gambling population.  However</w:t>
      </w:r>
      <w:r w:rsidR="00A51E9C">
        <w:rPr>
          <w:szCs w:val="22"/>
        </w:rPr>
        <w:t>,</w:t>
      </w:r>
      <w:r w:rsidRPr="00492778">
        <w:rPr>
          <w:szCs w:val="22"/>
        </w:rPr>
        <w:t xml:space="preserve"> caution is required in reading too much into apparent differences given small sample size and fairly wide confidence intervals.  In future there might be an increase in the proportion of </w:t>
      </w:r>
      <w:r w:rsidR="00787C7D">
        <w:rPr>
          <w:szCs w:val="22"/>
        </w:rPr>
        <w:t>females</w:t>
      </w:r>
      <w:r w:rsidRPr="00492778">
        <w:rPr>
          <w:szCs w:val="22"/>
        </w:rPr>
        <w:t xml:space="preserve"> in this category.  However, this would not necessarily be the case if males have more persistent problems.  Similarly the proportion of migrants might increase.  In the </w:t>
      </w:r>
      <w:r w:rsidR="00787C7D" w:rsidRPr="00492778">
        <w:rPr>
          <w:szCs w:val="22"/>
        </w:rPr>
        <w:t>2</w:t>
      </w:r>
      <w:r w:rsidR="00787C7D">
        <w:rPr>
          <w:szCs w:val="22"/>
        </w:rPr>
        <w:t>012</w:t>
      </w:r>
      <w:r w:rsidR="00787C7D" w:rsidRPr="00492778">
        <w:rPr>
          <w:szCs w:val="22"/>
        </w:rPr>
        <w:t xml:space="preserve"> </w:t>
      </w:r>
      <w:r w:rsidRPr="00492778">
        <w:rPr>
          <w:szCs w:val="22"/>
        </w:rPr>
        <w:t xml:space="preserve">NGS prevalence </w:t>
      </w:r>
      <w:r w:rsidRPr="00492778">
        <w:rPr>
          <w:szCs w:val="22"/>
        </w:rPr>
        <w:lastRenderedPageBreak/>
        <w:t>study</w:t>
      </w:r>
      <w:r w:rsidR="00787C7D">
        <w:rPr>
          <w:szCs w:val="22"/>
        </w:rPr>
        <w:t>,</w:t>
      </w:r>
      <w:r w:rsidRPr="00492778">
        <w:rPr>
          <w:szCs w:val="22"/>
        </w:rPr>
        <w:t xml:space="preserve"> low personal income was associated with higher rates of moderate-risk and problem gambling.  Household income was not a risk factor.  </w:t>
      </w:r>
      <w:r w:rsidR="00787C7D">
        <w:rPr>
          <w:szCs w:val="22"/>
        </w:rPr>
        <w:t>For</w:t>
      </w:r>
      <w:r w:rsidRPr="00492778">
        <w:rPr>
          <w:szCs w:val="22"/>
        </w:rPr>
        <w:t xml:space="preserve"> incidence</w:t>
      </w:r>
      <w:r w:rsidR="00787C7D">
        <w:rPr>
          <w:szCs w:val="22"/>
        </w:rPr>
        <w:t>,</w:t>
      </w:r>
      <w:r w:rsidRPr="00492778">
        <w:rPr>
          <w:szCs w:val="22"/>
        </w:rPr>
        <w:t xml:space="preserve"> personal income was not a risk factor but middle household income, relative to low income, was a significant predictor.  This suggests that there could be a future decrease in the proportion of moderate-risk and problem gamblers from the lowest income groups and an increase </w:t>
      </w:r>
      <w:r w:rsidR="00787C7D">
        <w:rPr>
          <w:szCs w:val="22"/>
        </w:rPr>
        <w:t xml:space="preserve">in </w:t>
      </w:r>
      <w:r w:rsidRPr="00492778">
        <w:rPr>
          <w:szCs w:val="22"/>
        </w:rPr>
        <w:t>the proportion from middle income households.  However, it is also possible that the association between low household income and problem gambling prevalence was part</w:t>
      </w:r>
      <w:r w:rsidR="00787C7D">
        <w:rPr>
          <w:szCs w:val="22"/>
        </w:rPr>
        <w:t>ly</w:t>
      </w:r>
      <w:r w:rsidRPr="00492778">
        <w:rPr>
          <w:szCs w:val="22"/>
        </w:rPr>
        <w:t xml:space="preserve"> a consequence of being a problem gambler.  Temporal relationships between changes in gambling patterns, income and other factors will be able to be more fully assessed when there are data from all four waves of the study.  </w:t>
      </w:r>
    </w:p>
    <w:p w:rsidR="00492778" w:rsidRPr="00492778" w:rsidRDefault="00492778" w:rsidP="00492778">
      <w:pPr>
        <w:jc w:val="both"/>
        <w:rPr>
          <w:szCs w:val="22"/>
        </w:rPr>
      </w:pPr>
    </w:p>
    <w:p w:rsidR="00492778" w:rsidRPr="00787C7D" w:rsidRDefault="00492778" w:rsidP="00492778">
      <w:pPr>
        <w:jc w:val="both"/>
        <w:rPr>
          <w:szCs w:val="22"/>
          <w:u w:val="single"/>
        </w:rPr>
      </w:pPr>
      <w:r w:rsidRPr="00787C7D">
        <w:rPr>
          <w:szCs w:val="22"/>
          <w:u w:val="single"/>
        </w:rPr>
        <w:t>Life events, mental health and substance use</w:t>
      </w:r>
    </w:p>
    <w:p w:rsidR="00492778" w:rsidRPr="00492778" w:rsidRDefault="00492778" w:rsidP="00492778">
      <w:pPr>
        <w:jc w:val="both"/>
        <w:rPr>
          <w:szCs w:val="22"/>
        </w:rPr>
      </w:pPr>
      <w:r w:rsidRPr="00492778">
        <w:rPr>
          <w:szCs w:val="22"/>
        </w:rPr>
        <w:t xml:space="preserve">Psychological distress was a further risk factor for both transition from non-problem and low-risk gambling to moderate-risk or problem gambling and the transition from non-problem to low-risk, moderate risk- or problem gambling.  This association was retained in multivariate analyses when the overlapping predictive power of other univariate predictors was taken into account.  Lower quality of life and experiencing more significant life events were additional univariate risk factors for the onset of low-, moderate- and problem gambling.  Unlike psychological distress, they were not retained in the multivariate results.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Substance use was the final category of variables to predict increased gambling risk or problems.  While not significant risk factors for the development of moderate-risk and problem gambling, current drug, cannabis and tobacco use were all significant predictors of movement into the low-risk, moderate-risk or problem gambling category.  Of these factors, only cannabis use </w:t>
      </w:r>
      <w:r w:rsidR="00787C7D">
        <w:rPr>
          <w:szCs w:val="22"/>
        </w:rPr>
        <w:t>remained</w:t>
      </w:r>
      <w:r w:rsidRPr="00492778">
        <w:rPr>
          <w:szCs w:val="22"/>
        </w:rPr>
        <w:t xml:space="preserve"> in the multivariate analysis.</w:t>
      </w:r>
    </w:p>
    <w:p w:rsidR="00787C7D" w:rsidRPr="00492778" w:rsidRDefault="00787C7D" w:rsidP="00492778">
      <w:pPr>
        <w:jc w:val="both"/>
        <w:rPr>
          <w:szCs w:val="22"/>
        </w:rPr>
      </w:pPr>
    </w:p>
    <w:p w:rsidR="00492778" w:rsidRPr="00FE3C7B" w:rsidRDefault="00492778" w:rsidP="00492778">
      <w:pPr>
        <w:jc w:val="both"/>
        <w:rPr>
          <w:szCs w:val="22"/>
          <w:u w:val="single"/>
        </w:rPr>
      </w:pPr>
      <w:r w:rsidRPr="00FE3C7B">
        <w:rPr>
          <w:szCs w:val="22"/>
          <w:u w:val="single"/>
        </w:rPr>
        <w:t>Discussion</w:t>
      </w:r>
    </w:p>
    <w:p w:rsidR="00492778" w:rsidRPr="00492778" w:rsidRDefault="00492778" w:rsidP="00492778">
      <w:pPr>
        <w:jc w:val="both"/>
        <w:rPr>
          <w:szCs w:val="22"/>
        </w:rPr>
      </w:pPr>
      <w:r w:rsidRPr="00492778">
        <w:rPr>
          <w:szCs w:val="22"/>
        </w:rPr>
        <w:t>Generally, the strongest predictors of future at-risk and problem gambling were a past or recent history of at-risk or problem gambling and intense gambling involvement including regular participation in EGMs and some other continuous forms of g</w:t>
      </w:r>
      <w:r w:rsidR="00FE3C7B">
        <w:rPr>
          <w:szCs w:val="22"/>
        </w:rPr>
        <w:t>ambling during the preceding 12 </w:t>
      </w:r>
      <w:r w:rsidRPr="00492778">
        <w:rPr>
          <w:szCs w:val="22"/>
        </w:rPr>
        <w:t>months.  Thus both more distant (distal) and recent (proximal) gambling participation patterns increased the likelihood of developing at-risk and problem gambling.  Recent exposure to major life events, higher levels of psychological distress and lower quality of life also contributed to varying degrees, as did current tobacco a</w:t>
      </w:r>
      <w:r w:rsidR="00FE3C7B">
        <w:rPr>
          <w:szCs w:val="22"/>
        </w:rPr>
        <w:t>nd other drug use.</w:t>
      </w:r>
      <w:r w:rsidRPr="00492778">
        <w:rPr>
          <w:szCs w:val="22"/>
        </w:rPr>
        <w:t xml:space="preserve">  These findings are consistent with those of previous prospective studies.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Apart from the foregoing factors, the other strongest and most consistent predictor was ethnicity.  The ethnic results are robust, applying to both of the transitions examined and being retained in the multivariate analyses.  These findings indicate that Pacific </w:t>
      </w:r>
      <w:r w:rsidR="00F50E6B">
        <w:rPr>
          <w:szCs w:val="22"/>
        </w:rPr>
        <w:t>people</w:t>
      </w:r>
      <w:r w:rsidRPr="00492778">
        <w:rPr>
          <w:szCs w:val="22"/>
        </w:rPr>
        <w:t xml:space="preserve"> are approximately seven times more likely than European/</w:t>
      </w:r>
      <w:r w:rsidR="00FE3C7B" w:rsidRPr="00492778">
        <w:rPr>
          <w:szCs w:val="22"/>
        </w:rPr>
        <w:t xml:space="preserve">Other </w:t>
      </w:r>
      <w:r w:rsidRPr="00492778">
        <w:rPr>
          <w:szCs w:val="22"/>
        </w:rPr>
        <w:t>to develop moderate-ris</w:t>
      </w:r>
      <w:r w:rsidR="00FE3C7B">
        <w:rPr>
          <w:szCs w:val="22"/>
        </w:rPr>
        <w:t>k or problem gambling and that Māori</w:t>
      </w:r>
      <w:r w:rsidRPr="00492778">
        <w:rPr>
          <w:szCs w:val="22"/>
        </w:rPr>
        <w:t xml:space="preserve"> and Asian</w:t>
      </w:r>
      <w:r w:rsidR="00971147">
        <w:rPr>
          <w:szCs w:val="22"/>
        </w:rPr>
        <w:t xml:space="preserve"> people</w:t>
      </w:r>
      <w:r w:rsidRPr="00492778">
        <w:rPr>
          <w:szCs w:val="22"/>
        </w:rPr>
        <w:t xml:space="preserve"> are three to f</w:t>
      </w:r>
      <w:r w:rsidR="00FE3C7B">
        <w:rPr>
          <w:szCs w:val="22"/>
        </w:rPr>
        <w:t>our times more likely to do so.</w:t>
      </w:r>
      <w:r w:rsidRPr="00492778">
        <w:rPr>
          <w:szCs w:val="22"/>
        </w:rPr>
        <w:t xml:space="preserve">  These differences are comparable to ethnic differences in past year prevalence rates (Abbott et al</w:t>
      </w:r>
      <w:r w:rsidR="00FE3C7B">
        <w:rPr>
          <w:szCs w:val="22"/>
        </w:rPr>
        <w:t>.</w:t>
      </w:r>
      <w:r w:rsidRPr="00492778">
        <w:rPr>
          <w:szCs w:val="22"/>
        </w:rPr>
        <w:t>, 2014b).  In other words, not only are members of these groups greatly over-represented among the current ‘stock’ of moderate-risk and problem gamblers, they continue to be similarly over-represented in the intake of new moderate-risk and problem gamblers.  This suggests that current ethnic prevalence disparities will continue, at least during the next few years.  If these high risk groups have more persistent problems than others, these disparities could increase.</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It is of interest that substantial ethnic differences remained in the multivariate analyses when the effects of other predictors were </w:t>
      </w:r>
      <w:r w:rsidR="00FE3C7B" w:rsidRPr="00492778">
        <w:rPr>
          <w:szCs w:val="22"/>
        </w:rPr>
        <w:t xml:space="preserve">statistically </w:t>
      </w:r>
      <w:r w:rsidRPr="00492778">
        <w:rPr>
          <w:szCs w:val="22"/>
        </w:rPr>
        <w:t xml:space="preserve">controlled.  This implies that there are factors </w:t>
      </w:r>
      <w:r w:rsidRPr="00492778">
        <w:rPr>
          <w:szCs w:val="22"/>
        </w:rPr>
        <w:lastRenderedPageBreak/>
        <w:t xml:space="preserve">associated with ethnicity, over and above the other risk factors included in the current analyses that put these groups at greater risk for the development of hazardous and problem gambling.  Earlier, in relation to exposure and adaptation theory, it was noted that Pacific </w:t>
      </w:r>
      <w:r w:rsidR="00F50E6B">
        <w:rPr>
          <w:szCs w:val="22"/>
        </w:rPr>
        <w:t>people</w:t>
      </w:r>
      <w:r w:rsidRPr="00492778">
        <w:rPr>
          <w:szCs w:val="22"/>
        </w:rPr>
        <w:t xml:space="preserve"> and Asian</w:t>
      </w:r>
      <w:r w:rsidR="00971147">
        <w:rPr>
          <w:szCs w:val="22"/>
        </w:rPr>
        <w:t xml:space="preserve"> people</w:t>
      </w:r>
      <w:r w:rsidRPr="00492778">
        <w:rPr>
          <w:szCs w:val="22"/>
        </w:rPr>
        <w:t xml:space="preserve"> </w:t>
      </w:r>
      <w:r w:rsidR="00FE3C7B" w:rsidRPr="00492778">
        <w:rPr>
          <w:szCs w:val="22"/>
        </w:rPr>
        <w:t xml:space="preserve">both </w:t>
      </w:r>
      <w:r w:rsidRPr="00492778">
        <w:rPr>
          <w:szCs w:val="22"/>
        </w:rPr>
        <w:t xml:space="preserve">have ‘bimodal’ gambling participation patterns, whereby large proportions do not gamble but </w:t>
      </w:r>
      <w:r w:rsidR="00FE3C7B">
        <w:rPr>
          <w:szCs w:val="22"/>
        </w:rPr>
        <w:t>those</w:t>
      </w:r>
      <w:r w:rsidRPr="00492778">
        <w:rPr>
          <w:szCs w:val="22"/>
        </w:rPr>
        <w:t xml:space="preserve"> people who do </w:t>
      </w:r>
      <w:r w:rsidR="00FE3C7B">
        <w:rPr>
          <w:szCs w:val="22"/>
        </w:rPr>
        <w:t xml:space="preserve">gamble </w:t>
      </w:r>
      <w:r w:rsidRPr="00492778">
        <w:rPr>
          <w:szCs w:val="22"/>
        </w:rPr>
        <w:t>tend to participate intensively and are at much higher risk for problem development.  In large part</w:t>
      </w:r>
      <w:r w:rsidR="00FE3C7B">
        <w:rPr>
          <w:szCs w:val="22"/>
        </w:rPr>
        <w:t>,</w:t>
      </w:r>
      <w:r w:rsidRPr="00492778">
        <w:rPr>
          <w:szCs w:val="22"/>
        </w:rPr>
        <w:t xml:space="preserve"> this is considered likely to be a consequence</w:t>
      </w:r>
      <w:r w:rsidR="00FE3C7B">
        <w:rPr>
          <w:szCs w:val="22"/>
        </w:rPr>
        <w:t xml:space="preserve"> of</w:t>
      </w:r>
      <w:r w:rsidRPr="00492778">
        <w:rPr>
          <w:szCs w:val="22"/>
        </w:rPr>
        <w:t xml:space="preserve"> relatively large proportions being migrants from countries with low access to the forms of gambling that are most strongly associated with gambling-related harm in this country.  Membership of </w:t>
      </w:r>
      <w:r w:rsidR="00FE3C7B" w:rsidRPr="00492778">
        <w:rPr>
          <w:szCs w:val="22"/>
        </w:rPr>
        <w:t xml:space="preserve">Other </w:t>
      </w:r>
      <w:r w:rsidRPr="00492778">
        <w:rPr>
          <w:szCs w:val="22"/>
        </w:rPr>
        <w:t xml:space="preserve">Christian groups and </w:t>
      </w:r>
      <w:r w:rsidR="00FE3C7B" w:rsidRPr="00492778">
        <w:rPr>
          <w:szCs w:val="22"/>
        </w:rPr>
        <w:t>Other Religio</w:t>
      </w:r>
      <w:r w:rsidRPr="00492778">
        <w:rPr>
          <w:szCs w:val="22"/>
        </w:rPr>
        <w:t>ns that disapprove of gambling probably also contribute to lower overall participation.  In some univariate analyses</w:t>
      </w:r>
      <w:r w:rsidR="00FE3C7B">
        <w:rPr>
          <w:szCs w:val="22"/>
        </w:rPr>
        <w:t>,</w:t>
      </w:r>
      <w:r w:rsidRPr="00492778">
        <w:rPr>
          <w:szCs w:val="22"/>
        </w:rPr>
        <w:t xml:space="preserve"> migrant status and membership of these religious groups directly predicted at-risk and problem gambling.  Further research is required to increase understanding of the cultural and other factors associated with ethnicity that put these ethnic groups at high risk.  Although future phases of the NGS will provide relevant information</w:t>
      </w:r>
      <w:r w:rsidR="00FE3C7B">
        <w:rPr>
          <w:szCs w:val="22"/>
        </w:rPr>
        <w:t>, more focus</w:t>
      </w:r>
      <w:r w:rsidRPr="00492778">
        <w:rPr>
          <w:szCs w:val="22"/>
        </w:rPr>
        <w:t>ed ethnic specific studies will be required to more fully understand vulnerability and protective factors in these groups.</w:t>
      </w:r>
    </w:p>
    <w:p w:rsidR="00492778" w:rsidRPr="00492778" w:rsidRDefault="00492778" w:rsidP="00492778">
      <w:pPr>
        <w:jc w:val="both"/>
        <w:rPr>
          <w:szCs w:val="22"/>
        </w:rPr>
      </w:pPr>
    </w:p>
    <w:p w:rsidR="00492778" w:rsidRPr="00492778" w:rsidRDefault="00FE3C7B" w:rsidP="00492778">
      <w:pPr>
        <w:jc w:val="both"/>
        <w:rPr>
          <w:szCs w:val="22"/>
        </w:rPr>
      </w:pPr>
      <w:r>
        <w:rPr>
          <w:szCs w:val="22"/>
        </w:rPr>
        <w:t>Māori</w:t>
      </w:r>
      <w:r w:rsidR="00492778" w:rsidRPr="00492778">
        <w:rPr>
          <w:szCs w:val="22"/>
        </w:rPr>
        <w:t xml:space="preserve"> do not have bimodal gambling patterns.  Further research</w:t>
      </w:r>
      <w:r>
        <w:rPr>
          <w:szCs w:val="22"/>
        </w:rPr>
        <w:t xml:space="preserve"> is required to understand why Māori </w:t>
      </w:r>
      <w:r w:rsidR="00492778" w:rsidRPr="00492778">
        <w:rPr>
          <w:szCs w:val="22"/>
        </w:rPr>
        <w:t>continue to have relatively higher rates of gambling-related harm than European/</w:t>
      </w:r>
      <w:r w:rsidRPr="00492778">
        <w:rPr>
          <w:szCs w:val="22"/>
        </w:rPr>
        <w:t>Other</w:t>
      </w:r>
      <w:r w:rsidR="00492778" w:rsidRPr="00492778">
        <w:rPr>
          <w:szCs w:val="22"/>
        </w:rPr>
        <w:t>, after the effects of a wide range of other factors are taken into account in multivariate analyses.  Some measures not included in the present study may be important, for example residential proximity to EGM and TAB venues, physical health status and past and recent history of abuse and family violence.  However, relative to the factors considered in the present study, these and other known predictors of prevalence and incidence appear to have low predictive power (Williams et al</w:t>
      </w:r>
      <w:r>
        <w:rPr>
          <w:szCs w:val="22"/>
        </w:rPr>
        <w:t>.</w:t>
      </w:r>
      <w:r w:rsidR="00492778" w:rsidRPr="00492778">
        <w:rPr>
          <w:szCs w:val="22"/>
        </w:rPr>
        <w:t xml:space="preserve">, 2015).  </w:t>
      </w:r>
    </w:p>
    <w:p w:rsidR="00492778" w:rsidRPr="00492778" w:rsidRDefault="00492778" w:rsidP="00492778">
      <w:pPr>
        <w:jc w:val="both"/>
        <w:rPr>
          <w:szCs w:val="22"/>
        </w:rPr>
      </w:pPr>
    </w:p>
    <w:p w:rsidR="00FE3C7B" w:rsidRDefault="00492778" w:rsidP="00492778">
      <w:pPr>
        <w:jc w:val="both"/>
        <w:rPr>
          <w:szCs w:val="22"/>
        </w:rPr>
      </w:pPr>
      <w:r w:rsidRPr="00492778">
        <w:rPr>
          <w:szCs w:val="22"/>
        </w:rPr>
        <w:t>The analyses predicting the onset of at-risk and problem gambling do not differentiate between those who developed hazardous and problematic gambling for the first time and those who relapsed following periods of non-problem and/or low-risk gambling.  At the 12 month follow-up</w:t>
      </w:r>
      <w:r w:rsidR="00FE3C7B">
        <w:rPr>
          <w:szCs w:val="22"/>
        </w:rPr>
        <w:t>,</w:t>
      </w:r>
      <w:r w:rsidRPr="00492778">
        <w:rPr>
          <w:szCs w:val="22"/>
        </w:rPr>
        <w:t xml:space="preserve"> this distinction would have to have been made using the SOGS-R lifetime scores as a proxy for previous gambling problems.  As discussed earlier</w:t>
      </w:r>
      <w:r w:rsidR="00FE3C7B">
        <w:rPr>
          <w:szCs w:val="22"/>
        </w:rPr>
        <w:t>,</w:t>
      </w:r>
      <w:r w:rsidRPr="00492778">
        <w:rPr>
          <w:szCs w:val="22"/>
        </w:rPr>
        <w:t xml:space="preserve"> this measure fails to detect a moderate proportion of people who actually had problems in the past.  Additionally, when divided into new and relapsing groups, the sample sizes are small, limiting the range of potential risk factors that can be considered.  By the completion of the study, there will be larger numbers of people who develop problems for the first time (while they are in the study), as well as people who cease h</w:t>
      </w:r>
      <w:r w:rsidR="00FE3C7B">
        <w:rPr>
          <w:szCs w:val="22"/>
        </w:rPr>
        <w:t>aving problems and who relapse.</w:t>
      </w:r>
      <w:r w:rsidRPr="00492778">
        <w:rPr>
          <w:szCs w:val="22"/>
        </w:rPr>
        <w:t xml:space="preserve">  Consideration of these different groups will provide some relevant information.</w:t>
      </w:r>
    </w:p>
    <w:p w:rsidR="00492778" w:rsidRPr="00492778" w:rsidRDefault="00492778" w:rsidP="00492778">
      <w:pPr>
        <w:jc w:val="both"/>
        <w:rPr>
          <w:szCs w:val="22"/>
        </w:rPr>
      </w:pPr>
      <w:r w:rsidRPr="00492778">
        <w:rPr>
          <w:szCs w:val="22"/>
        </w:rPr>
        <w:t xml:space="preserve">  </w:t>
      </w:r>
    </w:p>
    <w:p w:rsidR="00492778" w:rsidRPr="00492778" w:rsidRDefault="00492778" w:rsidP="00492778">
      <w:pPr>
        <w:jc w:val="both"/>
        <w:rPr>
          <w:szCs w:val="22"/>
        </w:rPr>
      </w:pPr>
    </w:p>
    <w:p w:rsidR="00492778" w:rsidRPr="00DC31A7" w:rsidRDefault="00492778" w:rsidP="00492778">
      <w:pPr>
        <w:jc w:val="both"/>
        <w:rPr>
          <w:b/>
          <w:i/>
          <w:szCs w:val="22"/>
        </w:rPr>
      </w:pPr>
      <w:r w:rsidRPr="00DC31A7">
        <w:rPr>
          <w:b/>
          <w:i/>
          <w:szCs w:val="22"/>
        </w:rPr>
        <w:t xml:space="preserve">Predictors of continued at-risk and problem gambling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As discussed earlier</w:t>
      </w:r>
      <w:r w:rsidR="00DC31A7">
        <w:rPr>
          <w:szCs w:val="22"/>
        </w:rPr>
        <w:t>,</w:t>
      </w:r>
      <w:r w:rsidRPr="00492778">
        <w:rPr>
          <w:szCs w:val="22"/>
        </w:rPr>
        <w:t xml:space="preserve"> problem gambling and at-risk gambling at baseline (2012) was a moderate to strong predictor of continued problems or at-risk status.  Over 12 months</w:t>
      </w:r>
      <w:r w:rsidR="00DC31A7">
        <w:rPr>
          <w:szCs w:val="22"/>
        </w:rPr>
        <w:t>,</w:t>
      </w:r>
      <w:r w:rsidRPr="00492778">
        <w:rPr>
          <w:szCs w:val="22"/>
        </w:rPr>
        <w:t xml:space="preserve"> just under a half of problem gamblers remained problem gamblers and one</w:t>
      </w:r>
      <w:r w:rsidR="00DC31A7">
        <w:rPr>
          <w:szCs w:val="22"/>
        </w:rPr>
        <w:t xml:space="preserve"> </w:t>
      </w:r>
      <w:r w:rsidRPr="00492778">
        <w:rPr>
          <w:szCs w:val="22"/>
        </w:rPr>
        <w:t>in</w:t>
      </w:r>
      <w:r w:rsidR="00DC31A7">
        <w:rPr>
          <w:szCs w:val="22"/>
        </w:rPr>
        <w:t xml:space="preserve"> </w:t>
      </w:r>
      <w:r w:rsidRPr="00492778">
        <w:rPr>
          <w:szCs w:val="22"/>
        </w:rPr>
        <w:t>ten became a moderate-risk gambler with the remainder moving into the low-risk and non-problem groups.  None became non-gamblers.  Around a quarter of low-risk and moderate-risk gamblers remained in these categories.  One</w:t>
      </w:r>
      <w:r w:rsidR="00DC31A7">
        <w:rPr>
          <w:szCs w:val="22"/>
        </w:rPr>
        <w:t xml:space="preserve"> </w:t>
      </w:r>
      <w:r w:rsidRPr="00492778">
        <w:rPr>
          <w:szCs w:val="22"/>
        </w:rPr>
        <w:t>in</w:t>
      </w:r>
      <w:r w:rsidR="00DC31A7">
        <w:rPr>
          <w:szCs w:val="22"/>
        </w:rPr>
        <w:t xml:space="preserve"> </w:t>
      </w:r>
      <w:r w:rsidRPr="00492778">
        <w:rPr>
          <w:szCs w:val="22"/>
        </w:rPr>
        <w:t>ten moderate-risk gamblers became problem gamblers, a quarter moved into the low-risk group and over a third moved into the non-problem or non-gambling groups.  These findings indicate a fairly high level stability over 12 months for problem gambling and a lower level for at-risk gambling.</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lastRenderedPageBreak/>
        <w:t xml:space="preserve">Older adults (55 years and </w:t>
      </w:r>
      <w:r w:rsidR="00DC31A7">
        <w:rPr>
          <w:szCs w:val="22"/>
        </w:rPr>
        <w:t>older</w:t>
      </w:r>
      <w:r w:rsidRPr="00492778">
        <w:rPr>
          <w:szCs w:val="22"/>
        </w:rPr>
        <w:t xml:space="preserve">) and New Zealand born people were more likely than younger adults and migrants to remain moderate-risk and problem gamblers.  However, the confidence intervals </w:t>
      </w:r>
      <w:r w:rsidR="0068515F">
        <w:rPr>
          <w:szCs w:val="22"/>
        </w:rPr>
        <w:t>a</w:t>
      </w:r>
      <w:r w:rsidRPr="00492778">
        <w:rPr>
          <w:szCs w:val="22"/>
        </w:rPr>
        <w:t>re very wide in the case of older adults and the finding should be treated with caution.  No gender, ethnic or other demographic differences were found with respect to problem duration and cessation.  Some gambling intensity and participation measures were significant in univariate analyses and one of these, namely at least weekly participation, remained significant in the multivariate analysis.  As with older adults</w:t>
      </w:r>
      <w:r w:rsidR="00DC31A7">
        <w:rPr>
          <w:szCs w:val="22"/>
        </w:rPr>
        <w:t>,</w:t>
      </w:r>
      <w:r w:rsidRPr="00492778">
        <w:rPr>
          <w:szCs w:val="22"/>
        </w:rPr>
        <w:t xml:space="preserve"> the confidence interval was very wide.  People who </w:t>
      </w:r>
      <w:r w:rsidRPr="009F5E09">
        <w:rPr>
          <w:szCs w:val="22"/>
        </w:rPr>
        <w:t xml:space="preserve">sought help </w:t>
      </w:r>
      <w:r w:rsidR="009E314A" w:rsidRPr="009F5E09">
        <w:rPr>
          <w:szCs w:val="22"/>
        </w:rPr>
        <w:t xml:space="preserve">(from formal and informal sources) </w:t>
      </w:r>
      <w:r w:rsidRPr="009F5E09">
        <w:rPr>
          <w:szCs w:val="22"/>
        </w:rPr>
        <w:t>for gambling</w:t>
      </w:r>
      <w:r w:rsidRPr="00492778">
        <w:rPr>
          <w:szCs w:val="22"/>
        </w:rPr>
        <w:t xml:space="preserve"> and current smokers also appeared to be at greater risk but again the confidence intervals are wide and the results need to be tre</w:t>
      </w:r>
      <w:r w:rsidR="00DC31A7">
        <w:rPr>
          <w:szCs w:val="22"/>
        </w:rPr>
        <w:t>ated with considerable caution.</w:t>
      </w:r>
      <w:r w:rsidRPr="00492778">
        <w:rPr>
          <w:szCs w:val="22"/>
        </w:rPr>
        <w:t xml:space="preserve">  Apart from migrant status, the only other robust finding was that people who reported leaving ATM and credit cards at home when they were gambling were much less likely to remain moderate-risk or problem gamblers.</w:t>
      </w:r>
    </w:p>
    <w:p w:rsidR="00492778" w:rsidRPr="00492778" w:rsidRDefault="00492778" w:rsidP="00492778">
      <w:pPr>
        <w:jc w:val="both"/>
        <w:rPr>
          <w:szCs w:val="22"/>
        </w:rPr>
      </w:pPr>
    </w:p>
    <w:p w:rsidR="00492778" w:rsidRPr="00492778" w:rsidRDefault="00492778" w:rsidP="00492778">
      <w:pPr>
        <w:jc w:val="both"/>
        <w:rPr>
          <w:szCs w:val="22"/>
        </w:rPr>
      </w:pPr>
      <w:r w:rsidRPr="0085649C">
        <w:rPr>
          <w:szCs w:val="22"/>
        </w:rPr>
        <w:t>A much larger number of predictors was found for remaining low-risk, mod</w:t>
      </w:r>
      <w:r w:rsidR="00DC31A7" w:rsidRPr="0085649C">
        <w:rPr>
          <w:szCs w:val="22"/>
        </w:rPr>
        <w:t>erate-risk or problem gamblers.</w:t>
      </w:r>
      <w:r w:rsidRPr="0085649C">
        <w:rPr>
          <w:szCs w:val="22"/>
        </w:rPr>
        <w:t xml:space="preserve">  Age and migrant status were not significant.  </w:t>
      </w:r>
      <w:r w:rsidR="00DC31A7" w:rsidRPr="0085649C">
        <w:rPr>
          <w:szCs w:val="22"/>
        </w:rPr>
        <w:t>Māori</w:t>
      </w:r>
      <w:r w:rsidRPr="0085649C">
        <w:rPr>
          <w:szCs w:val="22"/>
        </w:rPr>
        <w:t xml:space="preserve">, however, were approximately three times more likely than European/Other, Pacific </w:t>
      </w:r>
      <w:r w:rsidR="00F50E6B">
        <w:rPr>
          <w:szCs w:val="22"/>
        </w:rPr>
        <w:t>people</w:t>
      </w:r>
      <w:r w:rsidRPr="0085649C">
        <w:rPr>
          <w:szCs w:val="22"/>
        </w:rPr>
        <w:t xml:space="preserve"> and Asian</w:t>
      </w:r>
      <w:r w:rsidR="00971147">
        <w:rPr>
          <w:szCs w:val="22"/>
        </w:rPr>
        <w:t xml:space="preserve"> people</w:t>
      </w:r>
      <w:r w:rsidRPr="0085649C">
        <w:rPr>
          <w:szCs w:val="22"/>
        </w:rPr>
        <w:t xml:space="preserve"> to remain in the at-risk and problem gambling categories.  People without a formal qualification </w:t>
      </w:r>
      <w:r w:rsidR="0085649C" w:rsidRPr="0085649C">
        <w:rPr>
          <w:szCs w:val="22"/>
        </w:rPr>
        <w:t xml:space="preserve">were at higher risk relative to those in one or more other education </w:t>
      </w:r>
      <w:r w:rsidR="0085649C">
        <w:rPr>
          <w:szCs w:val="22"/>
        </w:rPr>
        <w:t xml:space="preserve">groups, </w:t>
      </w:r>
      <w:r w:rsidRPr="0085649C">
        <w:rPr>
          <w:szCs w:val="22"/>
        </w:rPr>
        <w:t xml:space="preserve">and people in one of the higher income groups were also at higher risk relative to those in </w:t>
      </w:r>
      <w:r w:rsidR="0085649C">
        <w:rPr>
          <w:szCs w:val="22"/>
        </w:rPr>
        <w:t>the lowest</w:t>
      </w:r>
      <w:r w:rsidRPr="0085649C">
        <w:rPr>
          <w:szCs w:val="22"/>
        </w:rPr>
        <w:t xml:space="preserve"> income categor</w:t>
      </w:r>
      <w:r w:rsidR="0085649C">
        <w:rPr>
          <w:szCs w:val="22"/>
        </w:rPr>
        <w:t>y</w:t>
      </w:r>
      <w:r w:rsidRPr="0085649C">
        <w:rPr>
          <w:szCs w:val="22"/>
        </w:rPr>
        <w:t xml:space="preserve">.  A large number of statistically significant associations with gambling participation measures </w:t>
      </w:r>
      <w:r w:rsidR="0085649C">
        <w:rPr>
          <w:szCs w:val="22"/>
        </w:rPr>
        <w:t>was</w:t>
      </w:r>
      <w:r w:rsidRPr="0085649C">
        <w:rPr>
          <w:szCs w:val="22"/>
        </w:rPr>
        <w:t xml:space="preserve"> found.  Monthly or more frequent EGM and card game participation and annual or more frequent housie or bingo participation were the only participation and intensity measures that were retained in the multivariate analysis.  In this analysis, people who reported spending time with one or more other people while taking part in their favourite gambling activity, relative to those who gambled alone, had a much lower probability of remaining an at-risk or problem gambler.  In contrast, in the univariate analyses seeking help for gambling </w:t>
      </w:r>
      <w:r w:rsidR="003E1E3A" w:rsidRPr="009F5E09">
        <w:rPr>
          <w:szCs w:val="22"/>
        </w:rPr>
        <w:t xml:space="preserve">(from formal and informal sources) </w:t>
      </w:r>
      <w:r w:rsidRPr="0085649C">
        <w:rPr>
          <w:szCs w:val="22"/>
        </w:rPr>
        <w:t>and avoiding places that have betting or gambling predicted continued at-risk and problem gambling.  This was also the case for lower quality of life and current (weekly or more) tobacco use.</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The analyses in this section identified factors associated with continuity (and ‘recovery’) in the two at-risk or pr</w:t>
      </w:r>
      <w:r w:rsidR="0085649C">
        <w:rPr>
          <w:szCs w:val="22"/>
        </w:rPr>
        <w:t xml:space="preserve">oblem gambling groups from 2012 to </w:t>
      </w:r>
      <w:r w:rsidRPr="00492778">
        <w:rPr>
          <w:szCs w:val="22"/>
        </w:rPr>
        <w:t>2013.  Small sample size compromised examination of predictors of retention within</w:t>
      </w:r>
      <w:r w:rsidR="0085649C">
        <w:rPr>
          <w:szCs w:val="22"/>
        </w:rPr>
        <w:t>,</w:t>
      </w:r>
      <w:r w:rsidRPr="00492778">
        <w:rPr>
          <w:szCs w:val="22"/>
        </w:rPr>
        <w:t xml:space="preserve"> and movement from</w:t>
      </w:r>
      <w:r w:rsidR="0085649C">
        <w:rPr>
          <w:szCs w:val="22"/>
        </w:rPr>
        <w:t>,</w:t>
      </w:r>
      <w:r w:rsidRPr="00492778">
        <w:rPr>
          <w:szCs w:val="22"/>
        </w:rPr>
        <w:t xml:space="preserve"> the moderate-risk or problem gambling group.  The finding that that older people appear to have more persistent problems, while potentially important, is uncertain and requires replication.  The finding of higher problem and moderate-risk gambling remission among migrants relative to New Zealand-born adults also requires replication and further investigation.  It was not evident in the analyses when low-risk gamblers were grouped with moderate-risk and problem gamblers.  It is possible that migrants, especially recent migrants, differ from New Zealand-born adults in that proportionately more have </w:t>
      </w:r>
      <w:r w:rsidR="0085649C" w:rsidRPr="00492778">
        <w:rPr>
          <w:szCs w:val="22"/>
        </w:rPr>
        <w:t xml:space="preserve">recently </w:t>
      </w:r>
      <w:r w:rsidRPr="00492778">
        <w:rPr>
          <w:szCs w:val="22"/>
        </w:rPr>
        <w:t>developed gambling problems and that fewer are relapsing.  It may also be the case that patterns of moderate-risk and problem gambling are more fluid early on than is the case after multiple relapses.  Some previous research has shown that a past history of problem gambling is the major predictor of continued problem gambling including relapse (Abbott, Williams &amp; Volberg, 1999, 2004; Williams et al</w:t>
      </w:r>
      <w:r w:rsidR="0085649C">
        <w:rPr>
          <w:szCs w:val="22"/>
        </w:rPr>
        <w:t>.</w:t>
      </w:r>
      <w:r w:rsidRPr="00492778">
        <w:rPr>
          <w:szCs w:val="22"/>
        </w:rPr>
        <w:t>, 2015).  At the conclusion of the present study</w:t>
      </w:r>
      <w:r w:rsidR="0085649C">
        <w:rPr>
          <w:szCs w:val="22"/>
        </w:rPr>
        <w:t>,</w:t>
      </w:r>
      <w:r w:rsidRPr="00492778">
        <w:rPr>
          <w:szCs w:val="22"/>
        </w:rPr>
        <w:t xml:space="preserve"> substantially more people will have moved into and out of the moderate-risk and problem gambling states.  This will provide a clearer indication of the extent of problem development, recovery, remission and relapse during the four years of the study and enable predictors and correlates of these transitions to be identified.</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lastRenderedPageBreak/>
        <w:t>The findings regarding retention within the larger low-risk, moderate-risk or problem gambling group are more robust, although they too will benefit significantly from the addition of information from future study waves.  It is evident that both moving into</w:t>
      </w:r>
      <w:r w:rsidR="0085649C">
        <w:rPr>
          <w:szCs w:val="22"/>
        </w:rPr>
        <w:t>,</w:t>
      </w:r>
      <w:r w:rsidRPr="00492778">
        <w:rPr>
          <w:szCs w:val="22"/>
        </w:rPr>
        <w:t xml:space="preserve"> and remaining in</w:t>
      </w:r>
      <w:r w:rsidR="0085649C">
        <w:rPr>
          <w:szCs w:val="22"/>
        </w:rPr>
        <w:t>,</w:t>
      </w:r>
      <w:r w:rsidRPr="00492778">
        <w:rPr>
          <w:szCs w:val="22"/>
        </w:rPr>
        <w:t xml:space="preserve"> the moderate and at-risk and problem gambling category is predicted by regular gambling participation in EGMs and some other continuous gambling forms.  This is not unexpected.  It is of some interest, however, that annual housie or bingo and monthly or more frequent card game participation was retained in the multivariate analysis.  While showing some association with the onset of at-risk and problem gambling</w:t>
      </w:r>
      <w:r w:rsidR="0085649C">
        <w:rPr>
          <w:szCs w:val="22"/>
        </w:rPr>
        <w:t>,</w:t>
      </w:r>
      <w:r w:rsidRPr="00492778">
        <w:rPr>
          <w:szCs w:val="22"/>
        </w:rPr>
        <w:t xml:space="preserve"> they were not retained in multivariate analyses that included EGMs, casino games and gambling expenditure</w:t>
      </w:r>
      <w:r w:rsidR="0085649C">
        <w:rPr>
          <w:szCs w:val="22"/>
        </w:rPr>
        <w:t>,</w:t>
      </w:r>
      <w:r w:rsidRPr="00492778">
        <w:rPr>
          <w:szCs w:val="22"/>
        </w:rPr>
        <w:t xml:space="preserve"> and a variety of other gambling measures.  These findings suggest that while probably contributing to problem development to some extent, participation in housie or bingo and playing cards may play a more important role in sustaining at-risk and problem gambling.  This possibility requires further study.  Spending time with others while taking part in most enjoyed gambling activities was protective both with respect to the onset and continuation of at-risk and problem gambling.  Further research is required to understand this more fully and explore ways in which it might be employed to help both prevent and reduce hazardous and problem gambling.  The finding that seeking help </w:t>
      </w:r>
      <w:r w:rsidR="003E1E3A" w:rsidRPr="009F5E09">
        <w:rPr>
          <w:szCs w:val="22"/>
        </w:rPr>
        <w:t xml:space="preserve">(from formal and informal sources) </w:t>
      </w:r>
      <w:r w:rsidRPr="00492778">
        <w:rPr>
          <w:szCs w:val="22"/>
        </w:rPr>
        <w:t xml:space="preserve">and avoid gambling places was associated with the continuation of at-risk and problem gambling does not necessarily mean that these approaches contribute to more persistent gambling-related problems and harm.  The association may arise because people who are developing more severe at-risk and problematic gambling more frequently do </w:t>
      </w:r>
      <w:r w:rsidR="0085649C">
        <w:rPr>
          <w:szCs w:val="22"/>
        </w:rPr>
        <w:t>these things</w:t>
      </w:r>
      <w:r w:rsidRPr="00492778">
        <w:rPr>
          <w:szCs w:val="22"/>
        </w:rPr>
        <w:t xml:space="preserve">.  It may be possible following the final study wave to assess this and perhaps conduct a nested case control study comparing people of similar risk/problem severity who did and did not seek help.  </w:t>
      </w:r>
    </w:p>
    <w:p w:rsidR="00492778" w:rsidRDefault="00492778" w:rsidP="00492778">
      <w:pPr>
        <w:jc w:val="both"/>
        <w:rPr>
          <w:szCs w:val="22"/>
        </w:rPr>
      </w:pPr>
    </w:p>
    <w:p w:rsidR="0085649C" w:rsidRPr="00492778" w:rsidRDefault="0085649C" w:rsidP="00492778">
      <w:pPr>
        <w:jc w:val="both"/>
        <w:rPr>
          <w:szCs w:val="22"/>
        </w:rPr>
      </w:pPr>
    </w:p>
    <w:p w:rsidR="00492778" w:rsidRPr="0085649C" w:rsidRDefault="00492778" w:rsidP="00492778">
      <w:pPr>
        <w:jc w:val="both"/>
        <w:rPr>
          <w:b/>
          <w:i/>
          <w:szCs w:val="22"/>
        </w:rPr>
      </w:pPr>
      <w:r w:rsidRPr="00B22EBF">
        <w:rPr>
          <w:b/>
          <w:i/>
          <w:szCs w:val="22"/>
        </w:rPr>
        <w:t>Predictors of initiating and re-initiating gambling</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Slightly </w:t>
      </w:r>
      <w:r w:rsidR="00B22EBF">
        <w:rPr>
          <w:szCs w:val="22"/>
        </w:rPr>
        <w:t>less than</w:t>
      </w:r>
      <w:r w:rsidRPr="00492778">
        <w:rPr>
          <w:szCs w:val="22"/>
        </w:rPr>
        <w:t xml:space="preserve"> a third of people who did not report taking part in any form of gambling during the 12 months prior to the baseline interview, and at any other time prior to that, commenced participating in one or more forms of gambling during the </w:t>
      </w:r>
      <w:r w:rsidR="00B22EBF">
        <w:rPr>
          <w:szCs w:val="22"/>
        </w:rPr>
        <w:t>first 12 months of the study.  Māori</w:t>
      </w:r>
      <w:r w:rsidRPr="00492778">
        <w:rPr>
          <w:szCs w:val="22"/>
        </w:rPr>
        <w:t xml:space="preserve"> were more likely than other major ethnic groups to take up gambling and both recent migrants and </w:t>
      </w:r>
      <w:r w:rsidR="00B22EBF" w:rsidRPr="00492778">
        <w:rPr>
          <w:szCs w:val="22"/>
        </w:rPr>
        <w:t xml:space="preserve">Other </w:t>
      </w:r>
      <w:r w:rsidR="0068515F">
        <w:rPr>
          <w:szCs w:val="22"/>
        </w:rPr>
        <w:t>Christians</w:t>
      </w:r>
      <w:r w:rsidR="00B22EBF" w:rsidRPr="00492778">
        <w:rPr>
          <w:szCs w:val="22"/>
        </w:rPr>
        <w:t xml:space="preserve"> </w:t>
      </w:r>
      <w:r w:rsidRPr="00492778">
        <w:rPr>
          <w:szCs w:val="22"/>
        </w:rPr>
        <w:t xml:space="preserve">were less likely to do so.  As discussed earlier, all three of these groups have been shown, to varying degrees, to be at risk for moderate-risk and problem gambling.  Moderate to high psychological distress, hazardous alcohol consumption and past and current tobacco use were also significant predictors of taking up </w:t>
      </w:r>
      <w:r w:rsidR="00B22EBF">
        <w:rPr>
          <w:szCs w:val="22"/>
        </w:rPr>
        <w:t>gambling</w:t>
      </w:r>
      <w:r w:rsidRPr="00492778">
        <w:rPr>
          <w:szCs w:val="22"/>
        </w:rPr>
        <w:t xml:space="preserve">.  All of these factors have been found to be associated with problem gambling in previous studies, both problem onset and through facilitating problem continuity and relapse.  The present findings suggest that they are also predictive of taking up gambling in the first instance.  </w:t>
      </w:r>
    </w:p>
    <w:p w:rsidR="00492778" w:rsidRPr="00492778" w:rsidRDefault="00492778" w:rsidP="00492778">
      <w:pPr>
        <w:jc w:val="both"/>
        <w:rPr>
          <w:szCs w:val="22"/>
        </w:rPr>
      </w:pPr>
    </w:p>
    <w:p w:rsidR="00492778" w:rsidRPr="00492778" w:rsidRDefault="00492778" w:rsidP="00492778">
      <w:pPr>
        <w:jc w:val="both"/>
        <w:rPr>
          <w:szCs w:val="22"/>
        </w:rPr>
      </w:pPr>
      <w:r w:rsidRPr="00492778">
        <w:rPr>
          <w:szCs w:val="22"/>
        </w:rPr>
        <w:t xml:space="preserve">Over </w:t>
      </w:r>
      <w:r w:rsidR="00B22EBF">
        <w:rPr>
          <w:szCs w:val="22"/>
        </w:rPr>
        <w:t>40%</w:t>
      </w:r>
      <w:r w:rsidRPr="00492778">
        <w:rPr>
          <w:szCs w:val="22"/>
        </w:rPr>
        <w:t xml:space="preserve"> of people who h</w:t>
      </w:r>
      <w:r w:rsidR="00B22EBF">
        <w:rPr>
          <w:szCs w:val="22"/>
        </w:rPr>
        <w:t>ad not gambled in the past year</w:t>
      </w:r>
      <w:r w:rsidRPr="00492778">
        <w:rPr>
          <w:szCs w:val="22"/>
        </w:rPr>
        <w:t xml:space="preserve"> but </w:t>
      </w:r>
      <w:r w:rsidR="00B22EBF">
        <w:rPr>
          <w:szCs w:val="22"/>
        </w:rPr>
        <w:t xml:space="preserve">who </w:t>
      </w:r>
      <w:r w:rsidRPr="00492778">
        <w:rPr>
          <w:szCs w:val="22"/>
        </w:rPr>
        <w:t xml:space="preserve">had gambled </w:t>
      </w:r>
      <w:r w:rsidR="0068515F">
        <w:rPr>
          <w:szCs w:val="22"/>
        </w:rPr>
        <w:t>prior to that</w:t>
      </w:r>
      <w:r w:rsidRPr="00492778">
        <w:rPr>
          <w:szCs w:val="22"/>
        </w:rPr>
        <w:t>, started gambling again during the first year of the study.  Ethnic or other demographic differences were not evident.  The strongest predictor, and the only predictor remaining in the multivariate analysis, was deprivation.  People who experienced one</w:t>
      </w:r>
      <w:r w:rsidR="00B22EBF">
        <w:rPr>
          <w:szCs w:val="22"/>
        </w:rPr>
        <w:t xml:space="preserve"> or</w:t>
      </w:r>
      <w:r w:rsidRPr="00492778">
        <w:rPr>
          <w:szCs w:val="22"/>
        </w:rPr>
        <w:t xml:space="preserve"> four deprivations were significantly more likely to reinitiate gambling.  In the univariate analyses</w:t>
      </w:r>
      <w:r w:rsidR="00B22EBF">
        <w:rPr>
          <w:szCs w:val="22"/>
        </w:rPr>
        <w:t>,</w:t>
      </w:r>
      <w:r w:rsidRPr="00492778">
        <w:rPr>
          <w:szCs w:val="22"/>
        </w:rPr>
        <w:t xml:space="preserve"> past and current tobacco use and current use of drugs and hazardous alcohol consumption were also associated with increased risk.  It appears that deprivation and/or psychological distress, along with substance use/misuse all contribute in some way to both the initiation and re-initiation of gambling.  Thus it would appear that they contribute to problem gambling both by way of playing a part in gambling initiation and persistence per se, and through their more direct contribution to problem gambling onset, continuity and relapse.</w:t>
      </w:r>
      <w:r w:rsidR="00B22EBF">
        <w:rPr>
          <w:szCs w:val="22"/>
        </w:rPr>
        <w:t xml:space="preserve"> </w:t>
      </w:r>
      <w:r w:rsidRPr="00492778">
        <w:rPr>
          <w:szCs w:val="22"/>
        </w:rPr>
        <w:t xml:space="preserve"> In the present analyse</w:t>
      </w:r>
      <w:r w:rsidR="00B22EBF">
        <w:rPr>
          <w:szCs w:val="22"/>
        </w:rPr>
        <w:t>s,</w:t>
      </w:r>
      <w:r w:rsidRPr="00492778">
        <w:rPr>
          <w:szCs w:val="22"/>
        </w:rPr>
        <w:t xml:space="preserve"> all </w:t>
      </w:r>
      <w:r w:rsidRPr="00492778">
        <w:rPr>
          <w:szCs w:val="22"/>
        </w:rPr>
        <w:lastRenderedPageBreak/>
        <w:t xml:space="preserve">gambling forms were grouped together.  It would be helpful if future research could differentiate between different types and intensities of gambling engagement and see whether or not they have the same or different antecedents.  </w:t>
      </w:r>
    </w:p>
    <w:p w:rsidR="00492778" w:rsidRDefault="00492778" w:rsidP="00492778">
      <w:pPr>
        <w:jc w:val="both"/>
        <w:rPr>
          <w:szCs w:val="22"/>
        </w:rPr>
      </w:pPr>
    </w:p>
    <w:p w:rsidR="00B22EBF" w:rsidRPr="00492778" w:rsidRDefault="00B22EBF" w:rsidP="00492778">
      <w:pPr>
        <w:jc w:val="both"/>
        <w:rPr>
          <w:szCs w:val="22"/>
        </w:rPr>
      </w:pPr>
    </w:p>
    <w:p w:rsidR="00492778" w:rsidRPr="00B22EBF" w:rsidRDefault="00492778" w:rsidP="00492778">
      <w:pPr>
        <w:jc w:val="both"/>
        <w:rPr>
          <w:b/>
          <w:szCs w:val="22"/>
        </w:rPr>
      </w:pPr>
      <w:r w:rsidRPr="00B22EBF">
        <w:rPr>
          <w:b/>
          <w:szCs w:val="22"/>
        </w:rPr>
        <w:t xml:space="preserve">Conclusions      </w:t>
      </w:r>
    </w:p>
    <w:p w:rsidR="003B3C33" w:rsidRPr="003B3C33" w:rsidRDefault="003B3C33" w:rsidP="003B3C33">
      <w:pPr>
        <w:jc w:val="both"/>
        <w:rPr>
          <w:szCs w:val="22"/>
        </w:rPr>
      </w:pPr>
    </w:p>
    <w:p w:rsidR="00621ACF" w:rsidRPr="00621ACF" w:rsidRDefault="00621ACF" w:rsidP="00621ACF">
      <w:pPr>
        <w:jc w:val="both"/>
        <w:rPr>
          <w:szCs w:val="22"/>
        </w:rPr>
      </w:pPr>
      <w:r w:rsidRPr="00621ACF">
        <w:rPr>
          <w:szCs w:val="22"/>
        </w:rPr>
        <w:t>The 12 month follow-up findings confirm the major gambling participation, at-risk and problem gambling prevalence estimates from the baseline survey.  They increase our confidence in their accuracy.  While there is generally high consistency in the results of the two surveys, there was some reduction in regular EGM participation and in the number of people who took part in large numbers of gambling activities.  These slight changes are in keeping with longer term trends (Abbott et al</w:t>
      </w:r>
      <w:r>
        <w:rPr>
          <w:szCs w:val="22"/>
        </w:rPr>
        <w:t>.</w:t>
      </w:r>
      <w:r w:rsidRPr="00621ACF">
        <w:rPr>
          <w:szCs w:val="22"/>
        </w:rPr>
        <w:t xml:space="preserve">, 2014a) and may indicate that there was a further reduction in these high-risk gambling patterns from 2012 to 2013.   </w:t>
      </w:r>
    </w:p>
    <w:p w:rsidR="00621ACF" w:rsidRPr="00621ACF" w:rsidRDefault="00621ACF" w:rsidP="00621ACF">
      <w:pPr>
        <w:jc w:val="both"/>
        <w:rPr>
          <w:szCs w:val="22"/>
        </w:rPr>
      </w:pPr>
    </w:p>
    <w:p w:rsidR="00621ACF" w:rsidRPr="00621ACF" w:rsidRDefault="00621ACF" w:rsidP="00621ACF">
      <w:pPr>
        <w:jc w:val="both"/>
        <w:rPr>
          <w:szCs w:val="22"/>
        </w:rPr>
      </w:pPr>
      <w:r w:rsidRPr="00621ACF">
        <w:rPr>
          <w:szCs w:val="22"/>
        </w:rPr>
        <w:t>This study has provided, for the first time, problem gambling and at-risk gambling incidence estimates for the New Zealand adult population.  Apart from Sweden, no other country has this information at a national level.  At the subnational level, Victoria</w:t>
      </w:r>
      <w:r>
        <w:rPr>
          <w:szCs w:val="22"/>
        </w:rPr>
        <w:t xml:space="preserve"> (Australia)</w:t>
      </w:r>
      <w:r w:rsidRPr="00621ACF">
        <w:rPr>
          <w:szCs w:val="22"/>
        </w:rPr>
        <w:t xml:space="preserve"> has state-wide incidence estimates.  All three studies found that the incidence rate was approximately half the prevalence rate.  This indicates that around a half of current problem gamblers have recently developed problems.  </w:t>
      </w:r>
    </w:p>
    <w:p w:rsidR="00621ACF" w:rsidRPr="00621ACF" w:rsidRDefault="00621ACF" w:rsidP="00621ACF">
      <w:pPr>
        <w:jc w:val="both"/>
        <w:rPr>
          <w:szCs w:val="22"/>
        </w:rPr>
      </w:pPr>
    </w:p>
    <w:p w:rsidR="00621ACF" w:rsidRPr="00621ACF" w:rsidRDefault="00621ACF" w:rsidP="00621ACF">
      <w:pPr>
        <w:jc w:val="both"/>
        <w:rPr>
          <w:szCs w:val="22"/>
        </w:rPr>
      </w:pPr>
      <w:r w:rsidRPr="00621ACF">
        <w:rPr>
          <w:szCs w:val="22"/>
        </w:rPr>
        <w:t>The New Zealand, Swedish and Victorian studies all found that both problem gambling recovery and relapse are common.  In New Zealand, although the problem gambling prevalence rate did not change significantly from 2012 to 2013, as mentioned about a half of the problem gamblers in 2013 were not problem gamblers in 2012.  The prevalence rate did not change because a comparable number of problem gamblers</w:t>
      </w:r>
      <w:r>
        <w:rPr>
          <w:szCs w:val="22"/>
        </w:rPr>
        <w:t xml:space="preserve"> in 2012 ceased being problem gamblers in 2013.</w:t>
      </w:r>
      <w:r w:rsidRPr="00621ACF">
        <w:rPr>
          <w:szCs w:val="22"/>
        </w:rPr>
        <w:t xml:space="preserve">  Inflow balanced outflow.  A number of previous prospective studies have found moderate to high rates of transition into and out of problem gambling.  While there is consistency over time in the number of problem gamblers, for the most part they are not the same people.  Again, as found in previous studies mentioned in the introduction, the at-risk groups were less stable, with around three-quarters of low- and moderate-risk gamblers transitioning over a 12 month period.    </w:t>
      </w:r>
    </w:p>
    <w:p w:rsidR="00621ACF" w:rsidRPr="00621ACF" w:rsidRDefault="00621ACF" w:rsidP="00621ACF">
      <w:pPr>
        <w:jc w:val="both"/>
        <w:rPr>
          <w:szCs w:val="22"/>
        </w:rPr>
      </w:pPr>
    </w:p>
    <w:p w:rsidR="00621ACF" w:rsidRPr="00621ACF" w:rsidRDefault="00621ACF" w:rsidP="00621ACF">
      <w:pPr>
        <w:jc w:val="both"/>
        <w:rPr>
          <w:szCs w:val="22"/>
        </w:rPr>
      </w:pPr>
      <w:r w:rsidRPr="00621ACF">
        <w:rPr>
          <w:szCs w:val="22"/>
        </w:rPr>
        <w:t>The New Zealand, Swedish and Victorian studies all included lifetime measures of problem gambling as well as the PGSI, a current measure.  In all studies</w:t>
      </w:r>
      <w:r>
        <w:rPr>
          <w:szCs w:val="22"/>
        </w:rPr>
        <w:t>,</w:t>
      </w:r>
      <w:r w:rsidRPr="00621ACF">
        <w:rPr>
          <w:szCs w:val="22"/>
        </w:rPr>
        <w:t xml:space="preserve"> it was found that a large proportion of ‘new’ problem gamblers had actually been problem gamblers previously.  Just over a half of the ‘new’ 2013 NGS problem gamblers had previously been problem gamblers and were relapsing.  Over a quarter of the ‘new’ moderate-risk gamblers had previously been a problem or probable pathological gambler.  In Victoria</w:t>
      </w:r>
      <w:r>
        <w:rPr>
          <w:szCs w:val="22"/>
        </w:rPr>
        <w:t>,</w:t>
      </w:r>
      <w:r w:rsidRPr="00621ACF">
        <w:rPr>
          <w:szCs w:val="22"/>
        </w:rPr>
        <w:t xml:space="preserve"> the relapsing proportions were somewhat higher, in Sweden somewhat lower.  Lifetime measures are highly conservative when re-administered with a long time-lag.  This means that it is probable that the actual proportions of ‘new’ problem and moderate</w:t>
      </w:r>
      <w:r>
        <w:rPr>
          <w:szCs w:val="22"/>
        </w:rPr>
        <w:t>-</w:t>
      </w:r>
      <w:r w:rsidRPr="00621ACF">
        <w:rPr>
          <w:szCs w:val="22"/>
        </w:rPr>
        <w:t xml:space="preserve">risk gamblers who are relapsing are considerably larger than the study estimates.  The proportions of relapses could be as high as three-quarters for problem gamblers and a third for moderate-risk gamblers.  These findings are important.  While they confirm that problem and at-risk gambling are often transitory over the short-term, they also show that relapse is common.  Additionally, they indicate that relapse propensity increases with problem severity.  </w:t>
      </w:r>
    </w:p>
    <w:p w:rsidR="00621ACF" w:rsidRPr="00621ACF" w:rsidRDefault="00621ACF" w:rsidP="00621ACF">
      <w:pPr>
        <w:jc w:val="both"/>
        <w:rPr>
          <w:szCs w:val="22"/>
        </w:rPr>
      </w:pPr>
    </w:p>
    <w:p w:rsidR="00621ACF" w:rsidRPr="00621ACF" w:rsidRDefault="00621ACF" w:rsidP="00621ACF">
      <w:pPr>
        <w:jc w:val="both"/>
        <w:rPr>
          <w:szCs w:val="22"/>
        </w:rPr>
      </w:pPr>
      <w:r w:rsidRPr="00BB7C4C">
        <w:rPr>
          <w:szCs w:val="22"/>
        </w:rPr>
        <w:lastRenderedPageBreak/>
        <w:t>One of the implications of the high rates of movement into and out of problem gambling and</w:t>
      </w:r>
      <w:r w:rsidRPr="00621ACF">
        <w:rPr>
          <w:szCs w:val="22"/>
        </w:rPr>
        <w:t xml:space="preserve"> at-risk gambling is that prevalence estimates provide a somewhat misleading picture of the magnitude of problem gambling and gambling-related harm more generally.  While they give an indication of current problems, they fail to reflect the much larger proportion of people who have experienced problems and harm in the past and who will, in many instances, continue to go through phases of loss of control and relapse.  Even in the case of people who recover and do not relapse, harm to themselves and others in their family and wider community can be long-lasting, sometimes extending into future generations.  </w:t>
      </w:r>
      <w:r w:rsidR="00D764C8">
        <w:rPr>
          <w:szCs w:val="22"/>
        </w:rPr>
        <w:t>However,</w:t>
      </w:r>
      <w:r w:rsidRPr="00D764C8">
        <w:rPr>
          <w:szCs w:val="22"/>
        </w:rPr>
        <w:t xml:space="preserve"> these findings</w:t>
      </w:r>
      <w:r w:rsidRPr="00621ACF">
        <w:rPr>
          <w:szCs w:val="22"/>
        </w:rPr>
        <w:t xml:space="preserve"> contradict the conceptualisation of pathological gambling as inevitably a life-long condition.  Most people who develop problems experience relatively short episodes and while many do not have a recurrence, some adverse consequences are of long duration and substantial numbers relapse on one or multiple occasions.  </w:t>
      </w:r>
    </w:p>
    <w:p w:rsidR="00621ACF" w:rsidRPr="00621ACF" w:rsidRDefault="00621ACF" w:rsidP="00621ACF">
      <w:pPr>
        <w:jc w:val="both"/>
        <w:rPr>
          <w:szCs w:val="22"/>
        </w:rPr>
      </w:pPr>
    </w:p>
    <w:p w:rsidR="00621ACF" w:rsidRPr="00621ACF" w:rsidRDefault="00621ACF" w:rsidP="00621ACF">
      <w:pPr>
        <w:jc w:val="both"/>
        <w:rPr>
          <w:szCs w:val="22"/>
        </w:rPr>
      </w:pPr>
      <w:r w:rsidRPr="00621ACF">
        <w:rPr>
          <w:szCs w:val="22"/>
        </w:rPr>
        <w:t xml:space="preserve">The present study identified factors that predicted continued problem and at-risk gambling but at this stage of the study the period was relatively short.  Risk factors included heavy gambling involvement, gambling alone, </w:t>
      </w:r>
      <w:r w:rsidR="00D764C8">
        <w:rPr>
          <w:szCs w:val="22"/>
        </w:rPr>
        <w:t xml:space="preserve">Māori </w:t>
      </w:r>
      <w:r w:rsidRPr="00621ACF">
        <w:rPr>
          <w:szCs w:val="22"/>
        </w:rPr>
        <w:t xml:space="preserve">ethnicity, </w:t>
      </w:r>
      <w:r w:rsidR="00D764C8">
        <w:rPr>
          <w:szCs w:val="22"/>
        </w:rPr>
        <w:t xml:space="preserve">being </w:t>
      </w:r>
      <w:r w:rsidRPr="00621ACF">
        <w:rPr>
          <w:szCs w:val="22"/>
        </w:rPr>
        <w:t xml:space="preserve">New </w:t>
      </w:r>
      <w:r w:rsidRPr="009F5E09">
        <w:rPr>
          <w:szCs w:val="22"/>
        </w:rPr>
        <w:t xml:space="preserve">Zealand born, lack of formal qualifications, current tobacco use and low quality of life.  People who sought help </w:t>
      </w:r>
      <w:r w:rsidR="009E314A" w:rsidRPr="009F5E09">
        <w:rPr>
          <w:szCs w:val="22"/>
        </w:rPr>
        <w:t xml:space="preserve">(from formal and informal sources) </w:t>
      </w:r>
      <w:r w:rsidRPr="009F5E09">
        <w:rPr>
          <w:szCs w:val="22"/>
        </w:rPr>
        <w:t>for gambling and who avoided gambling venues were also more likely to continue to be at-risk or problem gamblers whereas those who left ATM and credit cards at home when gambling were less likely.  Predictors of relapse, other than</w:t>
      </w:r>
      <w:r w:rsidRPr="00621ACF">
        <w:rPr>
          <w:szCs w:val="22"/>
        </w:rPr>
        <w:t xml:space="preserve"> prior history of problem gambling, were not considered.  At the completion of the study there will be sufficient data to obtain a more adequate account of other factors that contribute to problem gambling recovery, chronicity and relapse.  The number of people seeking help </w:t>
      </w:r>
      <w:r w:rsidR="003E1E3A" w:rsidRPr="009F5E09">
        <w:rPr>
          <w:szCs w:val="22"/>
        </w:rPr>
        <w:t xml:space="preserve">(from formal and informal sources) </w:t>
      </w:r>
      <w:r w:rsidRPr="00621ACF">
        <w:rPr>
          <w:szCs w:val="22"/>
        </w:rPr>
        <w:t xml:space="preserve">for gambling problems during the past year was around 80% of the number of current problem gamblers.  Just under a third of new problem and moderate-risk gamblers said they had sought help </w:t>
      </w:r>
      <w:r w:rsidR="003E1E3A" w:rsidRPr="009F5E09">
        <w:rPr>
          <w:szCs w:val="22"/>
        </w:rPr>
        <w:t xml:space="preserve">(from formal and informal sources) </w:t>
      </w:r>
      <w:r w:rsidRPr="00621ACF">
        <w:rPr>
          <w:szCs w:val="22"/>
        </w:rPr>
        <w:t>during this period.  This indicates a high level of help-seeking.  In future phases of the study</w:t>
      </w:r>
      <w:r w:rsidR="00D764C8">
        <w:rPr>
          <w:szCs w:val="22"/>
        </w:rPr>
        <w:t>,</w:t>
      </w:r>
      <w:r w:rsidRPr="00621ACF">
        <w:rPr>
          <w:szCs w:val="22"/>
        </w:rPr>
        <w:t xml:space="preserve"> help-seeking will be considered in more detail.</w:t>
      </w:r>
    </w:p>
    <w:p w:rsidR="00621ACF" w:rsidRPr="00621ACF" w:rsidRDefault="00621ACF" w:rsidP="00621ACF">
      <w:pPr>
        <w:jc w:val="both"/>
        <w:rPr>
          <w:szCs w:val="22"/>
        </w:rPr>
      </w:pPr>
    </w:p>
    <w:p w:rsidR="00621ACF" w:rsidRPr="00621ACF" w:rsidRDefault="00621ACF" w:rsidP="00621ACF">
      <w:pPr>
        <w:jc w:val="both"/>
        <w:rPr>
          <w:szCs w:val="22"/>
        </w:rPr>
      </w:pPr>
      <w:r w:rsidRPr="00621ACF">
        <w:rPr>
          <w:szCs w:val="22"/>
        </w:rPr>
        <w:t xml:space="preserve">The study also contributes to our understanding of factors that predict first taking up gambling, re-initiating gambling and developing at-risk and problem gambling.  A number of the risk factors are common both to initiating gambling and developing at-risk or problem gambling.  </w:t>
      </w:r>
      <w:r w:rsidR="00D764C8">
        <w:rPr>
          <w:szCs w:val="22"/>
        </w:rPr>
        <w:t xml:space="preserve">Māori </w:t>
      </w:r>
      <w:r w:rsidRPr="00621ACF">
        <w:rPr>
          <w:szCs w:val="22"/>
        </w:rPr>
        <w:t>more often took up gambling than did people of other ethnicities.  Recent migrants and other Christians were less likely to do so.  All three of these groups are also at high risk for the development of at-risk and problem gambling.  Psychological distress, tobacco and hazardous alcohol use also predict both taking up gambling and developing gambling problems.  Deprivation</w:t>
      </w:r>
      <w:r w:rsidR="00D764C8">
        <w:rPr>
          <w:szCs w:val="22"/>
        </w:rPr>
        <w:t>,</w:t>
      </w:r>
      <w:r w:rsidRPr="00621ACF">
        <w:rPr>
          <w:szCs w:val="22"/>
        </w:rPr>
        <w:t xml:space="preserve"> and tobacco and hazardous alcohol use also predicted re-initiating gambling.  Apart from prior history of problem gambling, intensity of involvement in a number of continuous forms of gambling including EGMs are the strongest predictors of problem gambling development.  Pacific and Asian ethnicity are also strong risk factors for problem development.  </w:t>
      </w:r>
    </w:p>
    <w:p w:rsidR="00621ACF" w:rsidRPr="00621ACF" w:rsidRDefault="00621ACF" w:rsidP="00621ACF">
      <w:pPr>
        <w:jc w:val="both"/>
        <w:rPr>
          <w:szCs w:val="22"/>
        </w:rPr>
      </w:pPr>
    </w:p>
    <w:p w:rsidR="00D764C8" w:rsidRDefault="00621ACF" w:rsidP="00621ACF">
      <w:pPr>
        <w:jc w:val="both"/>
        <w:rPr>
          <w:szCs w:val="22"/>
        </w:rPr>
      </w:pPr>
      <w:r w:rsidRPr="00621ACF">
        <w:rPr>
          <w:szCs w:val="22"/>
        </w:rPr>
        <w:t>Given the high proportion of ‘new’ problem and moderate-risk gamblers that are relapsing rather than developing problems for the first time, it is important that public education and prevention programmes target both first time onset and problem recurrence.  Treatment services could also give greater attention to relapse prevention.  Of those who developed gambling problems, similar numbers came from the moderate-risk gambling group and the remaining low-risk, non-problem gambling and non-gambling groups.  It is likely that both whole</w:t>
      </w:r>
      <w:r w:rsidR="00D764C8">
        <w:rPr>
          <w:szCs w:val="22"/>
        </w:rPr>
        <w:t>-</w:t>
      </w:r>
      <w:r w:rsidRPr="00621ACF">
        <w:rPr>
          <w:szCs w:val="22"/>
        </w:rPr>
        <w:t>of</w:t>
      </w:r>
      <w:r w:rsidR="00D764C8">
        <w:rPr>
          <w:szCs w:val="22"/>
        </w:rPr>
        <w:t>-</w:t>
      </w:r>
      <w:r w:rsidRPr="00621ACF">
        <w:rPr>
          <w:szCs w:val="22"/>
        </w:rPr>
        <w:t>population and at-risk group prevention strategies will be required to reduce the incidence and prevalence of prob</w:t>
      </w:r>
      <w:r w:rsidR="00D764C8">
        <w:rPr>
          <w:szCs w:val="22"/>
        </w:rPr>
        <w:t>lem gambling and other gambling-</w:t>
      </w:r>
      <w:r w:rsidRPr="00621ACF">
        <w:rPr>
          <w:szCs w:val="22"/>
        </w:rPr>
        <w:t xml:space="preserve">related harms.  This could include greater attention to high risk ethnic and other social groups.  High incidence as well as prevalence rates </w:t>
      </w:r>
      <w:r w:rsidRPr="00621ACF">
        <w:rPr>
          <w:szCs w:val="22"/>
        </w:rPr>
        <w:lastRenderedPageBreak/>
        <w:t xml:space="preserve">in these groups, and apparently higher problem chronicity for </w:t>
      </w:r>
      <w:r w:rsidR="00D764C8">
        <w:rPr>
          <w:szCs w:val="22"/>
        </w:rPr>
        <w:t>Māori</w:t>
      </w:r>
      <w:r w:rsidRPr="00621ACF">
        <w:rPr>
          <w:szCs w:val="22"/>
        </w:rPr>
        <w:t>, suggest that long-standing disparities will remain or increase unless more effective ways are found to address them.</w:t>
      </w:r>
    </w:p>
    <w:p w:rsidR="00B22C63" w:rsidRDefault="00621ACF" w:rsidP="00621ACF">
      <w:pPr>
        <w:jc w:val="both"/>
        <w:rPr>
          <w:szCs w:val="22"/>
        </w:rPr>
      </w:pPr>
      <w:r w:rsidRPr="00621ACF">
        <w:rPr>
          <w:szCs w:val="22"/>
        </w:rPr>
        <w:t xml:space="preserve">      </w:t>
      </w:r>
    </w:p>
    <w:p w:rsidR="00B22C63" w:rsidRPr="00D13ADD" w:rsidRDefault="00B22C63" w:rsidP="008963C0">
      <w:pPr>
        <w:jc w:val="both"/>
        <w:rPr>
          <w:szCs w:val="22"/>
        </w:rPr>
      </w:pPr>
    </w:p>
    <w:p w:rsidR="000238DC" w:rsidRPr="00D13ADD" w:rsidRDefault="00B22C63" w:rsidP="00B22C63">
      <w:pPr>
        <w:pStyle w:val="Heading1"/>
        <w:keepNext w:val="0"/>
        <w:numPr>
          <w:ilvl w:val="0"/>
          <w:numId w:val="0"/>
        </w:numPr>
        <w:pBdr>
          <w:top w:val="single" w:sz="4" w:space="1" w:color="auto"/>
          <w:left w:val="single" w:sz="4" w:space="4" w:color="auto"/>
          <w:bottom w:val="single" w:sz="4" w:space="1" w:color="auto"/>
          <w:right w:val="single" w:sz="4" w:space="4" w:color="auto"/>
        </w:pBdr>
        <w:shd w:val="clear" w:color="auto" w:fill="E0E0E0"/>
        <w:rPr>
          <w:rFonts w:cs="Times New Roman"/>
          <w:sz w:val="22"/>
          <w:szCs w:val="22"/>
        </w:rPr>
      </w:pPr>
      <w:r w:rsidRPr="00DA2BCC">
        <w:rPr>
          <w:sz w:val="22"/>
          <w:szCs w:val="22"/>
        </w:rPr>
        <w:br w:type="page"/>
      </w:r>
      <w:bookmarkStart w:id="239" w:name="_Toc399511087"/>
      <w:bookmarkStart w:id="240" w:name="_Toc399511232"/>
      <w:bookmarkStart w:id="241" w:name="_Toc403052543"/>
      <w:bookmarkStart w:id="242" w:name="_Toc403052879"/>
      <w:bookmarkStart w:id="243" w:name="_Toc420392622"/>
      <w:r w:rsidR="000238DC">
        <w:rPr>
          <w:rFonts w:cs="Times New Roman"/>
          <w:sz w:val="22"/>
          <w:szCs w:val="22"/>
        </w:rPr>
        <w:lastRenderedPageBreak/>
        <w:t>REFERENCES</w:t>
      </w:r>
      <w:bookmarkEnd w:id="239"/>
      <w:bookmarkEnd w:id="240"/>
      <w:bookmarkEnd w:id="241"/>
      <w:bookmarkEnd w:id="242"/>
      <w:bookmarkEnd w:id="243"/>
    </w:p>
    <w:p w:rsidR="00A65561" w:rsidRDefault="00A65561" w:rsidP="000238DC">
      <w:pPr>
        <w:tabs>
          <w:tab w:val="left" w:pos="2016"/>
        </w:tabs>
        <w:jc w:val="both"/>
        <w:rPr>
          <w:szCs w:val="22"/>
        </w:rPr>
      </w:pPr>
    </w:p>
    <w:p w:rsidR="002308DC" w:rsidRDefault="002308DC" w:rsidP="00F43513">
      <w:pPr>
        <w:jc w:val="both"/>
        <w:rPr>
          <w:iCs/>
          <w:szCs w:val="22"/>
        </w:rPr>
      </w:pPr>
      <w:r w:rsidRPr="002308DC">
        <w:rPr>
          <w:iCs/>
          <w:szCs w:val="22"/>
        </w:rPr>
        <w:t xml:space="preserve">Abbott, M.W. (2001). </w:t>
      </w:r>
      <w:r w:rsidRPr="002308DC">
        <w:rPr>
          <w:i/>
          <w:iCs/>
          <w:szCs w:val="22"/>
        </w:rPr>
        <w:t>Problem and non-problem gamblers in New Zealand: A report on Phase Two of the 1999 National Prevalence Survey. Report number six of the New Zealand Gaming Survey</w:t>
      </w:r>
      <w:r w:rsidRPr="002308DC">
        <w:rPr>
          <w:iCs/>
          <w:szCs w:val="22"/>
        </w:rPr>
        <w:t>. Wellington: Department of Internal Affairs.</w:t>
      </w:r>
    </w:p>
    <w:p w:rsidR="002308DC" w:rsidRDefault="002308DC" w:rsidP="00F43513">
      <w:pPr>
        <w:jc w:val="both"/>
        <w:rPr>
          <w:iCs/>
          <w:szCs w:val="22"/>
        </w:rPr>
      </w:pPr>
    </w:p>
    <w:p w:rsidR="00F43513" w:rsidRPr="00F43513" w:rsidRDefault="00F43513" w:rsidP="00F43513">
      <w:pPr>
        <w:jc w:val="both"/>
        <w:rPr>
          <w:iCs/>
          <w:szCs w:val="22"/>
        </w:rPr>
      </w:pPr>
      <w:r w:rsidRPr="00F43513">
        <w:rPr>
          <w:iCs/>
          <w:szCs w:val="22"/>
        </w:rPr>
        <w:t xml:space="preserve">Abbott, M.W. (2006). Do EGMs and problem gambling go together like a horse and carriage? </w:t>
      </w:r>
    </w:p>
    <w:p w:rsidR="00F43513" w:rsidRPr="00F43513" w:rsidRDefault="00F43513" w:rsidP="00F43513">
      <w:pPr>
        <w:jc w:val="both"/>
        <w:rPr>
          <w:iCs/>
          <w:szCs w:val="22"/>
        </w:rPr>
      </w:pPr>
      <w:r w:rsidRPr="00F43513">
        <w:rPr>
          <w:i/>
          <w:iCs/>
          <w:szCs w:val="22"/>
        </w:rPr>
        <w:t>Gambling Research, 18</w:t>
      </w:r>
      <w:r w:rsidRPr="00F43513">
        <w:rPr>
          <w:iCs/>
          <w:szCs w:val="22"/>
        </w:rPr>
        <w:t>(1), 7-38.</w:t>
      </w:r>
    </w:p>
    <w:p w:rsidR="00F43513" w:rsidRDefault="00F43513" w:rsidP="001A254C">
      <w:pPr>
        <w:jc w:val="both"/>
        <w:rPr>
          <w:iCs/>
          <w:szCs w:val="22"/>
        </w:rPr>
      </w:pPr>
    </w:p>
    <w:p w:rsidR="001A254C" w:rsidRPr="001A254C" w:rsidRDefault="001A254C" w:rsidP="001A254C">
      <w:pPr>
        <w:jc w:val="both"/>
        <w:rPr>
          <w:iCs/>
          <w:szCs w:val="22"/>
        </w:rPr>
      </w:pPr>
      <w:r w:rsidRPr="001A254C">
        <w:rPr>
          <w:iCs/>
          <w:szCs w:val="22"/>
        </w:rPr>
        <w:t>Abbott, M., Bellringer, M., Garrett, N., Mundy-McPherson, S. (2014</w:t>
      </w:r>
      <w:r>
        <w:rPr>
          <w:iCs/>
          <w:szCs w:val="22"/>
        </w:rPr>
        <w:t>a</w:t>
      </w:r>
      <w:r w:rsidRPr="001A254C">
        <w:rPr>
          <w:iCs/>
          <w:szCs w:val="22"/>
        </w:rPr>
        <w:t xml:space="preserve">). </w:t>
      </w:r>
      <w:r w:rsidRPr="001A254C">
        <w:rPr>
          <w:i/>
          <w:iCs/>
          <w:szCs w:val="22"/>
        </w:rPr>
        <w:t xml:space="preserve">New Zealand </w:t>
      </w:r>
      <w:r w:rsidR="00F43513">
        <w:rPr>
          <w:i/>
          <w:iCs/>
          <w:szCs w:val="22"/>
        </w:rPr>
        <w:t xml:space="preserve">2012 </w:t>
      </w:r>
      <w:r w:rsidRPr="001A254C">
        <w:rPr>
          <w:i/>
          <w:iCs/>
          <w:szCs w:val="22"/>
        </w:rPr>
        <w:t xml:space="preserve">National Gambling Study: </w:t>
      </w:r>
      <w:r>
        <w:rPr>
          <w:i/>
          <w:iCs/>
          <w:szCs w:val="22"/>
        </w:rPr>
        <w:t>Overview and gambling participation</w:t>
      </w:r>
      <w:r>
        <w:rPr>
          <w:iCs/>
          <w:szCs w:val="22"/>
        </w:rPr>
        <w:t>. Report number 1</w:t>
      </w:r>
      <w:r w:rsidRPr="001A254C">
        <w:rPr>
          <w:iCs/>
          <w:szCs w:val="22"/>
        </w:rPr>
        <w:t>. Auckland: Auckland University of Technology, Gambling and Addictions Research Centre.</w:t>
      </w:r>
    </w:p>
    <w:p w:rsidR="001A254C" w:rsidRDefault="001A254C" w:rsidP="000238DC">
      <w:pPr>
        <w:tabs>
          <w:tab w:val="left" w:pos="2016"/>
        </w:tabs>
        <w:jc w:val="both"/>
        <w:rPr>
          <w:szCs w:val="22"/>
        </w:rPr>
      </w:pPr>
    </w:p>
    <w:p w:rsidR="001A254C" w:rsidRDefault="001A254C" w:rsidP="001A254C">
      <w:pPr>
        <w:jc w:val="both"/>
        <w:rPr>
          <w:iCs/>
          <w:szCs w:val="22"/>
        </w:rPr>
      </w:pPr>
      <w:r w:rsidRPr="001A254C">
        <w:rPr>
          <w:iCs/>
          <w:szCs w:val="22"/>
        </w:rPr>
        <w:t>Abbott, M., Bellringer, M., Garrett, N., Mundy-McPherson, S. (2014</w:t>
      </w:r>
      <w:r>
        <w:rPr>
          <w:iCs/>
          <w:szCs w:val="22"/>
        </w:rPr>
        <w:t>b</w:t>
      </w:r>
      <w:r w:rsidRPr="001A254C">
        <w:rPr>
          <w:iCs/>
          <w:szCs w:val="22"/>
        </w:rPr>
        <w:t xml:space="preserve">). </w:t>
      </w:r>
      <w:r w:rsidRPr="001A254C">
        <w:rPr>
          <w:i/>
          <w:iCs/>
          <w:szCs w:val="22"/>
        </w:rPr>
        <w:t xml:space="preserve">New Zealand </w:t>
      </w:r>
      <w:r w:rsidR="00F43513">
        <w:rPr>
          <w:i/>
          <w:iCs/>
          <w:szCs w:val="22"/>
        </w:rPr>
        <w:t xml:space="preserve">2012 </w:t>
      </w:r>
      <w:r w:rsidRPr="001A254C">
        <w:rPr>
          <w:i/>
          <w:iCs/>
          <w:szCs w:val="22"/>
        </w:rPr>
        <w:t>National Gambling Study: Gambling harm and problem gambling</w:t>
      </w:r>
      <w:r w:rsidRPr="001A254C">
        <w:rPr>
          <w:iCs/>
          <w:szCs w:val="22"/>
        </w:rPr>
        <w:t>. Report number 2. Auckland: Auckland University of Technology, Gambling and Addictions Research Centre.</w:t>
      </w:r>
    </w:p>
    <w:p w:rsidR="005447C2" w:rsidRDefault="005447C2" w:rsidP="001A254C">
      <w:pPr>
        <w:jc w:val="both"/>
        <w:rPr>
          <w:iCs/>
          <w:szCs w:val="22"/>
        </w:rPr>
      </w:pPr>
    </w:p>
    <w:p w:rsidR="005447C2" w:rsidRDefault="005447C2" w:rsidP="005447C2">
      <w:pPr>
        <w:jc w:val="both"/>
      </w:pPr>
      <w:r w:rsidRPr="00672253">
        <w:t>Abbott, M., Bellringer, M., Garrett, N.</w:t>
      </w:r>
      <w:r>
        <w:t>,</w:t>
      </w:r>
      <w:r w:rsidRPr="00672253">
        <w:t xml:space="preserve"> &amp; Mundy-McPherson, S. (201</w:t>
      </w:r>
      <w:r>
        <w:t>5</w:t>
      </w:r>
      <w:r w:rsidRPr="00672253">
        <w:t xml:space="preserve">). </w:t>
      </w:r>
      <w:r w:rsidRPr="00672253">
        <w:rPr>
          <w:i/>
        </w:rPr>
        <w:t>New Zealand 2012 National Gambling Study: Attitudes towards gambling. Report Number 3</w:t>
      </w:r>
      <w:r w:rsidRPr="00672253">
        <w:t>. Auckland: Gambling and Addictions Research Centre, Auckland University of Technology.</w:t>
      </w:r>
    </w:p>
    <w:p w:rsidR="005447C2" w:rsidRDefault="005447C2" w:rsidP="001A254C">
      <w:pPr>
        <w:jc w:val="both"/>
        <w:rPr>
          <w:iCs/>
          <w:szCs w:val="22"/>
        </w:rPr>
      </w:pPr>
    </w:p>
    <w:p w:rsidR="001A254C" w:rsidRDefault="005447C2" w:rsidP="00484E38">
      <w:pPr>
        <w:jc w:val="both"/>
        <w:rPr>
          <w:szCs w:val="22"/>
        </w:rPr>
      </w:pPr>
      <w:r w:rsidRPr="005447C2">
        <w:rPr>
          <w:szCs w:val="22"/>
        </w:rPr>
        <w:t xml:space="preserve">Abbott, M., Bellringer, M., Vandal, A., Hodgins, D., Palmer Du Preez, K., Landon, J., Sullivan, S., &amp; Feigin, V. (2012). </w:t>
      </w:r>
      <w:r w:rsidRPr="005447C2">
        <w:rPr>
          <w:i/>
          <w:szCs w:val="22"/>
        </w:rPr>
        <w:t>Effectiveness of problem gambling brief telephone interventions: A randomised controlled trial</w:t>
      </w:r>
      <w:r w:rsidRPr="005447C2">
        <w:rPr>
          <w:szCs w:val="22"/>
        </w:rPr>
        <w:t>. Auckland: Auckland University of Technology</w:t>
      </w:r>
      <w:r>
        <w:rPr>
          <w:szCs w:val="22"/>
        </w:rPr>
        <w:t>,</w:t>
      </w:r>
      <w:r w:rsidRPr="005447C2">
        <w:rPr>
          <w:szCs w:val="22"/>
        </w:rPr>
        <w:t xml:space="preserve"> Gambling</w:t>
      </w:r>
      <w:r>
        <w:rPr>
          <w:szCs w:val="22"/>
        </w:rPr>
        <w:t xml:space="preserve"> and Addictions Research Centre</w:t>
      </w:r>
      <w:r w:rsidRPr="005447C2">
        <w:rPr>
          <w:szCs w:val="22"/>
        </w:rPr>
        <w:t>.</w:t>
      </w:r>
    </w:p>
    <w:p w:rsidR="005447C2" w:rsidRDefault="005447C2" w:rsidP="00484E38">
      <w:pPr>
        <w:jc w:val="both"/>
        <w:rPr>
          <w:szCs w:val="22"/>
        </w:rPr>
      </w:pPr>
    </w:p>
    <w:p w:rsidR="005447C2" w:rsidRDefault="005447C2" w:rsidP="005447C2">
      <w:pPr>
        <w:jc w:val="both"/>
        <w:rPr>
          <w:iCs/>
        </w:rPr>
      </w:pPr>
      <w:r w:rsidRPr="00501882">
        <w:rPr>
          <w:iCs/>
        </w:rPr>
        <w:t>Abbott, M., Bellringer, M., Garrett, N., Vandal, A., Hodgins, D., Palmer Du Preez, K., Landon, J., &amp; Sullivan, S. (2013</w:t>
      </w:r>
      <w:r>
        <w:rPr>
          <w:iCs/>
        </w:rPr>
        <w:t>b</w:t>
      </w:r>
      <w:r w:rsidRPr="00501882">
        <w:rPr>
          <w:iCs/>
        </w:rPr>
        <w:t xml:space="preserve">). </w:t>
      </w:r>
      <w:r w:rsidRPr="00501882">
        <w:rPr>
          <w:i/>
          <w:iCs/>
        </w:rPr>
        <w:t>Effectiveness of problem gambling brief telephone interventions: An uncontrolled outcome study</w:t>
      </w:r>
      <w:r w:rsidRPr="00501882">
        <w:rPr>
          <w:iCs/>
        </w:rPr>
        <w:t>. Auckland: Auckland University of Technology, Gambling and Addictions Research Centre.</w:t>
      </w:r>
    </w:p>
    <w:p w:rsidR="005447C2" w:rsidRDefault="005447C2" w:rsidP="00484E38">
      <w:pPr>
        <w:jc w:val="both"/>
        <w:rPr>
          <w:szCs w:val="22"/>
        </w:rPr>
      </w:pPr>
    </w:p>
    <w:p w:rsidR="00A33309" w:rsidRPr="00A33309" w:rsidRDefault="00A33309" w:rsidP="00A33309">
      <w:pPr>
        <w:jc w:val="both"/>
        <w:rPr>
          <w:szCs w:val="22"/>
        </w:rPr>
      </w:pPr>
      <w:r w:rsidRPr="00A33309">
        <w:rPr>
          <w:szCs w:val="22"/>
        </w:rPr>
        <w:t>Abbott, M.W.</w:t>
      </w:r>
      <w:r>
        <w:rPr>
          <w:szCs w:val="22"/>
        </w:rPr>
        <w:t>,</w:t>
      </w:r>
      <w:r w:rsidRPr="00A33309">
        <w:rPr>
          <w:szCs w:val="22"/>
        </w:rPr>
        <w:t xml:space="preserve"> &amp; Clarke, D. (2007)</w:t>
      </w:r>
      <w:r>
        <w:rPr>
          <w:szCs w:val="22"/>
        </w:rPr>
        <w:t>.</w:t>
      </w:r>
      <w:r w:rsidRPr="00A33309">
        <w:rPr>
          <w:szCs w:val="22"/>
        </w:rPr>
        <w:t xml:space="preserve"> Prospective problem gambling research: Contribution and potential. </w:t>
      </w:r>
      <w:r w:rsidRPr="00A33309">
        <w:rPr>
          <w:i/>
          <w:szCs w:val="22"/>
        </w:rPr>
        <w:t>International Gambling Studies, 7</w:t>
      </w:r>
      <w:r w:rsidRPr="00A33309">
        <w:rPr>
          <w:szCs w:val="22"/>
        </w:rPr>
        <w:t>(1), 123-144.</w:t>
      </w:r>
    </w:p>
    <w:p w:rsidR="00A33309" w:rsidRDefault="00A33309" w:rsidP="00484E38">
      <w:pPr>
        <w:jc w:val="both"/>
        <w:rPr>
          <w:szCs w:val="22"/>
        </w:rPr>
      </w:pPr>
    </w:p>
    <w:p w:rsidR="00F43513" w:rsidRPr="00F43513" w:rsidRDefault="00F43513" w:rsidP="00F43513">
      <w:pPr>
        <w:jc w:val="both"/>
        <w:rPr>
          <w:szCs w:val="22"/>
        </w:rPr>
      </w:pPr>
      <w:r w:rsidRPr="00F43513">
        <w:rPr>
          <w:szCs w:val="22"/>
        </w:rPr>
        <w:t>Abbott, M.W., Romild, U.</w:t>
      </w:r>
      <w:r>
        <w:rPr>
          <w:szCs w:val="22"/>
        </w:rPr>
        <w:t>,</w:t>
      </w:r>
      <w:r w:rsidRPr="00F43513">
        <w:rPr>
          <w:szCs w:val="22"/>
        </w:rPr>
        <w:t xml:space="preserve"> &amp; Volberg, R.A.  (2014)</w:t>
      </w:r>
      <w:r w:rsidR="005447C2">
        <w:rPr>
          <w:szCs w:val="22"/>
        </w:rPr>
        <w:t>.</w:t>
      </w:r>
      <w:r w:rsidRPr="00F43513">
        <w:rPr>
          <w:szCs w:val="22"/>
        </w:rPr>
        <w:t xml:space="preserve"> Gambling and problem gambling in Sweden: Changes between 1998 and 2009. </w:t>
      </w:r>
      <w:r w:rsidRPr="00F43513">
        <w:rPr>
          <w:i/>
          <w:iCs/>
          <w:szCs w:val="22"/>
        </w:rPr>
        <w:t>Journal of Gambling Studies</w:t>
      </w:r>
      <w:r w:rsidRPr="00F43513">
        <w:rPr>
          <w:szCs w:val="22"/>
        </w:rPr>
        <w:t>, 30(4), 985-999.</w:t>
      </w:r>
    </w:p>
    <w:p w:rsidR="00F43513" w:rsidRDefault="00F43513" w:rsidP="00F43513">
      <w:pPr>
        <w:jc w:val="both"/>
        <w:rPr>
          <w:szCs w:val="22"/>
          <w:lang w:val="en-US"/>
        </w:rPr>
      </w:pPr>
    </w:p>
    <w:p w:rsidR="00A937D8" w:rsidRPr="00A64EF9" w:rsidRDefault="00A937D8" w:rsidP="00A937D8">
      <w:pPr>
        <w:jc w:val="both"/>
        <w:rPr>
          <w:lang w:eastAsia="en-NZ"/>
        </w:rPr>
      </w:pPr>
      <w:r w:rsidRPr="00A64EF9">
        <w:t xml:space="preserve">Abbott, M.W., </w:t>
      </w:r>
      <w:hyperlink r:id="rId19" w:history="1">
        <w:r w:rsidRPr="00A937D8">
          <w:t>Rönnberg</w:t>
        </w:r>
      </w:hyperlink>
      <w:r w:rsidRPr="00A64EF9">
        <w:t xml:space="preserve">, S., &amp; Volberg, R.A. (2004). Comparing the New Zealand and Swedish national surveys of gambling and problem gambling. </w:t>
      </w:r>
      <w:r w:rsidRPr="00A64EF9">
        <w:rPr>
          <w:i/>
        </w:rPr>
        <w:t>Journal of Gambling Studies, 20</w:t>
      </w:r>
      <w:r w:rsidRPr="00A64EF9">
        <w:t>(3), 237-258.</w:t>
      </w:r>
    </w:p>
    <w:p w:rsidR="00A937D8" w:rsidRDefault="00A937D8" w:rsidP="00F43513">
      <w:pPr>
        <w:jc w:val="both"/>
        <w:rPr>
          <w:szCs w:val="22"/>
          <w:lang w:val="en-US"/>
        </w:rPr>
      </w:pPr>
    </w:p>
    <w:p w:rsidR="00F43513" w:rsidRPr="00F43513" w:rsidRDefault="00F43513" w:rsidP="00F43513">
      <w:pPr>
        <w:jc w:val="both"/>
        <w:rPr>
          <w:szCs w:val="22"/>
          <w:lang w:val="en-US"/>
        </w:rPr>
      </w:pPr>
      <w:r w:rsidRPr="00F43513">
        <w:rPr>
          <w:szCs w:val="22"/>
          <w:lang w:val="en-US"/>
        </w:rPr>
        <w:t xml:space="preserve">Abbott, M.W., &amp; Volberg, R.A. (1991). </w:t>
      </w:r>
      <w:r w:rsidRPr="00F43513">
        <w:rPr>
          <w:i/>
          <w:iCs/>
          <w:szCs w:val="22"/>
          <w:lang w:val="en-US"/>
        </w:rPr>
        <w:t>Gambling and problem gambling in New Zealand</w:t>
      </w:r>
      <w:r w:rsidRPr="00F43513">
        <w:rPr>
          <w:szCs w:val="22"/>
          <w:lang w:val="en-US"/>
        </w:rPr>
        <w:t xml:space="preserve">. </w:t>
      </w:r>
      <w:r w:rsidRPr="00F43513">
        <w:rPr>
          <w:i/>
          <w:szCs w:val="22"/>
          <w:lang w:val="en-US"/>
        </w:rPr>
        <w:t>Research Series No. 12</w:t>
      </w:r>
      <w:r w:rsidRPr="00F43513">
        <w:rPr>
          <w:szCs w:val="22"/>
          <w:lang w:val="en-US"/>
        </w:rPr>
        <w:t>. Wellington: Department of Internal Affairs.</w:t>
      </w:r>
    </w:p>
    <w:p w:rsidR="00F43513" w:rsidRPr="00F43513" w:rsidRDefault="00F43513" w:rsidP="00F43513">
      <w:pPr>
        <w:jc w:val="both"/>
        <w:rPr>
          <w:szCs w:val="22"/>
          <w:lang w:val="en-US"/>
        </w:rPr>
      </w:pPr>
    </w:p>
    <w:p w:rsidR="00F43513" w:rsidRPr="00F43513" w:rsidRDefault="00F43513" w:rsidP="00F43513">
      <w:pPr>
        <w:jc w:val="both"/>
        <w:rPr>
          <w:szCs w:val="22"/>
          <w:lang w:val="en-US"/>
        </w:rPr>
      </w:pPr>
      <w:r w:rsidRPr="00F43513">
        <w:rPr>
          <w:szCs w:val="22"/>
          <w:lang w:val="en-US"/>
        </w:rPr>
        <w:t>Abbott, M.W., &amp; Volberg, R.A. (1992</w:t>
      </w:r>
      <w:r w:rsidRPr="00F43513">
        <w:rPr>
          <w:i/>
          <w:iCs/>
          <w:szCs w:val="22"/>
          <w:lang w:val="en-US"/>
        </w:rPr>
        <w:t>). Frequent gamblers and problem gamblers in New Zealand</w:t>
      </w:r>
      <w:r w:rsidRPr="00F43513">
        <w:rPr>
          <w:szCs w:val="22"/>
          <w:lang w:val="en-US"/>
        </w:rPr>
        <w:t xml:space="preserve">. </w:t>
      </w:r>
      <w:r w:rsidRPr="00F43513">
        <w:rPr>
          <w:i/>
          <w:szCs w:val="22"/>
          <w:lang w:val="en-US"/>
        </w:rPr>
        <w:t>Research Series No. 14</w:t>
      </w:r>
      <w:r w:rsidRPr="00F43513">
        <w:rPr>
          <w:szCs w:val="22"/>
          <w:lang w:val="en-US"/>
        </w:rPr>
        <w:t>. Wellington: Department of Internal Affairs.</w:t>
      </w:r>
    </w:p>
    <w:p w:rsidR="00F43513" w:rsidRPr="00F43513" w:rsidRDefault="00F43513" w:rsidP="00F43513">
      <w:pPr>
        <w:jc w:val="both"/>
        <w:rPr>
          <w:szCs w:val="22"/>
          <w:lang w:val="en-US"/>
        </w:rPr>
      </w:pPr>
    </w:p>
    <w:p w:rsidR="00F43513" w:rsidRPr="00F43513" w:rsidRDefault="00F43513" w:rsidP="00F43513">
      <w:pPr>
        <w:jc w:val="both"/>
        <w:rPr>
          <w:szCs w:val="22"/>
        </w:rPr>
      </w:pPr>
      <w:r w:rsidRPr="00F43513">
        <w:rPr>
          <w:szCs w:val="22"/>
          <w:lang w:val="en-US"/>
        </w:rPr>
        <w:t xml:space="preserve">Abbott, M.W., &amp; Volberg, R.A. (1996). The New Zealand national survey of problem and </w:t>
      </w:r>
      <w:r w:rsidRPr="00F43513">
        <w:rPr>
          <w:szCs w:val="22"/>
        </w:rPr>
        <w:t xml:space="preserve">pathological gambling. </w:t>
      </w:r>
      <w:r w:rsidRPr="00F43513">
        <w:rPr>
          <w:i/>
          <w:iCs/>
          <w:szCs w:val="22"/>
        </w:rPr>
        <w:t>Journal of Gambling Studies, 12</w:t>
      </w:r>
      <w:r w:rsidRPr="00F43513">
        <w:rPr>
          <w:szCs w:val="22"/>
        </w:rPr>
        <w:t>(2), 143-160</w:t>
      </w:r>
      <w:r>
        <w:rPr>
          <w:szCs w:val="22"/>
        </w:rPr>
        <w:t>.</w:t>
      </w:r>
    </w:p>
    <w:p w:rsidR="00F43513" w:rsidRPr="00F43513" w:rsidRDefault="00F43513" w:rsidP="00F43513">
      <w:pPr>
        <w:jc w:val="both"/>
        <w:rPr>
          <w:szCs w:val="22"/>
        </w:rPr>
      </w:pPr>
    </w:p>
    <w:p w:rsidR="00F43513" w:rsidRPr="00F43513" w:rsidRDefault="00F43513" w:rsidP="00F43513">
      <w:pPr>
        <w:jc w:val="both"/>
        <w:rPr>
          <w:i/>
          <w:iCs/>
          <w:szCs w:val="22"/>
        </w:rPr>
      </w:pPr>
      <w:r w:rsidRPr="00F43513">
        <w:rPr>
          <w:szCs w:val="22"/>
        </w:rPr>
        <w:t>Abbott, M.W.</w:t>
      </w:r>
      <w:r w:rsidRPr="00F43513">
        <w:rPr>
          <w:i/>
          <w:iCs/>
          <w:szCs w:val="22"/>
        </w:rPr>
        <w:t xml:space="preserve">, </w:t>
      </w:r>
      <w:r w:rsidRPr="00F43513">
        <w:rPr>
          <w:szCs w:val="22"/>
        </w:rPr>
        <w:t xml:space="preserve">&amp; Volberg, R.A. (1999). </w:t>
      </w:r>
      <w:r w:rsidRPr="00F43513">
        <w:rPr>
          <w:i/>
          <w:iCs/>
          <w:szCs w:val="22"/>
        </w:rPr>
        <w:t>Gambling and problem gambling in the community: An international overview and critique</w:t>
      </w:r>
      <w:r>
        <w:rPr>
          <w:i/>
          <w:iCs/>
          <w:szCs w:val="22"/>
        </w:rPr>
        <w:t>.</w:t>
      </w:r>
      <w:r w:rsidRPr="00F43513">
        <w:rPr>
          <w:i/>
          <w:iCs/>
          <w:szCs w:val="22"/>
        </w:rPr>
        <w:t xml:space="preserve"> Report No. 1 of the New Zealand Gaming Survey</w:t>
      </w:r>
      <w:r w:rsidRPr="00F43513">
        <w:rPr>
          <w:szCs w:val="22"/>
        </w:rPr>
        <w:t>. Wellington</w:t>
      </w:r>
      <w:r w:rsidRPr="00F43513">
        <w:rPr>
          <w:i/>
          <w:iCs/>
          <w:szCs w:val="22"/>
        </w:rPr>
        <w:t xml:space="preserve">: </w:t>
      </w:r>
      <w:r w:rsidRPr="00F43513">
        <w:rPr>
          <w:szCs w:val="22"/>
        </w:rPr>
        <w:t>New Zealand Department of Internal Affairs</w:t>
      </w:r>
      <w:r w:rsidRPr="00F43513">
        <w:rPr>
          <w:i/>
          <w:iCs/>
          <w:szCs w:val="22"/>
        </w:rPr>
        <w:t>.</w:t>
      </w:r>
    </w:p>
    <w:p w:rsidR="002308DC" w:rsidRDefault="002308DC" w:rsidP="00F43513">
      <w:pPr>
        <w:jc w:val="both"/>
        <w:rPr>
          <w:szCs w:val="22"/>
        </w:rPr>
      </w:pPr>
    </w:p>
    <w:p w:rsidR="00F43513" w:rsidRDefault="002308DC" w:rsidP="00F43513">
      <w:pPr>
        <w:jc w:val="both"/>
        <w:rPr>
          <w:szCs w:val="22"/>
        </w:rPr>
      </w:pPr>
      <w:r w:rsidRPr="002308DC">
        <w:rPr>
          <w:szCs w:val="22"/>
        </w:rPr>
        <w:t>Abbott, M., &amp; Volberg, R. (200</w:t>
      </w:r>
      <w:r w:rsidR="00FB156E">
        <w:rPr>
          <w:szCs w:val="22"/>
        </w:rPr>
        <w:t>0</w:t>
      </w:r>
      <w:r w:rsidRPr="002308DC">
        <w:rPr>
          <w:szCs w:val="22"/>
        </w:rPr>
        <w:t xml:space="preserve">). </w:t>
      </w:r>
      <w:r w:rsidRPr="002308DC">
        <w:rPr>
          <w:i/>
          <w:szCs w:val="22"/>
        </w:rPr>
        <w:t>Taking the pulse on gambling and problem gambling in New Zealand: Phase one of the 1999 National Prevalence Survey</w:t>
      </w:r>
      <w:r w:rsidRPr="002308DC">
        <w:rPr>
          <w:szCs w:val="22"/>
        </w:rPr>
        <w:t>. Wellington: Department of Internal Affairs</w:t>
      </w:r>
      <w:r>
        <w:rPr>
          <w:szCs w:val="22"/>
        </w:rPr>
        <w:t>.</w:t>
      </w:r>
    </w:p>
    <w:p w:rsidR="002308DC" w:rsidRPr="00F43513" w:rsidRDefault="002308DC" w:rsidP="00F43513">
      <w:pPr>
        <w:jc w:val="both"/>
        <w:rPr>
          <w:szCs w:val="22"/>
        </w:rPr>
      </w:pPr>
    </w:p>
    <w:p w:rsidR="00F43513" w:rsidRPr="00F43513" w:rsidRDefault="00F43513" w:rsidP="00F43513">
      <w:pPr>
        <w:jc w:val="both"/>
        <w:rPr>
          <w:szCs w:val="22"/>
        </w:rPr>
      </w:pPr>
      <w:r w:rsidRPr="00F43513">
        <w:rPr>
          <w:szCs w:val="22"/>
        </w:rPr>
        <w:t xml:space="preserve">Abbott, M.W., &amp; Volberg, R.A. (2006). The measurement of adult problem and pathological gambling. </w:t>
      </w:r>
      <w:r w:rsidRPr="00F43513">
        <w:rPr>
          <w:i/>
          <w:iCs/>
          <w:szCs w:val="22"/>
        </w:rPr>
        <w:t>International Gambling Studies, 6</w:t>
      </w:r>
      <w:r w:rsidRPr="00F43513">
        <w:rPr>
          <w:szCs w:val="22"/>
        </w:rPr>
        <w:t>, 175-200.</w:t>
      </w:r>
    </w:p>
    <w:p w:rsidR="00786DBF" w:rsidRDefault="00786DBF" w:rsidP="00F43513">
      <w:pPr>
        <w:jc w:val="both"/>
        <w:rPr>
          <w:szCs w:val="22"/>
        </w:rPr>
      </w:pPr>
    </w:p>
    <w:p w:rsidR="00F43513" w:rsidRDefault="00F43513" w:rsidP="00F43513">
      <w:pPr>
        <w:jc w:val="both"/>
        <w:rPr>
          <w:szCs w:val="22"/>
        </w:rPr>
      </w:pPr>
      <w:r w:rsidRPr="00F43513">
        <w:rPr>
          <w:szCs w:val="22"/>
        </w:rPr>
        <w:t xml:space="preserve">Abbott, M.W., Williams, M., &amp; Volberg, R. (1999). </w:t>
      </w:r>
      <w:r w:rsidRPr="00F43513">
        <w:rPr>
          <w:i/>
          <w:iCs/>
          <w:szCs w:val="22"/>
        </w:rPr>
        <w:t>Seven years on: A follow-up study of frequent and problem gamblers living in the community. Report No. 2 of the New Zealand Gaming Survey</w:t>
      </w:r>
      <w:r w:rsidRPr="00F43513">
        <w:rPr>
          <w:szCs w:val="22"/>
        </w:rPr>
        <w:t>. Wellington: Department of Internal Affairs.</w:t>
      </w:r>
    </w:p>
    <w:p w:rsidR="00A33309" w:rsidRDefault="00A33309" w:rsidP="00F43513">
      <w:pPr>
        <w:jc w:val="both"/>
        <w:rPr>
          <w:szCs w:val="22"/>
        </w:rPr>
      </w:pPr>
    </w:p>
    <w:p w:rsidR="00A33309" w:rsidRPr="00A33309" w:rsidRDefault="00A33309" w:rsidP="00A33309">
      <w:pPr>
        <w:jc w:val="both"/>
        <w:rPr>
          <w:szCs w:val="22"/>
        </w:rPr>
      </w:pPr>
      <w:r w:rsidRPr="00A33309">
        <w:rPr>
          <w:szCs w:val="22"/>
        </w:rPr>
        <w:t>Abbott, M.W., Williams, M.</w:t>
      </w:r>
      <w:r>
        <w:rPr>
          <w:szCs w:val="22"/>
        </w:rPr>
        <w:t>,</w:t>
      </w:r>
      <w:r w:rsidRPr="00A33309">
        <w:rPr>
          <w:szCs w:val="22"/>
        </w:rPr>
        <w:t xml:space="preserve"> &amp; Volberg, R.A. (2004). A prospective study of problem and</w:t>
      </w:r>
      <w:r>
        <w:rPr>
          <w:szCs w:val="22"/>
        </w:rPr>
        <w:t xml:space="preserve"> </w:t>
      </w:r>
      <w:r w:rsidRPr="00A33309">
        <w:rPr>
          <w:szCs w:val="22"/>
        </w:rPr>
        <w:t xml:space="preserve">regular non-problem gamblers living in the community. </w:t>
      </w:r>
      <w:r w:rsidRPr="00A33309">
        <w:rPr>
          <w:i/>
          <w:szCs w:val="22"/>
        </w:rPr>
        <w:t>Substance Use and Misuse, 39</w:t>
      </w:r>
      <w:r w:rsidRPr="00A33309">
        <w:rPr>
          <w:szCs w:val="22"/>
        </w:rPr>
        <w:t>(6),</w:t>
      </w:r>
      <w:r>
        <w:rPr>
          <w:szCs w:val="22"/>
        </w:rPr>
        <w:t xml:space="preserve"> </w:t>
      </w:r>
      <w:r w:rsidRPr="00A33309">
        <w:rPr>
          <w:szCs w:val="22"/>
        </w:rPr>
        <w:t>855-884.</w:t>
      </w:r>
    </w:p>
    <w:p w:rsidR="00F43513" w:rsidRDefault="00F43513" w:rsidP="00F43513">
      <w:pPr>
        <w:jc w:val="both"/>
        <w:rPr>
          <w:szCs w:val="22"/>
        </w:rPr>
      </w:pPr>
    </w:p>
    <w:p w:rsidR="00A33309" w:rsidRPr="00A33309" w:rsidRDefault="00A33309" w:rsidP="00A33309">
      <w:pPr>
        <w:jc w:val="both"/>
        <w:rPr>
          <w:szCs w:val="22"/>
        </w:rPr>
      </w:pPr>
      <w:r>
        <w:rPr>
          <w:szCs w:val="22"/>
        </w:rPr>
        <w:t>Barnes, G.M., Welte, J.W., Hoffman, J.</w:t>
      </w:r>
      <w:r w:rsidRPr="00A33309">
        <w:rPr>
          <w:szCs w:val="22"/>
        </w:rPr>
        <w:t>H.</w:t>
      </w:r>
      <w:r>
        <w:rPr>
          <w:szCs w:val="22"/>
        </w:rPr>
        <w:t>,</w:t>
      </w:r>
      <w:r w:rsidRPr="00A33309">
        <w:rPr>
          <w:szCs w:val="22"/>
        </w:rPr>
        <w:t xml:space="preserve"> &amp; Dintcheff, B.A. (1999). Gambling and alcohol use among youth: Influences of demographic, socialization, and individual factors. </w:t>
      </w:r>
      <w:r w:rsidRPr="00A33309">
        <w:rPr>
          <w:i/>
          <w:szCs w:val="22"/>
        </w:rPr>
        <w:t>Addictive Behaviors, 24</w:t>
      </w:r>
      <w:r w:rsidRPr="00A33309">
        <w:rPr>
          <w:szCs w:val="22"/>
        </w:rPr>
        <w:t>(6), 749-767</w:t>
      </w:r>
      <w:r>
        <w:rPr>
          <w:szCs w:val="22"/>
        </w:rPr>
        <w:t>.</w:t>
      </w:r>
    </w:p>
    <w:p w:rsidR="00A33309" w:rsidRPr="00A33309" w:rsidRDefault="00A33309" w:rsidP="00A33309">
      <w:pPr>
        <w:jc w:val="both"/>
        <w:rPr>
          <w:szCs w:val="22"/>
        </w:rPr>
      </w:pPr>
    </w:p>
    <w:p w:rsidR="00A33309" w:rsidRPr="00A33309" w:rsidRDefault="00A33309" w:rsidP="00A33309">
      <w:pPr>
        <w:jc w:val="both"/>
        <w:rPr>
          <w:szCs w:val="22"/>
        </w:rPr>
      </w:pPr>
      <w:r>
        <w:rPr>
          <w:szCs w:val="22"/>
        </w:rPr>
        <w:t>Barnes, G.</w:t>
      </w:r>
      <w:r w:rsidRPr="00A33309">
        <w:rPr>
          <w:szCs w:val="22"/>
        </w:rPr>
        <w:t>M., Wel</w:t>
      </w:r>
      <w:r>
        <w:rPr>
          <w:szCs w:val="22"/>
        </w:rPr>
        <w:t>te, J.W., Hoffman, J.</w:t>
      </w:r>
      <w:r w:rsidRPr="00A33309">
        <w:rPr>
          <w:szCs w:val="22"/>
        </w:rPr>
        <w:t>H.</w:t>
      </w:r>
      <w:r>
        <w:rPr>
          <w:szCs w:val="22"/>
        </w:rPr>
        <w:t>,</w:t>
      </w:r>
      <w:r w:rsidRPr="00A33309">
        <w:rPr>
          <w:szCs w:val="22"/>
        </w:rPr>
        <w:t xml:space="preserve"> &amp; Dintcheff, B.A. (2002). Effects of alcohol misuse on gambling patterns in youth. </w:t>
      </w:r>
      <w:r w:rsidRPr="00A33309">
        <w:rPr>
          <w:i/>
          <w:szCs w:val="22"/>
        </w:rPr>
        <w:t>Journal of Studies on Alcohol and Drugs, 63</w:t>
      </w:r>
      <w:r w:rsidRPr="00A33309">
        <w:rPr>
          <w:szCs w:val="22"/>
        </w:rPr>
        <w:t>(6), 767-775.</w:t>
      </w:r>
    </w:p>
    <w:p w:rsidR="00A33309" w:rsidRPr="00A33309" w:rsidRDefault="00A33309" w:rsidP="00A33309">
      <w:pPr>
        <w:jc w:val="both"/>
        <w:rPr>
          <w:szCs w:val="22"/>
        </w:rPr>
      </w:pPr>
    </w:p>
    <w:p w:rsidR="00A33309" w:rsidRPr="00A33309" w:rsidRDefault="00A33309" w:rsidP="00A33309">
      <w:pPr>
        <w:jc w:val="both"/>
        <w:rPr>
          <w:szCs w:val="22"/>
        </w:rPr>
      </w:pPr>
      <w:r>
        <w:rPr>
          <w:szCs w:val="22"/>
        </w:rPr>
        <w:t>Barnes, G.M., Welte, J.W., &amp; Hoffman, J.</w:t>
      </w:r>
      <w:r w:rsidRPr="00A33309">
        <w:rPr>
          <w:szCs w:val="22"/>
        </w:rPr>
        <w:t xml:space="preserve">H. (2005). Shared predictors of youthful gambling, substance use, and delinquency. </w:t>
      </w:r>
      <w:r w:rsidRPr="00A33309">
        <w:rPr>
          <w:i/>
          <w:szCs w:val="22"/>
        </w:rPr>
        <w:t>Psychology of Addictive Behaviors, 19</w:t>
      </w:r>
      <w:r w:rsidRPr="00A33309">
        <w:rPr>
          <w:szCs w:val="22"/>
        </w:rPr>
        <w:t>(2), 165-174.</w:t>
      </w:r>
    </w:p>
    <w:p w:rsidR="00A33309" w:rsidRDefault="00A33309" w:rsidP="00F43513">
      <w:pPr>
        <w:jc w:val="both"/>
        <w:rPr>
          <w:szCs w:val="22"/>
        </w:rPr>
      </w:pPr>
    </w:p>
    <w:p w:rsidR="00A33309" w:rsidRPr="00A33309" w:rsidRDefault="00A33309" w:rsidP="00A33309">
      <w:pPr>
        <w:jc w:val="both"/>
        <w:rPr>
          <w:szCs w:val="22"/>
        </w:rPr>
      </w:pPr>
      <w:r w:rsidRPr="00A33309">
        <w:rPr>
          <w:szCs w:val="22"/>
        </w:rPr>
        <w:t xml:space="preserve">Bellringer, M., Taylor, S., Poon, Z., Abbott, M., &amp; Paterson, J. (2012). </w:t>
      </w:r>
      <w:r w:rsidRPr="00A33309">
        <w:rPr>
          <w:i/>
          <w:szCs w:val="22"/>
        </w:rPr>
        <w:t xml:space="preserve">Pacific Islands Families Study 2009: Mother and child gambling. </w:t>
      </w:r>
      <w:r w:rsidRPr="00A33309">
        <w:rPr>
          <w:szCs w:val="22"/>
        </w:rPr>
        <w:t>Auckland: Auckland University of Technology</w:t>
      </w:r>
      <w:r>
        <w:rPr>
          <w:szCs w:val="22"/>
        </w:rPr>
        <w:t>:</w:t>
      </w:r>
      <w:r w:rsidRPr="00A33309">
        <w:rPr>
          <w:szCs w:val="22"/>
        </w:rPr>
        <w:t xml:space="preserve"> Gambling</w:t>
      </w:r>
      <w:r>
        <w:rPr>
          <w:szCs w:val="22"/>
        </w:rPr>
        <w:t xml:space="preserve"> and Addictions Research Centre</w:t>
      </w:r>
      <w:r w:rsidRPr="00A33309">
        <w:rPr>
          <w:szCs w:val="22"/>
        </w:rPr>
        <w:t>.</w:t>
      </w:r>
    </w:p>
    <w:p w:rsidR="00A33309" w:rsidRDefault="00A33309" w:rsidP="005447C2">
      <w:pPr>
        <w:jc w:val="both"/>
        <w:rPr>
          <w:szCs w:val="22"/>
        </w:rPr>
      </w:pPr>
    </w:p>
    <w:p w:rsidR="005447C2" w:rsidRPr="0049586B" w:rsidRDefault="005447C2" w:rsidP="005447C2">
      <w:pPr>
        <w:jc w:val="both"/>
      </w:pPr>
      <w:r w:rsidRPr="0049586B">
        <w:t xml:space="preserve">Billi, R., Stone, C.A., Marden, P., </w:t>
      </w:r>
      <w:r>
        <w:t xml:space="preserve">&amp; </w:t>
      </w:r>
      <w:r w:rsidRPr="0049586B">
        <w:t>Yeung, K. (2014</w:t>
      </w:r>
      <w:r>
        <w:t>a</w:t>
      </w:r>
      <w:r w:rsidRPr="0049586B">
        <w:t xml:space="preserve">). </w:t>
      </w:r>
      <w:r w:rsidRPr="0049586B">
        <w:rPr>
          <w:i/>
        </w:rPr>
        <w:t>The Victorian Gambling Study: A longitudinal study of gambling and health in Victoria, 2008</w:t>
      </w:r>
      <w:r>
        <w:rPr>
          <w:i/>
        </w:rPr>
        <w:t>-</w:t>
      </w:r>
      <w:r w:rsidRPr="0049586B">
        <w:rPr>
          <w:i/>
        </w:rPr>
        <w:t>2012</w:t>
      </w:r>
      <w:r w:rsidRPr="0049586B">
        <w:t>. Victoria, Australia: Victorian Responsible Gambling Foundation.</w:t>
      </w:r>
    </w:p>
    <w:p w:rsidR="005447C2" w:rsidRDefault="005447C2" w:rsidP="005447C2">
      <w:pPr>
        <w:jc w:val="both"/>
      </w:pPr>
    </w:p>
    <w:p w:rsidR="005447C2" w:rsidRPr="0049586B" w:rsidRDefault="005447C2" w:rsidP="005447C2">
      <w:pPr>
        <w:jc w:val="both"/>
      </w:pPr>
      <w:r>
        <w:t xml:space="preserve">Billi, R., Stone, C.A., Abbott, M., &amp; Yeung, K. (2014b) The Victorian Gambling Study (VGS) a longitudinal study of gambling and health in Victoria 2008-2012: Design and methods. </w:t>
      </w:r>
      <w:r w:rsidRPr="0049586B">
        <w:rPr>
          <w:i/>
        </w:rPr>
        <w:t>International Journal of Mental Health and Addiction</w:t>
      </w:r>
      <w:r>
        <w:t xml:space="preserve"> (published online: 5 November, 2014).</w:t>
      </w:r>
    </w:p>
    <w:p w:rsidR="005447C2" w:rsidRPr="00672253" w:rsidRDefault="005447C2" w:rsidP="005447C2">
      <w:pPr>
        <w:jc w:val="both"/>
      </w:pPr>
    </w:p>
    <w:p w:rsidR="00F43513" w:rsidRPr="00F43513" w:rsidRDefault="00F43513" w:rsidP="00F43513">
      <w:pPr>
        <w:jc w:val="both"/>
        <w:rPr>
          <w:szCs w:val="22"/>
        </w:rPr>
      </w:pPr>
      <w:r w:rsidRPr="00F43513">
        <w:rPr>
          <w:szCs w:val="22"/>
        </w:rPr>
        <w:t xml:space="preserve">Binde, P. (2005). Gambling across cultures: Mapping worldwide occurrence and learning from ethnographic comparison. </w:t>
      </w:r>
      <w:r w:rsidRPr="00F43513">
        <w:rPr>
          <w:i/>
          <w:iCs/>
          <w:szCs w:val="22"/>
        </w:rPr>
        <w:t>International Gambling Studies, 5</w:t>
      </w:r>
      <w:r w:rsidRPr="00F43513">
        <w:rPr>
          <w:szCs w:val="22"/>
        </w:rPr>
        <w:t>(1), 1-27.</w:t>
      </w:r>
    </w:p>
    <w:p w:rsidR="00F43513" w:rsidRDefault="00F43513" w:rsidP="00484E38">
      <w:pPr>
        <w:jc w:val="both"/>
        <w:rPr>
          <w:szCs w:val="22"/>
        </w:rPr>
      </w:pPr>
    </w:p>
    <w:p w:rsidR="00A33309" w:rsidRPr="00A33309" w:rsidRDefault="00A33309" w:rsidP="00A33309">
      <w:pPr>
        <w:jc w:val="both"/>
        <w:rPr>
          <w:szCs w:val="22"/>
        </w:rPr>
      </w:pPr>
      <w:r w:rsidRPr="00AC1F46">
        <w:rPr>
          <w:szCs w:val="22"/>
        </w:rPr>
        <w:t xml:space="preserve">Blaszczynski, A., &amp; Nower, L. (2002). A pathways model of problem and pathological gambling. </w:t>
      </w:r>
      <w:r w:rsidRPr="00AC1F46">
        <w:rPr>
          <w:i/>
          <w:szCs w:val="22"/>
        </w:rPr>
        <w:t>Addiction, 97</w:t>
      </w:r>
      <w:r w:rsidRPr="00AC1F46">
        <w:rPr>
          <w:szCs w:val="22"/>
        </w:rPr>
        <w:t>(5), 487-499.</w:t>
      </w:r>
    </w:p>
    <w:p w:rsidR="00A33309" w:rsidRDefault="00A33309" w:rsidP="00484E38">
      <w:pPr>
        <w:jc w:val="both"/>
        <w:rPr>
          <w:szCs w:val="22"/>
        </w:rPr>
      </w:pPr>
    </w:p>
    <w:p w:rsidR="005447C2" w:rsidRPr="00672253" w:rsidRDefault="005447C2" w:rsidP="005447C2">
      <w:r w:rsidRPr="00672253">
        <w:t>Blaszczynski, A., Steel, Z.</w:t>
      </w:r>
      <w:r>
        <w:t>,</w:t>
      </w:r>
      <w:r w:rsidRPr="00672253">
        <w:t xml:space="preserve"> &amp; McConaghy, N. (1997).  Impulsivity in pathological gambling: The antisocial impulsivist.  </w:t>
      </w:r>
      <w:r w:rsidRPr="00672253">
        <w:rPr>
          <w:i/>
        </w:rPr>
        <w:t>Addiction, 92</w:t>
      </w:r>
      <w:r w:rsidRPr="00672253">
        <w:t>(1), 75-87.</w:t>
      </w:r>
    </w:p>
    <w:p w:rsidR="005447C2" w:rsidRDefault="005447C2" w:rsidP="00484E38">
      <w:pPr>
        <w:jc w:val="both"/>
        <w:rPr>
          <w:szCs w:val="22"/>
        </w:rPr>
      </w:pPr>
    </w:p>
    <w:p w:rsidR="00173EB8" w:rsidRPr="00173EB8" w:rsidRDefault="00173EB8" w:rsidP="00173EB8">
      <w:pPr>
        <w:jc w:val="both"/>
        <w:rPr>
          <w:szCs w:val="22"/>
        </w:rPr>
      </w:pPr>
      <w:r w:rsidRPr="00173EB8">
        <w:rPr>
          <w:szCs w:val="22"/>
        </w:rPr>
        <w:t xml:space="preserve">Brown, L.D., Cai, T.T., &amp; DasGupta, A. (2001). Interval estimation for a binomial proportion. </w:t>
      </w:r>
      <w:r w:rsidRPr="00173EB8">
        <w:rPr>
          <w:i/>
          <w:szCs w:val="22"/>
        </w:rPr>
        <w:t>Statistical Science, 16</w:t>
      </w:r>
      <w:r w:rsidRPr="00173EB8">
        <w:rPr>
          <w:szCs w:val="22"/>
        </w:rPr>
        <w:t>, 101-133.</w:t>
      </w:r>
    </w:p>
    <w:p w:rsidR="002308DC" w:rsidRDefault="002308DC" w:rsidP="00AC1F46">
      <w:pPr>
        <w:jc w:val="both"/>
        <w:rPr>
          <w:szCs w:val="22"/>
        </w:rPr>
      </w:pPr>
    </w:p>
    <w:p w:rsidR="00AC1F46" w:rsidRPr="00AC1F46" w:rsidRDefault="00AC1F46" w:rsidP="00AC1F46">
      <w:pPr>
        <w:jc w:val="both"/>
        <w:rPr>
          <w:szCs w:val="22"/>
        </w:rPr>
      </w:pPr>
      <w:r w:rsidRPr="00AC1F46">
        <w:rPr>
          <w:szCs w:val="22"/>
        </w:rPr>
        <w:t>Cunningham-Williams, R., Cottler, L.B., Compton III, W.M.</w:t>
      </w:r>
      <w:r>
        <w:rPr>
          <w:szCs w:val="22"/>
        </w:rPr>
        <w:t>,</w:t>
      </w:r>
      <w:r w:rsidRPr="00AC1F46">
        <w:rPr>
          <w:szCs w:val="22"/>
        </w:rPr>
        <w:t xml:space="preserve"> &amp; Spitznagel, E.L. (1998). Taking chances: Problem gamblers and mental health disorders </w:t>
      </w:r>
      <w:r>
        <w:rPr>
          <w:szCs w:val="22"/>
        </w:rPr>
        <w:t>-</w:t>
      </w:r>
      <w:r w:rsidRPr="00AC1F46">
        <w:rPr>
          <w:szCs w:val="22"/>
        </w:rPr>
        <w:t xml:space="preserve"> Results from St. Louis Epidemiologic Catchment Area Study. </w:t>
      </w:r>
      <w:r w:rsidRPr="00AC1F46">
        <w:rPr>
          <w:i/>
          <w:szCs w:val="22"/>
        </w:rPr>
        <w:t>American Journal of Public Health, 88</w:t>
      </w:r>
      <w:r w:rsidRPr="00AC1F46">
        <w:rPr>
          <w:szCs w:val="22"/>
        </w:rPr>
        <w:t>(7), 1093-1096.</w:t>
      </w:r>
    </w:p>
    <w:p w:rsidR="00AC1F46" w:rsidRPr="00AC1F46" w:rsidRDefault="00AC1F46" w:rsidP="00AC1F46">
      <w:pPr>
        <w:jc w:val="both"/>
        <w:rPr>
          <w:szCs w:val="22"/>
        </w:rPr>
      </w:pPr>
    </w:p>
    <w:p w:rsidR="00AC1F46" w:rsidRPr="00AC1F46" w:rsidRDefault="00AC1F46" w:rsidP="00AC1F46">
      <w:pPr>
        <w:jc w:val="both"/>
        <w:rPr>
          <w:szCs w:val="22"/>
        </w:rPr>
      </w:pPr>
      <w:r w:rsidRPr="00AC1F46">
        <w:rPr>
          <w:szCs w:val="22"/>
        </w:rPr>
        <w:t>DeF</w:t>
      </w:r>
      <w:r>
        <w:rPr>
          <w:szCs w:val="22"/>
        </w:rPr>
        <w:t>uentes-Merillas, L., Koeter, M.W.J., Schippers, G.</w:t>
      </w:r>
      <w:r w:rsidRPr="00AC1F46">
        <w:rPr>
          <w:szCs w:val="22"/>
        </w:rPr>
        <w:t xml:space="preserve">M., &amp; van den Brink, W. (2004). Temporal stability of pathological scratchcard gambling among adult scratchcard buyers two years later. </w:t>
      </w:r>
      <w:r w:rsidRPr="00AC1F46">
        <w:rPr>
          <w:i/>
          <w:szCs w:val="22"/>
        </w:rPr>
        <w:t>Addiction, 99</w:t>
      </w:r>
      <w:r w:rsidRPr="00AC1F46">
        <w:rPr>
          <w:szCs w:val="22"/>
        </w:rPr>
        <w:t>(1), 117-127.</w:t>
      </w:r>
    </w:p>
    <w:p w:rsidR="00AC1F46" w:rsidRPr="00AC1F46" w:rsidRDefault="00AC1F46" w:rsidP="00AC1F46">
      <w:pPr>
        <w:jc w:val="both"/>
        <w:rPr>
          <w:szCs w:val="22"/>
        </w:rPr>
      </w:pPr>
    </w:p>
    <w:p w:rsidR="00AC1F46" w:rsidRPr="00AC1F46" w:rsidRDefault="00AC1F46" w:rsidP="00AC1F46">
      <w:pPr>
        <w:jc w:val="both"/>
        <w:rPr>
          <w:szCs w:val="22"/>
        </w:rPr>
      </w:pPr>
      <w:r w:rsidRPr="00AC1F46">
        <w:rPr>
          <w:szCs w:val="22"/>
        </w:rPr>
        <w:t>de Graaf</w:t>
      </w:r>
      <w:r>
        <w:rPr>
          <w:szCs w:val="22"/>
        </w:rPr>
        <w:t>,</w:t>
      </w:r>
      <w:r w:rsidRPr="00AC1F46">
        <w:rPr>
          <w:szCs w:val="22"/>
        </w:rPr>
        <w:t xml:space="preserve"> R</w:t>
      </w:r>
      <w:r>
        <w:rPr>
          <w:szCs w:val="22"/>
        </w:rPr>
        <w:t>.</w:t>
      </w:r>
      <w:r w:rsidRPr="00AC1F46">
        <w:rPr>
          <w:szCs w:val="22"/>
        </w:rPr>
        <w:t>, ten Have</w:t>
      </w:r>
      <w:r>
        <w:rPr>
          <w:szCs w:val="22"/>
        </w:rPr>
        <w:t>,</w:t>
      </w:r>
      <w:r w:rsidRPr="00AC1F46">
        <w:rPr>
          <w:szCs w:val="22"/>
        </w:rPr>
        <w:t xml:space="preserve"> M</w:t>
      </w:r>
      <w:r>
        <w:rPr>
          <w:szCs w:val="22"/>
        </w:rPr>
        <w:t>.</w:t>
      </w:r>
      <w:r w:rsidRPr="00AC1F46">
        <w:rPr>
          <w:szCs w:val="22"/>
        </w:rPr>
        <w:t xml:space="preserve">, </w:t>
      </w:r>
      <w:r>
        <w:rPr>
          <w:szCs w:val="22"/>
        </w:rPr>
        <w:t xml:space="preserve">&amp; </w:t>
      </w:r>
      <w:r w:rsidRPr="00AC1F46">
        <w:rPr>
          <w:szCs w:val="22"/>
        </w:rPr>
        <w:t>van Dorsselaer</w:t>
      </w:r>
      <w:r>
        <w:rPr>
          <w:szCs w:val="22"/>
        </w:rPr>
        <w:t>,</w:t>
      </w:r>
      <w:r w:rsidRPr="00AC1F46">
        <w:rPr>
          <w:szCs w:val="22"/>
        </w:rPr>
        <w:t xml:space="preserve"> S. (2010). The Netherlands Mental Health Survey and Incidence Study-2 (NEMESIS-2): Design and methods. </w:t>
      </w:r>
      <w:r w:rsidRPr="00AC1F46">
        <w:rPr>
          <w:i/>
          <w:szCs w:val="22"/>
        </w:rPr>
        <w:t>International Journal of Methods in Psychiatric Research,19</w:t>
      </w:r>
      <w:r w:rsidRPr="00AC1F46">
        <w:rPr>
          <w:szCs w:val="22"/>
        </w:rPr>
        <w:t>(3), 125</w:t>
      </w:r>
      <w:r>
        <w:rPr>
          <w:szCs w:val="22"/>
        </w:rPr>
        <w:t>-</w:t>
      </w:r>
      <w:r w:rsidRPr="00AC1F46">
        <w:rPr>
          <w:szCs w:val="22"/>
        </w:rPr>
        <w:t>141.</w:t>
      </w:r>
    </w:p>
    <w:p w:rsidR="00AC1F46" w:rsidRPr="00AC1F46" w:rsidRDefault="00AC1F46" w:rsidP="00AC1F46">
      <w:pPr>
        <w:jc w:val="both"/>
        <w:rPr>
          <w:szCs w:val="22"/>
        </w:rPr>
      </w:pPr>
    </w:p>
    <w:p w:rsidR="00AC1F46" w:rsidRPr="00AC1F46" w:rsidRDefault="00AC1F46" w:rsidP="00AC1F46">
      <w:pPr>
        <w:jc w:val="both"/>
        <w:rPr>
          <w:szCs w:val="22"/>
        </w:rPr>
      </w:pPr>
      <w:r w:rsidRPr="00AC1F46">
        <w:rPr>
          <w:szCs w:val="22"/>
        </w:rPr>
        <w:t>Delfabbro, P.H., Winefield, A.H.</w:t>
      </w:r>
      <w:r>
        <w:rPr>
          <w:szCs w:val="22"/>
        </w:rPr>
        <w:t>,</w:t>
      </w:r>
      <w:r w:rsidRPr="00AC1F46">
        <w:rPr>
          <w:szCs w:val="22"/>
        </w:rPr>
        <w:t xml:space="preserve"> &amp; Anderson, S. (2009). Once a gambler </w:t>
      </w:r>
      <w:r>
        <w:rPr>
          <w:szCs w:val="22"/>
        </w:rPr>
        <w:t>-</w:t>
      </w:r>
      <w:r w:rsidRPr="00AC1F46">
        <w:rPr>
          <w:szCs w:val="22"/>
        </w:rPr>
        <w:t xml:space="preserve"> always a gambler? A longitudinal analysis of gambling patterns in young people making the transition from adolescence to adulthood. </w:t>
      </w:r>
      <w:r w:rsidRPr="00AC1F46">
        <w:rPr>
          <w:i/>
          <w:szCs w:val="22"/>
        </w:rPr>
        <w:t>International Gambling Studies, 9</w:t>
      </w:r>
      <w:r w:rsidRPr="00AC1F46">
        <w:rPr>
          <w:szCs w:val="22"/>
        </w:rPr>
        <w:t>(2), 151-163.</w:t>
      </w:r>
    </w:p>
    <w:p w:rsidR="00AC1F46" w:rsidRDefault="00AC1F46" w:rsidP="00173EB8">
      <w:pPr>
        <w:jc w:val="both"/>
        <w:rPr>
          <w:szCs w:val="22"/>
        </w:rPr>
      </w:pPr>
    </w:p>
    <w:p w:rsidR="005447C2" w:rsidRPr="00672253" w:rsidRDefault="005447C2" w:rsidP="005447C2">
      <w:pPr>
        <w:jc w:val="both"/>
      </w:pPr>
      <w:r w:rsidRPr="00672253">
        <w:t>Delfabbro, P., King, D.</w:t>
      </w:r>
      <w:r>
        <w:t>,</w:t>
      </w:r>
      <w:r w:rsidRPr="00672253">
        <w:t xml:space="preserve"> &amp; Griffiths, M.D. (2014). From adolescent to adult Gambling: An analysis of longitudinal gambling patterns in South Australia. </w:t>
      </w:r>
      <w:r w:rsidRPr="00672253">
        <w:rPr>
          <w:i/>
        </w:rPr>
        <w:t>Journal of Gambling Studies</w:t>
      </w:r>
      <w:r>
        <w:rPr>
          <w:i/>
        </w:rPr>
        <w:t xml:space="preserve">, </w:t>
      </w:r>
      <w:r w:rsidRPr="00672253">
        <w:rPr>
          <w:i/>
        </w:rPr>
        <w:t>30</w:t>
      </w:r>
      <w:r w:rsidRPr="00672253">
        <w:t>(3), 547-563.</w:t>
      </w:r>
    </w:p>
    <w:p w:rsidR="005447C2" w:rsidRPr="00173EB8" w:rsidRDefault="005447C2" w:rsidP="00173EB8">
      <w:pPr>
        <w:jc w:val="both"/>
        <w:rPr>
          <w:szCs w:val="22"/>
        </w:rPr>
      </w:pPr>
    </w:p>
    <w:p w:rsidR="00D05D7E" w:rsidRDefault="00D05D7E" w:rsidP="00484E38">
      <w:pPr>
        <w:jc w:val="both"/>
        <w:rPr>
          <w:szCs w:val="22"/>
        </w:rPr>
      </w:pPr>
      <w:r w:rsidRPr="00D05D7E">
        <w:rPr>
          <w:szCs w:val="22"/>
        </w:rPr>
        <w:t>Deming</w:t>
      </w:r>
      <w:r>
        <w:rPr>
          <w:szCs w:val="22"/>
        </w:rPr>
        <w:t>,</w:t>
      </w:r>
      <w:r w:rsidRPr="00D05D7E">
        <w:rPr>
          <w:szCs w:val="22"/>
        </w:rPr>
        <w:t xml:space="preserve"> W</w:t>
      </w:r>
      <w:r>
        <w:rPr>
          <w:szCs w:val="22"/>
        </w:rPr>
        <w:t>.</w:t>
      </w:r>
      <w:r w:rsidRPr="00D05D7E">
        <w:rPr>
          <w:szCs w:val="22"/>
        </w:rPr>
        <w:t>E</w:t>
      </w:r>
      <w:r>
        <w:rPr>
          <w:szCs w:val="22"/>
        </w:rPr>
        <w:t>.,</w:t>
      </w:r>
      <w:r w:rsidRPr="00D05D7E">
        <w:rPr>
          <w:szCs w:val="22"/>
        </w:rPr>
        <w:t xml:space="preserve"> &amp; Stephan</w:t>
      </w:r>
      <w:r>
        <w:rPr>
          <w:szCs w:val="22"/>
        </w:rPr>
        <w:t>,</w:t>
      </w:r>
      <w:r w:rsidRPr="00D05D7E">
        <w:rPr>
          <w:szCs w:val="22"/>
        </w:rPr>
        <w:t xml:space="preserve"> F</w:t>
      </w:r>
      <w:r>
        <w:rPr>
          <w:szCs w:val="22"/>
        </w:rPr>
        <w:t>.</w:t>
      </w:r>
      <w:r w:rsidRPr="00D05D7E">
        <w:rPr>
          <w:szCs w:val="22"/>
        </w:rPr>
        <w:t xml:space="preserve">F. (1940). On a least squares adjustment of a sample frequency table when the expected marginal totals are known. </w:t>
      </w:r>
      <w:r w:rsidRPr="00D05D7E">
        <w:rPr>
          <w:i/>
          <w:szCs w:val="22"/>
        </w:rPr>
        <w:t>Annals of Mathematical Statistics</w:t>
      </w:r>
      <w:r>
        <w:rPr>
          <w:i/>
          <w:szCs w:val="22"/>
        </w:rPr>
        <w:t>,</w:t>
      </w:r>
      <w:r w:rsidRPr="00D05D7E">
        <w:rPr>
          <w:i/>
          <w:szCs w:val="22"/>
        </w:rPr>
        <w:t xml:space="preserve"> 11</w:t>
      </w:r>
      <w:r>
        <w:rPr>
          <w:i/>
          <w:szCs w:val="22"/>
        </w:rPr>
        <w:t xml:space="preserve">, </w:t>
      </w:r>
      <w:r w:rsidRPr="00D05D7E">
        <w:rPr>
          <w:szCs w:val="22"/>
        </w:rPr>
        <w:t>427-444.</w:t>
      </w:r>
    </w:p>
    <w:p w:rsidR="00D05D7E" w:rsidRDefault="00D05D7E" w:rsidP="00484E38">
      <w:pPr>
        <w:jc w:val="both"/>
        <w:rPr>
          <w:szCs w:val="22"/>
        </w:rPr>
      </w:pPr>
    </w:p>
    <w:p w:rsidR="00AC1F46" w:rsidRPr="00AC1F46" w:rsidRDefault="00AC1F46" w:rsidP="00AC1F46">
      <w:pPr>
        <w:jc w:val="both"/>
        <w:rPr>
          <w:szCs w:val="22"/>
        </w:rPr>
      </w:pPr>
      <w:r>
        <w:rPr>
          <w:szCs w:val="22"/>
        </w:rPr>
        <w:t xml:space="preserve">Dickerson, M., &amp; Baron, E. (2000). Contemporary </w:t>
      </w:r>
      <w:r w:rsidRPr="00AC1F46">
        <w:rPr>
          <w:szCs w:val="22"/>
        </w:rPr>
        <w:t>i</w:t>
      </w:r>
      <w:r>
        <w:rPr>
          <w:szCs w:val="22"/>
        </w:rPr>
        <w:t xml:space="preserve">ssues and future directions </w:t>
      </w:r>
      <w:r w:rsidRPr="00AC1F46">
        <w:rPr>
          <w:szCs w:val="22"/>
        </w:rPr>
        <w:t>for</w:t>
      </w:r>
      <w:r>
        <w:rPr>
          <w:szCs w:val="22"/>
        </w:rPr>
        <w:t xml:space="preserve"> research into pathological gambling. </w:t>
      </w:r>
      <w:r>
        <w:rPr>
          <w:i/>
          <w:szCs w:val="22"/>
        </w:rPr>
        <w:t xml:space="preserve">Addiction, </w:t>
      </w:r>
      <w:r w:rsidRPr="00AC1F46">
        <w:rPr>
          <w:i/>
          <w:szCs w:val="22"/>
        </w:rPr>
        <w:t>95</w:t>
      </w:r>
      <w:r>
        <w:rPr>
          <w:szCs w:val="22"/>
        </w:rPr>
        <w:t xml:space="preserve">(8), </w:t>
      </w:r>
      <w:r w:rsidRPr="00AC1F46">
        <w:rPr>
          <w:szCs w:val="22"/>
        </w:rPr>
        <w:t>1145</w:t>
      </w:r>
      <w:r>
        <w:rPr>
          <w:szCs w:val="22"/>
        </w:rPr>
        <w:t>-</w:t>
      </w:r>
      <w:r w:rsidRPr="00AC1F46">
        <w:rPr>
          <w:szCs w:val="22"/>
        </w:rPr>
        <w:t>1159.</w:t>
      </w:r>
    </w:p>
    <w:p w:rsidR="00AC1F46" w:rsidRPr="00AC1F46" w:rsidRDefault="00AC1F46" w:rsidP="00AC1F46">
      <w:pPr>
        <w:jc w:val="both"/>
        <w:rPr>
          <w:szCs w:val="22"/>
        </w:rPr>
      </w:pPr>
    </w:p>
    <w:p w:rsidR="00AC1F46" w:rsidRPr="00AC1F46" w:rsidRDefault="00AC1F46" w:rsidP="00AC1F46">
      <w:pPr>
        <w:jc w:val="both"/>
        <w:rPr>
          <w:szCs w:val="22"/>
        </w:rPr>
      </w:pPr>
      <w:r w:rsidRPr="00AC1F46">
        <w:rPr>
          <w:szCs w:val="22"/>
        </w:rPr>
        <w:t>Dickerson, M., Haw, J.</w:t>
      </w:r>
      <w:r>
        <w:rPr>
          <w:szCs w:val="22"/>
        </w:rPr>
        <w:t>,</w:t>
      </w:r>
      <w:r w:rsidRPr="00AC1F46">
        <w:rPr>
          <w:szCs w:val="22"/>
        </w:rPr>
        <w:t xml:space="preserve"> &amp; Shepherd, L. (2003). </w:t>
      </w:r>
      <w:r w:rsidRPr="00AC1F46">
        <w:rPr>
          <w:i/>
          <w:szCs w:val="22"/>
        </w:rPr>
        <w:t>The psychological causes of problem gambling: A longitudinal study of at risk recreational EGM players. Report to the Casino Community Benefit Fund</w:t>
      </w:r>
      <w:r w:rsidRPr="00AC1F46">
        <w:rPr>
          <w:szCs w:val="22"/>
        </w:rPr>
        <w:t>. Sydney, Australia.</w:t>
      </w:r>
    </w:p>
    <w:p w:rsidR="00AC1F46" w:rsidRPr="00AC1F46" w:rsidRDefault="00AC1F46" w:rsidP="00AC1F46">
      <w:pPr>
        <w:jc w:val="both"/>
        <w:rPr>
          <w:szCs w:val="22"/>
        </w:rPr>
      </w:pPr>
    </w:p>
    <w:p w:rsidR="00AC1F46" w:rsidRPr="00AC1F46" w:rsidRDefault="00AC1F46" w:rsidP="00AC1F46">
      <w:pPr>
        <w:jc w:val="both"/>
        <w:rPr>
          <w:szCs w:val="22"/>
        </w:rPr>
      </w:pPr>
      <w:r w:rsidRPr="00AC1F46">
        <w:rPr>
          <w:szCs w:val="22"/>
        </w:rPr>
        <w:t>el-Guebaly, N., Casey, D.M., Hodgins, D.C., Smith, G.J., Williams, R.J., Schopflocher, D.P.</w:t>
      </w:r>
      <w:r>
        <w:rPr>
          <w:szCs w:val="22"/>
        </w:rPr>
        <w:t>,</w:t>
      </w:r>
      <w:r w:rsidRPr="00AC1F46">
        <w:rPr>
          <w:szCs w:val="22"/>
        </w:rPr>
        <w:t xml:space="preserve"> &amp; Wood, R.T. (2008). Designing a longitudinal cohort study in Alberta: Rationale, methods and challenges. </w:t>
      </w:r>
      <w:r w:rsidRPr="00AC1F46">
        <w:rPr>
          <w:i/>
          <w:szCs w:val="22"/>
        </w:rPr>
        <w:t>Journal of Gambling Studies, 24</w:t>
      </w:r>
      <w:r w:rsidRPr="00AC1F46">
        <w:rPr>
          <w:szCs w:val="22"/>
        </w:rPr>
        <w:t>(4), 479-504</w:t>
      </w:r>
    </w:p>
    <w:p w:rsidR="00AC1F46" w:rsidRDefault="00AC1F46" w:rsidP="00484E38">
      <w:pPr>
        <w:jc w:val="both"/>
        <w:rPr>
          <w:szCs w:val="22"/>
        </w:rPr>
      </w:pPr>
    </w:p>
    <w:p w:rsidR="00786DBF" w:rsidRPr="00A64EF9" w:rsidRDefault="00786DBF" w:rsidP="00786DBF">
      <w:pPr>
        <w:jc w:val="both"/>
      </w:pPr>
      <w:r w:rsidRPr="00A64EF9">
        <w:t xml:space="preserve">el-Guebaly, N., Casey, D.M., Currie, S.R., Hodgins, D.C., Schopflocher, D.P., Smith, G.J., &amp; Williams, R.J. (2015). </w:t>
      </w:r>
      <w:r w:rsidRPr="00A64EF9">
        <w:rPr>
          <w:i/>
        </w:rPr>
        <w:t>The Leisure, Lifestyle &amp; Lifecycle Project (LLLP): A Longitudinal study of gambling in Alberta</w:t>
      </w:r>
      <w:r>
        <w:rPr>
          <w:i/>
        </w:rPr>
        <w:t>.</w:t>
      </w:r>
      <w:r w:rsidRPr="00A64EF9">
        <w:t xml:space="preserve"> Final Report for the Albe</w:t>
      </w:r>
      <w:r>
        <w:t>rta Gambling Research Institute</w:t>
      </w:r>
      <w:r w:rsidRPr="00A64EF9">
        <w:t>. Alberta: University of Calgary</w:t>
      </w:r>
      <w:r>
        <w:t>;</w:t>
      </w:r>
      <w:r w:rsidRPr="00A64EF9">
        <w:t xml:space="preserve"> Alberta Health Services; University of Alberta; University of Lethbridge.</w:t>
      </w:r>
    </w:p>
    <w:p w:rsidR="00786DBF" w:rsidRDefault="00786DBF" w:rsidP="00484E38">
      <w:pPr>
        <w:jc w:val="both"/>
        <w:rPr>
          <w:szCs w:val="22"/>
        </w:rPr>
      </w:pPr>
    </w:p>
    <w:p w:rsidR="00484E38" w:rsidRPr="001A254C" w:rsidRDefault="00484E38" w:rsidP="00484E38">
      <w:pPr>
        <w:jc w:val="both"/>
        <w:rPr>
          <w:szCs w:val="22"/>
        </w:rPr>
      </w:pPr>
      <w:r w:rsidRPr="001A254C">
        <w:rPr>
          <w:szCs w:val="22"/>
        </w:rPr>
        <w:t xml:space="preserve">Ferris, J., &amp; Wynne, H. (2001). </w:t>
      </w:r>
      <w:r w:rsidRPr="001A254C">
        <w:rPr>
          <w:i/>
          <w:szCs w:val="22"/>
        </w:rPr>
        <w:t>The Canadian Problem Gambling Index: Final report</w:t>
      </w:r>
      <w:r w:rsidRPr="001A254C">
        <w:rPr>
          <w:szCs w:val="22"/>
        </w:rPr>
        <w:t>. Ottawa: Canadian Centre on Substance Abuse.</w:t>
      </w:r>
    </w:p>
    <w:p w:rsidR="00484E38" w:rsidRDefault="00484E38" w:rsidP="00484E38">
      <w:pPr>
        <w:jc w:val="both"/>
        <w:rPr>
          <w:szCs w:val="22"/>
        </w:rPr>
      </w:pPr>
    </w:p>
    <w:p w:rsidR="005447C2" w:rsidRPr="00672253" w:rsidRDefault="005447C2" w:rsidP="005447C2">
      <w:pPr>
        <w:jc w:val="both"/>
      </w:pPr>
      <w:r w:rsidRPr="00672253">
        <w:lastRenderedPageBreak/>
        <w:t>Goudriaan, A</w:t>
      </w:r>
      <w:r>
        <w:t>.E., Slutske, W.S., Krull, J.L., &amp; Sher, K.</w:t>
      </w:r>
      <w:r w:rsidRPr="00672253">
        <w:t xml:space="preserve">J. (2009). Longitudinal patterns of gambling activities and associated risk factors in college students. </w:t>
      </w:r>
      <w:r w:rsidRPr="00672253">
        <w:rPr>
          <w:i/>
        </w:rPr>
        <w:t>Addiction, 104</w:t>
      </w:r>
      <w:r w:rsidRPr="00672253">
        <w:t>(7), 1219-1232.</w:t>
      </w:r>
    </w:p>
    <w:p w:rsidR="005447C2" w:rsidRPr="001A254C" w:rsidRDefault="005447C2" w:rsidP="00484E38">
      <w:pPr>
        <w:jc w:val="both"/>
        <w:rPr>
          <w:szCs w:val="22"/>
        </w:rPr>
      </w:pPr>
    </w:p>
    <w:p w:rsidR="00173EB8" w:rsidRPr="00173EB8" w:rsidRDefault="00173EB8" w:rsidP="00173EB8">
      <w:pPr>
        <w:jc w:val="both"/>
        <w:rPr>
          <w:szCs w:val="22"/>
        </w:rPr>
      </w:pPr>
      <w:r w:rsidRPr="00173EB8">
        <w:rPr>
          <w:szCs w:val="22"/>
        </w:rPr>
        <w:t xml:space="preserve">Gray, A.G., Haslett, S.J., &amp; Kuzmicich, G.S. (2004). Confidence intervals for proportions estimated from complex sample designs. </w:t>
      </w:r>
      <w:r w:rsidRPr="00173EB8">
        <w:rPr>
          <w:i/>
          <w:szCs w:val="22"/>
        </w:rPr>
        <w:t>Journal of Official Statistics, 20</w:t>
      </w:r>
      <w:r w:rsidRPr="00173EB8">
        <w:rPr>
          <w:szCs w:val="22"/>
        </w:rPr>
        <w:t>(4) 705-723.</w:t>
      </w:r>
    </w:p>
    <w:p w:rsidR="005B52F7" w:rsidRDefault="005B52F7" w:rsidP="005B52F7">
      <w:pPr>
        <w:jc w:val="both"/>
        <w:rPr>
          <w:szCs w:val="22"/>
        </w:rPr>
      </w:pPr>
      <w:r w:rsidRPr="005B52F7">
        <w:rPr>
          <w:szCs w:val="22"/>
        </w:rPr>
        <w:t>Hodgins, D.C.</w:t>
      </w:r>
      <w:r>
        <w:rPr>
          <w:szCs w:val="22"/>
        </w:rPr>
        <w:t>,</w:t>
      </w:r>
      <w:r w:rsidRPr="005B52F7">
        <w:rPr>
          <w:szCs w:val="22"/>
        </w:rPr>
        <w:t xml:space="preserve"> &amp; el-Guebaly, N. (2004). Retrospective and prospective reports of precipitants to relapse in pathological gambling. </w:t>
      </w:r>
      <w:r w:rsidRPr="005B52F7">
        <w:rPr>
          <w:i/>
          <w:szCs w:val="22"/>
        </w:rPr>
        <w:t>Journal of Consulting and Clinical Psychology, 72</w:t>
      </w:r>
      <w:r w:rsidRPr="005B52F7">
        <w:rPr>
          <w:szCs w:val="22"/>
        </w:rPr>
        <w:t>(1), 72</w:t>
      </w:r>
      <w:r>
        <w:rPr>
          <w:szCs w:val="22"/>
        </w:rPr>
        <w:t>-</w:t>
      </w:r>
      <w:r w:rsidRPr="005B52F7">
        <w:rPr>
          <w:szCs w:val="22"/>
        </w:rPr>
        <w:t>80.</w:t>
      </w:r>
    </w:p>
    <w:p w:rsidR="005447C2" w:rsidRDefault="005447C2" w:rsidP="005B52F7">
      <w:pPr>
        <w:jc w:val="both"/>
        <w:rPr>
          <w:szCs w:val="22"/>
        </w:rPr>
      </w:pPr>
    </w:p>
    <w:p w:rsidR="005447C2" w:rsidRDefault="005447C2" w:rsidP="005447C2">
      <w:pPr>
        <w:jc w:val="both"/>
      </w:pPr>
      <w:r w:rsidRPr="00672253">
        <w:t>Hodgins, D.C.</w:t>
      </w:r>
      <w:r>
        <w:t>,</w:t>
      </w:r>
      <w:r w:rsidRPr="00672253">
        <w:t xml:space="preserve"> &amp; el-Guebaly, N. (2010).  The influence of substance dependence and mood</w:t>
      </w:r>
      <w:r>
        <w:t xml:space="preserve"> </w:t>
      </w:r>
      <w:r w:rsidRPr="00672253">
        <w:t xml:space="preserve">disorders on outcome from pathological gambling: Five-year follow-up. </w:t>
      </w:r>
      <w:r w:rsidRPr="00672253">
        <w:rPr>
          <w:i/>
        </w:rPr>
        <w:t>Journal of Gambling Studies, 26</w:t>
      </w:r>
      <w:r w:rsidRPr="00672253">
        <w:t>(1), 117-127</w:t>
      </w:r>
      <w:r>
        <w:t>.</w:t>
      </w:r>
    </w:p>
    <w:p w:rsidR="005B52F7" w:rsidRPr="005B52F7" w:rsidRDefault="005B52F7" w:rsidP="005B52F7">
      <w:pPr>
        <w:jc w:val="both"/>
        <w:rPr>
          <w:szCs w:val="22"/>
        </w:rPr>
      </w:pPr>
    </w:p>
    <w:p w:rsidR="005B52F7" w:rsidRPr="005B52F7" w:rsidRDefault="005B52F7" w:rsidP="005B52F7">
      <w:pPr>
        <w:jc w:val="both"/>
        <w:rPr>
          <w:szCs w:val="22"/>
        </w:rPr>
      </w:pPr>
      <w:r w:rsidRPr="005B52F7">
        <w:rPr>
          <w:szCs w:val="22"/>
        </w:rPr>
        <w:t>Hodgins, D.C., Peden, N.</w:t>
      </w:r>
      <w:r>
        <w:rPr>
          <w:szCs w:val="22"/>
        </w:rPr>
        <w:t>,</w:t>
      </w:r>
      <w:r w:rsidRPr="005B52F7">
        <w:rPr>
          <w:szCs w:val="22"/>
        </w:rPr>
        <w:t xml:space="preserve"> &amp; Cassidy, E. (2005). The association between comorbidity and outcome in</w:t>
      </w:r>
      <w:r>
        <w:rPr>
          <w:szCs w:val="22"/>
        </w:rPr>
        <w:t xml:space="preserve"> </w:t>
      </w:r>
      <w:r w:rsidRPr="005B52F7">
        <w:rPr>
          <w:szCs w:val="22"/>
        </w:rPr>
        <w:t xml:space="preserve">pathological gambling: A prospective follow-up of recent quitters. </w:t>
      </w:r>
      <w:r w:rsidRPr="005B52F7">
        <w:rPr>
          <w:i/>
          <w:szCs w:val="22"/>
        </w:rPr>
        <w:t>Journal of Gambling Studies, 21</w:t>
      </w:r>
      <w:r w:rsidRPr="005B52F7">
        <w:rPr>
          <w:szCs w:val="22"/>
        </w:rPr>
        <w:t>(3), 255-271.</w:t>
      </w:r>
    </w:p>
    <w:p w:rsidR="005B52F7" w:rsidRPr="005B52F7" w:rsidRDefault="005B52F7" w:rsidP="005B52F7">
      <w:pPr>
        <w:jc w:val="both"/>
        <w:rPr>
          <w:szCs w:val="22"/>
        </w:rPr>
      </w:pPr>
    </w:p>
    <w:p w:rsidR="005B52F7" w:rsidRPr="005B52F7" w:rsidRDefault="005B52F7" w:rsidP="005B52F7">
      <w:pPr>
        <w:jc w:val="both"/>
        <w:rPr>
          <w:szCs w:val="22"/>
        </w:rPr>
      </w:pPr>
      <w:r w:rsidRPr="005B52F7">
        <w:rPr>
          <w:szCs w:val="22"/>
        </w:rPr>
        <w:t>Jacques, C., Ladouceur, R.</w:t>
      </w:r>
      <w:r>
        <w:rPr>
          <w:szCs w:val="22"/>
        </w:rPr>
        <w:t>,</w:t>
      </w:r>
      <w:r w:rsidRPr="005B52F7">
        <w:rPr>
          <w:szCs w:val="22"/>
        </w:rPr>
        <w:t xml:space="preserve"> &amp; Ferland, F. (2000). Impact of availability on gambling: A longitudinal study.  </w:t>
      </w:r>
      <w:r w:rsidRPr="005B52F7">
        <w:rPr>
          <w:i/>
          <w:szCs w:val="22"/>
        </w:rPr>
        <w:t>Canadian Journal of Psychiatry, 45</w:t>
      </w:r>
      <w:r w:rsidRPr="005B52F7">
        <w:rPr>
          <w:szCs w:val="22"/>
        </w:rPr>
        <w:t>(9), 810-815.</w:t>
      </w:r>
    </w:p>
    <w:p w:rsidR="005B52F7" w:rsidRPr="005B52F7" w:rsidRDefault="005B52F7" w:rsidP="005B52F7">
      <w:pPr>
        <w:jc w:val="both"/>
        <w:rPr>
          <w:szCs w:val="22"/>
        </w:rPr>
      </w:pPr>
    </w:p>
    <w:p w:rsidR="005B52F7" w:rsidRPr="005B52F7" w:rsidRDefault="005B52F7" w:rsidP="005B52F7">
      <w:pPr>
        <w:jc w:val="both"/>
        <w:rPr>
          <w:szCs w:val="22"/>
        </w:rPr>
      </w:pPr>
      <w:r w:rsidRPr="005B52F7">
        <w:rPr>
          <w:szCs w:val="22"/>
        </w:rPr>
        <w:t>Jacques, C.</w:t>
      </w:r>
      <w:r>
        <w:rPr>
          <w:szCs w:val="22"/>
        </w:rPr>
        <w:t>,</w:t>
      </w:r>
      <w:r w:rsidRPr="005B52F7">
        <w:rPr>
          <w:szCs w:val="22"/>
        </w:rPr>
        <w:t xml:space="preserve"> &amp; Ladouceur, R. (2006).  A prospective study of the impact of opening a casino</w:t>
      </w:r>
      <w:r>
        <w:rPr>
          <w:szCs w:val="22"/>
        </w:rPr>
        <w:t xml:space="preserve"> </w:t>
      </w:r>
      <w:r w:rsidRPr="005B52F7">
        <w:rPr>
          <w:szCs w:val="22"/>
        </w:rPr>
        <w:t>on</w:t>
      </w:r>
      <w:r>
        <w:rPr>
          <w:szCs w:val="22"/>
        </w:rPr>
        <w:t xml:space="preserve"> gambling behaviours: 2- and 4-y</w:t>
      </w:r>
      <w:r w:rsidRPr="005B52F7">
        <w:rPr>
          <w:szCs w:val="22"/>
        </w:rPr>
        <w:t xml:space="preserve">ear follow-ups. </w:t>
      </w:r>
      <w:r w:rsidRPr="005B52F7">
        <w:rPr>
          <w:i/>
          <w:szCs w:val="22"/>
        </w:rPr>
        <w:t>Canadian Journal of Psychiatry, 45</w:t>
      </w:r>
      <w:r w:rsidRPr="005B52F7">
        <w:rPr>
          <w:szCs w:val="22"/>
        </w:rPr>
        <w:t xml:space="preserve">(12), 764-773. </w:t>
      </w:r>
    </w:p>
    <w:p w:rsidR="005B52F7" w:rsidRPr="00173EB8" w:rsidRDefault="005B52F7" w:rsidP="00173EB8">
      <w:pPr>
        <w:jc w:val="both"/>
        <w:rPr>
          <w:szCs w:val="22"/>
        </w:rPr>
      </w:pPr>
    </w:p>
    <w:p w:rsidR="00C16E6C" w:rsidRPr="00C16E6C" w:rsidRDefault="00C16E6C" w:rsidP="00C16E6C">
      <w:pPr>
        <w:jc w:val="both"/>
        <w:rPr>
          <w:szCs w:val="22"/>
        </w:rPr>
      </w:pPr>
      <w:r w:rsidRPr="00C16E6C">
        <w:rPr>
          <w:szCs w:val="22"/>
        </w:rPr>
        <w:t xml:space="preserve">Kessler, R., &amp; Mroczek, D. (1994). </w:t>
      </w:r>
      <w:r w:rsidRPr="00C16E6C">
        <w:rPr>
          <w:i/>
          <w:szCs w:val="22"/>
        </w:rPr>
        <w:t>Final versions of our Non-Specific Psychological Distress Scale.</w:t>
      </w:r>
      <w:r w:rsidRPr="00C16E6C">
        <w:rPr>
          <w:szCs w:val="22"/>
        </w:rPr>
        <w:t xml:space="preserve"> Written communication-memo dated 10/3/94. Ann Arbour (MI), Surrey Research Center of the Institute for Social Research, University of Michigan.</w:t>
      </w:r>
    </w:p>
    <w:p w:rsidR="00C16E6C" w:rsidRDefault="00C16E6C" w:rsidP="00C16E6C">
      <w:pPr>
        <w:jc w:val="both"/>
        <w:rPr>
          <w:szCs w:val="22"/>
        </w:rPr>
      </w:pPr>
    </w:p>
    <w:p w:rsidR="005B52F7" w:rsidRPr="005B52F7" w:rsidRDefault="005B52F7" w:rsidP="005B52F7">
      <w:pPr>
        <w:jc w:val="both"/>
        <w:rPr>
          <w:szCs w:val="22"/>
        </w:rPr>
      </w:pPr>
      <w:r w:rsidRPr="005B52F7">
        <w:rPr>
          <w:szCs w:val="22"/>
        </w:rPr>
        <w:t>LaBrie, R.A., LaPlante, D.A., Nelson, S.E., Kaplan, S.A., Schumann, A.</w:t>
      </w:r>
      <w:r>
        <w:rPr>
          <w:szCs w:val="22"/>
        </w:rPr>
        <w:t>,</w:t>
      </w:r>
      <w:r w:rsidRPr="005B52F7">
        <w:rPr>
          <w:szCs w:val="22"/>
        </w:rPr>
        <w:t xml:space="preserve"> &amp; Shaffer, H.J. (2007). Assessing the playing field: A prospective longitudinal study of internet sports gambling behaviour. </w:t>
      </w:r>
      <w:r w:rsidRPr="005B52F7">
        <w:rPr>
          <w:i/>
          <w:szCs w:val="22"/>
        </w:rPr>
        <w:t>Journal of Gambling Studies, 23</w:t>
      </w:r>
      <w:r w:rsidRPr="005B52F7">
        <w:rPr>
          <w:szCs w:val="22"/>
        </w:rPr>
        <w:t>(3), 347-362.</w:t>
      </w:r>
    </w:p>
    <w:p w:rsidR="005B52F7" w:rsidRPr="005B52F7" w:rsidRDefault="005B52F7" w:rsidP="005B52F7">
      <w:pPr>
        <w:jc w:val="both"/>
        <w:rPr>
          <w:szCs w:val="22"/>
        </w:rPr>
      </w:pPr>
    </w:p>
    <w:p w:rsidR="005B52F7" w:rsidRPr="005B52F7" w:rsidRDefault="005B52F7" w:rsidP="005B52F7">
      <w:pPr>
        <w:jc w:val="both"/>
        <w:rPr>
          <w:szCs w:val="22"/>
        </w:rPr>
      </w:pPr>
      <w:r w:rsidRPr="005B52F7">
        <w:rPr>
          <w:szCs w:val="22"/>
        </w:rPr>
        <w:t>Ladouceur, R., Sylvain, C.</w:t>
      </w:r>
      <w:r>
        <w:rPr>
          <w:szCs w:val="22"/>
        </w:rPr>
        <w:t>,</w:t>
      </w:r>
      <w:r w:rsidRPr="005B52F7">
        <w:rPr>
          <w:szCs w:val="22"/>
        </w:rPr>
        <w:t xml:space="preserve"> &amp; Gosselin, P. (2007). Self-exclusion program: A longitudinal evaluation study. </w:t>
      </w:r>
      <w:r w:rsidRPr="005B52F7">
        <w:rPr>
          <w:i/>
          <w:szCs w:val="22"/>
        </w:rPr>
        <w:t>Journal of Gambling Studies, 23</w:t>
      </w:r>
      <w:r w:rsidRPr="005B52F7">
        <w:rPr>
          <w:szCs w:val="22"/>
        </w:rPr>
        <w:t>(1), 85-94.</w:t>
      </w:r>
    </w:p>
    <w:p w:rsidR="005B52F7" w:rsidRPr="005B52F7" w:rsidRDefault="005B52F7" w:rsidP="005B52F7">
      <w:pPr>
        <w:jc w:val="both"/>
        <w:rPr>
          <w:szCs w:val="22"/>
        </w:rPr>
      </w:pPr>
    </w:p>
    <w:p w:rsidR="005447C2" w:rsidRPr="00672253" w:rsidRDefault="005447C2" w:rsidP="005447C2">
      <w:pPr>
        <w:jc w:val="both"/>
      </w:pPr>
      <w:r w:rsidRPr="00672253">
        <w:t>LaPlante, D.A., Nelson, S.E., LaBrie, R.A.</w:t>
      </w:r>
      <w:r>
        <w:t>,</w:t>
      </w:r>
      <w:r w:rsidRPr="00672253">
        <w:t xml:space="preserve"> &amp; Sha</w:t>
      </w:r>
      <w:r>
        <w:t>ffer, H.J. (2008). Stability and</w:t>
      </w:r>
      <w:r w:rsidRPr="00672253">
        <w:t xml:space="preserve"> progression of disordered gambling: Lessons from longitudinal studies. </w:t>
      </w:r>
      <w:r w:rsidRPr="00672253">
        <w:rPr>
          <w:i/>
        </w:rPr>
        <w:t>The Canadian Journal of Psychiatry, 53</w:t>
      </w:r>
      <w:r w:rsidRPr="00672253">
        <w:t>(1), 52-60.</w:t>
      </w:r>
    </w:p>
    <w:p w:rsidR="005447C2" w:rsidRDefault="005447C2" w:rsidP="00F43513">
      <w:pPr>
        <w:jc w:val="both"/>
        <w:rPr>
          <w:szCs w:val="22"/>
        </w:rPr>
      </w:pPr>
    </w:p>
    <w:p w:rsidR="00F43513" w:rsidRPr="00F43513" w:rsidRDefault="00F43513" w:rsidP="00F43513">
      <w:pPr>
        <w:jc w:val="both"/>
        <w:rPr>
          <w:szCs w:val="22"/>
        </w:rPr>
      </w:pPr>
      <w:r w:rsidRPr="00F43513">
        <w:rPr>
          <w:szCs w:val="22"/>
        </w:rPr>
        <w:t xml:space="preserve">Miers, D. (2004). </w:t>
      </w:r>
      <w:r w:rsidRPr="00F43513">
        <w:rPr>
          <w:i/>
          <w:iCs/>
          <w:szCs w:val="22"/>
        </w:rPr>
        <w:t>Regulating commercial gambling</w:t>
      </w:r>
      <w:r w:rsidRPr="00F43513">
        <w:rPr>
          <w:szCs w:val="22"/>
        </w:rPr>
        <w:t>. Oxford</w:t>
      </w:r>
      <w:r>
        <w:rPr>
          <w:szCs w:val="22"/>
        </w:rPr>
        <w:t>:</w:t>
      </w:r>
      <w:r w:rsidRPr="00F43513">
        <w:rPr>
          <w:szCs w:val="22"/>
        </w:rPr>
        <w:t xml:space="preserve"> Oxford University Press.</w:t>
      </w:r>
    </w:p>
    <w:p w:rsidR="00F43513" w:rsidRPr="00F43513" w:rsidRDefault="00F43513" w:rsidP="00F43513">
      <w:pPr>
        <w:jc w:val="both"/>
        <w:rPr>
          <w:szCs w:val="22"/>
        </w:rPr>
      </w:pPr>
    </w:p>
    <w:p w:rsidR="00F43513" w:rsidRPr="00F43513" w:rsidRDefault="00F43513" w:rsidP="00F43513">
      <w:pPr>
        <w:jc w:val="both"/>
        <w:rPr>
          <w:szCs w:val="22"/>
        </w:rPr>
      </w:pPr>
      <w:r w:rsidRPr="00F43513">
        <w:rPr>
          <w:szCs w:val="22"/>
        </w:rPr>
        <w:t>Orford, J. (2005</w:t>
      </w:r>
      <w:r>
        <w:rPr>
          <w:szCs w:val="22"/>
        </w:rPr>
        <w:t>a</w:t>
      </w:r>
      <w:r w:rsidRPr="00F43513">
        <w:rPr>
          <w:szCs w:val="22"/>
        </w:rPr>
        <w:t>)</w:t>
      </w:r>
      <w:r>
        <w:rPr>
          <w:szCs w:val="22"/>
        </w:rPr>
        <w:t>.</w:t>
      </w:r>
      <w:r w:rsidRPr="00F43513">
        <w:rPr>
          <w:szCs w:val="22"/>
        </w:rPr>
        <w:t> Disabling the public interest: gambling strategies and policies for Britain. </w:t>
      </w:r>
      <w:r w:rsidRPr="00F43513">
        <w:rPr>
          <w:i/>
          <w:iCs/>
          <w:szCs w:val="22"/>
        </w:rPr>
        <w:t>Addiction</w:t>
      </w:r>
      <w:r w:rsidRPr="00F43513">
        <w:rPr>
          <w:i/>
          <w:szCs w:val="22"/>
        </w:rPr>
        <w:t>, </w:t>
      </w:r>
      <w:r w:rsidRPr="00F43513">
        <w:rPr>
          <w:bCs/>
          <w:i/>
          <w:szCs w:val="22"/>
        </w:rPr>
        <w:t>100</w:t>
      </w:r>
      <w:r w:rsidRPr="00F43513">
        <w:rPr>
          <w:bCs/>
          <w:szCs w:val="22"/>
        </w:rPr>
        <w:t>(9)</w:t>
      </w:r>
      <w:r w:rsidRPr="00F43513">
        <w:rPr>
          <w:szCs w:val="22"/>
        </w:rPr>
        <w:t>, 1219</w:t>
      </w:r>
      <w:r>
        <w:rPr>
          <w:szCs w:val="22"/>
        </w:rPr>
        <w:t>-</w:t>
      </w:r>
      <w:r w:rsidRPr="00F43513">
        <w:rPr>
          <w:szCs w:val="22"/>
        </w:rPr>
        <w:t>1225.</w:t>
      </w:r>
    </w:p>
    <w:p w:rsidR="00F43513" w:rsidRPr="00F43513" w:rsidRDefault="00F43513" w:rsidP="00F43513">
      <w:pPr>
        <w:jc w:val="both"/>
        <w:rPr>
          <w:szCs w:val="22"/>
        </w:rPr>
      </w:pPr>
    </w:p>
    <w:p w:rsidR="00F43513" w:rsidRPr="00F43513" w:rsidRDefault="00F43513" w:rsidP="00F43513">
      <w:pPr>
        <w:jc w:val="both"/>
        <w:rPr>
          <w:szCs w:val="22"/>
        </w:rPr>
      </w:pPr>
      <w:r>
        <w:rPr>
          <w:szCs w:val="22"/>
        </w:rPr>
        <w:t>Orford, J. (2005b</w:t>
      </w:r>
      <w:r w:rsidRPr="00F43513">
        <w:rPr>
          <w:szCs w:val="22"/>
        </w:rPr>
        <w:t xml:space="preserve">). Complicity on the river bank: The search for the truth about problem gambling: Reply to the commentaries. </w:t>
      </w:r>
      <w:r w:rsidRPr="00F43513">
        <w:rPr>
          <w:i/>
          <w:iCs/>
          <w:szCs w:val="22"/>
        </w:rPr>
        <w:t>Addiction, 100</w:t>
      </w:r>
      <w:r w:rsidRPr="00F43513">
        <w:rPr>
          <w:szCs w:val="22"/>
        </w:rPr>
        <w:t>(9), 1235-1239.</w:t>
      </w:r>
    </w:p>
    <w:p w:rsidR="00E379CB" w:rsidRDefault="00E379CB" w:rsidP="00CE71A3">
      <w:pPr>
        <w:jc w:val="both"/>
        <w:rPr>
          <w:szCs w:val="22"/>
        </w:rPr>
      </w:pPr>
    </w:p>
    <w:p w:rsidR="00CE71A3" w:rsidRPr="00CE71A3" w:rsidRDefault="00CE71A3" w:rsidP="00CE71A3">
      <w:pPr>
        <w:jc w:val="both"/>
        <w:rPr>
          <w:szCs w:val="22"/>
        </w:rPr>
      </w:pPr>
      <w:r w:rsidRPr="00CE71A3">
        <w:rPr>
          <w:szCs w:val="22"/>
        </w:rPr>
        <w:lastRenderedPageBreak/>
        <w:t>Perese, L.M., Bellringer, M.E., Williams, M.M., &amp; Abbott, M.W. (2009). Two years on: Gambling amongst Pacific mothers living in New Zealand. </w:t>
      </w:r>
      <w:r w:rsidRPr="00CE71A3">
        <w:rPr>
          <w:i/>
          <w:szCs w:val="22"/>
        </w:rPr>
        <w:t>Pacific Health Dialog, 15</w:t>
      </w:r>
      <w:r w:rsidRPr="00CE71A3">
        <w:rPr>
          <w:szCs w:val="22"/>
        </w:rPr>
        <w:t>(1), 55-67</w:t>
      </w:r>
      <w:r>
        <w:rPr>
          <w:szCs w:val="22"/>
        </w:rPr>
        <w:t>.</w:t>
      </w:r>
    </w:p>
    <w:p w:rsidR="00CE71A3" w:rsidRDefault="00CE71A3" w:rsidP="00C16E6C">
      <w:pPr>
        <w:jc w:val="both"/>
        <w:rPr>
          <w:szCs w:val="22"/>
        </w:rPr>
      </w:pPr>
    </w:p>
    <w:p w:rsidR="000F60E0" w:rsidRPr="00C16E6C" w:rsidRDefault="000F60E0" w:rsidP="000F60E0">
      <w:pPr>
        <w:jc w:val="both"/>
        <w:rPr>
          <w:szCs w:val="22"/>
        </w:rPr>
      </w:pPr>
      <w:r w:rsidRPr="00C16E6C">
        <w:rPr>
          <w:szCs w:val="22"/>
        </w:rPr>
        <w:t xml:space="preserve">Prochaska, J.O., &amp; DiClemente, C.C. (1986). Toward a comprehensive model of change. In W.R. Miller &amp; N. Heather (Eds.), </w:t>
      </w:r>
      <w:r w:rsidRPr="00C16E6C">
        <w:rPr>
          <w:i/>
          <w:szCs w:val="22"/>
        </w:rPr>
        <w:t>Treating addictive behaviors: Processes of change</w:t>
      </w:r>
      <w:r w:rsidRPr="00C16E6C">
        <w:rPr>
          <w:szCs w:val="22"/>
        </w:rPr>
        <w:t xml:space="preserve"> (pp. 3-27). New York: Plenum Press.</w:t>
      </w:r>
    </w:p>
    <w:p w:rsidR="000F60E0" w:rsidRPr="00C16E6C" w:rsidRDefault="000F60E0" w:rsidP="000F60E0">
      <w:pPr>
        <w:jc w:val="both"/>
        <w:rPr>
          <w:szCs w:val="22"/>
        </w:rPr>
      </w:pPr>
    </w:p>
    <w:p w:rsidR="00C16E6C" w:rsidRPr="00A667B6" w:rsidRDefault="000F60E0" w:rsidP="000F60E0">
      <w:pPr>
        <w:jc w:val="both"/>
        <w:rPr>
          <w:szCs w:val="22"/>
        </w:rPr>
      </w:pPr>
      <w:r w:rsidRPr="00A667B6">
        <w:rPr>
          <w:szCs w:val="22"/>
        </w:rPr>
        <w:t xml:space="preserve">Rollnick, S., Heather, N., Gold, R., &amp; Hall, W. (1992). Development of a short “readiness to change” questionnaire for use in brief, opportunistic interventions among excessive drinkers. </w:t>
      </w:r>
      <w:r w:rsidRPr="00A667B6">
        <w:rPr>
          <w:i/>
          <w:szCs w:val="22"/>
        </w:rPr>
        <w:t>British Journal of Addiction, 87</w:t>
      </w:r>
      <w:r w:rsidRPr="00A667B6">
        <w:rPr>
          <w:szCs w:val="22"/>
        </w:rPr>
        <w:t>(5), 743-754. Retrieved from</w:t>
      </w:r>
    </w:p>
    <w:p w:rsidR="000F60E0" w:rsidRPr="00A667B6" w:rsidRDefault="000F60E0" w:rsidP="000F60E0">
      <w:pPr>
        <w:jc w:val="both"/>
        <w:rPr>
          <w:szCs w:val="22"/>
        </w:rPr>
      </w:pPr>
      <w:r w:rsidRPr="00A667B6">
        <w:rPr>
          <w:szCs w:val="22"/>
        </w:rPr>
        <w:t>http://onlinelibrary.wiley.com/doi/10.1111/j.1360-0443.1992.tb02720.x/pdf.</w:t>
      </w:r>
    </w:p>
    <w:p w:rsidR="00484E38" w:rsidRDefault="00484E38" w:rsidP="000238DC">
      <w:pPr>
        <w:tabs>
          <w:tab w:val="left" w:pos="2016"/>
        </w:tabs>
        <w:jc w:val="both"/>
        <w:rPr>
          <w:szCs w:val="22"/>
        </w:rPr>
      </w:pPr>
    </w:p>
    <w:p w:rsidR="00CE71A3" w:rsidRPr="00CE71A3" w:rsidRDefault="00CE71A3" w:rsidP="00CE71A3">
      <w:pPr>
        <w:tabs>
          <w:tab w:val="left" w:pos="2016"/>
        </w:tabs>
        <w:jc w:val="both"/>
        <w:rPr>
          <w:szCs w:val="22"/>
        </w:rPr>
      </w:pPr>
      <w:r w:rsidRPr="00CE71A3">
        <w:rPr>
          <w:szCs w:val="22"/>
        </w:rPr>
        <w:t>Romild, U., Volberg, R.</w:t>
      </w:r>
      <w:r>
        <w:rPr>
          <w:szCs w:val="22"/>
        </w:rPr>
        <w:t>,</w:t>
      </w:r>
      <w:r w:rsidRPr="00CE71A3">
        <w:rPr>
          <w:szCs w:val="22"/>
        </w:rPr>
        <w:t xml:space="preserve"> &amp; Abbott, M. </w:t>
      </w:r>
      <w:r w:rsidR="001F1F77">
        <w:rPr>
          <w:szCs w:val="22"/>
        </w:rPr>
        <w:t>(</w:t>
      </w:r>
      <w:r w:rsidRPr="00CE71A3">
        <w:rPr>
          <w:szCs w:val="22"/>
        </w:rPr>
        <w:t>2014</w:t>
      </w:r>
      <w:r w:rsidR="001F1F77">
        <w:rPr>
          <w:szCs w:val="22"/>
        </w:rPr>
        <w:t>)</w:t>
      </w:r>
      <w:r w:rsidRPr="00CE71A3">
        <w:rPr>
          <w:szCs w:val="22"/>
        </w:rPr>
        <w:t xml:space="preserve">. The Swedish Longitudinal Gambling Study (Swelogs): Design and methods of the epidemiological (EP-) track. </w:t>
      </w:r>
      <w:r w:rsidRPr="00CE71A3">
        <w:rPr>
          <w:i/>
          <w:szCs w:val="22"/>
        </w:rPr>
        <w:t>International Journal of Methods in Psychiatric Research, 23</w:t>
      </w:r>
      <w:r w:rsidRPr="00CE71A3">
        <w:rPr>
          <w:szCs w:val="22"/>
        </w:rPr>
        <w:t>(3), 372-386.</w:t>
      </w:r>
    </w:p>
    <w:p w:rsidR="00CE71A3" w:rsidRDefault="00CE71A3" w:rsidP="000238DC">
      <w:pPr>
        <w:tabs>
          <w:tab w:val="left" w:pos="2016"/>
        </w:tabs>
        <w:jc w:val="both"/>
        <w:rPr>
          <w:szCs w:val="22"/>
        </w:rPr>
      </w:pPr>
    </w:p>
    <w:p w:rsidR="00551278" w:rsidRPr="00A64EF9" w:rsidRDefault="00551278" w:rsidP="00551278">
      <w:r w:rsidRPr="00A64EF9">
        <w:t xml:space="preserve">Rönnberg, S., Volberg, R.A., Abbott, M.W., Moore, W.L., Andrén, A., Munck, I., Jonsson, J., Nilsson, T., &amp; Svensson, O. (1999). </w:t>
      </w:r>
      <w:r w:rsidRPr="00A64EF9">
        <w:rPr>
          <w:i/>
        </w:rPr>
        <w:t>Gambling and problem gambling in Sweden</w:t>
      </w:r>
      <w:r w:rsidRPr="00A64EF9">
        <w:t>. Stockholm: Statens folkhälsoinstitut.</w:t>
      </w:r>
    </w:p>
    <w:p w:rsidR="00551278" w:rsidRDefault="00551278" w:rsidP="000238DC">
      <w:pPr>
        <w:tabs>
          <w:tab w:val="left" w:pos="2016"/>
        </w:tabs>
        <w:jc w:val="both"/>
        <w:rPr>
          <w:szCs w:val="22"/>
        </w:rPr>
      </w:pPr>
    </w:p>
    <w:p w:rsidR="00F43513" w:rsidRPr="00F43513" w:rsidRDefault="00F43513" w:rsidP="00F43513">
      <w:pPr>
        <w:tabs>
          <w:tab w:val="left" w:pos="2016"/>
        </w:tabs>
        <w:jc w:val="both"/>
        <w:rPr>
          <w:szCs w:val="22"/>
          <w:lang w:val="en-US"/>
        </w:rPr>
      </w:pPr>
      <w:r w:rsidRPr="00F43513">
        <w:rPr>
          <w:szCs w:val="22"/>
          <w:lang w:val="en-US"/>
        </w:rPr>
        <w:t xml:space="preserve">Rose, I.N. (2003). Gambling and the law: The new millennium. In G. Reith (Ed.), </w:t>
      </w:r>
      <w:r w:rsidRPr="00F43513">
        <w:rPr>
          <w:i/>
          <w:iCs/>
          <w:szCs w:val="22"/>
          <w:lang w:val="en-US"/>
        </w:rPr>
        <w:t>Gambling: Who wins? Who loses</w:t>
      </w:r>
      <w:r w:rsidRPr="00F43513">
        <w:rPr>
          <w:szCs w:val="22"/>
          <w:lang w:val="en-US"/>
        </w:rPr>
        <w:t>? (pp. 113-131). New York: Prometheus.</w:t>
      </w:r>
    </w:p>
    <w:p w:rsidR="00F43513" w:rsidRDefault="00F43513" w:rsidP="000238DC">
      <w:pPr>
        <w:tabs>
          <w:tab w:val="left" w:pos="2016"/>
        </w:tabs>
        <w:jc w:val="both"/>
        <w:rPr>
          <w:szCs w:val="22"/>
        </w:rPr>
      </w:pPr>
    </w:p>
    <w:p w:rsidR="00C16E6C" w:rsidRPr="00B27F7D" w:rsidRDefault="00B27F7D" w:rsidP="00C16E6C">
      <w:pPr>
        <w:jc w:val="both"/>
        <w:rPr>
          <w:szCs w:val="22"/>
        </w:rPr>
      </w:pPr>
      <w:r>
        <w:rPr>
          <w:szCs w:val="22"/>
        </w:rPr>
        <w:t xml:space="preserve">Salmond, C., Crampton, P., King, P., &amp; Waldegrave, C. (2006). NZiDep: A New Zealand index of socioeconomic deprivation for individuals. </w:t>
      </w:r>
      <w:r>
        <w:rPr>
          <w:i/>
          <w:szCs w:val="22"/>
        </w:rPr>
        <w:t>Social Science and Medicine, 62</w:t>
      </w:r>
      <w:r>
        <w:rPr>
          <w:szCs w:val="22"/>
        </w:rPr>
        <w:t>, 1474-1485.</w:t>
      </w:r>
    </w:p>
    <w:p w:rsidR="00C16E6C" w:rsidRPr="00C16E6C" w:rsidRDefault="00C16E6C" w:rsidP="00C16E6C">
      <w:pPr>
        <w:jc w:val="both"/>
        <w:rPr>
          <w:szCs w:val="22"/>
        </w:rPr>
      </w:pPr>
    </w:p>
    <w:p w:rsidR="00C16E6C" w:rsidRPr="00C16E6C" w:rsidRDefault="00C16E6C" w:rsidP="00C16E6C">
      <w:pPr>
        <w:jc w:val="both"/>
        <w:rPr>
          <w:szCs w:val="22"/>
        </w:rPr>
      </w:pPr>
      <w:r w:rsidRPr="00C16E6C">
        <w:rPr>
          <w:szCs w:val="22"/>
        </w:rPr>
        <w:t xml:space="preserve">Saunders, J.B., Aasland, O.G., Babor, T.F., De La Fuente, J.R., &amp; Grant, M. (1993). Development of the Alcohol Use Disorders Identification Test (AUDIT): WHO collaborative project on early detection of persons with harmful alcohol consumption-II. </w:t>
      </w:r>
      <w:r w:rsidRPr="00C16E6C">
        <w:rPr>
          <w:i/>
          <w:iCs/>
          <w:szCs w:val="22"/>
        </w:rPr>
        <w:t>Addiction</w:t>
      </w:r>
      <w:r w:rsidRPr="00C16E6C">
        <w:rPr>
          <w:szCs w:val="22"/>
        </w:rPr>
        <w:t xml:space="preserve"> </w:t>
      </w:r>
      <w:r w:rsidRPr="00C16E6C">
        <w:rPr>
          <w:i/>
          <w:szCs w:val="22"/>
        </w:rPr>
        <w:t xml:space="preserve">88, </w:t>
      </w:r>
      <w:r w:rsidRPr="00C16E6C">
        <w:rPr>
          <w:szCs w:val="22"/>
        </w:rPr>
        <w:t>791-804.</w:t>
      </w:r>
    </w:p>
    <w:p w:rsidR="00C16E6C" w:rsidRPr="00CE71A3" w:rsidRDefault="00C16E6C" w:rsidP="00C16E6C">
      <w:pPr>
        <w:jc w:val="both"/>
        <w:rPr>
          <w:szCs w:val="22"/>
        </w:rPr>
      </w:pPr>
    </w:p>
    <w:p w:rsidR="009E32A1" w:rsidRPr="00672253" w:rsidRDefault="009E32A1" w:rsidP="009E32A1">
      <w:pPr>
        <w:jc w:val="both"/>
      </w:pPr>
      <w:r w:rsidRPr="00672253">
        <w:t>Schluter, P., Bellringer, M., &amp; Abbott, M. (2007). Maternal gambling associated with families' food, shelter and safety needs: Findings from the Pacific Islands Families study. </w:t>
      </w:r>
      <w:r w:rsidRPr="00672253">
        <w:rPr>
          <w:i/>
        </w:rPr>
        <w:t>Journal of Gambling Issues, 19</w:t>
      </w:r>
      <w:r w:rsidRPr="00672253">
        <w:t>(January), 87-90</w:t>
      </w:r>
      <w:r>
        <w:t>.</w:t>
      </w:r>
    </w:p>
    <w:p w:rsidR="00CE71A3" w:rsidRPr="00CE71A3" w:rsidRDefault="00CE71A3" w:rsidP="00C16E6C">
      <w:pPr>
        <w:jc w:val="both"/>
        <w:rPr>
          <w:szCs w:val="22"/>
        </w:rPr>
      </w:pPr>
    </w:p>
    <w:p w:rsidR="00C16E6C" w:rsidRPr="00C16E6C" w:rsidRDefault="00C16E6C" w:rsidP="00C16E6C">
      <w:pPr>
        <w:jc w:val="both"/>
        <w:rPr>
          <w:szCs w:val="22"/>
        </w:rPr>
      </w:pPr>
      <w:r w:rsidRPr="00C16E6C">
        <w:rPr>
          <w:szCs w:val="22"/>
        </w:rPr>
        <w:t xml:space="preserve">Schmidt, S., Muhlan, H., &amp; Power, M. (2005). The EUROHIS-QOL 8-item index: Psychometric results of a cross-cultural field study. </w:t>
      </w:r>
      <w:r w:rsidRPr="00C16E6C">
        <w:rPr>
          <w:i/>
          <w:szCs w:val="22"/>
        </w:rPr>
        <w:t>European Journal of Public Health, 16</w:t>
      </w:r>
      <w:r w:rsidRPr="00C16E6C">
        <w:rPr>
          <w:szCs w:val="22"/>
        </w:rPr>
        <w:t>(4), 420-428.</w:t>
      </w:r>
    </w:p>
    <w:p w:rsidR="009E225E" w:rsidRDefault="009E225E" w:rsidP="00C16E6C">
      <w:pPr>
        <w:jc w:val="both"/>
        <w:rPr>
          <w:szCs w:val="22"/>
        </w:rPr>
      </w:pPr>
    </w:p>
    <w:p w:rsidR="005447C2" w:rsidRPr="00672253" w:rsidRDefault="005447C2" w:rsidP="005447C2">
      <w:pPr>
        <w:jc w:val="both"/>
      </w:pPr>
      <w:r w:rsidRPr="00672253">
        <w:t>Scholes-Balog, K.E., Hemphill, S.A., Dowling, N.A.</w:t>
      </w:r>
      <w:r>
        <w:t>,</w:t>
      </w:r>
      <w:r w:rsidRPr="00672253">
        <w:t xml:space="preserve"> &amp; Toumbourou, J.W.  (2014). A prospective study of adolescent risk and protective factors for problem gambling among young adults. </w:t>
      </w:r>
      <w:r w:rsidRPr="00672253">
        <w:rPr>
          <w:i/>
        </w:rPr>
        <w:t>Journal of Adolescence</w:t>
      </w:r>
      <w:r w:rsidRPr="00672253">
        <w:t>,</w:t>
      </w:r>
      <w:r w:rsidRPr="00672253">
        <w:rPr>
          <w:i/>
        </w:rPr>
        <w:t xml:space="preserve"> 37</w:t>
      </w:r>
      <w:r w:rsidRPr="00672253">
        <w:t>(2)</w:t>
      </w:r>
      <w:r>
        <w:t>, 215-</w:t>
      </w:r>
      <w:r w:rsidRPr="00672253">
        <w:t>224.</w:t>
      </w:r>
    </w:p>
    <w:p w:rsidR="005447C2" w:rsidRDefault="005447C2" w:rsidP="00C16E6C">
      <w:pPr>
        <w:jc w:val="both"/>
        <w:rPr>
          <w:szCs w:val="22"/>
        </w:rPr>
      </w:pPr>
    </w:p>
    <w:p w:rsidR="00C16E6C" w:rsidRDefault="00C16E6C" w:rsidP="00C16E6C">
      <w:pPr>
        <w:jc w:val="both"/>
        <w:rPr>
          <w:szCs w:val="22"/>
        </w:rPr>
      </w:pPr>
      <w:r w:rsidRPr="00C16E6C">
        <w:rPr>
          <w:szCs w:val="22"/>
        </w:rPr>
        <w:t xml:space="preserve">Shaffer, H.J., LaBrie, R.A., LaPlante, D.A., Nelson, S.E., &amp; Stanton, M.V. (2004). The road less travelled: Moving from distribution to determinants in the study of gambling epidemiology. </w:t>
      </w:r>
      <w:r w:rsidRPr="00C16E6C">
        <w:rPr>
          <w:i/>
          <w:szCs w:val="22"/>
        </w:rPr>
        <w:t>Canadian Journal of Psychiatry, 49</w:t>
      </w:r>
      <w:r w:rsidRPr="00C16E6C">
        <w:rPr>
          <w:szCs w:val="22"/>
        </w:rPr>
        <w:t>(8), 504-516.</w:t>
      </w:r>
    </w:p>
    <w:p w:rsidR="00CE71A3" w:rsidRDefault="00CE71A3" w:rsidP="00C16E6C">
      <w:pPr>
        <w:jc w:val="both"/>
        <w:rPr>
          <w:szCs w:val="22"/>
        </w:rPr>
      </w:pPr>
    </w:p>
    <w:p w:rsidR="009E32A1" w:rsidRPr="00672253" w:rsidRDefault="009E32A1" w:rsidP="009E32A1">
      <w:pPr>
        <w:jc w:val="both"/>
      </w:pPr>
      <w:r>
        <w:t>Shaffer, H.J., &amp; Hall, M.</w:t>
      </w:r>
      <w:r w:rsidRPr="00672253">
        <w:t xml:space="preserve">N. (2002). The natural history of gambling and drinking problems among casino employees. </w:t>
      </w:r>
      <w:r w:rsidRPr="00672253">
        <w:rPr>
          <w:i/>
        </w:rPr>
        <w:t>Journal of Social Psychology, 142</w:t>
      </w:r>
      <w:r w:rsidRPr="00672253">
        <w:t>(4), 405-424.</w:t>
      </w:r>
    </w:p>
    <w:p w:rsidR="00F43513" w:rsidRPr="00F43513" w:rsidRDefault="00F43513" w:rsidP="00F43513">
      <w:pPr>
        <w:jc w:val="both"/>
        <w:rPr>
          <w:szCs w:val="22"/>
        </w:rPr>
      </w:pPr>
      <w:r>
        <w:rPr>
          <w:szCs w:val="22"/>
        </w:rPr>
        <w:lastRenderedPageBreak/>
        <w:t>Slutske, W.</w:t>
      </w:r>
      <w:r w:rsidRPr="00F43513">
        <w:rPr>
          <w:szCs w:val="22"/>
        </w:rPr>
        <w:t xml:space="preserve">S. (2006). Natural recovery and treatment-seeking in pathological gambling: Results of two U.S. national surveys. </w:t>
      </w:r>
      <w:r w:rsidRPr="00F43513">
        <w:rPr>
          <w:i/>
          <w:szCs w:val="22"/>
        </w:rPr>
        <w:t>American Journal of Psychiatry, 163</w:t>
      </w:r>
      <w:r>
        <w:rPr>
          <w:szCs w:val="22"/>
        </w:rPr>
        <w:t>(2), 297-</w:t>
      </w:r>
      <w:r w:rsidRPr="00F43513">
        <w:rPr>
          <w:szCs w:val="22"/>
        </w:rPr>
        <w:t xml:space="preserve">302. </w:t>
      </w:r>
    </w:p>
    <w:p w:rsidR="00F43513" w:rsidRDefault="00F43513" w:rsidP="00F43513">
      <w:pPr>
        <w:jc w:val="both"/>
        <w:rPr>
          <w:szCs w:val="22"/>
          <w:lang w:val="en-US"/>
        </w:rPr>
      </w:pPr>
    </w:p>
    <w:p w:rsidR="00914368" w:rsidRDefault="00914368" w:rsidP="00914368">
      <w:pPr>
        <w:jc w:val="both"/>
      </w:pPr>
      <w:r w:rsidRPr="00A64EF9">
        <w:t xml:space="preserve">Slutske, W.S. (2007). Longitudinal studies of gambling behaviour. In, G. Smith, D. Hodgins, &amp; R.J. Williams (Eds.). </w:t>
      </w:r>
      <w:r w:rsidRPr="00A64EF9">
        <w:rPr>
          <w:i/>
        </w:rPr>
        <w:t>Research and measurement issues in gambling studies</w:t>
      </w:r>
      <w:r w:rsidRPr="00A64EF9">
        <w:t>. (pp. 127-254). New York: Elsevier.</w:t>
      </w:r>
    </w:p>
    <w:p w:rsidR="002308DC" w:rsidRDefault="002308DC" w:rsidP="00CE71A3">
      <w:pPr>
        <w:jc w:val="both"/>
        <w:rPr>
          <w:szCs w:val="22"/>
        </w:rPr>
      </w:pPr>
    </w:p>
    <w:p w:rsidR="00CE71A3" w:rsidRPr="00CE71A3" w:rsidRDefault="00CE71A3" w:rsidP="00CE71A3">
      <w:pPr>
        <w:jc w:val="both"/>
        <w:rPr>
          <w:szCs w:val="22"/>
        </w:rPr>
      </w:pPr>
      <w:r w:rsidRPr="00CE71A3">
        <w:rPr>
          <w:szCs w:val="22"/>
        </w:rPr>
        <w:t>Slutske. W., Caspi, A., Moffitt, T.E.</w:t>
      </w:r>
      <w:r>
        <w:rPr>
          <w:szCs w:val="22"/>
        </w:rPr>
        <w:t>,</w:t>
      </w:r>
      <w:r w:rsidRPr="00CE71A3">
        <w:rPr>
          <w:szCs w:val="22"/>
        </w:rPr>
        <w:t xml:space="preserve"> &amp; Poulton, R. (2005) Personality and problem gambling:</w:t>
      </w:r>
      <w:r>
        <w:rPr>
          <w:szCs w:val="22"/>
        </w:rPr>
        <w:t xml:space="preserve"> </w:t>
      </w:r>
      <w:r w:rsidRPr="00CE71A3">
        <w:rPr>
          <w:szCs w:val="22"/>
        </w:rPr>
        <w:t xml:space="preserve">A prospective study of a birth cohort of young adults. </w:t>
      </w:r>
      <w:r w:rsidRPr="00CE71A3">
        <w:rPr>
          <w:i/>
          <w:szCs w:val="22"/>
        </w:rPr>
        <w:t>Archives of General Psychiatry, 62</w:t>
      </w:r>
      <w:r w:rsidRPr="00CE71A3">
        <w:rPr>
          <w:szCs w:val="22"/>
        </w:rPr>
        <w:t>(7), 769-775.</w:t>
      </w:r>
    </w:p>
    <w:p w:rsidR="00CE71A3" w:rsidRDefault="00CE71A3" w:rsidP="00F43513">
      <w:pPr>
        <w:jc w:val="both"/>
        <w:rPr>
          <w:szCs w:val="22"/>
          <w:lang w:val="en-US"/>
        </w:rPr>
      </w:pPr>
    </w:p>
    <w:p w:rsidR="00CE71A3" w:rsidRPr="00CE71A3" w:rsidRDefault="00CE71A3" w:rsidP="00CE71A3">
      <w:pPr>
        <w:jc w:val="both"/>
        <w:rPr>
          <w:szCs w:val="22"/>
        </w:rPr>
      </w:pPr>
      <w:r>
        <w:rPr>
          <w:szCs w:val="22"/>
        </w:rPr>
        <w:t>Slutske, W.S., Jackson, K.M., &amp; Sher, K.</w:t>
      </w:r>
      <w:r w:rsidRPr="00CE71A3">
        <w:rPr>
          <w:szCs w:val="22"/>
        </w:rPr>
        <w:t xml:space="preserve">J. (2003). The natural history of problem gambling from age 18 to 29. </w:t>
      </w:r>
      <w:r w:rsidRPr="00CE71A3">
        <w:rPr>
          <w:i/>
          <w:szCs w:val="22"/>
        </w:rPr>
        <w:t>Journal of Abnormal Psychology, 112</w:t>
      </w:r>
      <w:r w:rsidRPr="00CE71A3">
        <w:rPr>
          <w:szCs w:val="22"/>
        </w:rPr>
        <w:t>(2), 263-274.</w:t>
      </w:r>
    </w:p>
    <w:p w:rsidR="00CE71A3" w:rsidRDefault="00CE71A3" w:rsidP="00F43513">
      <w:pPr>
        <w:jc w:val="both"/>
        <w:rPr>
          <w:szCs w:val="22"/>
          <w:lang w:val="en-US"/>
        </w:rPr>
      </w:pPr>
    </w:p>
    <w:p w:rsidR="00786DBF" w:rsidRDefault="00786DBF" w:rsidP="00F43513">
      <w:pPr>
        <w:jc w:val="both"/>
        <w:rPr>
          <w:szCs w:val="22"/>
          <w:lang w:val="en-US"/>
        </w:rPr>
      </w:pPr>
      <w:r w:rsidRPr="00786DBF">
        <w:t>Statens Folkh</w:t>
      </w:r>
      <w:r w:rsidR="00551278" w:rsidRPr="00A64EF9">
        <w:t>ä</w:t>
      </w:r>
      <w:r w:rsidR="00551278">
        <w:t>l</w:t>
      </w:r>
      <w:r w:rsidRPr="00786DBF">
        <w:t>soinstitut</w:t>
      </w:r>
      <w:r>
        <w:t>.</w:t>
      </w:r>
      <w:r w:rsidRPr="00786DBF">
        <w:t xml:space="preserve"> </w:t>
      </w:r>
      <w:r>
        <w:t>(</w:t>
      </w:r>
      <w:r w:rsidRPr="00786DBF">
        <w:t>2012</w:t>
      </w:r>
      <w:r>
        <w:t xml:space="preserve">). </w:t>
      </w:r>
      <w:r w:rsidRPr="00A64EF9">
        <w:rPr>
          <w:i/>
        </w:rPr>
        <w:t>Gambling and problem gambling in Sweden 2009/2010: Results from SWELOGS one-year follow up</w:t>
      </w:r>
      <w:r w:rsidRPr="00A64EF9">
        <w:t xml:space="preserve"> (Report No. 4). Ostersund, Sweden: Statens Folkhasoinstitut</w:t>
      </w:r>
      <w:r>
        <w:t>.</w:t>
      </w:r>
    </w:p>
    <w:p w:rsidR="00786DBF" w:rsidRPr="00F43513" w:rsidRDefault="00786DBF" w:rsidP="00F43513">
      <w:pPr>
        <w:jc w:val="both"/>
        <w:rPr>
          <w:szCs w:val="22"/>
          <w:lang w:val="en-US"/>
        </w:rPr>
      </w:pPr>
    </w:p>
    <w:p w:rsidR="00F43513" w:rsidRPr="00F43513" w:rsidRDefault="00F43513" w:rsidP="00F43513">
      <w:pPr>
        <w:jc w:val="both"/>
        <w:rPr>
          <w:szCs w:val="22"/>
        </w:rPr>
      </w:pPr>
      <w:r w:rsidRPr="00F43513">
        <w:rPr>
          <w:szCs w:val="22"/>
        </w:rPr>
        <w:t xml:space="preserve">Sullivan, S., Abbott, M., McAvoy, B., &amp; Arroll, B. (1994). Pathological gamblers - will they use a new telephone hotline? </w:t>
      </w:r>
      <w:r w:rsidRPr="00F43513">
        <w:rPr>
          <w:i/>
          <w:iCs/>
          <w:szCs w:val="22"/>
        </w:rPr>
        <w:t xml:space="preserve">New Zealand Medical Journal, 107 </w:t>
      </w:r>
      <w:r>
        <w:rPr>
          <w:szCs w:val="22"/>
        </w:rPr>
        <w:t>(983), 313-</w:t>
      </w:r>
      <w:r w:rsidRPr="00F43513">
        <w:rPr>
          <w:szCs w:val="22"/>
        </w:rPr>
        <w:t>315.</w:t>
      </w:r>
    </w:p>
    <w:p w:rsidR="00CE71A3" w:rsidRDefault="00CE71A3" w:rsidP="00CE71A3">
      <w:pPr>
        <w:jc w:val="both"/>
        <w:rPr>
          <w:szCs w:val="22"/>
        </w:rPr>
      </w:pPr>
    </w:p>
    <w:p w:rsidR="00CE71A3" w:rsidRPr="00CE71A3" w:rsidRDefault="00CE71A3" w:rsidP="00CE71A3">
      <w:pPr>
        <w:jc w:val="both"/>
        <w:rPr>
          <w:szCs w:val="22"/>
        </w:rPr>
      </w:pPr>
      <w:r w:rsidRPr="00CE71A3">
        <w:rPr>
          <w:szCs w:val="22"/>
        </w:rPr>
        <w:t xml:space="preserve">Svensson, O. </w:t>
      </w:r>
      <w:r>
        <w:rPr>
          <w:szCs w:val="22"/>
        </w:rPr>
        <w:t>(</w:t>
      </w:r>
      <w:r w:rsidRPr="00CE71A3">
        <w:rPr>
          <w:szCs w:val="22"/>
        </w:rPr>
        <w:t>2005</w:t>
      </w:r>
      <w:r>
        <w:rPr>
          <w:szCs w:val="22"/>
        </w:rPr>
        <w:t>)</w:t>
      </w:r>
      <w:r w:rsidRPr="00CE71A3">
        <w:rPr>
          <w:szCs w:val="22"/>
        </w:rPr>
        <w:t xml:space="preserve">. ‘Ungdomars spel om pengar’ (‘Gambling among youth’), </w:t>
      </w:r>
      <w:r w:rsidRPr="00CE71A3">
        <w:rPr>
          <w:i/>
          <w:szCs w:val="22"/>
        </w:rPr>
        <w:t>Lund Dissertations in</w:t>
      </w:r>
      <w:r>
        <w:rPr>
          <w:i/>
          <w:szCs w:val="22"/>
        </w:rPr>
        <w:t xml:space="preserve"> </w:t>
      </w:r>
      <w:r w:rsidRPr="00CE71A3">
        <w:rPr>
          <w:i/>
          <w:szCs w:val="22"/>
        </w:rPr>
        <w:t>Sociology, 44</w:t>
      </w:r>
      <w:r w:rsidRPr="00CE71A3">
        <w:rPr>
          <w:szCs w:val="22"/>
        </w:rPr>
        <w:t>. Lund, Sweden, Sociologiska Insituten, Lunds Universitet</w:t>
      </w:r>
      <w:r>
        <w:rPr>
          <w:szCs w:val="22"/>
        </w:rPr>
        <w:t>.</w:t>
      </w:r>
    </w:p>
    <w:p w:rsidR="00CE71A3" w:rsidRDefault="00CE71A3" w:rsidP="00CE71A3">
      <w:pPr>
        <w:jc w:val="both"/>
        <w:rPr>
          <w:szCs w:val="22"/>
        </w:rPr>
      </w:pPr>
    </w:p>
    <w:p w:rsidR="009E32A1" w:rsidRPr="009E32A1" w:rsidRDefault="009E32A1" w:rsidP="009E32A1">
      <w:pPr>
        <w:pStyle w:val="Default"/>
        <w:rPr>
          <w:rFonts w:ascii="Times New Roman" w:hAnsi="Times New Roman" w:cs="Times New Roman"/>
          <w:sz w:val="22"/>
          <w:szCs w:val="22"/>
        </w:rPr>
      </w:pPr>
      <w:r w:rsidRPr="009E32A1">
        <w:rPr>
          <w:rFonts w:ascii="Times New Roman" w:eastAsia="Times New Roman" w:hAnsi="Times New Roman" w:cs="Times New Roman"/>
          <w:color w:val="auto"/>
          <w:sz w:val="22"/>
          <w:szCs w:val="22"/>
          <w:lang w:eastAsia="en-AU"/>
        </w:rPr>
        <w:t xml:space="preserve">The house wins. (2014, February 3). </w:t>
      </w:r>
      <w:r w:rsidRPr="009E32A1">
        <w:rPr>
          <w:rFonts w:ascii="Times New Roman" w:eastAsia="Times New Roman" w:hAnsi="Times New Roman" w:cs="Times New Roman"/>
          <w:i/>
          <w:color w:val="auto"/>
          <w:sz w:val="22"/>
          <w:szCs w:val="22"/>
          <w:lang w:eastAsia="en-AU"/>
        </w:rPr>
        <w:t>The Economist</w:t>
      </w:r>
      <w:r w:rsidRPr="009E32A1">
        <w:rPr>
          <w:rFonts w:ascii="Times New Roman" w:eastAsia="Times New Roman" w:hAnsi="Times New Roman" w:cs="Times New Roman"/>
          <w:color w:val="auto"/>
          <w:sz w:val="22"/>
          <w:szCs w:val="22"/>
          <w:lang w:eastAsia="en-AU"/>
        </w:rPr>
        <w:t xml:space="preserve">. Retrieved from </w:t>
      </w:r>
      <w:r w:rsidRPr="009E32A1">
        <w:rPr>
          <w:rFonts w:ascii="Times New Roman" w:hAnsi="Times New Roman" w:cs="Times New Roman"/>
          <w:sz w:val="22"/>
          <w:szCs w:val="22"/>
        </w:rPr>
        <w:t>http://www.economist.com/blogs/graphicdetail/2014/02/daily-chart-0?fsrc=scn/tw/te/dc/ thehousewins.</w:t>
      </w:r>
    </w:p>
    <w:p w:rsidR="009E32A1" w:rsidRPr="00CE71A3" w:rsidRDefault="009E32A1" w:rsidP="00CE71A3">
      <w:pPr>
        <w:jc w:val="both"/>
        <w:rPr>
          <w:szCs w:val="22"/>
        </w:rPr>
      </w:pPr>
    </w:p>
    <w:p w:rsidR="00CE71A3" w:rsidRPr="00CE71A3" w:rsidRDefault="00CE71A3" w:rsidP="00CE71A3">
      <w:pPr>
        <w:jc w:val="both"/>
        <w:rPr>
          <w:szCs w:val="22"/>
        </w:rPr>
      </w:pPr>
      <w:r>
        <w:rPr>
          <w:szCs w:val="22"/>
        </w:rPr>
        <w:t>Vander Bilt, J., Dodge, H.J., Pandav, R., Shaffer, H.</w:t>
      </w:r>
      <w:r w:rsidRPr="00CE71A3">
        <w:rPr>
          <w:szCs w:val="22"/>
        </w:rPr>
        <w:t xml:space="preserve">J., &amp; Ganguli, M. (2004). Gambling participation and social support among older adults: A longitudinal community study. </w:t>
      </w:r>
      <w:r w:rsidRPr="00CE71A3">
        <w:rPr>
          <w:i/>
          <w:szCs w:val="22"/>
        </w:rPr>
        <w:t>Journal of Gambling Studies, 20</w:t>
      </w:r>
      <w:r w:rsidRPr="00CE71A3">
        <w:rPr>
          <w:szCs w:val="22"/>
        </w:rPr>
        <w:t>(4), 373-390.</w:t>
      </w:r>
    </w:p>
    <w:p w:rsidR="00C16E6C" w:rsidRDefault="00C16E6C" w:rsidP="00C16E6C">
      <w:pPr>
        <w:jc w:val="both"/>
        <w:rPr>
          <w:szCs w:val="22"/>
        </w:rPr>
      </w:pPr>
    </w:p>
    <w:p w:rsidR="00CE71A3" w:rsidRPr="00CE71A3" w:rsidRDefault="00CE71A3" w:rsidP="00CE71A3">
      <w:pPr>
        <w:jc w:val="both"/>
        <w:rPr>
          <w:szCs w:val="22"/>
        </w:rPr>
      </w:pPr>
      <w:r w:rsidRPr="00CE71A3">
        <w:rPr>
          <w:szCs w:val="22"/>
        </w:rPr>
        <w:t xml:space="preserve">Vitaro, F., Ladouceur, R., &amp; Bujold, A. (1996). Predictive and concurrent correlates of gambling in early adolescent boys. </w:t>
      </w:r>
      <w:r w:rsidRPr="00CE71A3">
        <w:rPr>
          <w:i/>
          <w:szCs w:val="22"/>
        </w:rPr>
        <w:t>Journal of Early Adolescence, 16</w:t>
      </w:r>
      <w:r w:rsidRPr="00CE71A3">
        <w:rPr>
          <w:szCs w:val="22"/>
        </w:rPr>
        <w:t> (2), 211</w:t>
      </w:r>
      <w:r>
        <w:rPr>
          <w:szCs w:val="22"/>
        </w:rPr>
        <w:t>-</w:t>
      </w:r>
      <w:r w:rsidRPr="00CE71A3">
        <w:rPr>
          <w:szCs w:val="22"/>
        </w:rPr>
        <w:t>228.</w:t>
      </w:r>
    </w:p>
    <w:p w:rsidR="00CE71A3" w:rsidRPr="00CE71A3" w:rsidRDefault="00CE71A3" w:rsidP="00CE71A3">
      <w:pPr>
        <w:jc w:val="both"/>
        <w:rPr>
          <w:szCs w:val="22"/>
        </w:rPr>
      </w:pPr>
    </w:p>
    <w:p w:rsidR="00CE71A3" w:rsidRPr="00CE71A3" w:rsidRDefault="00CE71A3" w:rsidP="00CE71A3">
      <w:pPr>
        <w:jc w:val="both"/>
        <w:rPr>
          <w:szCs w:val="22"/>
        </w:rPr>
      </w:pPr>
      <w:r w:rsidRPr="00CE71A3">
        <w:rPr>
          <w:szCs w:val="22"/>
        </w:rPr>
        <w:t xml:space="preserve">Vitaro, F., Wanner, B., Ladouceur, R., Brendgen, M., &amp; Tremblay, R. E. (2004). Trajectories of gambling during adolescence. </w:t>
      </w:r>
      <w:r w:rsidRPr="00CE71A3">
        <w:rPr>
          <w:i/>
          <w:szCs w:val="22"/>
        </w:rPr>
        <w:t>Journal of Gambling Studies, 20</w:t>
      </w:r>
      <w:r w:rsidRPr="00CE71A3">
        <w:rPr>
          <w:szCs w:val="22"/>
        </w:rPr>
        <w:t>(1), 47</w:t>
      </w:r>
      <w:r>
        <w:rPr>
          <w:szCs w:val="22"/>
        </w:rPr>
        <w:t>-</w:t>
      </w:r>
      <w:r w:rsidRPr="00CE71A3">
        <w:rPr>
          <w:szCs w:val="22"/>
        </w:rPr>
        <w:t xml:space="preserve"> 69.</w:t>
      </w:r>
    </w:p>
    <w:p w:rsidR="00CE71A3" w:rsidRPr="00CE71A3" w:rsidRDefault="00CE71A3" w:rsidP="00CE71A3">
      <w:pPr>
        <w:jc w:val="both"/>
        <w:rPr>
          <w:szCs w:val="22"/>
        </w:rPr>
      </w:pPr>
    </w:p>
    <w:p w:rsidR="00CE71A3" w:rsidRPr="00CE71A3" w:rsidRDefault="00CE71A3" w:rsidP="00CE71A3">
      <w:pPr>
        <w:jc w:val="both"/>
        <w:rPr>
          <w:szCs w:val="22"/>
        </w:rPr>
      </w:pPr>
      <w:r w:rsidRPr="00CE71A3">
        <w:rPr>
          <w:szCs w:val="22"/>
        </w:rPr>
        <w:t>Volberg R.A., Abbott M.W., Rönnberg S., </w:t>
      </w:r>
      <w:r>
        <w:rPr>
          <w:szCs w:val="22"/>
        </w:rPr>
        <w:t xml:space="preserve">&amp; </w:t>
      </w:r>
      <w:r w:rsidRPr="00CE71A3">
        <w:rPr>
          <w:szCs w:val="22"/>
        </w:rPr>
        <w:t>Munck I.M.E. (2001) Prevalence and risks of pathological gambling in Sweden. </w:t>
      </w:r>
      <w:r w:rsidRPr="00CE71A3">
        <w:rPr>
          <w:i/>
          <w:iCs/>
          <w:szCs w:val="22"/>
        </w:rPr>
        <w:t>Acta Psychiatrica Scandinavica</w:t>
      </w:r>
      <w:r w:rsidRPr="00CE71A3">
        <w:rPr>
          <w:i/>
          <w:szCs w:val="22"/>
        </w:rPr>
        <w:t>, 104</w:t>
      </w:r>
      <w:r w:rsidRPr="00CE71A3">
        <w:rPr>
          <w:szCs w:val="22"/>
        </w:rPr>
        <w:t>(4), 250</w:t>
      </w:r>
      <w:r>
        <w:rPr>
          <w:szCs w:val="22"/>
        </w:rPr>
        <w:t>-</w:t>
      </w:r>
      <w:r w:rsidRPr="00CE71A3">
        <w:rPr>
          <w:szCs w:val="22"/>
        </w:rPr>
        <w:t>256</w:t>
      </w:r>
      <w:r>
        <w:rPr>
          <w:szCs w:val="22"/>
        </w:rPr>
        <w:t>.</w:t>
      </w:r>
    </w:p>
    <w:p w:rsidR="00CE71A3" w:rsidRDefault="00CE71A3" w:rsidP="00C16E6C">
      <w:pPr>
        <w:jc w:val="both"/>
        <w:rPr>
          <w:szCs w:val="22"/>
        </w:rPr>
      </w:pPr>
    </w:p>
    <w:p w:rsidR="00CE71A3" w:rsidRPr="00CE71A3" w:rsidRDefault="00CE71A3" w:rsidP="00CE71A3">
      <w:pPr>
        <w:jc w:val="both"/>
        <w:rPr>
          <w:szCs w:val="22"/>
        </w:rPr>
      </w:pPr>
      <w:r w:rsidRPr="00CE71A3">
        <w:rPr>
          <w:szCs w:val="22"/>
        </w:rPr>
        <w:t>Wanner, B., Vitaro, F., Carbonneau, R., &amp; Tremblay. R.E. (2009).  Cross-lagged links among</w:t>
      </w:r>
      <w:r>
        <w:rPr>
          <w:szCs w:val="22"/>
        </w:rPr>
        <w:t xml:space="preserve"> </w:t>
      </w:r>
      <w:r w:rsidRPr="00CE71A3">
        <w:rPr>
          <w:szCs w:val="22"/>
        </w:rPr>
        <w:t>gambling, substance use, and delinquency from mid</w:t>
      </w:r>
      <w:r>
        <w:rPr>
          <w:szCs w:val="22"/>
        </w:rPr>
        <w:t>-</w:t>
      </w:r>
      <w:r w:rsidRPr="00CE71A3">
        <w:rPr>
          <w:szCs w:val="22"/>
        </w:rPr>
        <w:t xml:space="preserve">adolescence to young adulthood: Additive and moderating effects of common risk factors. </w:t>
      </w:r>
      <w:r w:rsidRPr="00CE71A3">
        <w:rPr>
          <w:i/>
          <w:szCs w:val="22"/>
        </w:rPr>
        <w:t>Psychology of Addictive Behaviors, 23</w:t>
      </w:r>
      <w:r w:rsidRPr="00CE71A3">
        <w:rPr>
          <w:szCs w:val="22"/>
        </w:rPr>
        <w:t>(1), 91</w:t>
      </w:r>
      <w:r>
        <w:rPr>
          <w:szCs w:val="22"/>
        </w:rPr>
        <w:t>-</w:t>
      </w:r>
      <w:r w:rsidRPr="00CE71A3">
        <w:rPr>
          <w:szCs w:val="22"/>
        </w:rPr>
        <w:t>104.</w:t>
      </w:r>
    </w:p>
    <w:p w:rsidR="00CE71A3" w:rsidRPr="00CE71A3" w:rsidRDefault="00CE71A3" w:rsidP="00CE71A3">
      <w:pPr>
        <w:jc w:val="both"/>
        <w:rPr>
          <w:szCs w:val="22"/>
        </w:rPr>
      </w:pPr>
    </w:p>
    <w:p w:rsidR="00CE71A3" w:rsidRPr="00CE71A3" w:rsidRDefault="00CE71A3" w:rsidP="00CE71A3">
      <w:pPr>
        <w:jc w:val="both"/>
        <w:rPr>
          <w:szCs w:val="22"/>
        </w:rPr>
      </w:pPr>
      <w:r w:rsidRPr="00CE71A3">
        <w:rPr>
          <w:szCs w:val="22"/>
        </w:rPr>
        <w:t xml:space="preserve">Wiebe, J., Cox, B., &amp; Falkowski-Ham, A. (2003a). </w:t>
      </w:r>
      <w:r w:rsidRPr="00CE71A3">
        <w:rPr>
          <w:i/>
          <w:szCs w:val="22"/>
        </w:rPr>
        <w:t>Psychological and social factors associated with problem gambling in Ontario: A one-year follow-up study</w:t>
      </w:r>
      <w:r w:rsidRPr="00CE71A3">
        <w:rPr>
          <w:szCs w:val="22"/>
        </w:rPr>
        <w:t>. Toronto</w:t>
      </w:r>
      <w:r>
        <w:rPr>
          <w:szCs w:val="22"/>
        </w:rPr>
        <w:t>, Ontario</w:t>
      </w:r>
      <w:r w:rsidRPr="00CE71A3">
        <w:rPr>
          <w:szCs w:val="22"/>
        </w:rPr>
        <w:t>: Responsible Gambling Council.</w:t>
      </w:r>
    </w:p>
    <w:p w:rsidR="00CE71A3" w:rsidRPr="00CE71A3" w:rsidRDefault="00CE71A3" w:rsidP="00CE71A3">
      <w:pPr>
        <w:jc w:val="both"/>
        <w:rPr>
          <w:szCs w:val="22"/>
        </w:rPr>
      </w:pPr>
    </w:p>
    <w:p w:rsidR="00CE71A3" w:rsidRPr="00CE71A3" w:rsidRDefault="00CE71A3" w:rsidP="00CE71A3">
      <w:pPr>
        <w:jc w:val="both"/>
        <w:rPr>
          <w:szCs w:val="22"/>
        </w:rPr>
      </w:pPr>
      <w:r w:rsidRPr="00CE71A3">
        <w:rPr>
          <w:szCs w:val="22"/>
        </w:rPr>
        <w:lastRenderedPageBreak/>
        <w:t xml:space="preserve">Wiebe, J., Single, E., &amp; Falkowski-Ham, A. (2003b). </w:t>
      </w:r>
      <w:r w:rsidRPr="00CE71A3">
        <w:rPr>
          <w:i/>
          <w:szCs w:val="22"/>
        </w:rPr>
        <w:t>Exploring the evolution of problem gambling: A one-year follow-up study</w:t>
      </w:r>
      <w:r w:rsidRPr="00CE71A3">
        <w:rPr>
          <w:szCs w:val="22"/>
        </w:rPr>
        <w:t>. Toronto, Ontario: Responsible Gambling Council.</w:t>
      </w:r>
    </w:p>
    <w:p w:rsidR="00CE71A3" w:rsidRPr="00CE71A3" w:rsidRDefault="00CE71A3" w:rsidP="00CE71A3">
      <w:pPr>
        <w:jc w:val="both"/>
        <w:rPr>
          <w:szCs w:val="22"/>
        </w:rPr>
      </w:pPr>
    </w:p>
    <w:p w:rsidR="00CE71A3" w:rsidRPr="00CE71A3" w:rsidRDefault="00CE71A3" w:rsidP="00CE71A3">
      <w:pPr>
        <w:jc w:val="both"/>
        <w:rPr>
          <w:szCs w:val="22"/>
        </w:rPr>
      </w:pPr>
      <w:r w:rsidRPr="00CE71A3">
        <w:rPr>
          <w:szCs w:val="22"/>
        </w:rPr>
        <w:t>Wiebe, J., Single, E., Falkowski-Ham, A.</w:t>
      </w:r>
      <w:r w:rsidR="0017366A">
        <w:rPr>
          <w:szCs w:val="22"/>
        </w:rPr>
        <w:t>,</w:t>
      </w:r>
      <w:r w:rsidRPr="00CE71A3">
        <w:rPr>
          <w:szCs w:val="22"/>
        </w:rPr>
        <w:t xml:space="preserve"> &amp; Mun, P. (2004, November). </w:t>
      </w:r>
      <w:r w:rsidRPr="00CE71A3">
        <w:rPr>
          <w:i/>
          <w:szCs w:val="22"/>
        </w:rPr>
        <w:t>Gambling and problem gambling among older adults in Ontario</w:t>
      </w:r>
      <w:r w:rsidRPr="00CE71A3">
        <w:rPr>
          <w:szCs w:val="22"/>
        </w:rPr>
        <w:t>. Responsible Gambling Council and Canadian Centre on Substance Abuse.</w:t>
      </w:r>
    </w:p>
    <w:p w:rsidR="00CE71A3" w:rsidRDefault="00CE71A3" w:rsidP="00C16E6C">
      <w:pPr>
        <w:jc w:val="both"/>
        <w:rPr>
          <w:szCs w:val="22"/>
        </w:rPr>
      </w:pPr>
    </w:p>
    <w:p w:rsidR="00914368" w:rsidRPr="00A64EF9" w:rsidRDefault="00914368" w:rsidP="00914368">
      <w:pPr>
        <w:jc w:val="both"/>
      </w:pPr>
      <w:r w:rsidRPr="00A64EF9">
        <w:t xml:space="preserve">Williams, </w:t>
      </w:r>
      <w:r>
        <w:t>R.</w:t>
      </w:r>
      <w:r w:rsidRPr="00A64EF9">
        <w:t xml:space="preserve">J., Hann R., Schopflocher, D., West, B., McLaughlin, P., White, N., King, K., &amp; Flexhaug, T. (2015). </w:t>
      </w:r>
      <w:r w:rsidRPr="00A64EF9">
        <w:rPr>
          <w:i/>
        </w:rPr>
        <w:t>Quinte Longitudinal Study of gambling and problem gambling</w:t>
      </w:r>
      <w:r>
        <w:rPr>
          <w:i/>
        </w:rPr>
        <w:t>.</w:t>
      </w:r>
      <w:r w:rsidRPr="00A64EF9">
        <w:t xml:space="preserve"> Report prepared for the Ontario Problem Gambling Research Centre. Guelph, Ontario: University of Lethbridge; Robert Hann &amp; Associates Limited.</w:t>
      </w:r>
    </w:p>
    <w:p w:rsidR="00914368" w:rsidRDefault="00914368" w:rsidP="002F08E4">
      <w:pPr>
        <w:tabs>
          <w:tab w:val="left" w:pos="2016"/>
        </w:tabs>
        <w:jc w:val="both"/>
        <w:rPr>
          <w:szCs w:val="22"/>
          <w:lang w:val="en-US"/>
        </w:rPr>
      </w:pPr>
    </w:p>
    <w:p w:rsidR="002F08E4" w:rsidRPr="002F08E4" w:rsidRDefault="002F08E4" w:rsidP="002F08E4">
      <w:pPr>
        <w:tabs>
          <w:tab w:val="left" w:pos="2016"/>
        </w:tabs>
        <w:jc w:val="both"/>
        <w:rPr>
          <w:szCs w:val="22"/>
          <w:lang w:val="en-US"/>
        </w:rPr>
      </w:pPr>
      <w:r>
        <w:rPr>
          <w:szCs w:val="22"/>
          <w:lang w:val="en-US"/>
        </w:rPr>
        <w:t>Williams, R.J., Volberg, R.A., &amp; Stevens, R.M.</w:t>
      </w:r>
      <w:r w:rsidRPr="002F08E4">
        <w:rPr>
          <w:szCs w:val="22"/>
          <w:lang w:val="en-US"/>
        </w:rPr>
        <w:t xml:space="preserve">G. (2011). </w:t>
      </w:r>
      <w:r w:rsidRPr="002F08E4">
        <w:rPr>
          <w:i/>
          <w:szCs w:val="22"/>
          <w:lang w:val="en-US"/>
        </w:rPr>
        <w:t>The population prevalence of problem gambling: Methodological influences, standardized rates, jurisdictional differences, and worldwide trends</w:t>
      </w:r>
      <w:r w:rsidRPr="002F08E4">
        <w:rPr>
          <w:szCs w:val="22"/>
          <w:lang w:val="en-US"/>
        </w:rPr>
        <w:t>. Guelph: Ontario Problem Gambling Research Centre.</w:t>
      </w:r>
    </w:p>
    <w:p w:rsidR="00C16E6C" w:rsidRDefault="00C16E6C" w:rsidP="000238DC">
      <w:pPr>
        <w:tabs>
          <w:tab w:val="left" w:pos="2016"/>
        </w:tabs>
        <w:jc w:val="both"/>
        <w:rPr>
          <w:szCs w:val="22"/>
        </w:rPr>
      </w:pPr>
    </w:p>
    <w:p w:rsidR="009E32A1" w:rsidRPr="00672253" w:rsidRDefault="009E32A1" w:rsidP="009E32A1">
      <w:pPr>
        <w:jc w:val="both"/>
      </w:pPr>
      <w:r w:rsidRPr="00672253">
        <w:t>Wint</w:t>
      </w:r>
      <w:r>
        <w:t>ers, K.C., Stinchfield, R.D., &amp;</w:t>
      </w:r>
      <w:r w:rsidRPr="00672253">
        <w:t xml:space="preserve"> Kim, L.G. (1995). Monitoring adolescent gambling behavior in</w:t>
      </w:r>
      <w:r>
        <w:t xml:space="preserve"> </w:t>
      </w:r>
      <w:r w:rsidRPr="00672253">
        <w:t>Minnesota</w:t>
      </w:r>
      <w:r>
        <w:t>.</w:t>
      </w:r>
      <w:r w:rsidRPr="00672253">
        <w:t xml:space="preserve"> </w:t>
      </w:r>
      <w:r w:rsidRPr="00812C9F">
        <w:rPr>
          <w:i/>
        </w:rPr>
        <w:t>Journal of Gambling Studies, 11</w:t>
      </w:r>
      <w:r w:rsidRPr="00672253">
        <w:t>(2)</w:t>
      </w:r>
      <w:r>
        <w:t>165-</w:t>
      </w:r>
      <w:r w:rsidRPr="00672253">
        <w:t>83.</w:t>
      </w:r>
    </w:p>
    <w:p w:rsidR="009E32A1" w:rsidRDefault="009E32A1" w:rsidP="000238DC">
      <w:pPr>
        <w:tabs>
          <w:tab w:val="left" w:pos="2016"/>
        </w:tabs>
        <w:jc w:val="both"/>
        <w:rPr>
          <w:szCs w:val="22"/>
        </w:rPr>
      </w:pPr>
    </w:p>
    <w:p w:rsidR="0017366A" w:rsidRPr="0017366A" w:rsidRDefault="0017366A" w:rsidP="0017366A">
      <w:pPr>
        <w:tabs>
          <w:tab w:val="left" w:pos="2016"/>
        </w:tabs>
        <w:jc w:val="both"/>
        <w:rPr>
          <w:szCs w:val="22"/>
        </w:rPr>
      </w:pPr>
      <w:r>
        <w:rPr>
          <w:szCs w:val="22"/>
        </w:rPr>
        <w:t>Winters, K.C., Stinchfield, R.</w:t>
      </w:r>
      <w:r w:rsidRPr="0017366A">
        <w:rPr>
          <w:szCs w:val="22"/>
        </w:rPr>
        <w:t xml:space="preserve">D., Botzet, A., &amp; Anderson, N. (2002). A prospective study of youth gambling behaviors. </w:t>
      </w:r>
      <w:r w:rsidRPr="0017366A">
        <w:rPr>
          <w:i/>
          <w:szCs w:val="22"/>
        </w:rPr>
        <w:t>Psychology of Addictive Behaviors, 16</w:t>
      </w:r>
      <w:r w:rsidRPr="0017366A">
        <w:rPr>
          <w:szCs w:val="22"/>
        </w:rPr>
        <w:t>(1), 3-9.</w:t>
      </w:r>
    </w:p>
    <w:p w:rsidR="0017366A" w:rsidRPr="0017366A" w:rsidRDefault="0017366A" w:rsidP="0017366A">
      <w:pPr>
        <w:tabs>
          <w:tab w:val="left" w:pos="2016"/>
        </w:tabs>
        <w:jc w:val="both"/>
        <w:rPr>
          <w:szCs w:val="22"/>
        </w:rPr>
      </w:pPr>
    </w:p>
    <w:p w:rsidR="0017366A" w:rsidRPr="0017366A" w:rsidRDefault="00E60D53" w:rsidP="0017366A">
      <w:pPr>
        <w:tabs>
          <w:tab w:val="left" w:pos="2016"/>
        </w:tabs>
        <w:jc w:val="both"/>
        <w:rPr>
          <w:szCs w:val="22"/>
        </w:rPr>
      </w:pPr>
      <w:r>
        <w:rPr>
          <w:szCs w:val="22"/>
        </w:rPr>
        <w:t>Winters, K.C., Stinchfield, R.D., Botzet, A., &amp; Slutske, W.</w:t>
      </w:r>
      <w:r w:rsidR="0017366A" w:rsidRPr="0017366A">
        <w:rPr>
          <w:szCs w:val="22"/>
        </w:rPr>
        <w:t xml:space="preserve">S. (2005). Pathways of youth gambling problem severity. </w:t>
      </w:r>
      <w:r w:rsidR="0017366A" w:rsidRPr="0017366A">
        <w:rPr>
          <w:i/>
          <w:szCs w:val="22"/>
        </w:rPr>
        <w:t>Psychology of Addictive Behaviors, 19</w:t>
      </w:r>
      <w:r w:rsidR="0017366A" w:rsidRPr="0017366A">
        <w:rPr>
          <w:szCs w:val="22"/>
        </w:rPr>
        <w:t>(1), 104-107.</w:t>
      </w:r>
    </w:p>
    <w:p w:rsidR="0017366A" w:rsidRPr="0017366A" w:rsidRDefault="0017366A" w:rsidP="0017366A">
      <w:pPr>
        <w:tabs>
          <w:tab w:val="left" w:pos="2016"/>
        </w:tabs>
        <w:jc w:val="both"/>
        <w:rPr>
          <w:szCs w:val="22"/>
        </w:rPr>
      </w:pPr>
    </w:p>
    <w:p w:rsidR="009E32A1" w:rsidRPr="00672253" w:rsidRDefault="009E32A1" w:rsidP="009E32A1">
      <w:pPr>
        <w:jc w:val="both"/>
      </w:pPr>
      <w:r w:rsidRPr="00672253">
        <w:t xml:space="preserve">Wittchen, H.U., </w:t>
      </w:r>
      <w:r w:rsidRPr="009E32A1">
        <w:t>Carter, R.M., Pfister, H., Montgomery, S.A., &amp; Kessler, R.C.</w:t>
      </w:r>
      <w:r w:rsidRPr="00672253">
        <w:t xml:space="preserve"> (2000) Disabilities and quality of life in pure and comorbid generalized anxiety disorder and major depression in a national survey. </w:t>
      </w:r>
      <w:r w:rsidRPr="00672253">
        <w:rPr>
          <w:i/>
        </w:rPr>
        <w:t xml:space="preserve">International Clinical Psychopharmacology, </w:t>
      </w:r>
      <w:r w:rsidRPr="00672253">
        <w:rPr>
          <w:i/>
          <w:color w:val="000000"/>
          <w:lang w:eastAsia="en-NZ"/>
        </w:rPr>
        <w:t>15</w:t>
      </w:r>
      <w:r w:rsidRPr="00672253">
        <w:rPr>
          <w:color w:val="000000"/>
          <w:lang w:eastAsia="en-NZ"/>
        </w:rPr>
        <w:t>(6), 319-328.</w:t>
      </w:r>
      <w:r w:rsidRPr="00672253">
        <w:t xml:space="preserve"> </w:t>
      </w:r>
    </w:p>
    <w:p w:rsidR="0017366A" w:rsidRPr="0017366A" w:rsidRDefault="0017366A" w:rsidP="0017366A">
      <w:pPr>
        <w:tabs>
          <w:tab w:val="left" w:pos="2016"/>
        </w:tabs>
        <w:jc w:val="both"/>
        <w:rPr>
          <w:szCs w:val="22"/>
        </w:rPr>
      </w:pPr>
    </w:p>
    <w:p w:rsidR="0017366A" w:rsidRPr="0017366A" w:rsidRDefault="0017366A" w:rsidP="0017366A">
      <w:pPr>
        <w:tabs>
          <w:tab w:val="left" w:pos="2016"/>
        </w:tabs>
        <w:jc w:val="both"/>
        <w:rPr>
          <w:szCs w:val="22"/>
        </w:rPr>
      </w:pPr>
      <w:r w:rsidRPr="0017366A">
        <w:rPr>
          <w:szCs w:val="22"/>
        </w:rPr>
        <w:t>Xian, H., Scherrer, J.F., Slutske, W., Shah, K.R.</w:t>
      </w:r>
      <w:r w:rsidR="00E60D53">
        <w:rPr>
          <w:szCs w:val="22"/>
        </w:rPr>
        <w:t>,</w:t>
      </w:r>
      <w:r w:rsidRPr="0017366A">
        <w:rPr>
          <w:szCs w:val="22"/>
        </w:rPr>
        <w:t xml:space="preserve"> Volberg, R.</w:t>
      </w:r>
      <w:r w:rsidR="00E60D53">
        <w:rPr>
          <w:szCs w:val="22"/>
        </w:rPr>
        <w:t>,</w:t>
      </w:r>
      <w:r w:rsidRPr="0017366A">
        <w:rPr>
          <w:szCs w:val="22"/>
        </w:rPr>
        <w:t xml:space="preserve"> &amp; Eisen, S.A. (2007)</w:t>
      </w:r>
      <w:r w:rsidR="00E60D53">
        <w:rPr>
          <w:szCs w:val="22"/>
        </w:rPr>
        <w:t>.</w:t>
      </w:r>
      <w:r w:rsidRPr="0017366A">
        <w:rPr>
          <w:szCs w:val="22"/>
        </w:rPr>
        <w:t xml:space="preserve"> Genetic and environmental contributions to pathological gambling symptoms in a 10-year follow-up. </w:t>
      </w:r>
      <w:r w:rsidRPr="0017366A">
        <w:rPr>
          <w:i/>
          <w:szCs w:val="22"/>
        </w:rPr>
        <w:t>Twin Research and Human Genetics, 10</w:t>
      </w:r>
      <w:r w:rsidRPr="0017366A">
        <w:rPr>
          <w:szCs w:val="22"/>
        </w:rPr>
        <w:t>(1), 174</w:t>
      </w:r>
      <w:r w:rsidR="00E60D53">
        <w:rPr>
          <w:szCs w:val="22"/>
        </w:rPr>
        <w:t>-</w:t>
      </w:r>
      <w:r w:rsidRPr="0017366A">
        <w:rPr>
          <w:szCs w:val="22"/>
        </w:rPr>
        <w:t>179.</w:t>
      </w:r>
    </w:p>
    <w:p w:rsidR="00484E38" w:rsidRDefault="00484E38" w:rsidP="000238DC">
      <w:pPr>
        <w:tabs>
          <w:tab w:val="left" w:pos="2016"/>
        </w:tabs>
        <w:jc w:val="both"/>
        <w:rPr>
          <w:szCs w:val="22"/>
        </w:rPr>
      </w:pPr>
    </w:p>
    <w:p w:rsidR="00126BA3" w:rsidRPr="00126BA3" w:rsidRDefault="00126BA3" w:rsidP="00126BA3">
      <w:pPr>
        <w:rPr>
          <w:szCs w:val="22"/>
        </w:rPr>
      </w:pPr>
    </w:p>
    <w:p w:rsidR="00EA1C45" w:rsidRDefault="00856057" w:rsidP="00F03AF2">
      <w:pPr>
        <w:pStyle w:val="Heading1"/>
        <w:numPr>
          <w:ilvl w:val="0"/>
          <w:numId w:val="0"/>
        </w:numPr>
        <w:jc w:val="center"/>
        <w:rPr>
          <w:sz w:val="22"/>
          <w:szCs w:val="22"/>
        </w:rPr>
      </w:pPr>
      <w:r w:rsidRPr="00D13ADD">
        <w:rPr>
          <w:sz w:val="22"/>
          <w:szCs w:val="22"/>
        </w:rPr>
        <w:br w:type="page"/>
      </w:r>
      <w:bookmarkStart w:id="244" w:name="_Toc371414940"/>
      <w:bookmarkStart w:id="245" w:name="_Toc399511088"/>
      <w:bookmarkStart w:id="246" w:name="_Toc399511233"/>
      <w:bookmarkStart w:id="247" w:name="_Toc403052544"/>
      <w:bookmarkStart w:id="248" w:name="_Toc403052880"/>
      <w:bookmarkStart w:id="249" w:name="_Toc420392623"/>
      <w:r w:rsidRPr="00EA1C45">
        <w:rPr>
          <w:sz w:val="22"/>
          <w:szCs w:val="22"/>
        </w:rPr>
        <w:lastRenderedPageBreak/>
        <w:t>APPENDI</w:t>
      </w:r>
      <w:r w:rsidR="00F03AF2">
        <w:rPr>
          <w:sz w:val="22"/>
          <w:szCs w:val="22"/>
        </w:rPr>
        <w:t>CES</w:t>
      </w:r>
      <w:bookmarkEnd w:id="244"/>
      <w:bookmarkEnd w:id="245"/>
      <w:bookmarkEnd w:id="246"/>
      <w:bookmarkEnd w:id="247"/>
      <w:bookmarkEnd w:id="248"/>
      <w:bookmarkEnd w:id="249"/>
      <w:r w:rsidR="00F03AF2">
        <w:rPr>
          <w:sz w:val="22"/>
          <w:szCs w:val="22"/>
        </w:rPr>
        <w:br/>
      </w:r>
    </w:p>
    <w:p w:rsidR="00C33977" w:rsidRDefault="00C33977" w:rsidP="00C33977">
      <w:pPr>
        <w:rPr>
          <w:szCs w:val="22"/>
        </w:rPr>
      </w:pPr>
    </w:p>
    <w:p w:rsidR="00F40488" w:rsidRDefault="00F03AF2">
      <w:pPr>
        <w:rPr>
          <w:b/>
          <w:sz w:val="20"/>
        </w:rPr>
      </w:pPr>
      <w:r>
        <w:rPr>
          <w:b/>
          <w:sz w:val="20"/>
        </w:rPr>
        <w:br w:type="page"/>
      </w:r>
      <w:bookmarkStart w:id="250" w:name="_Toc371414941"/>
    </w:p>
    <w:p w:rsidR="00F40488" w:rsidRPr="008D73BE" w:rsidRDefault="00F40488" w:rsidP="008D73BE">
      <w:pPr>
        <w:pStyle w:val="Heading3b"/>
        <w:numPr>
          <w:ilvl w:val="0"/>
          <w:numId w:val="0"/>
        </w:numPr>
        <w:ind w:left="-11"/>
        <w:rPr>
          <w:rFonts w:ascii="Times New Roman" w:hAnsi="Times New Roman" w:cs="Times New Roman"/>
          <w:b/>
          <w:i w:val="0"/>
        </w:rPr>
      </w:pPr>
      <w:bookmarkStart w:id="251" w:name="_Ref399507146"/>
      <w:bookmarkStart w:id="252" w:name="_Ref399507140"/>
      <w:bookmarkStart w:id="253" w:name="_Toc399511089"/>
      <w:bookmarkStart w:id="254" w:name="_Toc399511234"/>
      <w:bookmarkStart w:id="255" w:name="_Toc403052545"/>
      <w:bookmarkStart w:id="256" w:name="_Toc403052881"/>
      <w:bookmarkStart w:id="257" w:name="_Toc420392624"/>
      <w:r w:rsidRPr="008D73BE">
        <w:rPr>
          <w:rFonts w:ascii="Times New Roman" w:hAnsi="Times New Roman" w:cs="Times New Roman"/>
          <w:b/>
          <w:i w:val="0"/>
        </w:rPr>
        <w:lastRenderedPageBreak/>
        <w:t xml:space="preserve">Appendix </w:t>
      </w:r>
      <w:r w:rsidRPr="008D73BE">
        <w:rPr>
          <w:rFonts w:ascii="Times New Roman" w:hAnsi="Times New Roman" w:cs="Times New Roman"/>
          <w:b/>
          <w:i w:val="0"/>
        </w:rPr>
        <w:fldChar w:fldCharType="begin"/>
      </w:r>
      <w:r w:rsidRPr="008D73BE">
        <w:rPr>
          <w:rFonts w:ascii="Times New Roman" w:hAnsi="Times New Roman" w:cs="Times New Roman"/>
          <w:b/>
          <w:i w:val="0"/>
        </w:rPr>
        <w:instrText xml:space="preserve"> SEQ Appendix \* ARABIC </w:instrText>
      </w:r>
      <w:r w:rsidRPr="008D73BE">
        <w:rPr>
          <w:rFonts w:ascii="Times New Roman" w:hAnsi="Times New Roman" w:cs="Times New Roman"/>
          <w:b/>
          <w:i w:val="0"/>
        </w:rPr>
        <w:fldChar w:fldCharType="separate"/>
      </w:r>
      <w:r w:rsidR="00B2175B">
        <w:rPr>
          <w:rFonts w:ascii="Times New Roman" w:hAnsi="Times New Roman" w:cs="Times New Roman"/>
          <w:b/>
          <w:i w:val="0"/>
          <w:noProof/>
        </w:rPr>
        <w:t>1</w:t>
      </w:r>
      <w:r w:rsidRPr="008D73BE">
        <w:rPr>
          <w:rFonts w:ascii="Times New Roman" w:hAnsi="Times New Roman" w:cs="Times New Roman"/>
          <w:b/>
          <w:i w:val="0"/>
        </w:rPr>
        <w:fldChar w:fldCharType="end"/>
      </w:r>
      <w:bookmarkEnd w:id="251"/>
      <w:r w:rsidRPr="008D73BE">
        <w:rPr>
          <w:rFonts w:ascii="Times New Roman" w:hAnsi="Times New Roman" w:cs="Times New Roman"/>
          <w:b/>
          <w:i w:val="0"/>
        </w:rPr>
        <w:t xml:space="preserve">: </w:t>
      </w:r>
      <w:r w:rsidR="00D05D7E" w:rsidRPr="008D73BE">
        <w:rPr>
          <w:rFonts w:ascii="Times New Roman" w:hAnsi="Times New Roman" w:cs="Times New Roman"/>
          <w:b/>
          <w:i w:val="0"/>
        </w:rPr>
        <w:t xml:space="preserve">List of categorical variables </w:t>
      </w:r>
      <w:r w:rsidR="00B22C63" w:rsidRPr="008D73BE">
        <w:rPr>
          <w:rFonts w:ascii="Times New Roman" w:hAnsi="Times New Roman" w:cs="Times New Roman"/>
          <w:b/>
          <w:i w:val="0"/>
        </w:rPr>
        <w:t>for</w:t>
      </w:r>
      <w:r w:rsidR="00D05D7E" w:rsidRPr="008D73BE">
        <w:rPr>
          <w:rFonts w:ascii="Times New Roman" w:hAnsi="Times New Roman" w:cs="Times New Roman"/>
          <w:b/>
          <w:i w:val="0"/>
        </w:rPr>
        <w:t xml:space="preserve"> sensitivity analyses</w:t>
      </w:r>
      <w:bookmarkEnd w:id="252"/>
      <w:bookmarkEnd w:id="253"/>
      <w:bookmarkEnd w:id="254"/>
      <w:bookmarkEnd w:id="255"/>
      <w:bookmarkEnd w:id="256"/>
      <w:bookmarkEnd w:id="257"/>
    </w:p>
    <w:p w:rsidR="00F40488" w:rsidRDefault="00F40488">
      <w:pPr>
        <w:rPr>
          <w:b/>
          <w:sz w:val="20"/>
        </w:rPr>
      </w:pPr>
    </w:p>
    <w:p w:rsidR="00D05D7E" w:rsidRPr="00D05D7E" w:rsidRDefault="00D05D7E" w:rsidP="00D05D7E">
      <w:r w:rsidRPr="00D05D7E">
        <w:t>1.</w:t>
      </w:r>
      <w:r w:rsidRPr="00D05D7E">
        <w:tab/>
      </w:r>
      <w:r w:rsidR="000B37DC">
        <w:t>Socio-d</w:t>
      </w:r>
      <w:r w:rsidRPr="00D05D7E">
        <w:t>emographic</w:t>
      </w:r>
      <w:r w:rsidR="000B37DC">
        <w:t xml:space="preserve"> variable</w:t>
      </w:r>
      <w:r w:rsidRPr="00D05D7E">
        <w:t>s</w:t>
      </w:r>
    </w:p>
    <w:p w:rsidR="00D05D7E" w:rsidRPr="00D05D7E" w:rsidRDefault="00D05D7E" w:rsidP="005636CC">
      <w:pPr>
        <w:pStyle w:val="ListParagraph"/>
        <w:numPr>
          <w:ilvl w:val="1"/>
          <w:numId w:val="38"/>
        </w:numPr>
      </w:pPr>
      <w:r w:rsidRPr="00D05D7E">
        <w:t>Age group</w:t>
      </w:r>
    </w:p>
    <w:p w:rsidR="00D05D7E" w:rsidRPr="00D05D7E" w:rsidRDefault="00D05D7E" w:rsidP="005636CC">
      <w:pPr>
        <w:pStyle w:val="ListParagraph"/>
        <w:numPr>
          <w:ilvl w:val="1"/>
          <w:numId w:val="38"/>
        </w:numPr>
      </w:pPr>
      <w:r w:rsidRPr="00D05D7E">
        <w:t>Gender</w:t>
      </w:r>
    </w:p>
    <w:p w:rsidR="00D05D7E" w:rsidRPr="00D05D7E" w:rsidRDefault="00D05D7E" w:rsidP="005636CC">
      <w:pPr>
        <w:pStyle w:val="ListParagraph"/>
        <w:numPr>
          <w:ilvl w:val="1"/>
          <w:numId w:val="38"/>
        </w:numPr>
      </w:pPr>
      <w:r w:rsidRPr="00D05D7E">
        <w:t>Ethnicity</w:t>
      </w:r>
    </w:p>
    <w:p w:rsidR="00D05D7E" w:rsidRPr="00D05D7E" w:rsidRDefault="00D05D7E" w:rsidP="005636CC">
      <w:pPr>
        <w:pStyle w:val="ListParagraph"/>
        <w:numPr>
          <w:ilvl w:val="1"/>
          <w:numId w:val="38"/>
        </w:numPr>
      </w:pPr>
      <w:r w:rsidRPr="00D05D7E">
        <w:t>Region (Auckland, Wel</w:t>
      </w:r>
      <w:r w:rsidR="0063048B">
        <w:t>lington, Christchurch, r</w:t>
      </w:r>
      <w:r w:rsidRPr="00D05D7E">
        <w:t>est of N</w:t>
      </w:r>
      <w:r>
        <w:t xml:space="preserve">ew </w:t>
      </w:r>
      <w:r w:rsidRPr="00D05D7E">
        <w:t>Z</w:t>
      </w:r>
      <w:r>
        <w:t>ealand</w:t>
      </w:r>
      <w:r w:rsidRPr="00D05D7E">
        <w:t>)</w:t>
      </w:r>
    </w:p>
    <w:p w:rsidR="00D05D7E" w:rsidRPr="00D05D7E" w:rsidRDefault="0063048B" w:rsidP="00D05D7E">
      <w:r>
        <w:t>2.</w:t>
      </w:r>
      <w:r>
        <w:tab/>
        <w:t>Problem g</w:t>
      </w:r>
      <w:r w:rsidR="00D05D7E" w:rsidRPr="00D05D7E">
        <w:t>ambling</w:t>
      </w:r>
    </w:p>
    <w:p w:rsidR="00D05D7E" w:rsidRPr="00D05D7E" w:rsidRDefault="00D05D7E" w:rsidP="005636CC">
      <w:pPr>
        <w:pStyle w:val="ListParagraph"/>
        <w:numPr>
          <w:ilvl w:val="1"/>
          <w:numId w:val="38"/>
        </w:numPr>
      </w:pPr>
      <w:r>
        <w:t>PGSI r</w:t>
      </w:r>
      <w:r w:rsidRPr="00D05D7E">
        <w:t xml:space="preserve">isk </w:t>
      </w:r>
      <w:r>
        <w:t>category</w:t>
      </w:r>
    </w:p>
    <w:p w:rsidR="00D05D7E" w:rsidRPr="00D05D7E" w:rsidRDefault="00D05D7E" w:rsidP="00D05D7E">
      <w:r w:rsidRPr="00D05D7E">
        <w:t>3.</w:t>
      </w:r>
      <w:r w:rsidRPr="00D05D7E">
        <w:tab/>
        <w:t>Gambling participation</w:t>
      </w:r>
    </w:p>
    <w:p w:rsidR="00D05D7E" w:rsidRPr="00D05D7E" w:rsidRDefault="00D05D7E" w:rsidP="005636CC">
      <w:pPr>
        <w:pStyle w:val="ListParagraph"/>
        <w:numPr>
          <w:ilvl w:val="1"/>
          <w:numId w:val="38"/>
        </w:numPr>
      </w:pPr>
      <w:r w:rsidRPr="00D05D7E">
        <w:t>Number of activities</w:t>
      </w:r>
    </w:p>
    <w:p w:rsidR="00D05D7E" w:rsidRPr="00D05D7E" w:rsidRDefault="00D05D7E" w:rsidP="005636CC">
      <w:pPr>
        <w:pStyle w:val="ListParagraph"/>
        <w:numPr>
          <w:ilvl w:val="1"/>
          <w:numId w:val="38"/>
        </w:numPr>
      </w:pPr>
      <w:r w:rsidRPr="00D05D7E">
        <w:t>Frequency of gambling</w:t>
      </w:r>
    </w:p>
    <w:p w:rsidR="00D05D7E" w:rsidRPr="00D05D7E" w:rsidRDefault="00D05D7E" w:rsidP="000B37DC">
      <w:pPr>
        <w:pStyle w:val="ListParagraph"/>
        <w:numPr>
          <w:ilvl w:val="1"/>
          <w:numId w:val="38"/>
        </w:numPr>
        <w:jc w:val="both"/>
      </w:pPr>
      <w:r w:rsidRPr="00D05D7E">
        <w:t>Pattern of participation (regular continuous, regular non-continuous, infrequent gambling, non-gamblers)</w:t>
      </w:r>
    </w:p>
    <w:p w:rsidR="00D05D7E" w:rsidRPr="00D05D7E" w:rsidRDefault="00D05D7E" w:rsidP="00D05D7E">
      <w:r w:rsidRPr="00D05D7E">
        <w:t>4.</w:t>
      </w:r>
      <w:r w:rsidRPr="00D05D7E">
        <w:tab/>
        <w:t>Management of gambling/</w:t>
      </w:r>
      <w:r>
        <w:t>h</w:t>
      </w:r>
      <w:r w:rsidRPr="00D05D7E">
        <w:t>elp seeking</w:t>
      </w:r>
      <w:r>
        <w:t xml:space="preserve"> behaviour</w:t>
      </w:r>
    </w:p>
    <w:p w:rsidR="00D05D7E" w:rsidRPr="00D05D7E" w:rsidRDefault="00D05D7E" w:rsidP="005636CC">
      <w:pPr>
        <w:pStyle w:val="ListParagraph"/>
        <w:numPr>
          <w:ilvl w:val="1"/>
          <w:numId w:val="38"/>
        </w:numPr>
      </w:pPr>
      <w:r w:rsidRPr="00D05D7E">
        <w:t xml:space="preserve">Sought </w:t>
      </w:r>
      <w:r w:rsidRPr="009F5E09">
        <w:t xml:space="preserve">help </w:t>
      </w:r>
      <w:r w:rsidR="009E314A" w:rsidRPr="009F5E09">
        <w:rPr>
          <w:szCs w:val="22"/>
        </w:rPr>
        <w:t xml:space="preserve">(from formal and informal sources) </w:t>
      </w:r>
      <w:r w:rsidRPr="009F5E09">
        <w:t>in</w:t>
      </w:r>
      <w:r w:rsidRPr="00D05D7E">
        <w:t xml:space="preserve"> last 12 months</w:t>
      </w:r>
    </w:p>
    <w:p w:rsidR="00D05D7E" w:rsidRPr="00D05D7E" w:rsidRDefault="00D05D7E" w:rsidP="00D05D7E">
      <w:r w:rsidRPr="00D05D7E">
        <w:t>5.</w:t>
      </w:r>
      <w:r w:rsidRPr="00D05D7E">
        <w:tab/>
        <w:t>Others</w:t>
      </w:r>
    </w:p>
    <w:p w:rsidR="00D05D7E" w:rsidRPr="00D05D7E" w:rsidRDefault="00D05D7E" w:rsidP="005636CC">
      <w:pPr>
        <w:pStyle w:val="ListParagraph"/>
        <w:numPr>
          <w:ilvl w:val="1"/>
          <w:numId w:val="38"/>
        </w:numPr>
      </w:pPr>
      <w:r w:rsidRPr="00D05D7E">
        <w:t>Number of life events (None, 1, 2, 3 or more)</w:t>
      </w:r>
    </w:p>
    <w:p w:rsidR="00D05D7E" w:rsidRPr="00D05D7E" w:rsidRDefault="00D05D7E" w:rsidP="005636CC">
      <w:pPr>
        <w:pStyle w:val="ListParagraph"/>
        <w:numPr>
          <w:ilvl w:val="1"/>
          <w:numId w:val="38"/>
        </w:numPr>
      </w:pPr>
      <w:r>
        <w:t>Quality of life (</w:t>
      </w:r>
      <w:r w:rsidRPr="00D05D7E">
        <w:t>WHOQol</w:t>
      </w:r>
      <w:r>
        <w:t>-8)</w:t>
      </w:r>
    </w:p>
    <w:p w:rsidR="00F40488" w:rsidRPr="00D05D7E" w:rsidRDefault="00D05D7E" w:rsidP="005636CC">
      <w:pPr>
        <w:pStyle w:val="ListParagraph"/>
        <w:numPr>
          <w:ilvl w:val="1"/>
          <w:numId w:val="38"/>
        </w:numPr>
      </w:pPr>
      <w:r w:rsidRPr="00D05D7E">
        <w:t>Psychological distress (K-10)</w:t>
      </w:r>
      <w:r w:rsidR="00017B76">
        <w:t>.</w:t>
      </w:r>
    </w:p>
    <w:p w:rsidR="00F40488" w:rsidRDefault="00F40488">
      <w:pPr>
        <w:rPr>
          <w:rFonts w:ascii="Arial" w:hAnsi="Arial" w:cs="Arial"/>
          <w:b/>
          <w:bCs/>
          <w:i/>
          <w:sz w:val="20"/>
          <w:szCs w:val="22"/>
        </w:rPr>
      </w:pPr>
      <w:r>
        <w:rPr>
          <w:b/>
          <w:sz w:val="20"/>
        </w:rPr>
        <w:br w:type="page"/>
      </w:r>
    </w:p>
    <w:p w:rsidR="00F3555D" w:rsidRPr="009F568C" w:rsidRDefault="00F3555D" w:rsidP="00B22C63">
      <w:pPr>
        <w:pStyle w:val="Heading3b"/>
        <w:numPr>
          <w:ilvl w:val="0"/>
          <w:numId w:val="0"/>
        </w:numPr>
        <w:spacing w:before="0" w:after="0"/>
        <w:jc w:val="both"/>
        <w:rPr>
          <w:rFonts w:ascii="Times New Roman" w:hAnsi="Times New Roman" w:cs="Times New Roman"/>
          <w:b/>
          <w:i w:val="0"/>
        </w:rPr>
      </w:pPr>
      <w:bookmarkStart w:id="258" w:name="_Ref399510102"/>
      <w:bookmarkStart w:id="259" w:name="_Toc399511090"/>
      <w:bookmarkStart w:id="260" w:name="_Toc399511235"/>
      <w:bookmarkStart w:id="261" w:name="_Toc403052546"/>
      <w:bookmarkStart w:id="262" w:name="_Toc403052882"/>
      <w:bookmarkStart w:id="263" w:name="_Toc420392625"/>
      <w:r w:rsidRPr="009F568C">
        <w:rPr>
          <w:rFonts w:ascii="Times New Roman" w:hAnsi="Times New Roman" w:cs="Times New Roman"/>
          <w:b/>
          <w:i w:val="0"/>
        </w:rPr>
        <w:lastRenderedPageBreak/>
        <w:t xml:space="preserve">Appendix </w:t>
      </w:r>
      <w:r w:rsidR="00905F73"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00905F73" w:rsidRPr="009F568C">
        <w:rPr>
          <w:rFonts w:ascii="Times New Roman" w:hAnsi="Times New Roman" w:cs="Times New Roman"/>
          <w:b/>
          <w:i w:val="0"/>
        </w:rPr>
        <w:fldChar w:fldCharType="separate"/>
      </w:r>
      <w:r w:rsidR="00B2175B">
        <w:rPr>
          <w:rFonts w:ascii="Times New Roman" w:hAnsi="Times New Roman" w:cs="Times New Roman"/>
          <w:b/>
          <w:i w:val="0"/>
          <w:noProof/>
        </w:rPr>
        <w:t>2</w:t>
      </w:r>
      <w:r w:rsidR="00905F73" w:rsidRPr="009F568C">
        <w:rPr>
          <w:rFonts w:ascii="Times New Roman" w:hAnsi="Times New Roman" w:cs="Times New Roman"/>
          <w:b/>
          <w:i w:val="0"/>
        </w:rPr>
        <w:fldChar w:fldCharType="end"/>
      </w:r>
      <w:bookmarkEnd w:id="258"/>
      <w:r w:rsidRPr="009F568C">
        <w:rPr>
          <w:rFonts w:ascii="Times New Roman" w:hAnsi="Times New Roman" w:cs="Times New Roman"/>
          <w:b/>
          <w:i w:val="0"/>
        </w:rPr>
        <w:t xml:space="preserve">: </w:t>
      </w:r>
      <w:bookmarkEnd w:id="250"/>
      <w:r w:rsidR="00017B76">
        <w:rPr>
          <w:rFonts w:ascii="Times New Roman" w:hAnsi="Times New Roman" w:cs="Times New Roman"/>
          <w:b/>
          <w:i w:val="0"/>
        </w:rPr>
        <w:t>List of covariates for descriptive statistics and for inferential analyses</w:t>
      </w:r>
      <w:bookmarkEnd w:id="259"/>
      <w:bookmarkEnd w:id="260"/>
      <w:bookmarkEnd w:id="261"/>
      <w:bookmarkEnd w:id="262"/>
      <w:bookmarkEnd w:id="263"/>
    </w:p>
    <w:p w:rsidR="00017B76" w:rsidRDefault="00017B76">
      <w:pPr>
        <w:rPr>
          <w:b/>
          <w:sz w:val="20"/>
        </w:rPr>
      </w:pPr>
    </w:p>
    <w:p w:rsidR="00017B76" w:rsidRPr="00017B76" w:rsidRDefault="00017B76" w:rsidP="00017B76">
      <w:r w:rsidRPr="00017B76">
        <w:t>1.</w:t>
      </w:r>
      <w:r w:rsidRPr="00017B76">
        <w:tab/>
        <w:t>Socio-demographic variables</w:t>
      </w:r>
    </w:p>
    <w:p w:rsidR="00017B76" w:rsidRPr="00017B76" w:rsidRDefault="00017B76" w:rsidP="005636CC">
      <w:pPr>
        <w:pStyle w:val="ListParagraph"/>
        <w:numPr>
          <w:ilvl w:val="1"/>
          <w:numId w:val="38"/>
        </w:numPr>
      </w:pPr>
      <w:r w:rsidRPr="00017B76">
        <w:t>Age group</w:t>
      </w:r>
    </w:p>
    <w:p w:rsidR="00017B76" w:rsidRPr="00017B76" w:rsidRDefault="00017B76" w:rsidP="005636CC">
      <w:pPr>
        <w:pStyle w:val="ListParagraph"/>
        <w:numPr>
          <w:ilvl w:val="1"/>
          <w:numId w:val="38"/>
        </w:numPr>
      </w:pPr>
      <w:r w:rsidRPr="00017B76">
        <w:t>Gender</w:t>
      </w:r>
    </w:p>
    <w:p w:rsidR="00017B76" w:rsidRPr="00017B76" w:rsidRDefault="00017B76" w:rsidP="005636CC">
      <w:pPr>
        <w:pStyle w:val="ListParagraph"/>
        <w:numPr>
          <w:ilvl w:val="1"/>
          <w:numId w:val="38"/>
        </w:numPr>
      </w:pPr>
      <w:r w:rsidRPr="00017B76">
        <w:t>Ethnicity</w:t>
      </w:r>
    </w:p>
    <w:p w:rsidR="00017B76" w:rsidRPr="00017B76" w:rsidRDefault="00017B76" w:rsidP="005636CC">
      <w:pPr>
        <w:pStyle w:val="ListParagraph"/>
        <w:numPr>
          <w:ilvl w:val="1"/>
          <w:numId w:val="38"/>
        </w:numPr>
      </w:pPr>
      <w:r>
        <w:t>Country of b</w:t>
      </w:r>
      <w:r w:rsidRPr="00017B76">
        <w:t>irth</w:t>
      </w:r>
    </w:p>
    <w:p w:rsidR="00017B76" w:rsidRPr="00017B76" w:rsidRDefault="00017B76" w:rsidP="005636CC">
      <w:pPr>
        <w:pStyle w:val="ListParagraph"/>
        <w:numPr>
          <w:ilvl w:val="1"/>
          <w:numId w:val="38"/>
        </w:numPr>
      </w:pPr>
      <w:r w:rsidRPr="00017B76">
        <w:t>Arrival in New Zealand</w:t>
      </w:r>
    </w:p>
    <w:p w:rsidR="00017B76" w:rsidRPr="00017B76" w:rsidRDefault="00017B76" w:rsidP="005636CC">
      <w:pPr>
        <w:pStyle w:val="ListParagraph"/>
        <w:numPr>
          <w:ilvl w:val="1"/>
          <w:numId w:val="38"/>
        </w:numPr>
      </w:pPr>
      <w:r w:rsidRPr="00017B76">
        <w:t>Education</w:t>
      </w:r>
      <w:r>
        <w:t>al</w:t>
      </w:r>
      <w:r w:rsidRPr="00017B76">
        <w:t xml:space="preserve"> level (highest qualification)</w:t>
      </w:r>
    </w:p>
    <w:p w:rsidR="00017B76" w:rsidRPr="00017B76" w:rsidRDefault="000B37DC" w:rsidP="005636CC">
      <w:pPr>
        <w:pStyle w:val="ListParagraph"/>
        <w:numPr>
          <w:ilvl w:val="1"/>
          <w:numId w:val="38"/>
        </w:numPr>
      </w:pPr>
      <w:r>
        <w:t>Employment</w:t>
      </w:r>
      <w:r w:rsidR="00017B76" w:rsidRPr="00017B76">
        <w:t>/</w:t>
      </w:r>
      <w:r w:rsidR="00017B76">
        <w:t>l</w:t>
      </w:r>
      <w:r w:rsidR="00017B76" w:rsidRPr="00017B76">
        <w:t>abour force status</w:t>
      </w:r>
    </w:p>
    <w:p w:rsidR="00017B76" w:rsidRPr="00017B76" w:rsidRDefault="00017B76" w:rsidP="005636CC">
      <w:pPr>
        <w:pStyle w:val="ListParagraph"/>
        <w:numPr>
          <w:ilvl w:val="1"/>
          <w:numId w:val="38"/>
        </w:numPr>
      </w:pPr>
      <w:r w:rsidRPr="00017B76">
        <w:t>Religion</w:t>
      </w:r>
    </w:p>
    <w:p w:rsidR="00017B76" w:rsidRPr="00017B76" w:rsidRDefault="00017B76" w:rsidP="005636CC">
      <w:pPr>
        <w:pStyle w:val="ListParagraph"/>
        <w:numPr>
          <w:ilvl w:val="1"/>
          <w:numId w:val="38"/>
        </w:numPr>
      </w:pPr>
      <w:r w:rsidRPr="00017B76">
        <w:t>Household size</w:t>
      </w:r>
    </w:p>
    <w:p w:rsidR="00017B76" w:rsidRPr="00017B76" w:rsidRDefault="000B37DC" w:rsidP="005636CC">
      <w:pPr>
        <w:pStyle w:val="ListParagraph"/>
        <w:numPr>
          <w:ilvl w:val="1"/>
          <w:numId w:val="38"/>
        </w:numPr>
      </w:pPr>
      <w:r>
        <w:t>Annual p</w:t>
      </w:r>
      <w:r w:rsidR="00017B76" w:rsidRPr="00017B76">
        <w:t>ersonal income</w:t>
      </w:r>
    </w:p>
    <w:p w:rsidR="00017B76" w:rsidRPr="00017B76" w:rsidRDefault="000B37DC" w:rsidP="005636CC">
      <w:pPr>
        <w:pStyle w:val="ListParagraph"/>
        <w:numPr>
          <w:ilvl w:val="1"/>
          <w:numId w:val="38"/>
        </w:numPr>
      </w:pPr>
      <w:r>
        <w:t>Annual h</w:t>
      </w:r>
      <w:r w:rsidR="00017B76" w:rsidRPr="00017B76">
        <w:t>ousehold income</w:t>
      </w:r>
    </w:p>
    <w:p w:rsidR="00017B76" w:rsidRPr="00017B76" w:rsidRDefault="00017B76" w:rsidP="005636CC">
      <w:pPr>
        <w:pStyle w:val="ListParagraph"/>
        <w:numPr>
          <w:ilvl w:val="1"/>
          <w:numId w:val="38"/>
        </w:numPr>
      </w:pPr>
      <w:r w:rsidRPr="00017B76">
        <w:t>Region (Auckl</w:t>
      </w:r>
      <w:r w:rsidR="000B37DC">
        <w:t>and, Wellington, Christchurch, r</w:t>
      </w:r>
      <w:r w:rsidRPr="00017B76">
        <w:t>est of N</w:t>
      </w:r>
      <w:r>
        <w:t xml:space="preserve">ew </w:t>
      </w:r>
      <w:r w:rsidRPr="00017B76">
        <w:t>Z</w:t>
      </w:r>
      <w:r>
        <w:t>ealand</w:t>
      </w:r>
      <w:r w:rsidRPr="00017B76">
        <w:t>)</w:t>
      </w:r>
    </w:p>
    <w:p w:rsidR="00017B76" w:rsidRPr="00017B76" w:rsidRDefault="00017B76" w:rsidP="005636CC">
      <w:pPr>
        <w:pStyle w:val="ListParagraph"/>
        <w:numPr>
          <w:ilvl w:val="1"/>
          <w:numId w:val="38"/>
        </w:numPr>
      </w:pPr>
      <w:r w:rsidRPr="00017B76">
        <w:t>NZ Individual Deprivation Index</w:t>
      </w:r>
    </w:p>
    <w:p w:rsidR="00017B76" w:rsidRPr="00017B76" w:rsidRDefault="00017B76" w:rsidP="00017B76">
      <w:r w:rsidRPr="00017B76">
        <w:t>2.</w:t>
      </w:r>
      <w:r w:rsidRPr="00017B76">
        <w:tab/>
      </w:r>
      <w:r>
        <w:t>Gambling p</w:t>
      </w:r>
      <w:r w:rsidRPr="00017B76">
        <w:t>articipation</w:t>
      </w:r>
    </w:p>
    <w:p w:rsidR="00017B76" w:rsidRPr="00017B76" w:rsidRDefault="00017B76" w:rsidP="005636CC">
      <w:pPr>
        <w:pStyle w:val="ListParagraph"/>
        <w:numPr>
          <w:ilvl w:val="1"/>
          <w:numId w:val="38"/>
        </w:numPr>
      </w:pPr>
      <w:r w:rsidRPr="00017B76">
        <w:t>Number of activities</w:t>
      </w:r>
    </w:p>
    <w:p w:rsidR="00017B76" w:rsidRPr="00017B76" w:rsidRDefault="00017B76" w:rsidP="005636CC">
      <w:pPr>
        <w:pStyle w:val="ListParagraph"/>
        <w:numPr>
          <w:ilvl w:val="1"/>
          <w:numId w:val="38"/>
        </w:numPr>
      </w:pPr>
      <w:r w:rsidRPr="00017B76">
        <w:t>Frequency of gambling</w:t>
      </w:r>
    </w:p>
    <w:p w:rsidR="00017B76" w:rsidRPr="00017B76" w:rsidRDefault="00017B76" w:rsidP="005636CC">
      <w:pPr>
        <w:pStyle w:val="ListParagraph"/>
        <w:numPr>
          <w:ilvl w:val="1"/>
          <w:numId w:val="38"/>
        </w:numPr>
      </w:pPr>
      <w:r w:rsidRPr="00017B76">
        <w:t>Dollars spent gambling</w:t>
      </w:r>
    </w:p>
    <w:p w:rsidR="00017B76" w:rsidRPr="00017B76" w:rsidRDefault="00017B76" w:rsidP="005636CC">
      <w:pPr>
        <w:pStyle w:val="ListParagraph"/>
        <w:numPr>
          <w:ilvl w:val="1"/>
          <w:numId w:val="38"/>
        </w:numPr>
      </w:pPr>
      <w:r w:rsidRPr="00017B76">
        <w:t>Most preferred activity</w:t>
      </w:r>
    </w:p>
    <w:p w:rsidR="00017B76" w:rsidRPr="00017B76" w:rsidRDefault="00017B76" w:rsidP="005636CC">
      <w:pPr>
        <w:pStyle w:val="ListParagraph"/>
        <w:numPr>
          <w:ilvl w:val="1"/>
          <w:numId w:val="38"/>
        </w:numPr>
      </w:pPr>
      <w:r w:rsidRPr="00017B76">
        <w:t>Annual participation by gambling mode</w:t>
      </w:r>
    </w:p>
    <w:p w:rsidR="00017B76" w:rsidRPr="00017B76" w:rsidRDefault="00017B76" w:rsidP="005636CC">
      <w:pPr>
        <w:pStyle w:val="ListParagraph"/>
        <w:numPr>
          <w:ilvl w:val="1"/>
          <w:numId w:val="38"/>
        </w:numPr>
      </w:pPr>
      <w:r w:rsidRPr="00017B76">
        <w:t>Monthly participation by gambling mode</w:t>
      </w:r>
    </w:p>
    <w:p w:rsidR="00017B76" w:rsidRPr="00017B76" w:rsidRDefault="00017B76" w:rsidP="005636CC">
      <w:pPr>
        <w:pStyle w:val="ListParagraph"/>
        <w:numPr>
          <w:ilvl w:val="1"/>
          <w:numId w:val="38"/>
        </w:numPr>
      </w:pPr>
      <w:r w:rsidRPr="00017B76">
        <w:t xml:space="preserve">Length of time spent </w:t>
      </w:r>
      <w:r>
        <w:t>gambling on</w:t>
      </w:r>
      <w:r w:rsidRPr="00017B76">
        <w:t xml:space="preserve"> gaming machines in a casino</w:t>
      </w:r>
    </w:p>
    <w:p w:rsidR="00017B76" w:rsidRPr="00017B76" w:rsidRDefault="00017B76" w:rsidP="005636CC">
      <w:pPr>
        <w:pStyle w:val="ListParagraph"/>
        <w:numPr>
          <w:ilvl w:val="1"/>
          <w:numId w:val="38"/>
        </w:numPr>
      </w:pPr>
      <w:r w:rsidRPr="00017B76">
        <w:t xml:space="preserve">Length of time spent </w:t>
      </w:r>
      <w:r>
        <w:t>gambling on</w:t>
      </w:r>
      <w:r w:rsidRPr="00017B76">
        <w:t xml:space="preserve"> gaming machines in a pub</w:t>
      </w:r>
      <w:r>
        <w:t>/club</w:t>
      </w:r>
    </w:p>
    <w:p w:rsidR="00017B76" w:rsidRPr="00017B76" w:rsidRDefault="00017B76" w:rsidP="005636CC">
      <w:pPr>
        <w:pStyle w:val="ListParagraph"/>
        <w:numPr>
          <w:ilvl w:val="1"/>
          <w:numId w:val="38"/>
        </w:numPr>
      </w:pPr>
      <w:r w:rsidRPr="00017B76">
        <w:t>Who they are with when gambling</w:t>
      </w:r>
    </w:p>
    <w:p w:rsidR="00017B76" w:rsidRPr="00017B76" w:rsidRDefault="00017B76" w:rsidP="005636CC">
      <w:pPr>
        <w:pStyle w:val="ListParagraph"/>
        <w:numPr>
          <w:ilvl w:val="1"/>
          <w:numId w:val="38"/>
        </w:numPr>
      </w:pPr>
      <w:r>
        <w:t>Know p</w:t>
      </w:r>
      <w:r w:rsidRPr="00017B76">
        <w:t>eople who have a problem with gambling</w:t>
      </w:r>
    </w:p>
    <w:p w:rsidR="00017B76" w:rsidRPr="00017B76" w:rsidRDefault="00017B76" w:rsidP="00017B76">
      <w:r w:rsidRPr="00017B76">
        <w:t>3.</w:t>
      </w:r>
      <w:r w:rsidRPr="00017B76">
        <w:tab/>
        <w:t>Management of gambling/</w:t>
      </w:r>
      <w:r>
        <w:t>h</w:t>
      </w:r>
      <w:r w:rsidRPr="00017B76">
        <w:t>elp</w:t>
      </w:r>
      <w:r>
        <w:t>-</w:t>
      </w:r>
      <w:r w:rsidRPr="00017B76">
        <w:t>seeking</w:t>
      </w:r>
      <w:r>
        <w:t xml:space="preserve"> behaviour</w:t>
      </w:r>
    </w:p>
    <w:p w:rsidR="00017B76" w:rsidRPr="00017B76" w:rsidRDefault="00017B76" w:rsidP="005636CC">
      <w:pPr>
        <w:pStyle w:val="ListParagraph"/>
        <w:numPr>
          <w:ilvl w:val="1"/>
          <w:numId w:val="38"/>
        </w:numPr>
      </w:pPr>
      <w:r w:rsidRPr="00017B76">
        <w:t>Methods used to stop gambling too much</w:t>
      </w:r>
    </w:p>
    <w:p w:rsidR="00017B76" w:rsidRPr="009F5E09" w:rsidRDefault="00017B76" w:rsidP="005636CC">
      <w:pPr>
        <w:pStyle w:val="ListParagraph"/>
        <w:numPr>
          <w:ilvl w:val="1"/>
          <w:numId w:val="38"/>
        </w:numPr>
      </w:pPr>
      <w:r w:rsidRPr="009F5E09">
        <w:t xml:space="preserve">Sought help </w:t>
      </w:r>
      <w:r w:rsidR="009E314A" w:rsidRPr="009F5E09">
        <w:rPr>
          <w:szCs w:val="22"/>
        </w:rPr>
        <w:t xml:space="preserve">(from formal and informal sources) </w:t>
      </w:r>
      <w:r w:rsidRPr="009F5E09">
        <w:t>in last 12 months</w:t>
      </w:r>
    </w:p>
    <w:p w:rsidR="00017B76" w:rsidRPr="00017B76" w:rsidRDefault="00017B76" w:rsidP="00017B76">
      <w:r w:rsidRPr="00017B76">
        <w:t>4.</w:t>
      </w:r>
      <w:r w:rsidRPr="00017B76">
        <w:tab/>
        <w:t>Other outcomes</w:t>
      </w:r>
    </w:p>
    <w:p w:rsidR="00017B76" w:rsidRPr="00017B76" w:rsidRDefault="00017B76" w:rsidP="005636CC">
      <w:pPr>
        <w:pStyle w:val="ListParagraph"/>
        <w:numPr>
          <w:ilvl w:val="1"/>
          <w:numId w:val="38"/>
        </w:numPr>
      </w:pPr>
      <w:r w:rsidRPr="00017B76">
        <w:t>Number of life events (None, 1, 2, 3 or more)</w:t>
      </w:r>
    </w:p>
    <w:p w:rsidR="00017B76" w:rsidRPr="00017B76" w:rsidRDefault="00017B76" w:rsidP="005636CC">
      <w:pPr>
        <w:pStyle w:val="ListParagraph"/>
        <w:numPr>
          <w:ilvl w:val="1"/>
          <w:numId w:val="38"/>
        </w:numPr>
      </w:pPr>
      <w:r>
        <w:t>Quality of life (</w:t>
      </w:r>
      <w:r w:rsidRPr="00017B76">
        <w:t>WHOQol</w:t>
      </w:r>
      <w:r>
        <w:t>-8)</w:t>
      </w:r>
    </w:p>
    <w:p w:rsidR="00017B76" w:rsidRPr="00017B76" w:rsidRDefault="00017B76" w:rsidP="005636CC">
      <w:pPr>
        <w:pStyle w:val="ListParagraph"/>
        <w:numPr>
          <w:ilvl w:val="1"/>
          <w:numId w:val="38"/>
        </w:numPr>
      </w:pPr>
      <w:r w:rsidRPr="00017B76">
        <w:t>Psychological distress (K-10)</w:t>
      </w:r>
    </w:p>
    <w:p w:rsidR="00017B76" w:rsidRDefault="00017B76" w:rsidP="005636CC">
      <w:pPr>
        <w:pStyle w:val="ListParagraph"/>
        <w:numPr>
          <w:ilvl w:val="1"/>
          <w:numId w:val="38"/>
        </w:numPr>
      </w:pPr>
      <w:r>
        <w:t>Alcohol (</w:t>
      </w:r>
      <w:r w:rsidRPr="00017B76">
        <w:t>AUDIT-C</w:t>
      </w:r>
      <w:r>
        <w:t>)</w:t>
      </w:r>
      <w:r w:rsidRPr="00017B76">
        <w:t xml:space="preserve"> and drug use</w:t>
      </w:r>
    </w:p>
    <w:p w:rsidR="00F17526" w:rsidRPr="00017B76" w:rsidRDefault="00F17526" w:rsidP="005636CC">
      <w:pPr>
        <w:pStyle w:val="ListParagraph"/>
        <w:numPr>
          <w:ilvl w:val="1"/>
          <w:numId w:val="38"/>
        </w:numPr>
      </w:pPr>
      <w:r w:rsidRPr="00017B76">
        <w:t>Self-reported tobacco use</w:t>
      </w:r>
      <w:r>
        <w:t>.</w:t>
      </w:r>
    </w:p>
    <w:p w:rsidR="00F17526" w:rsidRDefault="00F17526" w:rsidP="00F17526">
      <w:pPr>
        <w:pStyle w:val="Caption"/>
      </w:pPr>
    </w:p>
    <w:p w:rsidR="00F17526" w:rsidRDefault="00F17526" w:rsidP="00F17526">
      <w:pPr>
        <w:pStyle w:val="Caption"/>
      </w:pPr>
    </w:p>
    <w:p w:rsidR="00F17526" w:rsidRDefault="00F3555D" w:rsidP="00F17526">
      <w:pPr>
        <w:pStyle w:val="Caption"/>
      </w:pPr>
      <w:r w:rsidRPr="00017B76">
        <w:br w:type="page"/>
      </w:r>
    </w:p>
    <w:p w:rsidR="00F17526" w:rsidRPr="009F568C" w:rsidRDefault="00F17526" w:rsidP="00F17526">
      <w:pPr>
        <w:pStyle w:val="Heading3b"/>
        <w:numPr>
          <w:ilvl w:val="0"/>
          <w:numId w:val="0"/>
        </w:numPr>
        <w:spacing w:before="0" w:after="0"/>
        <w:jc w:val="both"/>
        <w:rPr>
          <w:rFonts w:ascii="Times New Roman" w:hAnsi="Times New Roman" w:cs="Times New Roman"/>
          <w:b/>
          <w:i w:val="0"/>
        </w:rPr>
      </w:pPr>
      <w:bookmarkStart w:id="264" w:name="_Ref404087133"/>
      <w:bookmarkStart w:id="265" w:name="_Toc420392626"/>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175B">
        <w:rPr>
          <w:rFonts w:ascii="Times New Roman" w:hAnsi="Times New Roman" w:cs="Times New Roman"/>
          <w:b/>
          <w:i w:val="0"/>
          <w:noProof/>
        </w:rPr>
        <w:t>3</w:t>
      </w:r>
      <w:r w:rsidRPr="009F568C">
        <w:rPr>
          <w:rFonts w:ascii="Times New Roman" w:hAnsi="Times New Roman" w:cs="Times New Roman"/>
          <w:b/>
          <w:i w:val="0"/>
        </w:rPr>
        <w:fldChar w:fldCharType="end"/>
      </w:r>
      <w:bookmarkEnd w:id="264"/>
      <w:r w:rsidRPr="009F568C">
        <w:rPr>
          <w:rFonts w:ascii="Times New Roman" w:hAnsi="Times New Roman" w:cs="Times New Roman"/>
          <w:b/>
          <w:i w:val="0"/>
        </w:rPr>
        <w:t xml:space="preserve">: </w:t>
      </w:r>
      <w:r w:rsidRPr="00F17526">
        <w:rPr>
          <w:rFonts w:ascii="Times New Roman" w:hAnsi="Times New Roman" w:cs="Times New Roman"/>
          <w:b/>
          <w:i w:val="0"/>
        </w:rPr>
        <w:t xml:space="preserve">Wave 2 attrition from </w:t>
      </w:r>
      <w:r w:rsidR="000B37DC">
        <w:rPr>
          <w:rFonts w:ascii="Times New Roman" w:hAnsi="Times New Roman" w:cs="Times New Roman"/>
          <w:b/>
          <w:i w:val="0"/>
        </w:rPr>
        <w:t>Wave 1</w:t>
      </w:r>
      <w:r w:rsidRPr="00F17526">
        <w:rPr>
          <w:rFonts w:ascii="Times New Roman" w:hAnsi="Times New Roman" w:cs="Times New Roman"/>
          <w:b/>
          <w:i w:val="0"/>
        </w:rPr>
        <w:t xml:space="preserve"> (unweighted numbers)</w:t>
      </w:r>
      <w:bookmarkEnd w:id="265"/>
    </w:p>
    <w:p w:rsidR="00F17526" w:rsidRDefault="00F17526" w:rsidP="00F17526">
      <w:pPr>
        <w:pStyle w:val="Caption"/>
      </w:pPr>
    </w:p>
    <w:tbl>
      <w:tblPr>
        <w:tblW w:w="8624" w:type="dxa"/>
        <w:tblLook w:val="04A0" w:firstRow="1" w:lastRow="0" w:firstColumn="1" w:lastColumn="0" w:noHBand="0" w:noVBand="1"/>
      </w:tblPr>
      <w:tblGrid>
        <w:gridCol w:w="1951"/>
        <w:gridCol w:w="2268"/>
        <w:gridCol w:w="1109"/>
        <w:gridCol w:w="1161"/>
        <w:gridCol w:w="1116"/>
        <w:gridCol w:w="1019"/>
      </w:tblGrid>
      <w:tr w:rsidR="00F17526" w:rsidRPr="0030431C" w:rsidTr="00F959A8">
        <w:trPr>
          <w:tblHeader/>
        </w:trPr>
        <w:tc>
          <w:tcPr>
            <w:tcW w:w="1951"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rPr>
                <w:b/>
                <w:sz w:val="20"/>
                <w:szCs w:val="18"/>
                <w:lang w:eastAsia="en-NZ"/>
              </w:rPr>
            </w:pPr>
            <w:r w:rsidRPr="0030431C">
              <w:rPr>
                <w:b/>
                <w:sz w:val="20"/>
                <w:szCs w:val="18"/>
                <w:lang w:eastAsia="en-NZ"/>
              </w:rPr>
              <w:t>Variable</w:t>
            </w:r>
          </w:p>
        </w:tc>
        <w:tc>
          <w:tcPr>
            <w:tcW w:w="2268"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rPr>
                <w:b/>
                <w:sz w:val="20"/>
                <w:szCs w:val="18"/>
                <w:lang w:eastAsia="en-NZ"/>
              </w:rPr>
            </w:pPr>
            <w:r w:rsidRPr="0030431C">
              <w:rPr>
                <w:b/>
                <w:sz w:val="20"/>
                <w:szCs w:val="18"/>
                <w:lang w:eastAsia="en-NZ"/>
              </w:rPr>
              <w:t>Description</w:t>
            </w:r>
          </w:p>
        </w:tc>
        <w:tc>
          <w:tcPr>
            <w:tcW w:w="1109"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jc w:val="center"/>
              <w:rPr>
                <w:b/>
                <w:color w:val="000000"/>
                <w:sz w:val="20"/>
                <w:szCs w:val="18"/>
                <w:lang w:eastAsia="en-NZ"/>
              </w:rPr>
            </w:pPr>
            <w:r w:rsidRPr="0030431C">
              <w:rPr>
                <w:b/>
                <w:color w:val="000000"/>
                <w:sz w:val="20"/>
                <w:szCs w:val="18"/>
                <w:lang w:eastAsia="en-NZ"/>
              </w:rPr>
              <w:t>Lost to</w:t>
            </w:r>
          </w:p>
          <w:p w:rsidR="00F17526" w:rsidRPr="0030431C" w:rsidRDefault="00F17526" w:rsidP="00370CEE">
            <w:pPr>
              <w:spacing w:before="20"/>
              <w:jc w:val="center"/>
              <w:rPr>
                <w:b/>
                <w:color w:val="000000"/>
                <w:sz w:val="20"/>
                <w:szCs w:val="18"/>
                <w:lang w:eastAsia="en-NZ"/>
              </w:rPr>
            </w:pPr>
            <w:r>
              <w:rPr>
                <w:b/>
                <w:color w:val="000000"/>
                <w:sz w:val="20"/>
                <w:szCs w:val="18"/>
                <w:lang w:eastAsia="en-NZ"/>
              </w:rPr>
              <w:t>f</w:t>
            </w:r>
            <w:r w:rsidRPr="0030431C">
              <w:rPr>
                <w:b/>
                <w:color w:val="000000"/>
                <w:sz w:val="20"/>
                <w:szCs w:val="18"/>
                <w:lang w:eastAsia="en-NZ"/>
              </w:rPr>
              <w:t>ollow-up</w:t>
            </w:r>
          </w:p>
        </w:tc>
        <w:tc>
          <w:tcPr>
            <w:tcW w:w="1161"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jc w:val="center"/>
              <w:rPr>
                <w:b/>
                <w:color w:val="000000"/>
                <w:sz w:val="20"/>
                <w:szCs w:val="18"/>
                <w:lang w:eastAsia="en-NZ"/>
              </w:rPr>
            </w:pPr>
            <w:r w:rsidRPr="0030431C">
              <w:rPr>
                <w:b/>
                <w:color w:val="000000"/>
                <w:sz w:val="20"/>
                <w:szCs w:val="18"/>
                <w:lang w:eastAsia="en-NZ"/>
              </w:rPr>
              <w:t>Retained</w:t>
            </w:r>
          </w:p>
        </w:tc>
        <w:tc>
          <w:tcPr>
            <w:tcW w:w="1116"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jc w:val="center"/>
              <w:rPr>
                <w:b/>
                <w:color w:val="000000"/>
                <w:sz w:val="20"/>
                <w:szCs w:val="18"/>
                <w:lang w:eastAsia="en-NZ"/>
              </w:rPr>
            </w:pPr>
            <w:r w:rsidRPr="0030431C">
              <w:rPr>
                <w:b/>
                <w:color w:val="000000"/>
                <w:sz w:val="20"/>
                <w:szCs w:val="18"/>
                <w:lang w:eastAsia="en-NZ"/>
              </w:rPr>
              <w:t>% Retained</w:t>
            </w:r>
          </w:p>
        </w:tc>
        <w:tc>
          <w:tcPr>
            <w:tcW w:w="1019" w:type="dxa"/>
            <w:tcBorders>
              <w:top w:val="single" w:sz="4" w:space="0" w:color="auto"/>
              <w:bottom w:val="single" w:sz="4" w:space="0" w:color="auto"/>
            </w:tcBorders>
            <w:shd w:val="clear" w:color="auto" w:fill="auto"/>
            <w:noWrap/>
            <w:vAlign w:val="center"/>
            <w:hideMark/>
          </w:tcPr>
          <w:p w:rsidR="00F17526" w:rsidRPr="0030431C" w:rsidRDefault="00F17526" w:rsidP="00370CEE">
            <w:pPr>
              <w:spacing w:before="20"/>
              <w:jc w:val="center"/>
              <w:rPr>
                <w:b/>
                <w:color w:val="000000"/>
                <w:sz w:val="20"/>
                <w:szCs w:val="18"/>
                <w:lang w:eastAsia="en-NZ"/>
              </w:rPr>
            </w:pPr>
            <w:r w:rsidRPr="0030431C">
              <w:rPr>
                <w:b/>
                <w:color w:val="000000"/>
                <w:sz w:val="20"/>
                <w:szCs w:val="18"/>
                <w:lang w:eastAsia="en-NZ"/>
              </w:rPr>
              <w:t>p-value</w:t>
            </w:r>
            <w:r w:rsidRPr="00C650F0">
              <w:rPr>
                <w:b/>
                <w:color w:val="000000"/>
                <w:sz w:val="20"/>
                <w:szCs w:val="18"/>
                <w:vertAlign w:val="superscript"/>
                <w:lang w:eastAsia="en-NZ"/>
              </w:rPr>
              <w:t>#</w:t>
            </w:r>
          </w:p>
        </w:tc>
      </w:tr>
      <w:tr w:rsidR="00F17526" w:rsidRPr="0030431C" w:rsidTr="00EA01A5">
        <w:tc>
          <w:tcPr>
            <w:tcW w:w="1951" w:type="dxa"/>
            <w:tcBorders>
              <w:top w:val="single" w:sz="4" w:space="0" w:color="auto"/>
            </w:tcBorders>
            <w:shd w:val="clear" w:color="auto" w:fill="auto"/>
            <w:noWrap/>
            <w:hideMark/>
          </w:tcPr>
          <w:p w:rsidR="00F17526" w:rsidRPr="0030431C" w:rsidRDefault="00F17526" w:rsidP="00EA01A5">
            <w:pPr>
              <w:spacing w:before="20"/>
              <w:rPr>
                <w:color w:val="000000"/>
                <w:sz w:val="20"/>
                <w:szCs w:val="18"/>
                <w:lang w:eastAsia="en-NZ"/>
              </w:rPr>
            </w:pPr>
            <w:r w:rsidRPr="0030431C">
              <w:rPr>
                <w:color w:val="000000"/>
                <w:sz w:val="20"/>
                <w:szCs w:val="18"/>
                <w:lang w:eastAsia="en-NZ"/>
              </w:rPr>
              <w:t>Gender</w:t>
            </w:r>
          </w:p>
        </w:tc>
        <w:tc>
          <w:tcPr>
            <w:tcW w:w="2268" w:type="dxa"/>
            <w:tcBorders>
              <w:top w:val="single" w:sz="4" w:space="0" w:color="auto"/>
            </w:tcBorders>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Male</w:t>
            </w:r>
          </w:p>
        </w:tc>
        <w:tc>
          <w:tcPr>
            <w:tcW w:w="1109" w:type="dxa"/>
            <w:tcBorders>
              <w:top w:val="single" w:sz="4" w:space="0" w:color="auto"/>
            </w:tcBorders>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1039</w:t>
            </w:r>
          </w:p>
        </w:tc>
        <w:tc>
          <w:tcPr>
            <w:tcW w:w="1161" w:type="dxa"/>
            <w:tcBorders>
              <w:top w:val="single" w:sz="4" w:space="0" w:color="auto"/>
            </w:tcBorders>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1603</w:t>
            </w:r>
          </w:p>
        </w:tc>
        <w:tc>
          <w:tcPr>
            <w:tcW w:w="1116" w:type="dxa"/>
            <w:tcBorders>
              <w:top w:val="single" w:sz="4" w:space="0" w:color="auto"/>
            </w:tcBorders>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60.7</w:t>
            </w:r>
          </w:p>
        </w:tc>
        <w:tc>
          <w:tcPr>
            <w:tcW w:w="1019" w:type="dxa"/>
            <w:tcBorders>
              <w:top w:val="single" w:sz="4" w:space="0" w:color="auto"/>
            </w:tcBorders>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after="60"/>
              <w:rPr>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Female</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1467</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2142</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59.4</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0.29</w:t>
            </w:r>
          </w:p>
        </w:tc>
      </w:tr>
      <w:tr w:rsidR="00F17526" w:rsidRPr="0030431C" w:rsidTr="00EA01A5">
        <w:tc>
          <w:tcPr>
            <w:tcW w:w="1951" w:type="dxa"/>
            <w:shd w:val="clear" w:color="auto" w:fill="auto"/>
            <w:noWrap/>
            <w:hideMark/>
          </w:tcPr>
          <w:p w:rsidR="00F17526" w:rsidRPr="0030431C" w:rsidRDefault="00C41FBE" w:rsidP="00EA01A5">
            <w:pPr>
              <w:spacing w:before="20"/>
              <w:rPr>
                <w:color w:val="000000"/>
                <w:sz w:val="20"/>
                <w:szCs w:val="18"/>
                <w:lang w:eastAsia="en-NZ"/>
              </w:rPr>
            </w:pPr>
            <w:r>
              <w:rPr>
                <w:color w:val="000000"/>
                <w:sz w:val="20"/>
                <w:szCs w:val="18"/>
                <w:lang w:eastAsia="en-NZ"/>
              </w:rPr>
              <w:t>Age g</w:t>
            </w:r>
            <w:r w:rsidR="00F17526" w:rsidRPr="0030431C">
              <w:rPr>
                <w:color w:val="000000"/>
                <w:sz w:val="20"/>
                <w:szCs w:val="18"/>
                <w:lang w:eastAsia="en-NZ"/>
              </w:rPr>
              <w:t>roup</w:t>
            </w:r>
            <w:r w:rsidR="00F17526">
              <w:rPr>
                <w:color w:val="000000"/>
                <w:sz w:val="20"/>
                <w:szCs w:val="18"/>
                <w:lang w:eastAsia="en-NZ"/>
              </w:rPr>
              <w:t xml:space="preserve"> (years)</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18</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24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312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259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45.4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25</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34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495</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574</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53.7</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35</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44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478</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783</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62.1</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45</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54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437</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758</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63.4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55</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64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331</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591</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64.1</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65+</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447</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779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63.5</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Not reported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6</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14.3</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sidRPr="0030431C">
              <w:rPr>
                <w:color w:val="000000"/>
                <w:sz w:val="20"/>
                <w:szCs w:val="18"/>
                <w:lang w:eastAsia="en-NZ"/>
              </w:rPr>
              <w:t>Ethnic</w:t>
            </w:r>
            <w:r>
              <w:rPr>
                <w:color w:val="000000"/>
                <w:sz w:val="20"/>
                <w:szCs w:val="18"/>
                <w:lang w:eastAsia="en-NZ"/>
              </w:rPr>
              <w:t xml:space="preserve"> group</w:t>
            </w:r>
            <w:r w:rsidRPr="0030431C">
              <w:rPr>
                <w:color w:val="000000"/>
                <w:sz w:val="20"/>
                <w:szCs w:val="18"/>
                <w:lang w:eastAsia="en-NZ"/>
              </w:rPr>
              <w:t xml:space="preserve"> (</w:t>
            </w:r>
            <w:r>
              <w:rPr>
                <w:color w:val="000000"/>
                <w:sz w:val="20"/>
                <w:szCs w:val="18"/>
                <w:lang w:eastAsia="en-NZ"/>
              </w:rPr>
              <w:t>prioritised</w:t>
            </w:r>
            <w:r w:rsidRPr="0030431C">
              <w:rPr>
                <w:color w:val="000000"/>
                <w:sz w:val="20"/>
                <w:szCs w:val="18"/>
                <w:lang w:eastAsia="en-NZ"/>
              </w:rPr>
              <w:t>)</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Pr>
                <w:color w:val="000000"/>
                <w:sz w:val="20"/>
                <w:szCs w:val="18"/>
                <w:lang w:eastAsia="en-NZ"/>
              </w:rPr>
              <w:t>Māori</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508</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656</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Pacific</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339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439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Asian</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395</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403</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50.5</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European/Other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1239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2209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64.1</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Pr>
                <w:color w:val="000000"/>
                <w:sz w:val="20"/>
                <w:szCs w:val="18"/>
                <w:lang w:eastAsia="en-NZ"/>
              </w:rPr>
              <w:t>Not r</w:t>
            </w:r>
            <w:r w:rsidRPr="0030431C">
              <w:rPr>
                <w:color w:val="000000"/>
                <w:sz w:val="20"/>
                <w:szCs w:val="18"/>
                <w:lang w:eastAsia="en-NZ"/>
              </w:rPr>
              <w:t>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25</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38</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60.3</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color w:val="000000"/>
                <w:sz w:val="20"/>
                <w:szCs w:val="18"/>
                <w:lang w:eastAsia="en-NZ"/>
              </w:rPr>
            </w:pPr>
            <w:r w:rsidRPr="0030431C">
              <w:rPr>
                <w:color w:val="000000"/>
                <w:sz w:val="20"/>
                <w:szCs w:val="18"/>
                <w:lang w:eastAsia="en-NZ"/>
              </w:rPr>
              <w:t>Region</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Auckland</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876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1225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58.3</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Wellington</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212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420</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66.5</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Christchurch</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112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230</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67.3</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after="60"/>
              <w:rPr>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Rest of NZ</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1306</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1870</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58.9</w:t>
            </w:r>
          </w:p>
        </w:tc>
        <w:tc>
          <w:tcPr>
            <w:tcW w:w="1019" w:type="dxa"/>
            <w:shd w:val="clear" w:color="auto" w:fill="D9D9D9" w:themeFill="background1" w:themeFillShade="D9"/>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Problem Gambling Severity Index score (PGSI)</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No gambling in last year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705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54.2</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No</w:t>
            </w:r>
            <w:r>
              <w:rPr>
                <w:color w:val="000000"/>
                <w:sz w:val="20"/>
                <w:szCs w:val="18"/>
                <w:lang w:eastAsia="en-NZ"/>
              </w:rPr>
              <w:t>n-problem</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1675</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2759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62.2</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Low</w:t>
            </w:r>
            <w:r>
              <w:rPr>
                <w:color w:val="000000"/>
                <w:sz w:val="20"/>
                <w:szCs w:val="18"/>
                <w:lang w:eastAsia="en-NZ"/>
              </w:rPr>
              <w:t>-r</w:t>
            </w:r>
            <w:r w:rsidRPr="0030431C">
              <w:rPr>
                <w:color w:val="000000"/>
                <w:sz w:val="20"/>
                <w:szCs w:val="18"/>
                <w:lang w:eastAsia="en-NZ"/>
              </w:rPr>
              <w:t>isk</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144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181</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55.7</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Moderate</w:t>
            </w:r>
            <w:r>
              <w:rPr>
                <w:color w:val="000000"/>
                <w:sz w:val="20"/>
                <w:szCs w:val="18"/>
                <w:lang w:eastAsia="en-NZ"/>
              </w:rPr>
              <w:t>-r</w:t>
            </w:r>
            <w:r w:rsidRPr="0030431C">
              <w:rPr>
                <w:color w:val="000000"/>
                <w:sz w:val="20"/>
                <w:szCs w:val="18"/>
                <w:lang w:eastAsia="en-NZ"/>
              </w:rPr>
              <w:t>isk</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67</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50.4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after="60"/>
              <w:rPr>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 xml:space="preserve">Problem </w:t>
            </w:r>
            <w:r>
              <w:rPr>
                <w:color w:val="000000"/>
                <w:sz w:val="20"/>
                <w:szCs w:val="18"/>
                <w:lang w:eastAsia="en-NZ"/>
              </w:rPr>
              <w:t>g</w:t>
            </w:r>
            <w:r w:rsidRPr="0030431C">
              <w:rPr>
                <w:color w:val="000000"/>
                <w:sz w:val="20"/>
                <w:szCs w:val="18"/>
                <w:lang w:eastAsia="en-NZ"/>
              </w:rPr>
              <w:t>ambler</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25</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33</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56.9</w:t>
            </w:r>
          </w:p>
        </w:tc>
        <w:tc>
          <w:tcPr>
            <w:tcW w:w="1019" w:type="dxa"/>
            <w:shd w:val="clear" w:color="auto" w:fill="D9D9D9" w:themeFill="background1" w:themeFillShade="D9"/>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N</w:t>
            </w:r>
            <w:r w:rsidR="00815999">
              <w:rPr>
                <w:color w:val="000000"/>
                <w:sz w:val="20"/>
                <w:szCs w:val="18"/>
                <w:lang w:eastAsia="en-NZ"/>
              </w:rPr>
              <w:t>um</w:t>
            </w:r>
            <w:r w:rsidR="000043E6">
              <w:rPr>
                <w:color w:val="000000"/>
                <w:sz w:val="20"/>
                <w:szCs w:val="18"/>
                <w:lang w:eastAsia="en-NZ"/>
              </w:rPr>
              <w:t>ber</w:t>
            </w:r>
            <w:r>
              <w:rPr>
                <w:color w:val="000000"/>
                <w:sz w:val="20"/>
                <w:szCs w:val="18"/>
                <w:lang w:eastAsia="en-NZ"/>
              </w:rPr>
              <w:t xml:space="preserve"> of gambling a</w:t>
            </w:r>
            <w:r w:rsidRPr="0030431C">
              <w:rPr>
                <w:color w:val="000000"/>
                <w:sz w:val="20"/>
                <w:szCs w:val="18"/>
                <w:lang w:eastAsia="en-NZ"/>
              </w:rPr>
              <w:t>ct</w:t>
            </w:r>
            <w:r>
              <w:rPr>
                <w:color w:val="000000"/>
                <w:sz w:val="20"/>
                <w:szCs w:val="18"/>
                <w:lang w:eastAsia="en-NZ"/>
              </w:rPr>
              <w:t>i</w:t>
            </w:r>
            <w:r w:rsidRPr="0030431C">
              <w:rPr>
                <w:color w:val="000000"/>
                <w:sz w:val="20"/>
                <w:szCs w:val="18"/>
                <w:lang w:eastAsia="en-NZ"/>
              </w:rPr>
              <w:t>vities</w:t>
            </w:r>
            <w:r>
              <w:rPr>
                <w:color w:val="000000"/>
                <w:sz w:val="20"/>
                <w:szCs w:val="18"/>
                <w:lang w:eastAsia="en-NZ"/>
              </w:rPr>
              <w:t xml:space="preserve"> participated in</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0</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705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54.2</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1</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789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58.3</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2</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514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828</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61.7</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3</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352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602</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63.1</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4-6</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380</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689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64.5</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7-9</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88</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116</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56.9</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after="60"/>
              <w:rPr>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10+</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12</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16</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57.1</w:t>
            </w:r>
          </w:p>
        </w:tc>
        <w:tc>
          <w:tcPr>
            <w:tcW w:w="1019" w:type="dxa"/>
            <w:shd w:val="clear" w:color="auto" w:fill="D9D9D9" w:themeFill="background1" w:themeFillShade="D9"/>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Gambling f</w:t>
            </w:r>
            <w:r w:rsidRPr="0030431C">
              <w:rPr>
                <w:color w:val="000000"/>
                <w:sz w:val="20"/>
                <w:szCs w:val="18"/>
                <w:lang w:eastAsia="en-NZ"/>
              </w:rPr>
              <w:t>requency</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At least weekly</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552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935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62.9</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At least monthly</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842</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59.7</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At least 6 monthly</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1007</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62.9</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Pr>
                <w:color w:val="000000"/>
                <w:sz w:val="20"/>
                <w:szCs w:val="18"/>
                <w:lang w:eastAsia="en-NZ"/>
              </w:rPr>
              <w:t>At least once in past year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192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249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56.5</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No gambling in last year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705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54.2</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&lt;0.0001</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Pr>
                <w:color w:val="000000"/>
                <w:sz w:val="20"/>
                <w:szCs w:val="18"/>
                <w:lang w:eastAsia="en-NZ"/>
              </w:rPr>
              <w:t>Not r</w:t>
            </w:r>
            <w:r w:rsidRPr="0030431C">
              <w:rPr>
                <w:color w:val="000000"/>
                <w:sz w:val="20"/>
                <w:szCs w:val="18"/>
                <w:lang w:eastAsia="en-NZ"/>
              </w:rPr>
              <w:t>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3</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7</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70.0</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P</w:t>
            </w:r>
            <w:r w:rsidRPr="0030431C">
              <w:rPr>
                <w:color w:val="000000"/>
                <w:sz w:val="20"/>
                <w:szCs w:val="18"/>
                <w:lang w:eastAsia="en-NZ"/>
              </w:rPr>
              <w:t>attern</w:t>
            </w:r>
            <w:r>
              <w:rPr>
                <w:color w:val="000000"/>
                <w:sz w:val="20"/>
                <w:szCs w:val="18"/>
                <w:lang w:eastAsia="en-NZ"/>
              </w:rPr>
              <w:t xml:space="preserve"> of participation</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Not in last year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596</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705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54.2</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Infrequent</w:t>
            </w:r>
            <w:r>
              <w:rPr>
                <w:color w:val="000000"/>
                <w:sz w:val="20"/>
                <w:szCs w:val="18"/>
                <w:lang w:eastAsia="en-NZ"/>
              </w:rPr>
              <w:t xml:space="preserve"> gambler</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1364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2118</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60.8</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Regular non-continuous</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384</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675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63.7</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after="60"/>
              <w:rPr>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sidRPr="0030431C">
              <w:rPr>
                <w:color w:val="000000"/>
                <w:sz w:val="20"/>
                <w:szCs w:val="18"/>
                <w:lang w:eastAsia="en-NZ"/>
              </w:rPr>
              <w:t>Regular continuous</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162</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247</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60.4</w:t>
            </w:r>
          </w:p>
        </w:tc>
        <w:tc>
          <w:tcPr>
            <w:tcW w:w="1019" w:type="dxa"/>
            <w:shd w:val="clear" w:color="auto" w:fill="D9D9D9" w:themeFill="background1" w:themeFillShade="D9"/>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&lt;0.0001</w:t>
            </w:r>
          </w:p>
        </w:tc>
      </w:tr>
      <w:tr w:rsidR="003E1E3A" w:rsidRPr="0030431C" w:rsidTr="00EA01A5">
        <w:tc>
          <w:tcPr>
            <w:tcW w:w="1951" w:type="dxa"/>
            <w:vMerge w:val="restart"/>
            <w:shd w:val="clear" w:color="auto" w:fill="auto"/>
            <w:noWrap/>
            <w:hideMark/>
          </w:tcPr>
          <w:p w:rsidR="003E1E3A" w:rsidRPr="0030431C" w:rsidRDefault="003E1E3A" w:rsidP="00EA01A5">
            <w:pPr>
              <w:spacing w:before="20"/>
              <w:rPr>
                <w:color w:val="000000"/>
                <w:sz w:val="20"/>
                <w:szCs w:val="18"/>
                <w:lang w:eastAsia="en-NZ"/>
              </w:rPr>
            </w:pPr>
            <w:r w:rsidRPr="0030431C">
              <w:rPr>
                <w:color w:val="000000"/>
                <w:sz w:val="20"/>
                <w:szCs w:val="18"/>
                <w:lang w:eastAsia="en-NZ"/>
              </w:rPr>
              <w:t>Help sought in last year</w:t>
            </w:r>
            <w:r>
              <w:rPr>
                <w:color w:val="000000"/>
                <w:sz w:val="20"/>
                <w:szCs w:val="18"/>
                <w:lang w:eastAsia="en-NZ"/>
              </w:rPr>
              <w:t xml:space="preserve"> </w:t>
            </w:r>
            <w:r w:rsidRPr="003E1E3A">
              <w:rPr>
                <w:color w:val="000000"/>
                <w:sz w:val="20"/>
                <w:szCs w:val="18"/>
                <w:lang w:eastAsia="en-NZ"/>
              </w:rPr>
              <w:t>(from formal and informal sources)</w:t>
            </w:r>
          </w:p>
        </w:tc>
        <w:tc>
          <w:tcPr>
            <w:tcW w:w="2268" w:type="dxa"/>
            <w:shd w:val="clear" w:color="auto" w:fill="auto"/>
            <w:noWrap/>
            <w:vAlign w:val="center"/>
            <w:hideMark/>
          </w:tcPr>
          <w:p w:rsidR="003E1E3A" w:rsidRPr="0030431C" w:rsidRDefault="003E1E3A" w:rsidP="00370CEE">
            <w:pPr>
              <w:spacing w:before="20"/>
              <w:rPr>
                <w:color w:val="000000"/>
                <w:sz w:val="20"/>
                <w:szCs w:val="18"/>
                <w:lang w:eastAsia="en-NZ"/>
              </w:rPr>
            </w:pPr>
            <w:r>
              <w:rPr>
                <w:color w:val="000000"/>
                <w:sz w:val="20"/>
                <w:szCs w:val="18"/>
                <w:lang w:eastAsia="en-NZ"/>
              </w:rPr>
              <w:t>Non-g</w:t>
            </w:r>
            <w:r w:rsidRPr="0030431C">
              <w:rPr>
                <w:color w:val="000000"/>
                <w:sz w:val="20"/>
                <w:szCs w:val="18"/>
                <w:lang w:eastAsia="en-NZ"/>
              </w:rPr>
              <w:t>ambler</w:t>
            </w:r>
          </w:p>
        </w:tc>
        <w:tc>
          <w:tcPr>
            <w:tcW w:w="1109"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435</w:t>
            </w:r>
          </w:p>
        </w:tc>
        <w:tc>
          <w:tcPr>
            <w:tcW w:w="1161"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508</w:t>
            </w:r>
          </w:p>
        </w:tc>
        <w:tc>
          <w:tcPr>
            <w:tcW w:w="1116"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53.9</w:t>
            </w:r>
          </w:p>
        </w:tc>
        <w:tc>
          <w:tcPr>
            <w:tcW w:w="1019" w:type="dxa"/>
            <w:shd w:val="clear" w:color="auto" w:fill="auto"/>
            <w:noWrap/>
            <w:vAlign w:val="center"/>
            <w:hideMark/>
          </w:tcPr>
          <w:p w:rsidR="003E1E3A" w:rsidRPr="0030431C" w:rsidRDefault="003E1E3A" w:rsidP="00370CEE">
            <w:pPr>
              <w:spacing w:before="20"/>
              <w:jc w:val="right"/>
              <w:rPr>
                <w:color w:val="000000"/>
                <w:sz w:val="20"/>
                <w:szCs w:val="18"/>
                <w:lang w:eastAsia="en-NZ"/>
              </w:rPr>
            </w:pPr>
          </w:p>
        </w:tc>
      </w:tr>
      <w:tr w:rsidR="003E1E3A" w:rsidRPr="0030431C" w:rsidTr="00EA01A5">
        <w:tc>
          <w:tcPr>
            <w:tcW w:w="1951" w:type="dxa"/>
            <w:vMerge/>
            <w:shd w:val="clear" w:color="auto" w:fill="auto"/>
            <w:noWrap/>
            <w:hideMark/>
          </w:tcPr>
          <w:p w:rsidR="003E1E3A" w:rsidRPr="0030431C" w:rsidRDefault="003E1E3A" w:rsidP="00EA01A5">
            <w:pPr>
              <w:spacing w:before="20"/>
              <w:rPr>
                <w:sz w:val="20"/>
                <w:szCs w:val="18"/>
                <w:lang w:eastAsia="en-NZ"/>
              </w:rPr>
            </w:pPr>
          </w:p>
        </w:tc>
        <w:tc>
          <w:tcPr>
            <w:tcW w:w="2268" w:type="dxa"/>
            <w:shd w:val="clear" w:color="auto" w:fill="auto"/>
            <w:noWrap/>
            <w:vAlign w:val="center"/>
            <w:hideMark/>
          </w:tcPr>
          <w:p w:rsidR="003E1E3A" w:rsidRPr="0030431C" w:rsidRDefault="003E1E3A" w:rsidP="00370CEE">
            <w:pPr>
              <w:spacing w:before="20"/>
              <w:rPr>
                <w:color w:val="000000"/>
                <w:sz w:val="20"/>
                <w:szCs w:val="18"/>
                <w:lang w:eastAsia="en-NZ"/>
              </w:rPr>
            </w:pPr>
            <w:r w:rsidRPr="0030431C">
              <w:rPr>
                <w:color w:val="000000"/>
                <w:sz w:val="20"/>
                <w:szCs w:val="18"/>
                <w:lang w:eastAsia="en-NZ"/>
              </w:rPr>
              <w:t>No</w:t>
            </w:r>
          </w:p>
        </w:tc>
        <w:tc>
          <w:tcPr>
            <w:tcW w:w="1109"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2059</w:t>
            </w:r>
          </w:p>
        </w:tc>
        <w:tc>
          <w:tcPr>
            <w:tcW w:w="1161"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3226</w:t>
            </w:r>
          </w:p>
        </w:tc>
        <w:tc>
          <w:tcPr>
            <w:tcW w:w="1116" w:type="dxa"/>
            <w:shd w:val="clear" w:color="auto" w:fill="auto"/>
            <w:noWrap/>
            <w:vAlign w:val="center"/>
            <w:hideMark/>
          </w:tcPr>
          <w:p w:rsidR="003E1E3A" w:rsidRPr="0030431C" w:rsidRDefault="003E1E3A" w:rsidP="00370CEE">
            <w:pPr>
              <w:spacing w:before="20"/>
              <w:jc w:val="right"/>
              <w:rPr>
                <w:color w:val="000000"/>
                <w:sz w:val="20"/>
                <w:szCs w:val="18"/>
                <w:lang w:eastAsia="en-NZ"/>
              </w:rPr>
            </w:pPr>
            <w:r w:rsidRPr="0030431C">
              <w:rPr>
                <w:color w:val="000000"/>
                <w:sz w:val="20"/>
                <w:szCs w:val="18"/>
                <w:lang w:eastAsia="en-NZ"/>
              </w:rPr>
              <w:t>61.0</w:t>
            </w:r>
          </w:p>
        </w:tc>
        <w:tc>
          <w:tcPr>
            <w:tcW w:w="1019" w:type="dxa"/>
            <w:shd w:val="clear" w:color="auto" w:fill="auto"/>
            <w:noWrap/>
            <w:vAlign w:val="center"/>
            <w:hideMark/>
          </w:tcPr>
          <w:p w:rsidR="003E1E3A" w:rsidRPr="0030431C" w:rsidRDefault="003E1E3A" w:rsidP="00370CEE">
            <w:pPr>
              <w:spacing w:before="20"/>
              <w:jc w:val="right"/>
              <w:rPr>
                <w:color w:val="000000"/>
                <w:sz w:val="20"/>
                <w:szCs w:val="18"/>
                <w:lang w:eastAsia="en-NZ"/>
              </w:rPr>
            </w:pPr>
          </w:p>
        </w:tc>
      </w:tr>
      <w:tr w:rsidR="003E1E3A" w:rsidRPr="0030431C" w:rsidTr="00EA01A5">
        <w:tc>
          <w:tcPr>
            <w:tcW w:w="1951" w:type="dxa"/>
            <w:vMerge/>
            <w:tcBorders>
              <w:bottom w:val="single" w:sz="4" w:space="0" w:color="auto"/>
            </w:tcBorders>
            <w:shd w:val="clear" w:color="auto" w:fill="auto"/>
            <w:noWrap/>
            <w:hideMark/>
          </w:tcPr>
          <w:p w:rsidR="003E1E3A" w:rsidRPr="0030431C" w:rsidRDefault="003E1E3A" w:rsidP="00EA01A5">
            <w:pPr>
              <w:spacing w:before="20" w:after="60"/>
              <w:rPr>
                <w:sz w:val="20"/>
                <w:szCs w:val="18"/>
                <w:lang w:eastAsia="en-NZ"/>
              </w:rPr>
            </w:pPr>
          </w:p>
        </w:tc>
        <w:tc>
          <w:tcPr>
            <w:tcW w:w="2268" w:type="dxa"/>
            <w:tcBorders>
              <w:bottom w:val="single" w:sz="4" w:space="0" w:color="auto"/>
            </w:tcBorders>
            <w:shd w:val="clear" w:color="auto" w:fill="auto"/>
            <w:noWrap/>
            <w:vAlign w:val="center"/>
            <w:hideMark/>
          </w:tcPr>
          <w:p w:rsidR="003E1E3A" w:rsidRPr="0030431C" w:rsidRDefault="003E1E3A" w:rsidP="00370CEE">
            <w:pPr>
              <w:spacing w:before="20" w:after="60"/>
              <w:rPr>
                <w:color w:val="000000"/>
                <w:sz w:val="20"/>
                <w:szCs w:val="18"/>
                <w:lang w:eastAsia="en-NZ"/>
              </w:rPr>
            </w:pPr>
            <w:r w:rsidRPr="0030431C">
              <w:rPr>
                <w:color w:val="000000"/>
                <w:sz w:val="20"/>
                <w:szCs w:val="18"/>
                <w:lang w:eastAsia="en-NZ"/>
              </w:rPr>
              <w:t>Yes</w:t>
            </w:r>
          </w:p>
        </w:tc>
        <w:tc>
          <w:tcPr>
            <w:tcW w:w="1109" w:type="dxa"/>
            <w:tcBorders>
              <w:bottom w:val="single" w:sz="4" w:space="0" w:color="auto"/>
            </w:tcBorders>
            <w:shd w:val="clear" w:color="auto" w:fill="auto"/>
            <w:noWrap/>
            <w:vAlign w:val="center"/>
            <w:hideMark/>
          </w:tcPr>
          <w:p w:rsidR="003E1E3A" w:rsidRPr="0030431C" w:rsidRDefault="003E1E3A" w:rsidP="00370CEE">
            <w:pPr>
              <w:spacing w:before="20" w:after="60"/>
              <w:jc w:val="right"/>
              <w:rPr>
                <w:color w:val="000000"/>
                <w:sz w:val="20"/>
                <w:szCs w:val="18"/>
                <w:lang w:eastAsia="en-NZ"/>
              </w:rPr>
            </w:pPr>
            <w:r w:rsidRPr="0030431C">
              <w:rPr>
                <w:color w:val="000000"/>
                <w:sz w:val="20"/>
                <w:szCs w:val="18"/>
                <w:lang w:eastAsia="en-NZ"/>
              </w:rPr>
              <w:t>12</w:t>
            </w:r>
          </w:p>
        </w:tc>
        <w:tc>
          <w:tcPr>
            <w:tcW w:w="1161" w:type="dxa"/>
            <w:tcBorders>
              <w:bottom w:val="single" w:sz="4" w:space="0" w:color="auto"/>
            </w:tcBorders>
            <w:shd w:val="clear" w:color="auto" w:fill="auto"/>
            <w:noWrap/>
            <w:vAlign w:val="center"/>
            <w:hideMark/>
          </w:tcPr>
          <w:p w:rsidR="003E1E3A" w:rsidRPr="0030431C" w:rsidRDefault="003E1E3A" w:rsidP="00370CEE">
            <w:pPr>
              <w:spacing w:before="20" w:after="60"/>
              <w:jc w:val="right"/>
              <w:rPr>
                <w:color w:val="000000"/>
                <w:sz w:val="20"/>
                <w:szCs w:val="18"/>
                <w:lang w:eastAsia="en-NZ"/>
              </w:rPr>
            </w:pPr>
            <w:r w:rsidRPr="0030431C">
              <w:rPr>
                <w:color w:val="000000"/>
                <w:sz w:val="20"/>
                <w:szCs w:val="18"/>
                <w:lang w:eastAsia="en-NZ"/>
              </w:rPr>
              <w:t>11</w:t>
            </w:r>
          </w:p>
        </w:tc>
        <w:tc>
          <w:tcPr>
            <w:tcW w:w="1116" w:type="dxa"/>
            <w:tcBorders>
              <w:bottom w:val="single" w:sz="4" w:space="0" w:color="auto"/>
            </w:tcBorders>
            <w:shd w:val="clear" w:color="auto" w:fill="auto"/>
            <w:noWrap/>
            <w:vAlign w:val="center"/>
            <w:hideMark/>
          </w:tcPr>
          <w:p w:rsidR="003E1E3A" w:rsidRPr="0030431C" w:rsidRDefault="003E1E3A" w:rsidP="00370CEE">
            <w:pPr>
              <w:spacing w:before="20" w:after="60"/>
              <w:jc w:val="right"/>
              <w:rPr>
                <w:color w:val="000000"/>
                <w:sz w:val="20"/>
                <w:szCs w:val="18"/>
                <w:lang w:eastAsia="en-NZ"/>
              </w:rPr>
            </w:pPr>
            <w:r w:rsidRPr="0030431C">
              <w:rPr>
                <w:color w:val="000000"/>
                <w:sz w:val="20"/>
                <w:szCs w:val="18"/>
                <w:lang w:eastAsia="en-NZ"/>
              </w:rPr>
              <w:t>47.8</w:t>
            </w:r>
          </w:p>
        </w:tc>
        <w:tc>
          <w:tcPr>
            <w:tcW w:w="1019" w:type="dxa"/>
            <w:tcBorders>
              <w:bottom w:val="single" w:sz="4" w:space="0" w:color="auto"/>
            </w:tcBorders>
            <w:shd w:val="clear" w:color="auto" w:fill="D9D9D9" w:themeFill="background1" w:themeFillShade="D9"/>
            <w:noWrap/>
            <w:vAlign w:val="center"/>
            <w:hideMark/>
          </w:tcPr>
          <w:p w:rsidR="003E1E3A" w:rsidRPr="0030431C" w:rsidRDefault="003E1E3A" w:rsidP="00370CEE">
            <w:pPr>
              <w:spacing w:before="20" w:after="60"/>
              <w:jc w:val="right"/>
              <w:rPr>
                <w:color w:val="000000"/>
                <w:sz w:val="20"/>
                <w:szCs w:val="18"/>
                <w:lang w:eastAsia="en-NZ"/>
              </w:rPr>
            </w:pPr>
            <w:r w:rsidRPr="0030431C">
              <w:rPr>
                <w:color w:val="000000"/>
                <w:sz w:val="20"/>
                <w:szCs w:val="18"/>
                <w:lang w:eastAsia="en-NZ"/>
              </w:rPr>
              <w:t>&lt;0.0001</w:t>
            </w:r>
          </w:p>
        </w:tc>
      </w:tr>
      <w:tr w:rsidR="00C41FBE" w:rsidRPr="0030431C" w:rsidTr="00EA01A5">
        <w:tc>
          <w:tcPr>
            <w:tcW w:w="1951" w:type="dxa"/>
            <w:vMerge w:val="restart"/>
            <w:tcBorders>
              <w:top w:val="single" w:sz="4" w:space="0" w:color="auto"/>
            </w:tcBorders>
            <w:shd w:val="clear" w:color="auto" w:fill="auto"/>
            <w:noWrap/>
            <w:hideMark/>
          </w:tcPr>
          <w:p w:rsidR="00C41FBE" w:rsidRPr="0030431C" w:rsidRDefault="00C41FBE" w:rsidP="00EA01A5">
            <w:pPr>
              <w:keepNext/>
              <w:spacing w:before="20"/>
              <w:rPr>
                <w:color w:val="000000"/>
                <w:sz w:val="20"/>
                <w:szCs w:val="18"/>
                <w:lang w:eastAsia="en-NZ"/>
              </w:rPr>
            </w:pPr>
            <w:r>
              <w:rPr>
                <w:color w:val="000000"/>
                <w:sz w:val="20"/>
                <w:szCs w:val="18"/>
                <w:lang w:eastAsia="en-NZ"/>
              </w:rPr>
              <w:lastRenderedPageBreak/>
              <w:t>Number of significant life e</w:t>
            </w:r>
            <w:r w:rsidRPr="0030431C">
              <w:rPr>
                <w:color w:val="000000"/>
                <w:sz w:val="20"/>
                <w:szCs w:val="18"/>
                <w:lang w:eastAsia="en-NZ"/>
              </w:rPr>
              <w:t>vents</w:t>
            </w:r>
          </w:p>
        </w:tc>
        <w:tc>
          <w:tcPr>
            <w:tcW w:w="2268" w:type="dxa"/>
            <w:tcBorders>
              <w:top w:val="single" w:sz="4" w:space="0" w:color="auto"/>
            </w:tcBorders>
            <w:shd w:val="clear" w:color="auto" w:fill="auto"/>
            <w:noWrap/>
            <w:vAlign w:val="center"/>
            <w:hideMark/>
          </w:tcPr>
          <w:p w:rsidR="00C41FBE" w:rsidRPr="0030431C" w:rsidRDefault="00C41FBE" w:rsidP="00370CEE">
            <w:pPr>
              <w:keepNext/>
              <w:spacing w:before="20"/>
              <w:rPr>
                <w:color w:val="000000"/>
                <w:sz w:val="20"/>
                <w:szCs w:val="18"/>
                <w:lang w:eastAsia="en-NZ"/>
              </w:rPr>
            </w:pPr>
            <w:r w:rsidRPr="0030431C">
              <w:rPr>
                <w:color w:val="000000"/>
                <w:sz w:val="20"/>
                <w:szCs w:val="18"/>
                <w:lang w:eastAsia="en-NZ"/>
              </w:rPr>
              <w:t>0</w:t>
            </w:r>
          </w:p>
        </w:tc>
        <w:tc>
          <w:tcPr>
            <w:tcW w:w="1109" w:type="dxa"/>
            <w:tcBorders>
              <w:top w:val="single" w:sz="4" w:space="0" w:color="auto"/>
            </w:tcBorders>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734</w:t>
            </w:r>
          </w:p>
        </w:tc>
        <w:tc>
          <w:tcPr>
            <w:tcW w:w="1161" w:type="dxa"/>
            <w:tcBorders>
              <w:top w:val="single" w:sz="4" w:space="0" w:color="auto"/>
            </w:tcBorders>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1040</w:t>
            </w:r>
          </w:p>
        </w:tc>
        <w:tc>
          <w:tcPr>
            <w:tcW w:w="1116" w:type="dxa"/>
            <w:tcBorders>
              <w:top w:val="single" w:sz="4" w:space="0" w:color="auto"/>
            </w:tcBorders>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58.6</w:t>
            </w:r>
          </w:p>
        </w:tc>
        <w:tc>
          <w:tcPr>
            <w:tcW w:w="1019" w:type="dxa"/>
            <w:tcBorders>
              <w:top w:val="single" w:sz="4" w:space="0" w:color="auto"/>
            </w:tcBorders>
            <w:shd w:val="clear" w:color="auto" w:fill="auto"/>
            <w:noWrap/>
            <w:vAlign w:val="center"/>
            <w:hideMark/>
          </w:tcPr>
          <w:p w:rsidR="00C41FBE" w:rsidRPr="0030431C" w:rsidRDefault="00C41FBE" w:rsidP="00370CEE">
            <w:pPr>
              <w:keepNext/>
              <w:spacing w:before="20"/>
              <w:jc w:val="right"/>
              <w:rPr>
                <w:color w:val="000000"/>
                <w:sz w:val="20"/>
                <w:szCs w:val="18"/>
                <w:lang w:eastAsia="en-NZ"/>
              </w:rPr>
            </w:pPr>
          </w:p>
        </w:tc>
      </w:tr>
      <w:tr w:rsidR="00C41FBE" w:rsidRPr="0030431C" w:rsidTr="00EA01A5">
        <w:tc>
          <w:tcPr>
            <w:tcW w:w="1951" w:type="dxa"/>
            <w:vMerge/>
            <w:shd w:val="clear" w:color="auto" w:fill="auto"/>
            <w:noWrap/>
            <w:hideMark/>
          </w:tcPr>
          <w:p w:rsidR="00C41FBE" w:rsidRPr="0030431C" w:rsidRDefault="00C41FBE" w:rsidP="00EA01A5">
            <w:pPr>
              <w:keepNext/>
              <w:spacing w:before="20"/>
              <w:rPr>
                <w:sz w:val="20"/>
                <w:szCs w:val="18"/>
                <w:lang w:eastAsia="en-NZ"/>
              </w:rPr>
            </w:pPr>
          </w:p>
        </w:tc>
        <w:tc>
          <w:tcPr>
            <w:tcW w:w="2268" w:type="dxa"/>
            <w:shd w:val="clear" w:color="auto" w:fill="auto"/>
            <w:noWrap/>
            <w:vAlign w:val="center"/>
            <w:hideMark/>
          </w:tcPr>
          <w:p w:rsidR="00C41FBE" w:rsidRPr="0030431C" w:rsidRDefault="00C41FBE" w:rsidP="00370CEE">
            <w:pPr>
              <w:keepNext/>
              <w:spacing w:before="20"/>
              <w:rPr>
                <w:color w:val="000000"/>
                <w:sz w:val="20"/>
                <w:szCs w:val="18"/>
                <w:lang w:eastAsia="en-NZ"/>
              </w:rPr>
            </w:pPr>
            <w:r w:rsidRPr="0030431C">
              <w:rPr>
                <w:color w:val="000000"/>
                <w:sz w:val="20"/>
                <w:szCs w:val="18"/>
                <w:lang w:eastAsia="en-NZ"/>
              </w:rPr>
              <w:t>1</w:t>
            </w:r>
          </w:p>
        </w:tc>
        <w:tc>
          <w:tcPr>
            <w:tcW w:w="1109"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638</w:t>
            </w:r>
          </w:p>
        </w:tc>
        <w:tc>
          <w:tcPr>
            <w:tcW w:w="1161"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982</w:t>
            </w:r>
          </w:p>
        </w:tc>
        <w:tc>
          <w:tcPr>
            <w:tcW w:w="1116"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60.6</w:t>
            </w:r>
          </w:p>
        </w:tc>
        <w:tc>
          <w:tcPr>
            <w:tcW w:w="1019"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p>
        </w:tc>
      </w:tr>
      <w:tr w:rsidR="00C41FBE" w:rsidRPr="0030431C" w:rsidTr="00EA01A5">
        <w:tc>
          <w:tcPr>
            <w:tcW w:w="1951" w:type="dxa"/>
            <w:vMerge/>
            <w:shd w:val="clear" w:color="auto" w:fill="auto"/>
            <w:noWrap/>
            <w:hideMark/>
          </w:tcPr>
          <w:p w:rsidR="00C41FBE" w:rsidRPr="0030431C" w:rsidRDefault="00C41FBE" w:rsidP="00EA01A5">
            <w:pPr>
              <w:keepNext/>
              <w:spacing w:before="20"/>
              <w:rPr>
                <w:sz w:val="20"/>
                <w:szCs w:val="18"/>
                <w:lang w:eastAsia="en-NZ"/>
              </w:rPr>
            </w:pPr>
          </w:p>
        </w:tc>
        <w:tc>
          <w:tcPr>
            <w:tcW w:w="2268" w:type="dxa"/>
            <w:shd w:val="clear" w:color="auto" w:fill="auto"/>
            <w:noWrap/>
            <w:vAlign w:val="center"/>
            <w:hideMark/>
          </w:tcPr>
          <w:p w:rsidR="00C41FBE" w:rsidRPr="0030431C" w:rsidRDefault="00C41FBE" w:rsidP="00370CEE">
            <w:pPr>
              <w:keepNext/>
              <w:spacing w:before="20"/>
              <w:rPr>
                <w:color w:val="000000"/>
                <w:sz w:val="20"/>
                <w:szCs w:val="18"/>
                <w:lang w:eastAsia="en-NZ"/>
              </w:rPr>
            </w:pPr>
            <w:r w:rsidRPr="0030431C">
              <w:rPr>
                <w:color w:val="000000"/>
                <w:sz w:val="20"/>
                <w:szCs w:val="18"/>
                <w:lang w:eastAsia="en-NZ"/>
              </w:rPr>
              <w:t>2</w:t>
            </w:r>
          </w:p>
        </w:tc>
        <w:tc>
          <w:tcPr>
            <w:tcW w:w="1109"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434</w:t>
            </w:r>
          </w:p>
        </w:tc>
        <w:tc>
          <w:tcPr>
            <w:tcW w:w="1161"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705</w:t>
            </w:r>
          </w:p>
        </w:tc>
        <w:tc>
          <w:tcPr>
            <w:tcW w:w="1116"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r w:rsidRPr="0030431C">
              <w:rPr>
                <w:color w:val="000000"/>
                <w:sz w:val="20"/>
                <w:szCs w:val="18"/>
                <w:lang w:eastAsia="en-NZ"/>
              </w:rPr>
              <w:t>61.9</w:t>
            </w:r>
          </w:p>
        </w:tc>
        <w:tc>
          <w:tcPr>
            <w:tcW w:w="1019" w:type="dxa"/>
            <w:shd w:val="clear" w:color="auto" w:fill="auto"/>
            <w:noWrap/>
            <w:vAlign w:val="center"/>
            <w:hideMark/>
          </w:tcPr>
          <w:p w:rsidR="00C41FBE" w:rsidRPr="0030431C" w:rsidRDefault="00C41FBE" w:rsidP="00370CEE">
            <w:pPr>
              <w:keepNext/>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3</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257</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449</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63.6</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182</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274</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60.1</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5+</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260</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294</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53.1</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0.003</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Pr>
                <w:color w:val="000000"/>
                <w:sz w:val="20"/>
                <w:szCs w:val="18"/>
                <w:lang w:eastAsia="en-NZ"/>
              </w:rPr>
              <w:t>Not r</w:t>
            </w:r>
            <w:r w:rsidRPr="0030431C">
              <w:rPr>
                <w:color w:val="000000"/>
                <w:sz w:val="20"/>
                <w:szCs w:val="18"/>
                <w:lang w:eastAsia="en-NZ"/>
              </w:rPr>
              <w:t>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50.0</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Quality of life</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Below median (0</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24)</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1200</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1641</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57.8</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r>
              <w:rPr>
                <w:color w:val="000000"/>
                <w:sz w:val="20"/>
                <w:szCs w:val="18"/>
                <w:lang w:eastAsia="en-NZ"/>
              </w:rPr>
              <w:t>(</w:t>
            </w:r>
            <w:r w:rsidRPr="0030431C">
              <w:rPr>
                <w:color w:val="000000"/>
                <w:sz w:val="20"/>
                <w:szCs w:val="18"/>
                <w:lang w:eastAsia="en-NZ"/>
              </w:rPr>
              <w:t>WHOQoL</w:t>
            </w:r>
            <w:r>
              <w:rPr>
                <w:color w:val="000000"/>
                <w:sz w:val="20"/>
                <w:szCs w:val="18"/>
                <w:lang w:eastAsia="en-NZ"/>
              </w:rPr>
              <w:t>-8)</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Median score (25)</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239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377</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61.2</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Above median (26</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32)</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1063</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1723</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61.8</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0.006</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Pr>
                <w:color w:val="000000"/>
                <w:sz w:val="20"/>
                <w:szCs w:val="18"/>
                <w:lang w:eastAsia="en-NZ"/>
              </w:rPr>
              <w:t>Not r</w:t>
            </w:r>
            <w:r w:rsidRPr="0030431C">
              <w:rPr>
                <w:color w:val="000000"/>
                <w:sz w:val="20"/>
                <w:szCs w:val="18"/>
                <w:lang w:eastAsia="en-NZ"/>
              </w:rPr>
              <w:t>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4</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4</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50.0</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vMerge w:val="restart"/>
            <w:shd w:val="clear" w:color="auto" w:fill="auto"/>
            <w:noWrap/>
            <w:hideMark/>
          </w:tcPr>
          <w:p w:rsidR="00F17526" w:rsidRPr="0030431C" w:rsidRDefault="00F17526" w:rsidP="00EA01A5">
            <w:pPr>
              <w:spacing w:before="20"/>
              <w:rPr>
                <w:color w:val="000000"/>
                <w:sz w:val="20"/>
                <w:szCs w:val="18"/>
                <w:lang w:eastAsia="en-NZ"/>
              </w:rPr>
            </w:pPr>
            <w:r>
              <w:rPr>
                <w:color w:val="000000"/>
                <w:sz w:val="20"/>
                <w:szCs w:val="18"/>
                <w:lang w:eastAsia="en-NZ"/>
              </w:rPr>
              <w:t>Psychological distress score</w:t>
            </w:r>
          </w:p>
          <w:p w:rsidR="00F17526" w:rsidRPr="0030431C" w:rsidRDefault="00F17526" w:rsidP="00EA01A5">
            <w:pPr>
              <w:spacing w:before="20"/>
              <w:rPr>
                <w:color w:val="000000"/>
                <w:sz w:val="20"/>
                <w:szCs w:val="18"/>
                <w:lang w:eastAsia="en-NZ"/>
              </w:rPr>
            </w:pPr>
            <w:r>
              <w:rPr>
                <w:color w:val="000000"/>
                <w:sz w:val="20"/>
                <w:szCs w:val="18"/>
                <w:lang w:eastAsia="en-NZ"/>
              </w:rPr>
              <w:t>(</w:t>
            </w:r>
            <w:r w:rsidRPr="0030431C">
              <w:rPr>
                <w:color w:val="000000"/>
                <w:sz w:val="20"/>
                <w:szCs w:val="18"/>
                <w:lang w:eastAsia="en-NZ"/>
              </w:rPr>
              <w:t>K</w:t>
            </w:r>
            <w:r>
              <w:rPr>
                <w:color w:val="000000"/>
                <w:sz w:val="20"/>
                <w:szCs w:val="18"/>
                <w:lang w:eastAsia="en-NZ"/>
              </w:rPr>
              <w:t>essler</w:t>
            </w:r>
            <w:r w:rsidRPr="0030431C">
              <w:rPr>
                <w:color w:val="000000"/>
                <w:sz w:val="20"/>
                <w:szCs w:val="18"/>
                <w:lang w:eastAsia="en-NZ"/>
              </w:rPr>
              <w:t>-10</w:t>
            </w:r>
            <w:r>
              <w:rPr>
                <w:color w:val="000000"/>
                <w:sz w:val="20"/>
                <w:szCs w:val="18"/>
                <w:lang w:eastAsia="en-NZ"/>
              </w:rPr>
              <w:t>)</w:t>
            </w: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0</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5</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1779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2712</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60.4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6</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11</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459</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736</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61.6</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vMerge/>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12</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19</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193</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221</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53.4</w:t>
            </w:r>
          </w:p>
        </w:tc>
        <w:tc>
          <w:tcPr>
            <w:tcW w:w="1019" w:type="dxa"/>
            <w:shd w:val="clear" w:color="auto" w:fill="auto"/>
            <w:noWrap/>
            <w:vAlign w:val="center"/>
            <w:hideMark/>
          </w:tcPr>
          <w:p w:rsidR="00F17526" w:rsidRPr="0030431C" w:rsidRDefault="00F17526" w:rsidP="00370CEE">
            <w:pPr>
              <w:spacing w:before="20"/>
              <w:jc w:val="right"/>
              <w:rPr>
                <w:color w:val="000000"/>
                <w:sz w:val="20"/>
                <w:szCs w:val="18"/>
                <w:lang w:eastAsia="en-NZ"/>
              </w:rPr>
            </w:pPr>
          </w:p>
        </w:tc>
      </w:tr>
      <w:tr w:rsidR="00F17526" w:rsidRPr="0030431C" w:rsidTr="00EA01A5">
        <w:tc>
          <w:tcPr>
            <w:tcW w:w="1951" w:type="dxa"/>
            <w:shd w:val="clear" w:color="auto" w:fill="auto"/>
            <w:noWrap/>
            <w:hideMark/>
          </w:tcPr>
          <w:p w:rsidR="00F17526" w:rsidRPr="0030431C" w:rsidRDefault="00F17526" w:rsidP="00EA01A5">
            <w:pPr>
              <w:spacing w:before="20"/>
              <w:rPr>
                <w:sz w:val="20"/>
                <w:szCs w:val="18"/>
                <w:lang w:eastAsia="en-NZ"/>
              </w:rPr>
            </w:pPr>
          </w:p>
        </w:tc>
        <w:tc>
          <w:tcPr>
            <w:tcW w:w="2268" w:type="dxa"/>
            <w:shd w:val="clear" w:color="auto" w:fill="auto"/>
            <w:noWrap/>
            <w:vAlign w:val="center"/>
            <w:hideMark/>
          </w:tcPr>
          <w:p w:rsidR="00F17526" w:rsidRPr="0030431C" w:rsidRDefault="00F17526" w:rsidP="00370CEE">
            <w:pPr>
              <w:spacing w:before="20"/>
              <w:rPr>
                <w:color w:val="000000"/>
                <w:sz w:val="20"/>
                <w:szCs w:val="18"/>
                <w:lang w:eastAsia="en-NZ"/>
              </w:rPr>
            </w:pPr>
            <w:r w:rsidRPr="0030431C">
              <w:rPr>
                <w:color w:val="000000"/>
                <w:sz w:val="20"/>
                <w:szCs w:val="18"/>
                <w:lang w:eastAsia="en-NZ"/>
              </w:rPr>
              <w:t>20</w:t>
            </w:r>
            <w:r>
              <w:rPr>
                <w:color w:val="000000"/>
                <w:sz w:val="20"/>
                <w:szCs w:val="18"/>
                <w:lang w:eastAsia="en-NZ"/>
              </w:rPr>
              <w:t xml:space="preserve"> </w:t>
            </w:r>
            <w:r w:rsidRPr="0030431C">
              <w:rPr>
                <w:color w:val="000000"/>
                <w:sz w:val="20"/>
                <w:szCs w:val="18"/>
                <w:lang w:eastAsia="en-NZ"/>
              </w:rPr>
              <w:t>-</w:t>
            </w:r>
            <w:r>
              <w:rPr>
                <w:color w:val="000000"/>
                <w:sz w:val="20"/>
                <w:szCs w:val="18"/>
                <w:lang w:eastAsia="en-NZ"/>
              </w:rPr>
              <w:t xml:space="preserve"> </w:t>
            </w:r>
            <w:r w:rsidRPr="0030431C">
              <w:rPr>
                <w:color w:val="000000"/>
                <w:sz w:val="20"/>
                <w:szCs w:val="18"/>
                <w:lang w:eastAsia="en-NZ"/>
              </w:rPr>
              <w:t>40</w:t>
            </w:r>
          </w:p>
        </w:tc>
        <w:tc>
          <w:tcPr>
            <w:tcW w:w="1109"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67</w:t>
            </w:r>
          </w:p>
        </w:tc>
        <w:tc>
          <w:tcPr>
            <w:tcW w:w="1161"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75</w:t>
            </w:r>
          </w:p>
        </w:tc>
        <w:tc>
          <w:tcPr>
            <w:tcW w:w="1116" w:type="dxa"/>
            <w:shd w:val="clear" w:color="auto" w:fill="auto"/>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52.8</w:t>
            </w:r>
          </w:p>
        </w:tc>
        <w:tc>
          <w:tcPr>
            <w:tcW w:w="1019" w:type="dxa"/>
            <w:shd w:val="clear" w:color="auto" w:fill="D9D9D9" w:themeFill="background1" w:themeFillShade="D9"/>
            <w:noWrap/>
            <w:vAlign w:val="center"/>
            <w:hideMark/>
          </w:tcPr>
          <w:p w:rsidR="00F17526" w:rsidRPr="0030431C" w:rsidRDefault="00F17526" w:rsidP="00370CEE">
            <w:pPr>
              <w:spacing w:before="20"/>
              <w:jc w:val="right"/>
              <w:rPr>
                <w:color w:val="000000"/>
                <w:sz w:val="20"/>
                <w:szCs w:val="18"/>
                <w:lang w:eastAsia="en-NZ"/>
              </w:rPr>
            </w:pPr>
            <w:r w:rsidRPr="0030431C">
              <w:rPr>
                <w:color w:val="000000"/>
                <w:sz w:val="20"/>
                <w:szCs w:val="18"/>
                <w:lang w:eastAsia="en-NZ"/>
              </w:rPr>
              <w:t>0.007</w:t>
            </w:r>
          </w:p>
        </w:tc>
      </w:tr>
      <w:tr w:rsidR="00F17526" w:rsidRPr="0030431C" w:rsidTr="00EA01A5">
        <w:tc>
          <w:tcPr>
            <w:tcW w:w="1951" w:type="dxa"/>
            <w:shd w:val="clear" w:color="auto" w:fill="auto"/>
            <w:noWrap/>
            <w:hideMark/>
          </w:tcPr>
          <w:p w:rsidR="00F17526" w:rsidRPr="0030431C" w:rsidRDefault="00F17526" w:rsidP="00EA01A5">
            <w:pPr>
              <w:spacing w:before="20" w:after="60"/>
              <w:rPr>
                <w:color w:val="000000"/>
                <w:sz w:val="20"/>
                <w:szCs w:val="18"/>
                <w:lang w:eastAsia="en-NZ"/>
              </w:rPr>
            </w:pPr>
          </w:p>
        </w:tc>
        <w:tc>
          <w:tcPr>
            <w:tcW w:w="2268" w:type="dxa"/>
            <w:shd w:val="clear" w:color="auto" w:fill="auto"/>
            <w:noWrap/>
            <w:vAlign w:val="center"/>
            <w:hideMark/>
          </w:tcPr>
          <w:p w:rsidR="00F17526" w:rsidRPr="0030431C" w:rsidRDefault="00F17526" w:rsidP="00370CEE">
            <w:pPr>
              <w:spacing w:before="20" w:after="60"/>
              <w:rPr>
                <w:color w:val="000000"/>
                <w:sz w:val="20"/>
                <w:szCs w:val="18"/>
                <w:lang w:eastAsia="en-NZ"/>
              </w:rPr>
            </w:pPr>
            <w:r>
              <w:rPr>
                <w:color w:val="000000"/>
                <w:sz w:val="20"/>
                <w:szCs w:val="18"/>
                <w:lang w:eastAsia="en-NZ"/>
              </w:rPr>
              <w:t>Not r</w:t>
            </w:r>
            <w:r w:rsidRPr="0030431C">
              <w:rPr>
                <w:color w:val="000000"/>
                <w:sz w:val="20"/>
                <w:szCs w:val="18"/>
                <w:lang w:eastAsia="en-NZ"/>
              </w:rPr>
              <w:t>eported</w:t>
            </w:r>
          </w:p>
        </w:tc>
        <w:tc>
          <w:tcPr>
            <w:tcW w:w="110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8</w:t>
            </w:r>
          </w:p>
        </w:tc>
        <w:tc>
          <w:tcPr>
            <w:tcW w:w="1161"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w:t>
            </w:r>
          </w:p>
        </w:tc>
        <w:tc>
          <w:tcPr>
            <w:tcW w:w="1116"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r w:rsidRPr="0030431C">
              <w:rPr>
                <w:color w:val="000000"/>
                <w:sz w:val="20"/>
                <w:szCs w:val="18"/>
                <w:lang w:eastAsia="en-NZ"/>
              </w:rPr>
              <w:t>11.1</w:t>
            </w:r>
          </w:p>
        </w:tc>
        <w:tc>
          <w:tcPr>
            <w:tcW w:w="1019" w:type="dxa"/>
            <w:shd w:val="clear" w:color="auto" w:fill="auto"/>
            <w:noWrap/>
            <w:vAlign w:val="center"/>
            <w:hideMark/>
          </w:tcPr>
          <w:p w:rsidR="00F17526" w:rsidRPr="0030431C" w:rsidRDefault="00F17526" w:rsidP="00370CEE">
            <w:pPr>
              <w:spacing w:before="20" w:after="60"/>
              <w:jc w:val="right"/>
              <w:rPr>
                <w:color w:val="000000"/>
                <w:sz w:val="20"/>
                <w:szCs w:val="18"/>
                <w:lang w:eastAsia="en-NZ"/>
              </w:rPr>
            </w:pPr>
          </w:p>
        </w:tc>
      </w:tr>
      <w:tr w:rsidR="00F17526" w:rsidRPr="0030431C" w:rsidTr="00EA01A5">
        <w:tc>
          <w:tcPr>
            <w:tcW w:w="1951" w:type="dxa"/>
            <w:tcBorders>
              <w:bottom w:val="single" w:sz="4" w:space="0" w:color="auto"/>
            </w:tcBorders>
            <w:shd w:val="clear" w:color="auto" w:fill="auto"/>
            <w:noWrap/>
            <w:hideMark/>
          </w:tcPr>
          <w:p w:rsidR="00F17526" w:rsidRPr="0030431C" w:rsidRDefault="00F17526" w:rsidP="00EA01A5">
            <w:pPr>
              <w:spacing w:before="20"/>
              <w:rPr>
                <w:i/>
                <w:color w:val="000000"/>
                <w:sz w:val="20"/>
                <w:szCs w:val="18"/>
                <w:lang w:eastAsia="en-NZ"/>
              </w:rPr>
            </w:pPr>
            <w:r w:rsidRPr="0030431C">
              <w:rPr>
                <w:i/>
                <w:color w:val="000000"/>
                <w:sz w:val="20"/>
                <w:szCs w:val="18"/>
                <w:lang w:eastAsia="en-NZ"/>
              </w:rPr>
              <w:t>Total</w:t>
            </w:r>
          </w:p>
        </w:tc>
        <w:tc>
          <w:tcPr>
            <w:tcW w:w="2268" w:type="dxa"/>
            <w:tcBorders>
              <w:bottom w:val="single" w:sz="4" w:space="0" w:color="auto"/>
            </w:tcBorders>
            <w:shd w:val="clear" w:color="auto" w:fill="auto"/>
            <w:noWrap/>
            <w:vAlign w:val="center"/>
            <w:hideMark/>
          </w:tcPr>
          <w:p w:rsidR="00F17526" w:rsidRPr="0030431C" w:rsidRDefault="00F17526" w:rsidP="00370CEE">
            <w:pPr>
              <w:spacing w:before="20"/>
              <w:rPr>
                <w:i/>
                <w:color w:val="000000"/>
                <w:sz w:val="20"/>
                <w:szCs w:val="18"/>
                <w:lang w:eastAsia="en-NZ"/>
              </w:rPr>
            </w:pPr>
          </w:p>
        </w:tc>
        <w:tc>
          <w:tcPr>
            <w:tcW w:w="1109" w:type="dxa"/>
            <w:tcBorders>
              <w:bottom w:val="single" w:sz="4" w:space="0" w:color="auto"/>
            </w:tcBorders>
            <w:shd w:val="clear" w:color="auto" w:fill="auto"/>
            <w:noWrap/>
            <w:vAlign w:val="center"/>
            <w:hideMark/>
          </w:tcPr>
          <w:p w:rsidR="00F17526" w:rsidRPr="0030431C" w:rsidRDefault="00F17526" w:rsidP="00370CEE">
            <w:pPr>
              <w:spacing w:before="20"/>
              <w:jc w:val="right"/>
              <w:rPr>
                <w:i/>
                <w:color w:val="000000"/>
                <w:sz w:val="20"/>
                <w:szCs w:val="18"/>
                <w:lang w:eastAsia="en-NZ"/>
              </w:rPr>
            </w:pPr>
            <w:r w:rsidRPr="0030431C">
              <w:rPr>
                <w:i/>
                <w:color w:val="000000"/>
                <w:sz w:val="20"/>
                <w:szCs w:val="18"/>
                <w:lang w:eastAsia="en-NZ"/>
              </w:rPr>
              <w:t>2506</w:t>
            </w:r>
          </w:p>
        </w:tc>
        <w:tc>
          <w:tcPr>
            <w:tcW w:w="1161" w:type="dxa"/>
            <w:tcBorders>
              <w:bottom w:val="single" w:sz="4" w:space="0" w:color="auto"/>
            </w:tcBorders>
            <w:shd w:val="clear" w:color="auto" w:fill="auto"/>
            <w:noWrap/>
            <w:vAlign w:val="center"/>
            <w:hideMark/>
          </w:tcPr>
          <w:p w:rsidR="00F17526" w:rsidRPr="0030431C" w:rsidRDefault="00F17526" w:rsidP="00370CEE">
            <w:pPr>
              <w:spacing w:before="20"/>
              <w:jc w:val="right"/>
              <w:rPr>
                <w:i/>
                <w:color w:val="000000"/>
                <w:sz w:val="20"/>
                <w:szCs w:val="18"/>
                <w:lang w:eastAsia="en-NZ"/>
              </w:rPr>
            </w:pPr>
            <w:r w:rsidRPr="0030431C">
              <w:rPr>
                <w:i/>
                <w:color w:val="000000"/>
                <w:sz w:val="20"/>
                <w:szCs w:val="18"/>
                <w:lang w:eastAsia="en-NZ"/>
              </w:rPr>
              <w:t>3745</w:t>
            </w:r>
          </w:p>
        </w:tc>
        <w:tc>
          <w:tcPr>
            <w:tcW w:w="1116" w:type="dxa"/>
            <w:tcBorders>
              <w:bottom w:val="single" w:sz="4" w:space="0" w:color="auto"/>
            </w:tcBorders>
            <w:shd w:val="clear" w:color="auto" w:fill="auto"/>
            <w:noWrap/>
            <w:vAlign w:val="center"/>
            <w:hideMark/>
          </w:tcPr>
          <w:p w:rsidR="00F17526" w:rsidRPr="0030431C" w:rsidRDefault="00F17526" w:rsidP="00370CEE">
            <w:pPr>
              <w:spacing w:before="20"/>
              <w:jc w:val="right"/>
              <w:rPr>
                <w:i/>
                <w:color w:val="000000"/>
                <w:sz w:val="20"/>
                <w:szCs w:val="18"/>
                <w:lang w:eastAsia="en-NZ"/>
              </w:rPr>
            </w:pPr>
            <w:r w:rsidRPr="0030431C">
              <w:rPr>
                <w:i/>
                <w:color w:val="000000"/>
                <w:sz w:val="20"/>
                <w:szCs w:val="18"/>
                <w:lang w:eastAsia="en-NZ"/>
              </w:rPr>
              <w:t>59.9</w:t>
            </w:r>
          </w:p>
        </w:tc>
        <w:tc>
          <w:tcPr>
            <w:tcW w:w="1019" w:type="dxa"/>
            <w:tcBorders>
              <w:bottom w:val="single" w:sz="4" w:space="0" w:color="auto"/>
            </w:tcBorders>
            <w:shd w:val="clear" w:color="auto" w:fill="auto"/>
            <w:noWrap/>
            <w:vAlign w:val="center"/>
            <w:hideMark/>
          </w:tcPr>
          <w:p w:rsidR="00F17526" w:rsidRPr="0030431C" w:rsidRDefault="00F17526" w:rsidP="00370CEE">
            <w:pPr>
              <w:spacing w:before="20"/>
              <w:jc w:val="right"/>
              <w:rPr>
                <w:i/>
                <w:color w:val="000000"/>
                <w:sz w:val="20"/>
                <w:szCs w:val="18"/>
                <w:lang w:eastAsia="en-NZ"/>
              </w:rPr>
            </w:pPr>
          </w:p>
        </w:tc>
      </w:tr>
    </w:tbl>
    <w:p w:rsidR="00F17526" w:rsidRDefault="00F17526" w:rsidP="00F17526">
      <w:pPr>
        <w:keepNext/>
        <w:jc w:val="both"/>
        <w:rPr>
          <w:sz w:val="20"/>
        </w:rPr>
      </w:pPr>
      <w:r w:rsidRPr="00C650F0">
        <w:rPr>
          <w:b/>
          <w:color w:val="000000"/>
          <w:sz w:val="20"/>
          <w:szCs w:val="18"/>
          <w:vertAlign w:val="superscript"/>
          <w:lang w:eastAsia="en-NZ"/>
        </w:rPr>
        <w:t>#</w:t>
      </w:r>
      <w:r w:rsidRPr="00C650F0">
        <w:rPr>
          <w:b/>
          <w:color w:val="000000"/>
          <w:sz w:val="18"/>
          <w:szCs w:val="18"/>
          <w:vertAlign w:val="superscript"/>
          <w:lang w:eastAsia="en-NZ"/>
        </w:rPr>
        <w:t xml:space="preserve"> </w:t>
      </w:r>
      <w:r w:rsidRPr="00C650F0">
        <w:rPr>
          <w:sz w:val="20"/>
        </w:rPr>
        <w:t>p-values are chi-squares tests for association, exclud</w:t>
      </w:r>
      <w:r>
        <w:rPr>
          <w:sz w:val="20"/>
        </w:rPr>
        <w:t>ing ‘Not r</w:t>
      </w:r>
      <w:r w:rsidRPr="00C650F0">
        <w:rPr>
          <w:sz w:val="20"/>
        </w:rPr>
        <w:t>eported</w:t>
      </w:r>
      <w:r>
        <w:rPr>
          <w:sz w:val="20"/>
        </w:rPr>
        <w:t>’</w:t>
      </w:r>
      <w:r w:rsidRPr="00C650F0">
        <w:rPr>
          <w:sz w:val="20"/>
        </w:rPr>
        <w:t xml:space="preserve"> </w:t>
      </w:r>
      <w:r>
        <w:rPr>
          <w:sz w:val="20"/>
        </w:rPr>
        <w:t>and</w:t>
      </w:r>
      <w:r w:rsidRPr="00C650F0">
        <w:rPr>
          <w:sz w:val="20"/>
        </w:rPr>
        <w:t xml:space="preserve"> </w:t>
      </w:r>
      <w:r>
        <w:rPr>
          <w:sz w:val="20"/>
        </w:rPr>
        <w:t>‘</w:t>
      </w:r>
      <w:r w:rsidRPr="00C650F0">
        <w:rPr>
          <w:sz w:val="20"/>
        </w:rPr>
        <w:t>missing</w:t>
      </w:r>
      <w:r>
        <w:rPr>
          <w:sz w:val="20"/>
        </w:rPr>
        <w:t>’</w:t>
      </w:r>
      <w:r w:rsidRPr="00C650F0">
        <w:rPr>
          <w:sz w:val="20"/>
        </w:rPr>
        <w:t xml:space="preserve"> categor</w:t>
      </w:r>
      <w:r>
        <w:rPr>
          <w:sz w:val="20"/>
        </w:rPr>
        <w:t>ies</w:t>
      </w:r>
    </w:p>
    <w:p w:rsidR="00F3555D" w:rsidRDefault="00F3555D" w:rsidP="00370CEE"/>
    <w:p w:rsidR="00370CEE" w:rsidRDefault="00370CEE" w:rsidP="00370CEE"/>
    <w:p w:rsidR="00370CEE" w:rsidRDefault="00370CEE" w:rsidP="00370CEE"/>
    <w:p w:rsidR="00370CEE" w:rsidRDefault="00370CEE" w:rsidP="00370CEE"/>
    <w:p w:rsidR="00370CEE" w:rsidRDefault="00370CEE" w:rsidP="00370CEE"/>
    <w:p w:rsidR="00370CEE" w:rsidRDefault="00370CEE" w:rsidP="00370CEE"/>
    <w:p w:rsidR="00370CEE" w:rsidRDefault="00370CEE" w:rsidP="00370CEE"/>
    <w:p w:rsidR="00370CEE" w:rsidRDefault="00370CEE">
      <w:r>
        <w:br w:type="page"/>
      </w:r>
    </w:p>
    <w:p w:rsidR="00370CEE" w:rsidRDefault="00370CEE" w:rsidP="00370CEE">
      <w:pPr>
        <w:pStyle w:val="Heading3b"/>
        <w:numPr>
          <w:ilvl w:val="0"/>
          <w:numId w:val="0"/>
        </w:numPr>
        <w:spacing w:before="0" w:after="0"/>
        <w:jc w:val="both"/>
        <w:rPr>
          <w:rFonts w:ascii="Times New Roman" w:hAnsi="Times New Roman" w:cs="Times New Roman"/>
          <w:b/>
          <w:i w:val="0"/>
        </w:rPr>
      </w:pPr>
      <w:bookmarkStart w:id="266" w:name="_Ref404158804"/>
      <w:bookmarkStart w:id="267" w:name="_Toc420392627"/>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175B">
        <w:rPr>
          <w:rFonts w:ascii="Times New Roman" w:hAnsi="Times New Roman" w:cs="Times New Roman"/>
          <w:b/>
          <w:i w:val="0"/>
          <w:noProof/>
        </w:rPr>
        <w:t>4</w:t>
      </w:r>
      <w:r w:rsidRPr="009F568C">
        <w:rPr>
          <w:rFonts w:ascii="Times New Roman" w:hAnsi="Times New Roman" w:cs="Times New Roman"/>
          <w:b/>
          <w:i w:val="0"/>
        </w:rPr>
        <w:fldChar w:fldCharType="end"/>
      </w:r>
      <w:bookmarkEnd w:id="266"/>
      <w:r w:rsidRPr="009F568C">
        <w:rPr>
          <w:rFonts w:ascii="Times New Roman" w:hAnsi="Times New Roman" w:cs="Times New Roman"/>
          <w:b/>
          <w:i w:val="0"/>
        </w:rPr>
        <w:t xml:space="preserve">: </w:t>
      </w:r>
      <w:r>
        <w:rPr>
          <w:rFonts w:ascii="Times New Roman" w:hAnsi="Times New Roman" w:cs="Times New Roman"/>
          <w:b/>
          <w:i w:val="0"/>
        </w:rPr>
        <w:t xml:space="preserve">Prevalence </w:t>
      </w:r>
      <w:r w:rsidR="007D4B0B">
        <w:rPr>
          <w:rFonts w:ascii="Times New Roman" w:hAnsi="Times New Roman" w:cs="Times New Roman"/>
          <w:b/>
          <w:i w:val="0"/>
        </w:rPr>
        <w:t xml:space="preserve">and 95% confidence intervals </w:t>
      </w:r>
      <w:r>
        <w:rPr>
          <w:rFonts w:ascii="Times New Roman" w:hAnsi="Times New Roman" w:cs="Times New Roman"/>
          <w:b/>
          <w:i w:val="0"/>
        </w:rPr>
        <w:t xml:space="preserve">for </w:t>
      </w:r>
      <w:r w:rsidR="00C130D8">
        <w:rPr>
          <w:rFonts w:ascii="Times New Roman" w:hAnsi="Times New Roman" w:cs="Times New Roman"/>
          <w:b/>
          <w:i w:val="0"/>
        </w:rPr>
        <w:t>socio-</w:t>
      </w:r>
      <w:r>
        <w:rPr>
          <w:rFonts w:ascii="Times New Roman" w:hAnsi="Times New Roman" w:cs="Times New Roman"/>
          <w:b/>
          <w:i w:val="0"/>
        </w:rPr>
        <w:t xml:space="preserve">demographic variables </w:t>
      </w:r>
      <w:r w:rsidR="00D25329">
        <w:rPr>
          <w:rFonts w:ascii="Times New Roman" w:hAnsi="Times New Roman" w:cs="Times New Roman"/>
          <w:b/>
          <w:i w:val="0"/>
        </w:rPr>
        <w:t>in</w:t>
      </w:r>
      <w:r w:rsidR="000B37DC">
        <w:rPr>
          <w:rFonts w:ascii="Times New Roman" w:hAnsi="Times New Roman" w:cs="Times New Roman"/>
          <w:b/>
          <w:i w:val="0"/>
        </w:rPr>
        <w:t xml:space="preserve"> Wave 1</w:t>
      </w:r>
      <w:r>
        <w:rPr>
          <w:rFonts w:ascii="Times New Roman" w:hAnsi="Times New Roman" w:cs="Times New Roman"/>
          <w:b/>
          <w:i w:val="0"/>
        </w:rPr>
        <w:t xml:space="preserve"> and </w:t>
      </w:r>
      <w:r w:rsidR="00D25329">
        <w:rPr>
          <w:rFonts w:ascii="Times New Roman" w:hAnsi="Times New Roman" w:cs="Times New Roman"/>
          <w:b/>
          <w:i w:val="0"/>
        </w:rPr>
        <w:t xml:space="preserve">for those repeated in </w:t>
      </w:r>
      <w:r w:rsidR="00286328">
        <w:rPr>
          <w:rFonts w:ascii="Times New Roman" w:hAnsi="Times New Roman" w:cs="Times New Roman"/>
          <w:b/>
          <w:i w:val="0"/>
        </w:rPr>
        <w:t>Wave 2</w:t>
      </w:r>
      <w:bookmarkEnd w:id="267"/>
    </w:p>
    <w:p w:rsidR="00D95FA0" w:rsidRDefault="00D95FA0" w:rsidP="00D95FA0"/>
    <w:tbl>
      <w:tblPr>
        <w:tblStyle w:val="LightShading4"/>
        <w:tblW w:w="0" w:type="auto"/>
        <w:tblLook w:val="06A0" w:firstRow="1" w:lastRow="0" w:firstColumn="1" w:lastColumn="0" w:noHBand="1" w:noVBand="1"/>
      </w:tblPr>
      <w:tblGrid>
        <w:gridCol w:w="3203"/>
        <w:gridCol w:w="708"/>
        <w:gridCol w:w="709"/>
        <w:gridCol w:w="425"/>
        <w:gridCol w:w="851"/>
        <w:gridCol w:w="709"/>
        <w:gridCol w:w="567"/>
        <w:gridCol w:w="567"/>
        <w:gridCol w:w="567"/>
      </w:tblGrid>
      <w:tr w:rsidR="00DB6540"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3" w:type="dxa"/>
            <w:vMerge w:val="restart"/>
            <w:tcBorders>
              <w:bottom w:val="single" w:sz="4" w:space="0" w:color="auto"/>
            </w:tcBorders>
            <w:vAlign w:val="bottom"/>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Demographic variables</w:t>
            </w:r>
          </w:p>
        </w:tc>
        <w:tc>
          <w:tcPr>
            <w:tcW w:w="2693" w:type="dxa"/>
            <w:gridSpan w:val="4"/>
            <w:tcBorders>
              <w:bottom w:val="single" w:sz="4" w:space="0" w:color="auto"/>
              <w:right w:val="single" w:sz="4" w:space="0" w:color="auto"/>
            </w:tcBorders>
            <w:noWrap/>
            <w:vAlign w:val="center"/>
            <w:hideMark/>
          </w:tcPr>
          <w:p w:rsidR="00286328" w:rsidRPr="00365360" w:rsidRDefault="000B37DC" w:rsidP="00D95FA0">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18"/>
                <w:szCs w:val="18"/>
                <w:lang w:eastAsia="en-US"/>
              </w:rPr>
            </w:pPr>
            <w:r>
              <w:rPr>
                <w:rFonts w:ascii="Times New Roman" w:eastAsiaTheme="minorEastAsia" w:hAnsi="Times New Roman" w:cs="Times New Roman"/>
                <w:sz w:val="18"/>
                <w:szCs w:val="18"/>
              </w:rPr>
              <w:t>Wave 1</w:t>
            </w:r>
          </w:p>
        </w:tc>
        <w:tc>
          <w:tcPr>
            <w:tcW w:w="2410" w:type="dxa"/>
            <w:gridSpan w:val="4"/>
            <w:tcBorders>
              <w:left w:val="single" w:sz="4" w:space="0" w:color="auto"/>
              <w:bottom w:val="single" w:sz="4" w:space="0" w:color="auto"/>
            </w:tcBorders>
            <w:vAlign w:val="center"/>
          </w:tcPr>
          <w:p w:rsidR="00286328" w:rsidRPr="00286328" w:rsidRDefault="00286328" w:rsidP="00D95FA0">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Wave 2</w:t>
            </w:r>
          </w:p>
        </w:tc>
      </w:tr>
      <w:tr w:rsidR="00DB6540"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3" w:type="dxa"/>
            <w:vMerge/>
            <w:tcBorders>
              <w:bottom w:val="single" w:sz="4" w:space="0" w:color="auto"/>
            </w:tcBorders>
            <w:vAlign w:val="center"/>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p>
        </w:tc>
        <w:tc>
          <w:tcPr>
            <w:tcW w:w="708" w:type="dxa"/>
            <w:tcBorders>
              <w:top w:val="single" w:sz="4" w:space="0" w:color="auto"/>
              <w:bottom w:val="single" w:sz="4" w:space="0" w:color="auto"/>
            </w:tcBorders>
            <w:noWrap/>
            <w:vAlign w:val="center"/>
            <w:hideMark/>
          </w:tcPr>
          <w:p w:rsidR="00286328" w:rsidRPr="00365360" w:rsidRDefault="00286328"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n</w:t>
            </w:r>
          </w:p>
        </w:tc>
        <w:tc>
          <w:tcPr>
            <w:tcW w:w="709" w:type="dxa"/>
            <w:tcBorders>
              <w:top w:val="single" w:sz="4" w:space="0" w:color="auto"/>
              <w:bottom w:val="single" w:sz="4" w:space="0" w:color="auto"/>
            </w:tcBorders>
            <w:noWrap/>
            <w:vAlign w:val="center"/>
            <w:hideMark/>
          </w:tcPr>
          <w:p w:rsidR="00286328" w:rsidRPr="00365360" w:rsidRDefault="00286328"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w:t>
            </w:r>
          </w:p>
        </w:tc>
        <w:tc>
          <w:tcPr>
            <w:tcW w:w="1276" w:type="dxa"/>
            <w:gridSpan w:val="2"/>
            <w:tcBorders>
              <w:top w:val="single" w:sz="4" w:space="0" w:color="auto"/>
              <w:bottom w:val="single" w:sz="4" w:space="0" w:color="auto"/>
              <w:right w:val="single" w:sz="4" w:space="0" w:color="auto"/>
            </w:tcBorders>
            <w:noWrap/>
            <w:vAlign w:val="center"/>
          </w:tcPr>
          <w:p w:rsidR="00286328" w:rsidRPr="00365360" w:rsidRDefault="005208AE"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r w:rsidR="00286328">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c>
          <w:tcPr>
            <w:tcW w:w="709" w:type="dxa"/>
            <w:tcBorders>
              <w:top w:val="single" w:sz="4" w:space="0" w:color="auto"/>
              <w:left w:val="single" w:sz="4" w:space="0" w:color="auto"/>
              <w:bottom w:val="single" w:sz="4" w:space="0" w:color="auto"/>
            </w:tcBorders>
            <w:noWrap/>
            <w:vAlign w:val="center"/>
          </w:tcPr>
          <w:p w:rsidR="00286328" w:rsidRPr="00365360" w:rsidRDefault="00286328"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n</w:t>
            </w:r>
          </w:p>
        </w:tc>
        <w:tc>
          <w:tcPr>
            <w:tcW w:w="567" w:type="dxa"/>
            <w:tcBorders>
              <w:top w:val="single" w:sz="4" w:space="0" w:color="auto"/>
              <w:bottom w:val="single" w:sz="4" w:space="0" w:color="auto"/>
            </w:tcBorders>
            <w:noWrap/>
            <w:vAlign w:val="center"/>
          </w:tcPr>
          <w:p w:rsidR="00286328" w:rsidRPr="00365360" w:rsidRDefault="00286328"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p>
        </w:tc>
        <w:tc>
          <w:tcPr>
            <w:tcW w:w="1134" w:type="dxa"/>
            <w:gridSpan w:val="2"/>
            <w:tcBorders>
              <w:top w:val="single" w:sz="4" w:space="0" w:color="auto"/>
              <w:bottom w:val="single" w:sz="4" w:space="0" w:color="auto"/>
            </w:tcBorders>
            <w:shd w:val="clear" w:color="auto" w:fill="FFFFFF" w:themeFill="background1"/>
            <w:noWrap/>
            <w:vAlign w:val="center"/>
          </w:tcPr>
          <w:p w:rsidR="00286328" w:rsidRPr="00365360" w:rsidRDefault="005208AE" w:rsidP="005208A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Pr>
                <w:rFonts w:ascii="Times New Roman" w:eastAsiaTheme="minorEastAsia" w:hAnsi="Times New Roman" w:cs="Times New Roman"/>
                <w:sz w:val="18"/>
                <w:szCs w:val="18"/>
                <w:lang w:eastAsia="en-US"/>
              </w:rPr>
              <w:t>(</w:t>
            </w:r>
            <w:r w:rsidR="00286328">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Gender</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Male</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F4D3B">
              <w:rPr>
                <w:rFonts w:ascii="Times New Roman" w:hAnsi="Times New Roman" w:cs="Times New Roman"/>
                <w:sz w:val="18"/>
              </w:rPr>
              <w:t>2990</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F4D3B">
              <w:rPr>
                <w:rFonts w:ascii="Times New Roman" w:hAnsi="Times New Roman" w:cs="Times New Roman"/>
                <w:sz w:val="18"/>
              </w:rPr>
              <w:t>47.8</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r w:rsidR="005208AE" w:rsidRPr="002F4D3B">
              <w:rPr>
                <w:rFonts w:ascii="Times New Roman" w:hAnsi="Times New Roman" w:cs="Times New Roman"/>
                <w:sz w:val="18"/>
              </w:rPr>
              <w:t>46.4</w:t>
            </w:r>
            <w:r w:rsidR="005208AE">
              <w:rPr>
                <w:rFonts w:ascii="Times New Roman" w:hAnsi="Times New Roman" w:cs="Times New Roman"/>
                <w:sz w:val="18"/>
              </w:rPr>
              <w:t xml:space="preserve"> - </w:t>
            </w:r>
            <w:r w:rsidR="005208AE" w:rsidRPr="002F4D3B">
              <w:rPr>
                <w:rFonts w:ascii="Times New Roman" w:hAnsi="Times New Roman" w:cs="Times New Roman"/>
                <w:sz w:val="18"/>
              </w:rPr>
              <w:t>49.3</w:t>
            </w:r>
            <w:r>
              <w:rPr>
                <w:rFonts w:ascii="Times New Roman" w:hAnsi="Times New Roman" w:cs="Times New Roman"/>
                <w:sz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Female</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F4D3B">
              <w:rPr>
                <w:rFonts w:ascii="Times New Roman" w:hAnsi="Times New Roman" w:cs="Times New Roman"/>
                <w:sz w:val="18"/>
              </w:rPr>
              <w:t>3261</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2F4D3B">
              <w:rPr>
                <w:rFonts w:ascii="Times New Roman" w:hAnsi="Times New Roman" w:cs="Times New Roman"/>
                <w:sz w:val="18"/>
              </w:rPr>
              <w:t>52.2</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w:t>
            </w:r>
            <w:r w:rsidR="005208AE" w:rsidRPr="002F4D3B">
              <w:rPr>
                <w:rFonts w:ascii="Times New Roman" w:hAnsi="Times New Roman" w:cs="Times New Roman"/>
                <w:sz w:val="18"/>
              </w:rPr>
              <w:t>50.7</w:t>
            </w:r>
            <w:r w:rsidR="005208AE">
              <w:rPr>
                <w:rFonts w:ascii="Times New Roman" w:hAnsi="Times New Roman" w:cs="Times New Roman"/>
                <w:sz w:val="18"/>
              </w:rPr>
              <w:t xml:space="preserve"> - </w:t>
            </w:r>
            <w:r w:rsidR="005208AE" w:rsidRPr="002F4D3B">
              <w:rPr>
                <w:rFonts w:ascii="Times New Roman" w:hAnsi="Times New Roman" w:cs="Times New Roman"/>
                <w:sz w:val="18"/>
              </w:rPr>
              <w:t>53.6</w:t>
            </w:r>
            <w:r>
              <w:rPr>
                <w:rFonts w:ascii="Times New Roman" w:hAnsi="Times New Roman" w:cs="Times New Roman"/>
                <w:sz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Ethnic group</w:t>
            </w:r>
            <w:r w:rsidR="00D95FA0">
              <w:rPr>
                <w:rFonts w:ascii="Times New Roman" w:eastAsiaTheme="minorEastAsia" w:hAnsi="Times New Roman" w:cs="Times New Roman"/>
                <w:sz w:val="18"/>
                <w:szCs w:val="18"/>
              </w:rPr>
              <w:t xml:space="preserve"> (</w:t>
            </w:r>
            <w:r w:rsidR="00D3673E">
              <w:rPr>
                <w:rFonts w:ascii="Times New Roman" w:eastAsiaTheme="minorEastAsia" w:hAnsi="Times New Roman" w:cs="Times New Roman"/>
                <w:sz w:val="18"/>
                <w:szCs w:val="18"/>
              </w:rPr>
              <w:t>prioritised</w:t>
            </w:r>
            <w:r w:rsidR="00D95FA0">
              <w:rPr>
                <w:rFonts w:ascii="Times New Roman" w:eastAsiaTheme="minorEastAsia" w:hAnsi="Times New Roman" w:cs="Times New Roman"/>
                <w:sz w:val="18"/>
                <w:szCs w:val="18"/>
              </w:rPr>
              <w:t>)</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European/Other</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4562</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72.98</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5208AE" w:rsidRPr="002F4D3B">
              <w:rPr>
                <w:rFonts w:ascii="Times New Roman" w:hAnsi="Times New Roman" w:cs="Times New Roman"/>
                <w:sz w:val="18"/>
                <w:szCs w:val="18"/>
              </w:rPr>
              <w:t>71.9</w:t>
            </w:r>
            <w:r w:rsidR="005208AE">
              <w:rPr>
                <w:rFonts w:ascii="Times New Roman" w:hAnsi="Times New Roman" w:cs="Times New Roman"/>
                <w:sz w:val="18"/>
                <w:szCs w:val="18"/>
              </w:rPr>
              <w:t xml:space="preserve"> - </w:t>
            </w:r>
            <w:r w:rsidR="005208AE" w:rsidRPr="002F4D3B">
              <w:rPr>
                <w:rFonts w:ascii="Times New Roman" w:hAnsi="Times New Roman" w:cs="Times New Roman"/>
                <w:sz w:val="18"/>
                <w:szCs w:val="18"/>
              </w:rPr>
              <w:t>74.1</w:t>
            </w:r>
            <w:r>
              <w:rPr>
                <w:rFonts w:ascii="Times New Roman" w:hAnsi="Times New Roman" w:cs="Times New Roman"/>
                <w:sz w:val="18"/>
                <w:szCs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w:t>
            </w:r>
            <w:r>
              <w:rPr>
                <w:rFonts w:ascii="Times New Roman" w:eastAsiaTheme="minorEastAsia" w:hAnsi="Times New Roman" w:cs="Times New Roman"/>
                <w:b w:val="0"/>
                <w:sz w:val="18"/>
                <w:szCs w:val="18"/>
              </w:rPr>
              <w:t>Māori</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651</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10.4</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5208AE" w:rsidRPr="002F4D3B">
              <w:rPr>
                <w:rFonts w:ascii="Times New Roman" w:hAnsi="Times New Roman" w:cs="Times New Roman"/>
                <w:sz w:val="18"/>
                <w:szCs w:val="18"/>
              </w:rPr>
              <w:t>9.8</w:t>
            </w:r>
            <w:r w:rsidR="005208AE">
              <w:rPr>
                <w:rFonts w:ascii="Times New Roman" w:hAnsi="Times New Roman" w:cs="Times New Roman"/>
                <w:sz w:val="18"/>
                <w:szCs w:val="18"/>
              </w:rPr>
              <w:t xml:space="preserve"> - </w:t>
            </w:r>
            <w:r w:rsidR="005208AE" w:rsidRPr="002F4D3B">
              <w:rPr>
                <w:rFonts w:ascii="Times New Roman" w:hAnsi="Times New Roman" w:cs="Times New Roman"/>
                <w:sz w:val="18"/>
                <w:szCs w:val="18"/>
              </w:rPr>
              <w:t>11.1</w:t>
            </w:r>
            <w:r>
              <w:rPr>
                <w:rFonts w:ascii="Times New Roman" w:hAnsi="Times New Roman" w:cs="Times New Roman"/>
                <w:sz w:val="18"/>
                <w:szCs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Pacific</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309</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5.0</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5208AE" w:rsidRPr="002F4D3B">
              <w:rPr>
                <w:rFonts w:ascii="Times New Roman" w:hAnsi="Times New Roman" w:cs="Times New Roman"/>
                <w:sz w:val="18"/>
                <w:szCs w:val="18"/>
              </w:rPr>
              <w:t>4.6</w:t>
            </w:r>
            <w:r w:rsidR="005208AE">
              <w:rPr>
                <w:rFonts w:ascii="Times New Roman" w:hAnsi="Times New Roman" w:cs="Times New Roman"/>
                <w:sz w:val="18"/>
                <w:szCs w:val="18"/>
              </w:rPr>
              <w:t xml:space="preserve"> - </w:t>
            </w:r>
            <w:r w:rsidR="005208AE" w:rsidRPr="002F4D3B">
              <w:rPr>
                <w:rFonts w:ascii="Times New Roman" w:hAnsi="Times New Roman" w:cs="Times New Roman"/>
                <w:sz w:val="18"/>
                <w:szCs w:val="18"/>
              </w:rPr>
              <w:t>5.4</w:t>
            </w:r>
            <w:r>
              <w:rPr>
                <w:rFonts w:ascii="Times New Roman" w:hAnsi="Times New Roman" w:cs="Times New Roman"/>
                <w:sz w:val="18"/>
                <w:szCs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5208AE" w:rsidRPr="00365360" w:rsidRDefault="005208AE"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Asian</w:t>
            </w:r>
          </w:p>
        </w:tc>
        <w:tc>
          <w:tcPr>
            <w:tcW w:w="708"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638</w:t>
            </w:r>
          </w:p>
        </w:tc>
        <w:tc>
          <w:tcPr>
            <w:tcW w:w="709" w:type="dxa"/>
            <w:tcBorders>
              <w:top w:val="nil"/>
              <w:left w:val="nil"/>
              <w:bottom w:val="nil"/>
              <w:right w:val="nil"/>
            </w:tcBorders>
            <w:noWrap/>
            <w:vAlign w:val="center"/>
          </w:tcPr>
          <w:p w:rsidR="005208AE" w:rsidRPr="002F4D3B"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F4D3B">
              <w:rPr>
                <w:rFonts w:ascii="Times New Roman" w:hAnsi="Times New Roman" w:cs="Times New Roman"/>
                <w:sz w:val="18"/>
                <w:szCs w:val="18"/>
              </w:rPr>
              <w:t>10.2</w:t>
            </w:r>
          </w:p>
        </w:tc>
        <w:tc>
          <w:tcPr>
            <w:tcW w:w="1276" w:type="dxa"/>
            <w:gridSpan w:val="2"/>
            <w:tcBorders>
              <w:top w:val="nil"/>
              <w:left w:val="nil"/>
              <w:bottom w:val="nil"/>
              <w:right w:val="single" w:sz="4" w:space="0" w:color="auto"/>
            </w:tcBorders>
            <w:noWrap/>
            <w:vAlign w:val="center"/>
          </w:tcPr>
          <w:p w:rsidR="005208AE" w:rsidRPr="002F4D3B"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5208AE" w:rsidRPr="002F4D3B">
              <w:rPr>
                <w:rFonts w:ascii="Times New Roman" w:hAnsi="Times New Roman" w:cs="Times New Roman"/>
                <w:sz w:val="18"/>
                <w:szCs w:val="18"/>
              </w:rPr>
              <w:t>9.5</w:t>
            </w:r>
            <w:r w:rsidR="005208AE">
              <w:rPr>
                <w:rFonts w:ascii="Times New Roman" w:hAnsi="Times New Roman" w:cs="Times New Roman"/>
                <w:sz w:val="18"/>
                <w:szCs w:val="18"/>
              </w:rPr>
              <w:t xml:space="preserve"> - </w:t>
            </w:r>
            <w:r w:rsidR="005208AE" w:rsidRPr="002F4D3B">
              <w:rPr>
                <w:rFonts w:ascii="Times New Roman" w:hAnsi="Times New Roman" w:cs="Times New Roman"/>
                <w:sz w:val="18"/>
                <w:szCs w:val="18"/>
              </w:rPr>
              <w:t>11.0</w:t>
            </w:r>
            <w:r>
              <w:rPr>
                <w:rFonts w:ascii="Times New Roman" w:hAnsi="Times New Roman" w:cs="Times New Roman"/>
                <w:sz w:val="18"/>
                <w:szCs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5208AE"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5208AE" w:rsidRPr="00D95FA0" w:rsidRDefault="005208AE" w:rsidP="00D95FA0">
            <w:pPr>
              <w:spacing w:before="20" w:after="20"/>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 xml:space="preserve">   Not reported</w:t>
            </w:r>
          </w:p>
        </w:tc>
        <w:tc>
          <w:tcPr>
            <w:tcW w:w="708" w:type="dxa"/>
            <w:tcBorders>
              <w:top w:val="nil"/>
              <w:left w:val="nil"/>
              <w:bottom w:val="nil"/>
              <w:right w:val="nil"/>
            </w:tcBorders>
            <w:noWrap/>
            <w:vAlign w:val="center"/>
          </w:tcPr>
          <w:p w:rsidR="005208AE" w:rsidRPr="005208AE"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208AE">
              <w:rPr>
                <w:rFonts w:ascii="Times New Roman" w:hAnsi="Times New Roman" w:cs="Times New Roman"/>
                <w:sz w:val="18"/>
                <w:szCs w:val="18"/>
              </w:rPr>
              <w:t>90</w:t>
            </w:r>
          </w:p>
        </w:tc>
        <w:tc>
          <w:tcPr>
            <w:tcW w:w="709" w:type="dxa"/>
            <w:tcBorders>
              <w:top w:val="nil"/>
              <w:left w:val="nil"/>
              <w:bottom w:val="nil"/>
              <w:right w:val="nil"/>
            </w:tcBorders>
            <w:noWrap/>
            <w:vAlign w:val="center"/>
          </w:tcPr>
          <w:p w:rsidR="005208AE" w:rsidRPr="005208AE"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208AE">
              <w:rPr>
                <w:rFonts w:ascii="Times New Roman" w:hAnsi="Times New Roman" w:cs="Times New Roman"/>
                <w:sz w:val="18"/>
                <w:szCs w:val="18"/>
              </w:rPr>
              <w:t>1.4</w:t>
            </w:r>
          </w:p>
        </w:tc>
        <w:tc>
          <w:tcPr>
            <w:tcW w:w="1276" w:type="dxa"/>
            <w:gridSpan w:val="2"/>
            <w:tcBorders>
              <w:top w:val="nil"/>
              <w:left w:val="nil"/>
              <w:bottom w:val="nil"/>
              <w:right w:val="single" w:sz="4" w:space="0" w:color="auto"/>
            </w:tcBorders>
            <w:noWrap/>
            <w:vAlign w:val="center"/>
          </w:tcPr>
          <w:p w:rsidR="005208AE" w:rsidRPr="005208AE" w:rsidRDefault="0012252A" w:rsidP="005208A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w:t>
            </w:r>
            <w:r w:rsidR="005208AE" w:rsidRPr="005208AE">
              <w:rPr>
                <w:rFonts w:ascii="Times New Roman" w:hAnsi="Times New Roman" w:cs="Times New Roman"/>
                <w:sz w:val="18"/>
                <w:szCs w:val="18"/>
              </w:rPr>
              <w:t>1.1 - 1.8</w:t>
            </w:r>
            <w:r>
              <w:rPr>
                <w:rFonts w:ascii="Times New Roman" w:hAnsi="Times New Roman" w:cs="Times New Roman"/>
                <w:sz w:val="18"/>
                <w:szCs w:val="18"/>
              </w:rPr>
              <w:t>)</w:t>
            </w:r>
          </w:p>
        </w:tc>
        <w:tc>
          <w:tcPr>
            <w:tcW w:w="709" w:type="dxa"/>
            <w:tcBorders>
              <w:top w:val="nil"/>
              <w:left w:val="single" w:sz="4" w:space="0" w:color="auto"/>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shd w:val="clear" w:color="auto" w:fill="FFFFFF" w:themeFill="background1"/>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c>
          <w:tcPr>
            <w:tcW w:w="567" w:type="dxa"/>
            <w:tcBorders>
              <w:top w:val="nil"/>
              <w:left w:val="nil"/>
              <w:bottom w:val="nil"/>
              <w:right w:val="nil"/>
            </w:tcBorders>
            <w:noWrap/>
            <w:vAlign w:val="center"/>
          </w:tcPr>
          <w:p w:rsidR="005208AE" w:rsidRPr="00365360" w:rsidRDefault="005208AE"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Age group</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18 - 24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729</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11.7</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10.6</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12.8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25 - 34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1041</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16.7</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15.5</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17.8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35 - 44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1138</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18.2</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17.1</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19.3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45 - 54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1199</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19.2</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18.1</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20.4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55 - 64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940</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15.1</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14.0</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16.1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65+ years</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1196</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19.1</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18.1</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20.2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2252A" w:rsidRPr="00084EBA" w:rsidRDefault="0012252A" w:rsidP="00D95FA0">
            <w:pPr>
              <w:spacing w:before="20" w:after="20"/>
              <w:rPr>
                <w:rFonts w:ascii="Times New Roman" w:eastAsiaTheme="minorEastAsia" w:hAnsi="Times New Roman" w:cs="Times New Roman"/>
                <w:b w:val="0"/>
                <w:sz w:val="18"/>
                <w:szCs w:val="18"/>
              </w:rPr>
            </w:pPr>
            <w:r w:rsidRPr="00084EBA">
              <w:rPr>
                <w:rFonts w:ascii="Times New Roman" w:eastAsiaTheme="minorEastAsia" w:hAnsi="Times New Roman" w:cs="Times New Roman"/>
                <w:b w:val="0"/>
                <w:sz w:val="18"/>
                <w:szCs w:val="18"/>
              </w:rPr>
              <w:t xml:space="preserve">   Missing</w:t>
            </w:r>
          </w:p>
        </w:tc>
        <w:tc>
          <w:tcPr>
            <w:tcW w:w="708" w:type="dxa"/>
            <w:tcBorders>
              <w:top w:val="nil"/>
              <w:left w:val="nil"/>
              <w:bottom w:val="nil"/>
              <w:right w:val="nil"/>
            </w:tcBorders>
            <w:noWrap/>
          </w:tcPr>
          <w:p w:rsidR="0012252A" w:rsidRPr="00084EBA"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7</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r>
              <w:rPr>
                <w:rFonts w:eastAsiaTheme="minorEastAsia"/>
                <w:sz w:val="18"/>
                <w:szCs w:val="18"/>
                <w:lang w:eastAsia="en-US"/>
              </w:rPr>
              <w:t>-</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r>
              <w:rPr>
                <w:rFonts w:eastAsiaTheme="minorEastAsia"/>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Country of birth</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NZ </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4431</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70.9</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69.6</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72.2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Elsewhere</w:t>
            </w:r>
          </w:p>
        </w:tc>
        <w:tc>
          <w:tcPr>
            <w:tcW w:w="708"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1820</w:t>
            </w:r>
          </w:p>
        </w:tc>
        <w:tc>
          <w:tcPr>
            <w:tcW w:w="709" w:type="dxa"/>
            <w:tcBorders>
              <w:top w:val="nil"/>
              <w:left w:val="nil"/>
              <w:bottom w:val="nil"/>
              <w:right w:val="nil"/>
            </w:tcBorders>
            <w:noWrap/>
          </w:tcPr>
          <w:p w:rsidR="0012252A" w:rsidRPr="002F4D3B"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29.1</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27.8</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30.4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Arrival in NZ</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2008 or later</w:t>
            </w:r>
          </w:p>
        </w:tc>
        <w:tc>
          <w:tcPr>
            <w:tcW w:w="708"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313</w:t>
            </w:r>
          </w:p>
        </w:tc>
        <w:tc>
          <w:tcPr>
            <w:tcW w:w="709"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17.2</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15.1</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19.3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Before 2008</w:t>
            </w:r>
          </w:p>
        </w:tc>
        <w:tc>
          <w:tcPr>
            <w:tcW w:w="708"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F4D3B">
              <w:rPr>
                <w:rFonts w:ascii="Times New Roman" w:eastAsiaTheme="minorEastAsia" w:hAnsi="Times New Roman" w:cs="Times New Roman"/>
                <w:sz w:val="18"/>
                <w:szCs w:val="18"/>
                <w:lang w:eastAsia="en-US"/>
              </w:rPr>
              <w:t>1506</w:t>
            </w:r>
          </w:p>
        </w:tc>
        <w:tc>
          <w:tcPr>
            <w:tcW w:w="709"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82.</w:t>
            </w:r>
            <w:r w:rsidRPr="002F4D3B">
              <w:rPr>
                <w:rFonts w:ascii="Times New Roman" w:eastAsiaTheme="minorEastAsia" w:hAnsi="Times New Roman" w:cs="Times New Roman"/>
                <w:sz w:val="18"/>
                <w:szCs w:val="18"/>
                <w:lang w:eastAsia="en-US"/>
              </w:rPr>
              <w:t>8</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F4D3B">
              <w:rPr>
                <w:rFonts w:ascii="Times New Roman" w:eastAsiaTheme="minorEastAsia" w:hAnsi="Times New Roman" w:cs="Times New Roman"/>
                <w:sz w:val="18"/>
                <w:szCs w:val="18"/>
                <w:lang w:eastAsia="en-US"/>
              </w:rPr>
              <w:t>80.7</w:t>
            </w:r>
            <w:r>
              <w:rPr>
                <w:rFonts w:ascii="Times New Roman" w:eastAsiaTheme="minorEastAsia" w:hAnsi="Times New Roman" w:cs="Times New Roman"/>
                <w:sz w:val="18"/>
                <w:szCs w:val="18"/>
                <w:lang w:eastAsia="en-US"/>
              </w:rPr>
              <w:t xml:space="preserve"> - </w:t>
            </w:r>
            <w:r w:rsidRPr="002F4D3B">
              <w:rPr>
                <w:rFonts w:ascii="Times New Roman" w:eastAsiaTheme="minorEastAsia" w:hAnsi="Times New Roman" w:cs="Times New Roman"/>
                <w:sz w:val="18"/>
                <w:szCs w:val="18"/>
                <w:lang w:eastAsia="en-US"/>
              </w:rPr>
              <w:t>84.8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2252A" w:rsidRPr="00084EBA" w:rsidRDefault="0012252A" w:rsidP="007D4B0B">
            <w:pPr>
              <w:spacing w:before="20" w:after="20"/>
              <w:rPr>
                <w:rFonts w:ascii="Times New Roman" w:eastAsiaTheme="minorEastAsia" w:hAnsi="Times New Roman" w:cs="Times New Roman"/>
                <w:b w:val="0"/>
                <w:sz w:val="18"/>
                <w:szCs w:val="18"/>
              </w:rPr>
            </w:pPr>
            <w:r w:rsidRPr="00084EBA">
              <w:rPr>
                <w:rFonts w:ascii="Times New Roman" w:eastAsiaTheme="minorEastAsia" w:hAnsi="Times New Roman" w:cs="Times New Roman"/>
                <w:b w:val="0"/>
                <w:sz w:val="18"/>
                <w:szCs w:val="18"/>
              </w:rPr>
              <w:t xml:space="preserve">   Missing</w:t>
            </w:r>
          </w:p>
        </w:tc>
        <w:tc>
          <w:tcPr>
            <w:tcW w:w="708" w:type="dxa"/>
            <w:tcBorders>
              <w:top w:val="nil"/>
              <w:left w:val="nil"/>
              <w:bottom w:val="nil"/>
              <w:right w:val="nil"/>
            </w:tcBorders>
            <w:noWrap/>
          </w:tcPr>
          <w:p w:rsidR="0012252A" w:rsidRPr="00084EBA"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4225</w:t>
            </w:r>
          </w:p>
        </w:tc>
        <w:tc>
          <w:tcPr>
            <w:tcW w:w="709" w:type="dxa"/>
            <w:tcBorders>
              <w:top w:val="nil"/>
              <w:left w:val="nil"/>
              <w:bottom w:val="nil"/>
              <w:right w:val="nil"/>
            </w:tcBorders>
            <w:noWrap/>
          </w:tcPr>
          <w:p w:rsidR="0012252A" w:rsidRPr="002F4D3B"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r>
              <w:rPr>
                <w:rFonts w:eastAsiaTheme="minorEastAsia"/>
                <w:sz w:val="18"/>
                <w:szCs w:val="18"/>
                <w:lang w:eastAsia="en-US"/>
              </w:rPr>
              <w:t>-</w:t>
            </w:r>
          </w:p>
        </w:tc>
        <w:tc>
          <w:tcPr>
            <w:tcW w:w="1276" w:type="dxa"/>
            <w:gridSpan w:val="2"/>
            <w:tcBorders>
              <w:top w:val="nil"/>
              <w:left w:val="nil"/>
              <w:bottom w:val="nil"/>
              <w:right w:val="single" w:sz="4" w:space="0" w:color="auto"/>
            </w:tcBorders>
            <w:noWrap/>
          </w:tcPr>
          <w:p w:rsidR="0012252A" w:rsidRPr="002F4D3B" w:rsidRDefault="0012252A"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r>
              <w:rPr>
                <w:rFonts w:eastAsiaTheme="minorEastAsia"/>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noWrap/>
            <w:vAlign w:val="center"/>
          </w:tcPr>
          <w:p w:rsidR="0012252A" w:rsidRPr="00365360"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c>
          <w:tcPr>
            <w:tcW w:w="567" w:type="dxa"/>
            <w:tcBorders>
              <w:top w:val="nil"/>
              <w:left w:val="nil"/>
              <w:bottom w:val="nil"/>
              <w:right w:val="nil"/>
            </w:tcBorders>
            <w:noWrap/>
            <w:vAlign w:val="center"/>
          </w:tcPr>
          <w:p w:rsidR="0012252A" w:rsidRPr="00365360" w:rsidRDefault="0012252A"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Highest qualification</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No formal qual.</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955</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15.3</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14.3</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16.2</w:t>
            </w:r>
            <w:r w:rsidR="000B37DC">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School qual.</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1478</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23.6</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22.4</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24.9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Trade/voc. qual.</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1394</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22.3</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21.1</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23.5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Degree/higher</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2422</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38.8</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37.3</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40.2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2252A" w:rsidRPr="00365360" w:rsidRDefault="0012252A" w:rsidP="00D95FA0">
            <w:pPr>
              <w:spacing w:before="20" w:after="20"/>
              <w:rPr>
                <w:rFonts w:eastAsiaTheme="minorEastAsia"/>
                <w:sz w:val="18"/>
                <w:szCs w:val="18"/>
              </w:rPr>
            </w:pPr>
            <w:r>
              <w:rPr>
                <w:rFonts w:ascii="Times New Roman" w:eastAsiaTheme="minorEastAsia" w:hAnsi="Times New Roman" w:cs="Times New Roman"/>
                <w:b w:val="0"/>
                <w:sz w:val="18"/>
                <w:szCs w:val="18"/>
              </w:rPr>
              <w:t xml:space="preserve">   Not reported</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0.0</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0.0</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shd w:val="clear" w:color="auto" w:fill="FFFFFF" w:themeFill="background1"/>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c>
          <w:tcPr>
            <w:tcW w:w="567" w:type="dxa"/>
            <w:tcBorders>
              <w:top w:val="nil"/>
              <w:left w:val="nil"/>
              <w:bottom w:val="nil"/>
              <w:right w:val="nil"/>
            </w:tcBorders>
            <w:noWrap/>
            <w:vAlign w:val="center"/>
          </w:tcPr>
          <w:p w:rsidR="0012252A" w:rsidRPr="00365360"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Labour force status</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Employed</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4004</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64.1</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62.7</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65.5</w:t>
            </w:r>
            <w:r w:rsidR="000B37DC">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2252A" w:rsidRPr="00C130D8" w:rsidRDefault="00E93DF0"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r w:rsidR="0012252A">
              <w:rPr>
                <w:rFonts w:ascii="Times New Roman" w:eastAsiaTheme="minorEastAsia" w:hAnsi="Times New Roman" w:cs="Times New Roman"/>
                <w:sz w:val="18"/>
                <w:szCs w:val="18"/>
                <w:lang w:eastAsia="en-US"/>
              </w:rPr>
              <w:t>472</w:t>
            </w:r>
          </w:p>
        </w:tc>
        <w:tc>
          <w:tcPr>
            <w:tcW w:w="567" w:type="dxa"/>
            <w:tcBorders>
              <w:top w:val="nil"/>
              <w:left w:val="nil"/>
              <w:bottom w:val="nil"/>
              <w:right w:val="nil"/>
            </w:tcBorders>
            <w:noWrap/>
          </w:tcPr>
          <w:p w:rsidR="0012252A" w:rsidRPr="00C130D8" w:rsidRDefault="0012252A"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66.</w:t>
            </w:r>
            <w:r w:rsidR="00E93DF0">
              <w:rPr>
                <w:rFonts w:ascii="Times New Roman" w:eastAsiaTheme="minorEastAsia" w:hAnsi="Times New Roman" w:cs="Times New Roman"/>
                <w:sz w:val="18"/>
                <w:szCs w:val="18"/>
                <w:lang w:eastAsia="en-US"/>
              </w:rPr>
              <w:t>6</w:t>
            </w:r>
          </w:p>
        </w:tc>
        <w:tc>
          <w:tcPr>
            <w:tcW w:w="1134" w:type="dxa"/>
            <w:gridSpan w:val="2"/>
            <w:tcBorders>
              <w:top w:val="nil"/>
              <w:left w:val="nil"/>
              <w:bottom w:val="nil"/>
              <w:right w:val="nil"/>
            </w:tcBorders>
            <w:shd w:val="clear" w:color="auto" w:fill="FFFFFF" w:themeFill="background1"/>
            <w:noWrap/>
          </w:tcPr>
          <w:p w:rsidR="0012252A" w:rsidRPr="00C130D8" w:rsidRDefault="007B3264" w:rsidP="00E93DF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C130D8">
              <w:rPr>
                <w:rFonts w:ascii="Times New Roman" w:eastAsiaTheme="minorEastAsia" w:hAnsi="Times New Roman" w:cs="Times New Roman"/>
                <w:sz w:val="18"/>
                <w:szCs w:val="18"/>
                <w:lang w:eastAsia="en-US"/>
              </w:rPr>
              <w:t>64.</w:t>
            </w:r>
            <w:r w:rsidR="00E93DF0">
              <w:rPr>
                <w:rFonts w:ascii="Times New Roman" w:eastAsiaTheme="minorEastAsia" w:hAnsi="Times New Roman" w:cs="Times New Roman"/>
                <w:sz w:val="18"/>
                <w:szCs w:val="18"/>
                <w:lang w:eastAsia="en-US"/>
              </w:rPr>
              <w:t>6</w:t>
            </w:r>
            <w:r w:rsidR="0012252A">
              <w:rPr>
                <w:rFonts w:ascii="Times New Roman" w:eastAsiaTheme="minorEastAsia" w:hAnsi="Times New Roman" w:cs="Times New Roman"/>
                <w:sz w:val="18"/>
                <w:szCs w:val="18"/>
                <w:lang w:eastAsia="en-US"/>
              </w:rPr>
              <w:t xml:space="preserve"> - </w:t>
            </w:r>
            <w:r w:rsidR="0012252A" w:rsidRPr="00C130D8">
              <w:rPr>
                <w:rFonts w:ascii="Times New Roman" w:eastAsiaTheme="minorEastAsia" w:hAnsi="Times New Roman" w:cs="Times New Roman"/>
                <w:sz w:val="18"/>
                <w:szCs w:val="18"/>
                <w:lang w:eastAsia="en-US"/>
              </w:rPr>
              <w:t>6</w:t>
            </w:r>
            <w:r w:rsidR="00E93DF0">
              <w:rPr>
                <w:rFonts w:ascii="Times New Roman" w:eastAsiaTheme="minorEastAsia" w:hAnsi="Times New Roman" w:cs="Times New Roman"/>
                <w:sz w:val="18"/>
                <w:szCs w:val="18"/>
                <w:lang w:eastAsia="en-US"/>
              </w:rPr>
              <w:t>8.5</w:t>
            </w:r>
            <w:r>
              <w:rPr>
                <w:rFonts w:ascii="Times New Roman" w:eastAsiaTheme="minorEastAsia" w:hAnsi="Times New Roman" w:cs="Times New Roman"/>
                <w:sz w:val="18"/>
                <w:szCs w:val="18"/>
                <w:lang w:eastAsia="en-US"/>
              </w:rPr>
              <w:t>)</w:t>
            </w: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Unemployed</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504</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8.1</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7.3</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8.8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2252A" w:rsidRPr="00C130D8" w:rsidRDefault="00E93DF0"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274</w:t>
            </w:r>
          </w:p>
        </w:tc>
        <w:tc>
          <w:tcPr>
            <w:tcW w:w="567" w:type="dxa"/>
            <w:tcBorders>
              <w:top w:val="nil"/>
              <w:left w:val="nil"/>
              <w:bottom w:val="nil"/>
              <w:right w:val="nil"/>
            </w:tcBorders>
            <w:noWrap/>
          </w:tcPr>
          <w:p w:rsidR="0012252A" w:rsidRPr="00C130D8" w:rsidRDefault="0012252A"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7</w:t>
            </w:r>
            <w:r w:rsidR="00E93DF0">
              <w:rPr>
                <w:rFonts w:ascii="Times New Roman" w:eastAsiaTheme="minorEastAsia" w:hAnsi="Times New Roman" w:cs="Times New Roman"/>
                <w:sz w:val="18"/>
                <w:szCs w:val="18"/>
                <w:lang w:eastAsia="en-US"/>
              </w:rPr>
              <w:t>6.1</w:t>
            </w:r>
          </w:p>
        </w:tc>
        <w:tc>
          <w:tcPr>
            <w:tcW w:w="1134" w:type="dxa"/>
            <w:gridSpan w:val="2"/>
            <w:tcBorders>
              <w:top w:val="nil"/>
              <w:left w:val="nil"/>
              <w:bottom w:val="nil"/>
              <w:right w:val="nil"/>
            </w:tcBorders>
            <w:shd w:val="clear" w:color="auto" w:fill="FFFFFF" w:themeFill="background1"/>
            <w:noWrap/>
          </w:tcPr>
          <w:p w:rsidR="0012252A" w:rsidRPr="00C130D8" w:rsidRDefault="007B3264" w:rsidP="00E93DF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E93DF0">
              <w:rPr>
                <w:rFonts w:ascii="Times New Roman" w:eastAsiaTheme="minorEastAsia" w:hAnsi="Times New Roman" w:cs="Times New Roman"/>
                <w:sz w:val="18"/>
                <w:szCs w:val="18"/>
                <w:lang w:eastAsia="en-US"/>
              </w:rPr>
              <w:t>5.2</w:t>
            </w:r>
            <w:r w:rsidR="0012252A">
              <w:rPr>
                <w:rFonts w:ascii="Times New Roman" w:eastAsiaTheme="minorEastAsia" w:hAnsi="Times New Roman" w:cs="Times New Roman"/>
                <w:sz w:val="18"/>
                <w:szCs w:val="18"/>
                <w:lang w:eastAsia="en-US"/>
              </w:rPr>
              <w:t xml:space="preserve"> - </w:t>
            </w:r>
            <w:r w:rsidR="00E93DF0">
              <w:rPr>
                <w:rFonts w:ascii="Times New Roman" w:eastAsiaTheme="minorEastAsia" w:hAnsi="Times New Roman" w:cs="Times New Roman"/>
                <w:sz w:val="18"/>
                <w:szCs w:val="18"/>
                <w:lang w:eastAsia="en-US"/>
              </w:rPr>
              <w:t>7.0</w:t>
            </w:r>
            <w:r>
              <w:rPr>
                <w:rFonts w:ascii="Times New Roman" w:eastAsiaTheme="minorEastAsia" w:hAnsi="Times New Roman" w:cs="Times New Roman"/>
                <w:sz w:val="18"/>
                <w:szCs w:val="18"/>
                <w:lang w:eastAsia="en-US"/>
              </w:rPr>
              <w:t>)</w:t>
            </w: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12252A" w:rsidRPr="00365360" w:rsidRDefault="0012252A"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Student/Home</w:t>
            </w:r>
            <w:r w:rsidR="00543D6D">
              <w:rPr>
                <w:rFonts w:ascii="Times New Roman" w:eastAsiaTheme="minorEastAsia" w:hAnsi="Times New Roman" w:cs="Times New Roman"/>
                <w:b w:val="0"/>
                <w:sz w:val="18"/>
                <w:szCs w:val="18"/>
              </w:rPr>
              <w:t>maker</w:t>
            </w:r>
            <w:r w:rsidRPr="00365360">
              <w:rPr>
                <w:rFonts w:ascii="Times New Roman" w:eastAsiaTheme="minorEastAsia" w:hAnsi="Times New Roman" w:cs="Times New Roman"/>
                <w:b w:val="0"/>
                <w:sz w:val="18"/>
                <w:szCs w:val="18"/>
              </w:rPr>
              <w:t>/Retired</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1705</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27.3</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26.0</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28.6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2252A" w:rsidRPr="00C130D8" w:rsidRDefault="0012252A"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987</w:t>
            </w:r>
          </w:p>
        </w:tc>
        <w:tc>
          <w:tcPr>
            <w:tcW w:w="567" w:type="dxa"/>
            <w:tcBorders>
              <w:top w:val="nil"/>
              <w:left w:val="nil"/>
              <w:bottom w:val="nil"/>
              <w:right w:val="nil"/>
            </w:tcBorders>
            <w:noWrap/>
          </w:tcPr>
          <w:p w:rsidR="0012252A" w:rsidRPr="00C130D8" w:rsidRDefault="0012252A"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w:t>
            </w:r>
            <w:r w:rsidR="00E93DF0">
              <w:rPr>
                <w:rFonts w:ascii="Times New Roman" w:eastAsiaTheme="minorEastAsia" w:hAnsi="Times New Roman" w:cs="Times New Roman"/>
                <w:sz w:val="18"/>
                <w:szCs w:val="18"/>
                <w:lang w:eastAsia="en-US"/>
              </w:rPr>
              <w:t>7.0</w:t>
            </w:r>
          </w:p>
        </w:tc>
        <w:tc>
          <w:tcPr>
            <w:tcW w:w="1134" w:type="dxa"/>
            <w:gridSpan w:val="2"/>
            <w:tcBorders>
              <w:top w:val="nil"/>
              <w:left w:val="nil"/>
              <w:bottom w:val="nil"/>
              <w:right w:val="nil"/>
            </w:tcBorders>
            <w:shd w:val="clear" w:color="auto" w:fill="FFFFFF" w:themeFill="background1"/>
            <w:noWrap/>
          </w:tcPr>
          <w:p w:rsidR="0012252A" w:rsidRPr="00C130D8" w:rsidRDefault="007B3264" w:rsidP="00E93DF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C130D8">
              <w:rPr>
                <w:rFonts w:ascii="Times New Roman" w:eastAsiaTheme="minorEastAsia" w:hAnsi="Times New Roman" w:cs="Times New Roman"/>
                <w:sz w:val="18"/>
                <w:szCs w:val="18"/>
                <w:lang w:eastAsia="en-US"/>
              </w:rPr>
              <w:t>2</w:t>
            </w:r>
            <w:r w:rsidR="00E93DF0">
              <w:rPr>
                <w:rFonts w:ascii="Times New Roman" w:eastAsiaTheme="minorEastAsia" w:hAnsi="Times New Roman" w:cs="Times New Roman"/>
                <w:sz w:val="18"/>
                <w:szCs w:val="18"/>
                <w:lang w:eastAsia="en-US"/>
              </w:rPr>
              <w:t>5.2</w:t>
            </w:r>
            <w:r w:rsidR="0012252A">
              <w:rPr>
                <w:rFonts w:ascii="Times New Roman" w:eastAsiaTheme="minorEastAsia" w:hAnsi="Times New Roman" w:cs="Times New Roman"/>
                <w:sz w:val="18"/>
                <w:szCs w:val="18"/>
                <w:lang w:eastAsia="en-US"/>
              </w:rPr>
              <w:t xml:space="preserve"> - </w:t>
            </w:r>
            <w:r w:rsidR="00E93DF0">
              <w:rPr>
                <w:rFonts w:ascii="Times New Roman" w:eastAsiaTheme="minorEastAsia" w:hAnsi="Times New Roman" w:cs="Times New Roman"/>
                <w:sz w:val="18"/>
                <w:szCs w:val="18"/>
                <w:lang w:eastAsia="en-US"/>
              </w:rPr>
              <w:t>28.8</w:t>
            </w:r>
            <w:r>
              <w:rPr>
                <w:rFonts w:ascii="Times New Roman" w:eastAsiaTheme="minorEastAsia" w:hAnsi="Times New Roman" w:cs="Times New Roman"/>
                <w:sz w:val="18"/>
                <w:szCs w:val="18"/>
                <w:lang w:eastAsia="en-US"/>
              </w:rPr>
              <w:t>)</w:t>
            </w:r>
          </w:p>
        </w:tc>
      </w:tr>
      <w:tr w:rsidR="00E93DF0" w:rsidRPr="00365360" w:rsidTr="001412ED">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E93DF0" w:rsidRPr="00D3673E" w:rsidRDefault="00E93DF0" w:rsidP="00D95FA0">
            <w:pPr>
              <w:spacing w:before="20" w:after="20"/>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 xml:space="preserve">   </w:t>
            </w:r>
            <w:r w:rsidRPr="00D3673E">
              <w:rPr>
                <w:rFonts w:ascii="Times New Roman" w:eastAsiaTheme="minorEastAsia" w:hAnsi="Times New Roman" w:cs="Times New Roman"/>
                <w:b w:val="0"/>
                <w:sz w:val="18"/>
                <w:szCs w:val="18"/>
              </w:rPr>
              <w:t>Other</w:t>
            </w:r>
          </w:p>
        </w:tc>
        <w:tc>
          <w:tcPr>
            <w:tcW w:w="708" w:type="dxa"/>
            <w:tcBorders>
              <w:top w:val="nil"/>
              <w:left w:val="nil"/>
              <w:bottom w:val="nil"/>
              <w:right w:val="nil"/>
            </w:tcBorders>
            <w:noWrap/>
          </w:tcPr>
          <w:p w:rsidR="00E93DF0" w:rsidRPr="00D3673E" w:rsidRDefault="00E93DF0"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36</w:t>
            </w:r>
          </w:p>
        </w:tc>
        <w:tc>
          <w:tcPr>
            <w:tcW w:w="709" w:type="dxa"/>
            <w:tcBorders>
              <w:top w:val="nil"/>
              <w:left w:val="nil"/>
              <w:bottom w:val="nil"/>
              <w:right w:val="nil"/>
            </w:tcBorders>
            <w:noWrap/>
          </w:tcPr>
          <w:p w:rsidR="00E93DF0" w:rsidRPr="00D3673E" w:rsidRDefault="00E93DF0"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0.6</w:t>
            </w:r>
          </w:p>
        </w:tc>
        <w:tc>
          <w:tcPr>
            <w:tcW w:w="1276" w:type="dxa"/>
            <w:gridSpan w:val="2"/>
            <w:tcBorders>
              <w:top w:val="nil"/>
              <w:left w:val="nil"/>
              <w:bottom w:val="nil"/>
              <w:right w:val="single" w:sz="4" w:space="0" w:color="auto"/>
            </w:tcBorders>
            <w:noWrap/>
          </w:tcPr>
          <w:p w:rsidR="00E93DF0" w:rsidRPr="00D3673E" w:rsidRDefault="00E93DF0"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D3673E">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 xml:space="preserve"> - </w:t>
            </w:r>
            <w:r w:rsidRPr="00D3673E">
              <w:rPr>
                <w:rFonts w:ascii="Times New Roman" w:eastAsiaTheme="minorEastAsia" w:hAnsi="Times New Roman" w:cs="Times New Roman"/>
                <w:sz w:val="18"/>
                <w:szCs w:val="18"/>
                <w:lang w:eastAsia="en-US"/>
              </w:rPr>
              <w:t>0.8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E93DF0" w:rsidRPr="00787D3C" w:rsidRDefault="00E93DF0"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12</w:t>
            </w:r>
          </w:p>
        </w:tc>
        <w:tc>
          <w:tcPr>
            <w:tcW w:w="567" w:type="dxa"/>
            <w:tcBorders>
              <w:top w:val="nil"/>
              <w:left w:val="nil"/>
              <w:bottom w:val="nil"/>
              <w:right w:val="nil"/>
            </w:tcBorders>
            <w:noWrap/>
            <w:vAlign w:val="center"/>
          </w:tcPr>
          <w:p w:rsidR="00E93DF0" w:rsidRPr="00787D3C" w:rsidRDefault="00E93DF0"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0.4</w:t>
            </w:r>
          </w:p>
        </w:tc>
        <w:tc>
          <w:tcPr>
            <w:tcW w:w="1134" w:type="dxa"/>
            <w:gridSpan w:val="2"/>
            <w:tcBorders>
              <w:top w:val="nil"/>
              <w:left w:val="nil"/>
              <w:bottom w:val="nil"/>
              <w:right w:val="nil"/>
            </w:tcBorders>
            <w:shd w:val="clear" w:color="auto" w:fill="FFFFFF" w:themeFill="background1"/>
            <w:noWrap/>
            <w:vAlign w:val="center"/>
          </w:tcPr>
          <w:p w:rsidR="00E93DF0" w:rsidRPr="00787D3C" w:rsidRDefault="00E93DF0"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(0.1 - 0.6)</w:t>
            </w:r>
          </w:p>
        </w:tc>
      </w:tr>
      <w:tr w:rsidR="0012252A"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2252A" w:rsidRPr="00D3673E" w:rsidRDefault="0012252A" w:rsidP="00D95FA0">
            <w:pPr>
              <w:spacing w:before="20" w:after="20"/>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 xml:space="preserve">   </w:t>
            </w:r>
            <w:r w:rsidRPr="00D3673E">
              <w:rPr>
                <w:rFonts w:ascii="Times New Roman" w:eastAsiaTheme="minorEastAsia" w:hAnsi="Times New Roman" w:cs="Times New Roman"/>
                <w:b w:val="0"/>
                <w:sz w:val="18"/>
                <w:szCs w:val="18"/>
              </w:rPr>
              <w:t>Not reported</w:t>
            </w:r>
          </w:p>
        </w:tc>
        <w:tc>
          <w:tcPr>
            <w:tcW w:w="708"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2</w:t>
            </w:r>
          </w:p>
        </w:tc>
        <w:tc>
          <w:tcPr>
            <w:tcW w:w="709" w:type="dxa"/>
            <w:tcBorders>
              <w:top w:val="nil"/>
              <w:left w:val="nil"/>
              <w:bottom w:val="nil"/>
              <w:right w:val="nil"/>
            </w:tcBorders>
            <w:noWrap/>
          </w:tcPr>
          <w:p w:rsidR="0012252A" w:rsidRPr="00D3673E" w:rsidRDefault="0012252A" w:rsidP="00D367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3673E">
              <w:rPr>
                <w:rFonts w:ascii="Times New Roman" w:eastAsiaTheme="minorEastAsia" w:hAnsi="Times New Roman" w:cs="Times New Roman"/>
                <w:sz w:val="18"/>
                <w:szCs w:val="18"/>
                <w:lang w:eastAsia="en-US"/>
              </w:rPr>
              <w:t>0.0</w:t>
            </w:r>
          </w:p>
        </w:tc>
        <w:tc>
          <w:tcPr>
            <w:tcW w:w="1276" w:type="dxa"/>
            <w:gridSpan w:val="2"/>
            <w:tcBorders>
              <w:top w:val="nil"/>
              <w:left w:val="nil"/>
              <w:bottom w:val="nil"/>
              <w:right w:val="single" w:sz="4" w:space="0" w:color="auto"/>
            </w:tcBorders>
            <w:noWrap/>
          </w:tcPr>
          <w:p w:rsidR="0012252A" w:rsidRPr="00D3673E" w:rsidRDefault="007B3264" w:rsidP="0012252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2252A" w:rsidRPr="00D3673E">
              <w:rPr>
                <w:rFonts w:ascii="Times New Roman" w:eastAsiaTheme="minorEastAsia" w:hAnsi="Times New Roman" w:cs="Times New Roman"/>
                <w:sz w:val="18"/>
                <w:szCs w:val="18"/>
                <w:lang w:eastAsia="en-US"/>
              </w:rPr>
              <w:t>0.0</w:t>
            </w:r>
            <w:r w:rsidR="0012252A">
              <w:rPr>
                <w:rFonts w:ascii="Times New Roman" w:eastAsiaTheme="minorEastAsia" w:hAnsi="Times New Roman" w:cs="Times New Roman"/>
                <w:sz w:val="18"/>
                <w:szCs w:val="18"/>
                <w:lang w:eastAsia="en-US"/>
              </w:rPr>
              <w:t xml:space="preserve"> - </w:t>
            </w:r>
            <w:r w:rsidR="0012252A" w:rsidRPr="00D3673E">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12252A" w:rsidRPr="00787D3C" w:rsidRDefault="00E93DF0"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0</w:t>
            </w:r>
          </w:p>
        </w:tc>
        <w:tc>
          <w:tcPr>
            <w:tcW w:w="567" w:type="dxa"/>
            <w:tcBorders>
              <w:top w:val="nil"/>
              <w:left w:val="nil"/>
              <w:bottom w:val="nil"/>
              <w:right w:val="nil"/>
            </w:tcBorders>
            <w:noWrap/>
            <w:vAlign w:val="center"/>
          </w:tcPr>
          <w:p w:rsidR="0012252A" w:rsidRPr="00787D3C"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w:t>
            </w:r>
          </w:p>
        </w:tc>
        <w:tc>
          <w:tcPr>
            <w:tcW w:w="567" w:type="dxa"/>
            <w:tcBorders>
              <w:top w:val="nil"/>
              <w:left w:val="nil"/>
              <w:bottom w:val="nil"/>
              <w:right w:val="nil"/>
            </w:tcBorders>
            <w:shd w:val="clear" w:color="auto" w:fill="FFFFFF" w:themeFill="background1"/>
            <w:noWrap/>
            <w:vAlign w:val="center"/>
          </w:tcPr>
          <w:p w:rsidR="0012252A" w:rsidRPr="00787D3C" w:rsidRDefault="0012252A"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12252A" w:rsidRPr="00787D3C"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w:t>
            </w: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Religion</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No religion</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2377</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38.0</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36.6</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39.5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Anglican</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983</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15.7</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14.6</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16.8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6305B8">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w:t>
            </w:r>
            <w:r>
              <w:rPr>
                <w:rFonts w:ascii="Times New Roman" w:eastAsiaTheme="minorEastAsia" w:hAnsi="Times New Roman" w:cs="Times New Roman"/>
                <w:b w:val="0"/>
                <w:sz w:val="18"/>
                <w:szCs w:val="18"/>
              </w:rPr>
              <w:t xml:space="preserve"> Catholic</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800</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12.8</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11.9</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13.8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Presbyterian</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610</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9.8</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8.9</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10.6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Other Christian</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980</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15.7</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14.7</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16.</w:t>
            </w:r>
            <w:r>
              <w:rPr>
                <w:rFonts w:ascii="Times New Roman" w:eastAsiaTheme="minorEastAsia" w:hAnsi="Times New Roman" w:cs="Times New Roman"/>
                <w:sz w:val="18"/>
                <w:szCs w:val="18"/>
                <w:lang w:eastAsia="en-US"/>
              </w:rPr>
              <w:t>7)</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Other religion</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489</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7.8</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7.1</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8.6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365360"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6305B8"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single" w:sz="4" w:space="0" w:color="auto"/>
              <w:right w:val="nil"/>
            </w:tcBorders>
          </w:tcPr>
          <w:p w:rsidR="007B3264" w:rsidRPr="006305B8" w:rsidRDefault="007B3264" w:rsidP="00D95FA0">
            <w:pPr>
              <w:spacing w:before="20" w:after="20"/>
              <w:rPr>
                <w:rFonts w:ascii="Times New Roman" w:eastAsiaTheme="minorEastAsia" w:hAnsi="Times New Roman" w:cs="Times New Roman"/>
                <w:b w:val="0"/>
                <w:sz w:val="18"/>
                <w:szCs w:val="18"/>
              </w:rPr>
            </w:pPr>
            <w:r w:rsidRPr="006305B8">
              <w:rPr>
                <w:rFonts w:ascii="Times New Roman" w:eastAsiaTheme="minorEastAsia" w:hAnsi="Times New Roman" w:cs="Times New Roman"/>
                <w:b w:val="0"/>
                <w:sz w:val="18"/>
                <w:szCs w:val="18"/>
              </w:rPr>
              <w:t xml:space="preserve">   Not reported</w:t>
            </w:r>
          </w:p>
        </w:tc>
        <w:tc>
          <w:tcPr>
            <w:tcW w:w="708" w:type="dxa"/>
            <w:tcBorders>
              <w:top w:val="nil"/>
              <w:left w:val="nil"/>
              <w:bottom w:val="single" w:sz="4" w:space="0" w:color="auto"/>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9.6</w:t>
            </w:r>
          </w:p>
        </w:tc>
        <w:tc>
          <w:tcPr>
            <w:tcW w:w="709" w:type="dxa"/>
            <w:tcBorders>
              <w:top w:val="nil"/>
              <w:left w:val="nil"/>
              <w:bottom w:val="single" w:sz="4" w:space="0" w:color="auto"/>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0.2</w:t>
            </w:r>
          </w:p>
        </w:tc>
        <w:tc>
          <w:tcPr>
            <w:tcW w:w="1276" w:type="dxa"/>
            <w:gridSpan w:val="2"/>
            <w:tcBorders>
              <w:top w:val="nil"/>
              <w:left w:val="nil"/>
              <w:bottom w:val="single" w:sz="4" w:space="0" w:color="auto"/>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single" w:sz="4" w:space="0" w:color="auto"/>
              <w:right w:val="nil"/>
            </w:tcBorders>
            <w:noWrap/>
            <w:vAlign w:val="center"/>
          </w:tcPr>
          <w:p w:rsidR="007B3264" w:rsidRPr="006305B8"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single" w:sz="4" w:space="0" w:color="auto"/>
              <w:right w:val="nil"/>
            </w:tcBorders>
            <w:noWrap/>
            <w:vAlign w:val="center"/>
          </w:tcPr>
          <w:p w:rsidR="007B3264" w:rsidRPr="006305B8"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single" w:sz="4" w:space="0" w:color="auto"/>
              <w:right w:val="nil"/>
            </w:tcBorders>
            <w:shd w:val="clear" w:color="auto" w:fill="FFFFFF" w:themeFill="background1"/>
            <w:noWrap/>
            <w:vAlign w:val="center"/>
          </w:tcPr>
          <w:p w:rsidR="007B3264" w:rsidRPr="006305B8"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single" w:sz="4" w:space="0" w:color="auto"/>
              <w:right w:val="nil"/>
            </w:tcBorders>
            <w:noWrap/>
            <w:vAlign w:val="center"/>
          </w:tcPr>
          <w:p w:rsidR="007B3264" w:rsidRPr="006305B8"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single" w:sz="4" w:space="0" w:color="auto"/>
              <w:left w:val="nil"/>
              <w:bottom w:val="nil"/>
              <w:right w:val="nil"/>
            </w:tcBorders>
            <w:hideMark/>
          </w:tcPr>
          <w:p w:rsidR="00286328" w:rsidRPr="00365360" w:rsidRDefault="00286328" w:rsidP="00084EBA">
            <w:pPr>
              <w:keepNext/>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lastRenderedPageBreak/>
              <w:t>Household size</w:t>
            </w:r>
          </w:p>
        </w:tc>
        <w:tc>
          <w:tcPr>
            <w:tcW w:w="708" w:type="dxa"/>
            <w:tcBorders>
              <w:top w:val="single" w:sz="4" w:space="0" w:color="auto"/>
              <w:left w:val="nil"/>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single" w:sz="4" w:space="0" w:color="auto"/>
              <w:left w:val="nil"/>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single" w:sz="4" w:space="0" w:color="auto"/>
              <w:left w:val="nil"/>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single" w:sz="4" w:space="0" w:color="auto"/>
              <w:left w:val="nil"/>
              <w:bottom w:val="nil"/>
              <w:right w:val="single" w:sz="4" w:space="0" w:color="auto"/>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single" w:sz="4" w:space="0" w:color="auto"/>
              <w:left w:val="single" w:sz="4" w:space="0" w:color="auto"/>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single" w:sz="4" w:space="0" w:color="auto"/>
              <w:left w:val="nil"/>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single" w:sz="4" w:space="0" w:color="auto"/>
              <w:left w:val="nil"/>
              <w:bottom w:val="nil"/>
              <w:right w:val="nil"/>
            </w:tcBorders>
            <w:shd w:val="clear" w:color="auto" w:fill="FFFFFF" w:themeFill="background1"/>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single" w:sz="4" w:space="0" w:color="auto"/>
              <w:left w:val="nil"/>
              <w:bottom w:val="nil"/>
              <w:right w:val="nil"/>
            </w:tcBorders>
            <w:noWrap/>
            <w:vAlign w:val="center"/>
          </w:tcPr>
          <w:p w:rsidR="00286328" w:rsidRPr="00365360" w:rsidRDefault="00286328"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084EBA">
            <w:pPr>
              <w:keepNext/>
              <w:spacing w:before="20" w:after="20"/>
              <w:ind w:left="176"/>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1</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606</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9.7</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9.1</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10.3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361</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9.6</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8. 8</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10.5</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084EBA">
            <w:pPr>
              <w:keepNext/>
              <w:spacing w:before="20" w:after="20"/>
              <w:ind w:left="176"/>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2</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2168</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34.7</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33.3</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36.1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1310</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35.0</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33.2</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36.8</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084EBA">
            <w:pPr>
              <w:keepNext/>
              <w:spacing w:before="20" w:after="20"/>
              <w:ind w:left="176"/>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3</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1087</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17.4</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16.3</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18.5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712</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19.0</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17.5</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20.6</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084EBA">
            <w:pPr>
              <w:keepNext/>
              <w:spacing w:before="20" w:after="20"/>
              <w:ind w:left="176"/>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4</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1286</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20.6</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19.3</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21.8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699</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18.7</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17.1</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20.2</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084EBA">
            <w:pPr>
              <w:keepNext/>
              <w:spacing w:before="20" w:after="20"/>
              <w:ind w:left="176"/>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5+</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1097</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17.6</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16.3</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18.8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664</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17.7</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16.1</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19.3</w:t>
            </w:r>
            <w:r>
              <w:rPr>
                <w:rFonts w:ascii="Times New Roman" w:eastAsiaTheme="minorEastAsia" w:hAnsi="Times New Roman" w:cs="Times New Roman"/>
                <w:sz w:val="18"/>
                <w:szCs w:val="18"/>
                <w:lang w:eastAsia="en-US"/>
              </w:rPr>
              <w:t>)</w:t>
            </w:r>
          </w:p>
        </w:tc>
      </w:tr>
      <w:tr w:rsidR="007B3264" w:rsidRPr="00084EBA"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7B3264" w:rsidRPr="00084EBA" w:rsidRDefault="007B3264" w:rsidP="00084EBA">
            <w:pPr>
              <w:keepNext/>
              <w:spacing w:before="20" w:after="20"/>
              <w:ind w:left="176"/>
              <w:rPr>
                <w:rFonts w:ascii="Times New Roman" w:eastAsiaTheme="minorEastAsia" w:hAnsi="Times New Roman" w:cs="Times New Roman"/>
                <w:b w:val="0"/>
                <w:sz w:val="18"/>
                <w:szCs w:val="18"/>
              </w:rPr>
            </w:pPr>
            <w:r w:rsidRPr="00084EBA">
              <w:rPr>
                <w:rFonts w:ascii="Times New Roman" w:eastAsiaTheme="minorEastAsia" w:hAnsi="Times New Roman" w:cs="Times New Roman"/>
                <w:b w:val="0"/>
                <w:sz w:val="18"/>
                <w:szCs w:val="18"/>
              </w:rPr>
              <w:t>Not reported</w:t>
            </w:r>
          </w:p>
        </w:tc>
        <w:tc>
          <w:tcPr>
            <w:tcW w:w="708"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5</w:t>
            </w:r>
          </w:p>
        </w:tc>
        <w:tc>
          <w:tcPr>
            <w:tcW w:w="709" w:type="dxa"/>
            <w:tcBorders>
              <w:top w:val="nil"/>
              <w:left w:val="nil"/>
              <w:bottom w:val="nil"/>
              <w:right w:val="nil"/>
            </w:tcBorders>
            <w:noWrap/>
          </w:tcPr>
          <w:p w:rsidR="007B3264" w:rsidRPr="00084EBA" w:rsidRDefault="007B3264" w:rsidP="00084EB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84EBA">
              <w:rPr>
                <w:rFonts w:ascii="Times New Roman" w:eastAsiaTheme="minorEastAsia" w:hAnsi="Times New Roman" w:cs="Times New Roman"/>
                <w:sz w:val="18"/>
                <w:szCs w:val="18"/>
                <w:lang w:eastAsia="en-US"/>
              </w:rPr>
              <w:t>0.1</w:t>
            </w:r>
          </w:p>
        </w:tc>
        <w:tc>
          <w:tcPr>
            <w:tcW w:w="1276" w:type="dxa"/>
            <w:gridSpan w:val="2"/>
            <w:tcBorders>
              <w:top w:val="nil"/>
              <w:left w:val="nil"/>
              <w:bottom w:val="nil"/>
              <w:right w:val="single" w:sz="4" w:space="0" w:color="auto"/>
            </w:tcBorders>
            <w:noWrap/>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084EBA">
              <w:rPr>
                <w:rFonts w:ascii="Times New Roman" w:eastAsiaTheme="minorEastAsia" w:hAnsi="Times New Roman" w:cs="Times New Roman"/>
                <w:sz w:val="18"/>
                <w:szCs w:val="18"/>
                <w:lang w:eastAsia="en-US"/>
              </w:rPr>
              <w:t>0.0</w:t>
            </w:r>
            <w:r>
              <w:rPr>
                <w:rFonts w:ascii="Times New Roman" w:eastAsiaTheme="minorEastAsia" w:hAnsi="Times New Roman" w:cs="Times New Roman"/>
                <w:sz w:val="18"/>
                <w:szCs w:val="18"/>
                <w:lang w:eastAsia="en-US"/>
              </w:rPr>
              <w:t xml:space="preserve"> - </w:t>
            </w:r>
            <w:r w:rsidRPr="00084EBA">
              <w:rPr>
                <w:rFonts w:ascii="Times New Roman" w:eastAsiaTheme="minorEastAsia" w:hAnsi="Times New Roman" w:cs="Times New Roman"/>
                <w:sz w:val="18"/>
                <w:szCs w:val="18"/>
                <w:lang w:eastAsia="en-US"/>
              </w:rPr>
              <w:t>0.2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084EBA" w:rsidRDefault="007B3264"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B3264" w:rsidRPr="00084EBA" w:rsidRDefault="007B3264"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7B3264" w:rsidRPr="00084EBA" w:rsidRDefault="007B3264"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B3264" w:rsidRPr="00084EBA" w:rsidRDefault="007B3264" w:rsidP="00084EBA">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keepNext/>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Personal Income ($)</w:t>
            </w:r>
          </w:p>
        </w:tc>
        <w:tc>
          <w:tcPr>
            <w:tcW w:w="708" w:type="dxa"/>
            <w:tcBorders>
              <w:top w:val="nil"/>
              <w:left w:val="nil"/>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keepNext/>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Up to 20,000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1954</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33.2</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31.8</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34.7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1112</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30.8</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29.0</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32.6</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keepNext/>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20,001 - 40,000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1601</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27.2</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25.9</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28.6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949</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26.3</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24.6</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28.0</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keepNext/>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40,001 - 60,000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1032</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17.5</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16.4</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18.</w:t>
            </w:r>
            <w:r>
              <w:rPr>
                <w:rFonts w:ascii="Times New Roman" w:eastAsiaTheme="minorEastAsia" w:hAnsi="Times New Roman" w:cs="Times New Roman"/>
                <w:sz w:val="18"/>
                <w:szCs w:val="18"/>
                <w:lang w:eastAsia="en-US"/>
              </w:rPr>
              <w:t>7)</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719</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19.9</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18.3</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21.5</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keepNext/>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60,001 - 80,000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620</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10.5</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9.6</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11.5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378</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10.5</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9.3</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11.6</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80,001 - 100,000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293</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5.0</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4.3</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5.6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196</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5.4</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w:t>
            </w:r>
            <w:r w:rsidRPr="00C130D8">
              <w:rPr>
                <w:rFonts w:ascii="Times New Roman" w:eastAsiaTheme="minorEastAsia" w:hAnsi="Times New Roman" w:cs="Times New Roman"/>
                <w:sz w:val="18"/>
                <w:szCs w:val="18"/>
                <w:lang w:eastAsia="en-US"/>
              </w:rPr>
              <w:t>4.6</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6.3</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Over 100,000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383</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6.5</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5.7</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7.3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255</w:t>
            </w:r>
          </w:p>
        </w:tc>
        <w:tc>
          <w:tcPr>
            <w:tcW w:w="567" w:type="dxa"/>
            <w:tcBorders>
              <w:top w:val="nil"/>
              <w:left w:val="nil"/>
              <w:bottom w:val="nil"/>
              <w:right w:val="nil"/>
            </w:tcBorders>
            <w:noWrap/>
          </w:tcPr>
          <w:p w:rsidR="007B3264" w:rsidRPr="00C130D8" w:rsidRDefault="007B3264" w:rsidP="00C130D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7.1</w:t>
            </w:r>
          </w:p>
        </w:tc>
        <w:tc>
          <w:tcPr>
            <w:tcW w:w="1134" w:type="dxa"/>
            <w:gridSpan w:val="2"/>
            <w:tcBorders>
              <w:top w:val="nil"/>
              <w:left w:val="nil"/>
              <w:bottom w:val="nil"/>
              <w:right w:val="nil"/>
            </w:tcBorders>
            <w:shd w:val="clear" w:color="auto" w:fill="FFFFFF" w:themeFill="background1"/>
            <w:noWrap/>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6.0</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8.1</w:t>
            </w:r>
            <w:r>
              <w:rPr>
                <w:rFonts w:ascii="Times New Roman" w:eastAsiaTheme="minorEastAsia" w:hAnsi="Times New Roman" w:cs="Times New Roman"/>
                <w:sz w:val="18"/>
                <w:szCs w:val="18"/>
                <w:lang w:eastAsia="en-US"/>
              </w:rPr>
              <w:t>)</w:t>
            </w:r>
          </w:p>
        </w:tc>
      </w:tr>
      <w:tr w:rsidR="007B3264" w:rsidRPr="00084EBA"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7B3264" w:rsidRPr="00084EBA" w:rsidRDefault="007B3264" w:rsidP="00D95FA0">
            <w:pPr>
              <w:spacing w:before="20" w:after="20"/>
              <w:rPr>
                <w:rFonts w:ascii="Times New Roman" w:eastAsiaTheme="minorEastAsia" w:hAnsi="Times New Roman" w:cs="Times New Roman"/>
                <w:b w:val="0"/>
                <w:sz w:val="18"/>
                <w:szCs w:val="18"/>
              </w:rPr>
            </w:pPr>
            <w:r w:rsidRPr="00084EBA">
              <w:rPr>
                <w:rFonts w:ascii="Times New Roman" w:eastAsiaTheme="minorEastAsia" w:hAnsi="Times New Roman" w:cs="Times New Roman"/>
                <w:b w:val="0"/>
                <w:sz w:val="18"/>
                <w:szCs w:val="18"/>
              </w:rPr>
              <w:t xml:space="preserve">   Missing</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379</w:t>
            </w:r>
          </w:p>
        </w:tc>
        <w:tc>
          <w:tcPr>
            <w:tcW w:w="709" w:type="dxa"/>
            <w:tcBorders>
              <w:top w:val="nil"/>
              <w:left w:val="nil"/>
              <w:bottom w:val="nil"/>
              <w:right w:val="nil"/>
            </w:tcBorders>
            <w:noWrap/>
            <w:vAlign w:val="center"/>
          </w:tcPr>
          <w:p w:rsidR="007B3264" w:rsidRPr="00084EBA"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276" w:type="dxa"/>
            <w:gridSpan w:val="2"/>
            <w:tcBorders>
              <w:top w:val="nil"/>
              <w:left w:val="nil"/>
              <w:bottom w:val="nil"/>
              <w:right w:val="single" w:sz="4" w:space="0" w:color="auto"/>
            </w:tcBorders>
            <w:noWrap/>
            <w:vAlign w:val="center"/>
          </w:tcPr>
          <w:p w:rsidR="007B3264" w:rsidRPr="00084EBA"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7B3264" w:rsidRPr="00084EBA"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137</w:t>
            </w:r>
          </w:p>
        </w:tc>
        <w:tc>
          <w:tcPr>
            <w:tcW w:w="567" w:type="dxa"/>
            <w:tcBorders>
              <w:top w:val="nil"/>
              <w:left w:val="nil"/>
              <w:bottom w:val="nil"/>
              <w:right w:val="nil"/>
            </w:tcBorders>
            <w:noWrap/>
            <w:vAlign w:val="center"/>
          </w:tcPr>
          <w:p w:rsidR="007B3264" w:rsidRPr="00084EBA" w:rsidRDefault="007B3264"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4" w:type="dxa"/>
            <w:gridSpan w:val="2"/>
            <w:tcBorders>
              <w:top w:val="nil"/>
              <w:left w:val="nil"/>
              <w:bottom w:val="nil"/>
              <w:right w:val="nil"/>
            </w:tcBorders>
            <w:shd w:val="clear" w:color="auto" w:fill="FFFFFF" w:themeFill="background1"/>
            <w:noWrap/>
            <w:vAlign w:val="center"/>
          </w:tcPr>
          <w:p w:rsidR="007B3264" w:rsidRPr="00C130D8"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w:t>
            </w:r>
          </w:p>
        </w:tc>
      </w:tr>
      <w:tr w:rsidR="003B71A5"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286328" w:rsidRPr="00365360" w:rsidRDefault="00286328" w:rsidP="00D95FA0">
            <w:pPr>
              <w:spacing w:before="20" w:after="20"/>
              <w:rPr>
                <w:rFonts w:ascii="Times New Roman" w:eastAsiaTheme="minorEastAsia" w:hAnsi="Times New Roman" w:cs="Times New Roman"/>
                <w:sz w:val="18"/>
                <w:szCs w:val="18"/>
                <w:lang w:eastAsia="en-US"/>
              </w:rPr>
            </w:pPr>
            <w:r w:rsidRPr="00365360">
              <w:rPr>
                <w:rFonts w:ascii="Times New Roman" w:eastAsiaTheme="minorEastAsia" w:hAnsi="Times New Roman" w:cs="Times New Roman"/>
                <w:sz w:val="18"/>
                <w:szCs w:val="18"/>
              </w:rPr>
              <w:t>Household Income ($)</w:t>
            </w:r>
          </w:p>
        </w:tc>
        <w:tc>
          <w:tcPr>
            <w:tcW w:w="708"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shd w:val="clear" w:color="auto" w:fill="FFFFFF" w:themeFill="background1"/>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286328" w:rsidRPr="00365360" w:rsidRDefault="00286328" w:rsidP="00D95FA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Up to 20,000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861</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15.5</w:t>
            </w:r>
          </w:p>
        </w:tc>
        <w:tc>
          <w:tcPr>
            <w:tcW w:w="1276" w:type="dxa"/>
            <w:gridSpan w:val="2"/>
            <w:tcBorders>
              <w:top w:val="nil"/>
              <w:left w:val="nil"/>
              <w:bottom w:val="nil"/>
              <w:right w:val="single" w:sz="4" w:space="0" w:color="auto"/>
            </w:tcBorders>
            <w:noWrap/>
          </w:tcPr>
          <w:p w:rsidR="007B3264" w:rsidRPr="0029071D" w:rsidRDefault="001F0F8E"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29071D">
              <w:rPr>
                <w:rFonts w:ascii="Times New Roman" w:eastAsiaTheme="minorEastAsia" w:hAnsi="Times New Roman" w:cs="Times New Roman"/>
                <w:sz w:val="18"/>
                <w:szCs w:val="18"/>
                <w:lang w:eastAsia="en-US"/>
              </w:rPr>
              <w:t>14.5</w:t>
            </w:r>
            <w:r w:rsidR="007B3264">
              <w:rPr>
                <w:rFonts w:ascii="Times New Roman" w:eastAsiaTheme="minorEastAsia" w:hAnsi="Times New Roman" w:cs="Times New Roman"/>
                <w:sz w:val="18"/>
                <w:szCs w:val="18"/>
                <w:lang w:eastAsia="en-US"/>
              </w:rPr>
              <w:t xml:space="preserve"> - </w:t>
            </w:r>
            <w:r w:rsidR="007B3264" w:rsidRPr="0029071D">
              <w:rPr>
                <w:rFonts w:ascii="Times New Roman" w:eastAsiaTheme="minorEastAsia" w:hAnsi="Times New Roman" w:cs="Times New Roman"/>
                <w:sz w:val="18"/>
                <w:szCs w:val="18"/>
                <w:lang w:eastAsia="en-US"/>
              </w:rPr>
              <w:t>16.4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497</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14.1</w:t>
            </w:r>
          </w:p>
        </w:tc>
        <w:tc>
          <w:tcPr>
            <w:tcW w:w="1134" w:type="dxa"/>
            <w:gridSpan w:val="2"/>
            <w:tcBorders>
              <w:top w:val="nil"/>
              <w:left w:val="nil"/>
              <w:bottom w:val="nil"/>
              <w:right w:val="nil"/>
            </w:tcBorders>
            <w:shd w:val="clear" w:color="auto" w:fill="FFFFFF" w:themeFill="background1"/>
            <w:noWrap/>
          </w:tcPr>
          <w:p w:rsidR="007B3264" w:rsidRPr="00DB6540"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DB6540">
              <w:rPr>
                <w:rFonts w:ascii="Times New Roman" w:eastAsiaTheme="minorEastAsia" w:hAnsi="Times New Roman" w:cs="Times New Roman"/>
                <w:sz w:val="18"/>
                <w:szCs w:val="18"/>
                <w:lang w:eastAsia="en-US"/>
              </w:rPr>
              <w:t>13.0</w:t>
            </w:r>
            <w:r>
              <w:rPr>
                <w:rFonts w:ascii="Times New Roman" w:eastAsiaTheme="minorEastAsia" w:hAnsi="Times New Roman" w:cs="Times New Roman"/>
                <w:sz w:val="18"/>
                <w:szCs w:val="18"/>
                <w:lang w:eastAsia="en-US"/>
              </w:rPr>
              <w:t xml:space="preserve"> - </w:t>
            </w:r>
            <w:r w:rsidR="007B3264" w:rsidRPr="00DB6540">
              <w:rPr>
                <w:rFonts w:ascii="Times New Roman" w:eastAsiaTheme="minorEastAsia" w:hAnsi="Times New Roman" w:cs="Times New Roman"/>
                <w:sz w:val="18"/>
                <w:szCs w:val="18"/>
                <w:lang w:eastAsia="en-US"/>
              </w:rPr>
              <w:t>15.2</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20,001 - 40,000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899</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16.1</w:t>
            </w:r>
          </w:p>
        </w:tc>
        <w:tc>
          <w:tcPr>
            <w:tcW w:w="1276" w:type="dxa"/>
            <w:gridSpan w:val="2"/>
            <w:tcBorders>
              <w:top w:val="nil"/>
              <w:left w:val="nil"/>
              <w:bottom w:val="nil"/>
              <w:right w:val="single" w:sz="4" w:space="0" w:color="auto"/>
            </w:tcBorders>
            <w:noWrap/>
          </w:tcPr>
          <w:p w:rsidR="007B3264" w:rsidRPr="0029071D" w:rsidRDefault="001F0F8E"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29071D">
              <w:rPr>
                <w:rFonts w:ascii="Times New Roman" w:eastAsiaTheme="minorEastAsia" w:hAnsi="Times New Roman" w:cs="Times New Roman"/>
                <w:sz w:val="18"/>
                <w:szCs w:val="18"/>
                <w:lang w:eastAsia="en-US"/>
              </w:rPr>
              <w:t>15.0</w:t>
            </w:r>
            <w:r w:rsidR="007B3264">
              <w:rPr>
                <w:rFonts w:ascii="Times New Roman" w:eastAsiaTheme="minorEastAsia" w:hAnsi="Times New Roman" w:cs="Times New Roman"/>
                <w:sz w:val="18"/>
                <w:szCs w:val="18"/>
                <w:lang w:eastAsia="en-US"/>
              </w:rPr>
              <w:t xml:space="preserve"> - </w:t>
            </w:r>
            <w:r w:rsidR="007B3264" w:rsidRPr="0029071D">
              <w:rPr>
                <w:rFonts w:ascii="Times New Roman" w:eastAsiaTheme="minorEastAsia" w:hAnsi="Times New Roman" w:cs="Times New Roman"/>
                <w:sz w:val="18"/>
                <w:szCs w:val="18"/>
                <w:lang w:eastAsia="en-US"/>
              </w:rPr>
              <w:t>17.2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552</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15.7</w:t>
            </w:r>
          </w:p>
        </w:tc>
        <w:tc>
          <w:tcPr>
            <w:tcW w:w="1134" w:type="dxa"/>
            <w:gridSpan w:val="2"/>
            <w:tcBorders>
              <w:top w:val="nil"/>
              <w:left w:val="nil"/>
              <w:bottom w:val="nil"/>
              <w:right w:val="nil"/>
            </w:tcBorders>
            <w:shd w:val="clear" w:color="auto" w:fill="FFFFFF" w:themeFill="background1"/>
            <w:noWrap/>
          </w:tcPr>
          <w:p w:rsidR="007B3264" w:rsidRPr="00DB6540"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DB6540">
              <w:rPr>
                <w:rFonts w:ascii="Times New Roman" w:eastAsiaTheme="minorEastAsia" w:hAnsi="Times New Roman" w:cs="Times New Roman"/>
                <w:sz w:val="18"/>
                <w:szCs w:val="18"/>
                <w:lang w:eastAsia="en-US"/>
              </w:rPr>
              <w:t>14.2</w:t>
            </w:r>
            <w:r>
              <w:rPr>
                <w:rFonts w:ascii="Times New Roman" w:eastAsiaTheme="minorEastAsia" w:hAnsi="Times New Roman" w:cs="Times New Roman"/>
                <w:sz w:val="18"/>
                <w:szCs w:val="18"/>
                <w:lang w:eastAsia="en-US"/>
              </w:rPr>
              <w:t xml:space="preserve"> - </w:t>
            </w:r>
            <w:r w:rsidR="007B3264" w:rsidRPr="00DB6540">
              <w:rPr>
                <w:rFonts w:ascii="Times New Roman" w:eastAsiaTheme="minorEastAsia" w:hAnsi="Times New Roman" w:cs="Times New Roman"/>
                <w:sz w:val="18"/>
                <w:szCs w:val="18"/>
                <w:lang w:eastAsia="en-US"/>
              </w:rPr>
              <w:t>17.1</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40,001 - 60,000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761</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13.7</w:t>
            </w:r>
          </w:p>
        </w:tc>
        <w:tc>
          <w:tcPr>
            <w:tcW w:w="1276" w:type="dxa"/>
            <w:gridSpan w:val="2"/>
            <w:tcBorders>
              <w:top w:val="nil"/>
              <w:left w:val="nil"/>
              <w:bottom w:val="nil"/>
              <w:right w:val="single" w:sz="4" w:space="0" w:color="auto"/>
            </w:tcBorders>
            <w:noWrap/>
          </w:tcPr>
          <w:p w:rsidR="007B3264" w:rsidRPr="0029071D" w:rsidRDefault="001F0F8E"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29071D">
              <w:rPr>
                <w:rFonts w:ascii="Times New Roman" w:eastAsiaTheme="minorEastAsia" w:hAnsi="Times New Roman" w:cs="Times New Roman"/>
                <w:sz w:val="18"/>
                <w:szCs w:val="18"/>
                <w:lang w:eastAsia="en-US"/>
              </w:rPr>
              <w:t>12.6</w:t>
            </w:r>
            <w:r w:rsidR="007B3264">
              <w:rPr>
                <w:rFonts w:ascii="Times New Roman" w:eastAsiaTheme="minorEastAsia" w:hAnsi="Times New Roman" w:cs="Times New Roman"/>
                <w:sz w:val="18"/>
                <w:szCs w:val="18"/>
                <w:lang w:eastAsia="en-US"/>
              </w:rPr>
              <w:t xml:space="preserve"> - </w:t>
            </w:r>
            <w:r w:rsidR="007B3264" w:rsidRPr="0029071D">
              <w:rPr>
                <w:rFonts w:ascii="Times New Roman" w:eastAsiaTheme="minorEastAsia" w:hAnsi="Times New Roman" w:cs="Times New Roman"/>
                <w:sz w:val="18"/>
                <w:szCs w:val="18"/>
                <w:lang w:eastAsia="en-US"/>
              </w:rPr>
              <w:t>14.7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482</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13.7</w:t>
            </w:r>
          </w:p>
        </w:tc>
        <w:tc>
          <w:tcPr>
            <w:tcW w:w="1134" w:type="dxa"/>
            <w:gridSpan w:val="2"/>
            <w:tcBorders>
              <w:top w:val="nil"/>
              <w:left w:val="nil"/>
              <w:bottom w:val="nil"/>
              <w:right w:val="nil"/>
            </w:tcBorders>
            <w:shd w:val="clear" w:color="auto" w:fill="FFFFFF" w:themeFill="background1"/>
            <w:noWrap/>
          </w:tcPr>
          <w:p w:rsidR="007B3264" w:rsidRPr="00DB6540"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DB6540">
              <w:rPr>
                <w:rFonts w:ascii="Times New Roman" w:eastAsiaTheme="minorEastAsia" w:hAnsi="Times New Roman" w:cs="Times New Roman"/>
                <w:sz w:val="18"/>
                <w:szCs w:val="18"/>
                <w:lang w:eastAsia="en-US"/>
              </w:rPr>
              <w:t>12.3</w:t>
            </w:r>
            <w:r>
              <w:rPr>
                <w:rFonts w:ascii="Times New Roman" w:eastAsiaTheme="minorEastAsia" w:hAnsi="Times New Roman" w:cs="Times New Roman"/>
                <w:sz w:val="18"/>
                <w:szCs w:val="18"/>
                <w:lang w:eastAsia="en-US"/>
              </w:rPr>
              <w:t xml:space="preserve"> - </w:t>
            </w:r>
            <w:r w:rsidR="007B3264" w:rsidRPr="00DB6540">
              <w:rPr>
                <w:rFonts w:ascii="Times New Roman" w:eastAsiaTheme="minorEastAsia" w:hAnsi="Times New Roman" w:cs="Times New Roman"/>
                <w:sz w:val="18"/>
                <w:szCs w:val="18"/>
                <w:lang w:eastAsia="en-US"/>
              </w:rPr>
              <w:t>15.0</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60,001 - 80,000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764</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13.7</w:t>
            </w:r>
          </w:p>
        </w:tc>
        <w:tc>
          <w:tcPr>
            <w:tcW w:w="1276" w:type="dxa"/>
            <w:gridSpan w:val="2"/>
            <w:tcBorders>
              <w:top w:val="nil"/>
              <w:left w:val="nil"/>
              <w:bottom w:val="nil"/>
              <w:right w:val="single" w:sz="4" w:space="0" w:color="auto"/>
            </w:tcBorders>
            <w:noWrap/>
          </w:tcPr>
          <w:p w:rsidR="007B3264" w:rsidRPr="0029071D" w:rsidRDefault="001F0F8E"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29071D">
              <w:rPr>
                <w:rFonts w:ascii="Times New Roman" w:eastAsiaTheme="minorEastAsia" w:hAnsi="Times New Roman" w:cs="Times New Roman"/>
                <w:sz w:val="18"/>
                <w:szCs w:val="18"/>
                <w:lang w:eastAsia="en-US"/>
              </w:rPr>
              <w:t>12.6</w:t>
            </w:r>
            <w:r w:rsidR="007B3264">
              <w:rPr>
                <w:rFonts w:ascii="Times New Roman" w:eastAsiaTheme="minorEastAsia" w:hAnsi="Times New Roman" w:cs="Times New Roman"/>
                <w:sz w:val="18"/>
                <w:szCs w:val="18"/>
                <w:lang w:eastAsia="en-US"/>
              </w:rPr>
              <w:t xml:space="preserve"> - </w:t>
            </w:r>
            <w:r w:rsidR="007B3264" w:rsidRPr="0029071D">
              <w:rPr>
                <w:rFonts w:ascii="Times New Roman" w:eastAsiaTheme="minorEastAsia" w:hAnsi="Times New Roman" w:cs="Times New Roman"/>
                <w:sz w:val="18"/>
                <w:szCs w:val="18"/>
                <w:lang w:eastAsia="en-US"/>
              </w:rPr>
              <w:t>14.8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446</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12.7</w:t>
            </w:r>
          </w:p>
        </w:tc>
        <w:tc>
          <w:tcPr>
            <w:tcW w:w="1134" w:type="dxa"/>
            <w:gridSpan w:val="2"/>
            <w:tcBorders>
              <w:top w:val="nil"/>
              <w:left w:val="nil"/>
              <w:bottom w:val="nil"/>
              <w:right w:val="nil"/>
            </w:tcBorders>
            <w:shd w:val="clear" w:color="auto" w:fill="FFFFFF" w:themeFill="background1"/>
            <w:noWrap/>
          </w:tcPr>
          <w:p w:rsidR="007B3264" w:rsidRPr="00DB6540"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DB6540">
              <w:rPr>
                <w:rFonts w:ascii="Times New Roman" w:eastAsiaTheme="minorEastAsia" w:hAnsi="Times New Roman" w:cs="Times New Roman"/>
                <w:sz w:val="18"/>
                <w:szCs w:val="18"/>
                <w:lang w:eastAsia="en-US"/>
              </w:rPr>
              <w:t>11.3</w:t>
            </w:r>
            <w:r>
              <w:rPr>
                <w:rFonts w:ascii="Times New Roman" w:eastAsiaTheme="minorEastAsia" w:hAnsi="Times New Roman" w:cs="Times New Roman"/>
                <w:sz w:val="18"/>
                <w:szCs w:val="18"/>
                <w:lang w:eastAsia="en-US"/>
              </w:rPr>
              <w:t xml:space="preserve"> - </w:t>
            </w:r>
            <w:r w:rsidR="007B3264" w:rsidRPr="00DB6540">
              <w:rPr>
                <w:rFonts w:ascii="Times New Roman" w:eastAsiaTheme="minorEastAsia" w:hAnsi="Times New Roman" w:cs="Times New Roman"/>
                <w:sz w:val="18"/>
                <w:szCs w:val="18"/>
                <w:lang w:eastAsia="en-US"/>
              </w:rPr>
              <w:t>14.0</w:t>
            </w:r>
            <w:r>
              <w:rPr>
                <w:rFonts w:ascii="Times New Roman" w:eastAsiaTheme="minorEastAsia" w:hAnsi="Times New Roman" w:cs="Times New Roman"/>
                <w:sz w:val="18"/>
                <w:szCs w:val="18"/>
                <w:lang w:eastAsia="en-US"/>
              </w:rPr>
              <w:t>)</w:t>
            </w:r>
          </w:p>
        </w:tc>
      </w:tr>
      <w:tr w:rsidR="007B3264" w:rsidRPr="00365360"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365360" w:rsidRDefault="007B3264" w:rsidP="00D95FA0">
            <w:pPr>
              <w:spacing w:before="20" w:after="20"/>
              <w:rPr>
                <w:rFonts w:ascii="Times New Roman" w:eastAsiaTheme="minorEastAsia" w:hAnsi="Times New Roman" w:cs="Times New Roman"/>
                <w:b w:val="0"/>
                <w:sz w:val="18"/>
                <w:szCs w:val="18"/>
                <w:lang w:eastAsia="en-US"/>
              </w:rPr>
            </w:pPr>
            <w:r w:rsidRPr="00365360">
              <w:rPr>
                <w:rFonts w:ascii="Times New Roman" w:eastAsiaTheme="minorEastAsia" w:hAnsi="Times New Roman" w:cs="Times New Roman"/>
                <w:b w:val="0"/>
                <w:sz w:val="18"/>
                <w:szCs w:val="18"/>
              </w:rPr>
              <w:t xml:space="preserve">   80,001 - 100,000</w:t>
            </w:r>
          </w:p>
        </w:tc>
        <w:tc>
          <w:tcPr>
            <w:tcW w:w="708"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746</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13.4</w:t>
            </w:r>
          </w:p>
        </w:tc>
        <w:tc>
          <w:tcPr>
            <w:tcW w:w="1276" w:type="dxa"/>
            <w:gridSpan w:val="2"/>
            <w:tcBorders>
              <w:top w:val="nil"/>
              <w:left w:val="nil"/>
              <w:bottom w:val="nil"/>
              <w:right w:val="single" w:sz="4" w:space="0" w:color="auto"/>
            </w:tcBorders>
            <w:noWrap/>
          </w:tcPr>
          <w:p w:rsidR="007B3264" w:rsidRPr="0029071D" w:rsidRDefault="001F0F8E"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29071D">
              <w:rPr>
                <w:rFonts w:ascii="Times New Roman" w:eastAsiaTheme="minorEastAsia" w:hAnsi="Times New Roman" w:cs="Times New Roman"/>
                <w:sz w:val="18"/>
                <w:szCs w:val="18"/>
                <w:lang w:eastAsia="en-US"/>
              </w:rPr>
              <w:t>12.3</w:t>
            </w:r>
            <w:r w:rsidR="007B3264">
              <w:rPr>
                <w:rFonts w:ascii="Times New Roman" w:eastAsiaTheme="minorEastAsia" w:hAnsi="Times New Roman" w:cs="Times New Roman"/>
                <w:sz w:val="18"/>
                <w:szCs w:val="18"/>
                <w:lang w:eastAsia="en-US"/>
              </w:rPr>
              <w:t xml:space="preserve"> - </w:t>
            </w:r>
            <w:r w:rsidR="007B3264" w:rsidRPr="0029071D">
              <w:rPr>
                <w:rFonts w:ascii="Times New Roman" w:eastAsiaTheme="minorEastAsia" w:hAnsi="Times New Roman" w:cs="Times New Roman"/>
                <w:sz w:val="18"/>
                <w:szCs w:val="18"/>
                <w:lang w:eastAsia="en-US"/>
              </w:rPr>
              <w:t>14.5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493</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14.0</w:t>
            </w:r>
          </w:p>
        </w:tc>
        <w:tc>
          <w:tcPr>
            <w:tcW w:w="1134" w:type="dxa"/>
            <w:gridSpan w:val="2"/>
            <w:tcBorders>
              <w:top w:val="nil"/>
              <w:left w:val="nil"/>
              <w:bottom w:val="nil"/>
              <w:right w:val="nil"/>
            </w:tcBorders>
            <w:shd w:val="clear" w:color="auto" w:fill="FFFFFF" w:themeFill="background1"/>
            <w:noWrap/>
          </w:tcPr>
          <w:p w:rsidR="007B3264" w:rsidRPr="00DB6540"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7B3264" w:rsidRPr="00DB6540">
              <w:rPr>
                <w:rFonts w:ascii="Times New Roman" w:eastAsiaTheme="minorEastAsia" w:hAnsi="Times New Roman" w:cs="Times New Roman"/>
                <w:sz w:val="18"/>
                <w:szCs w:val="18"/>
                <w:lang w:eastAsia="en-US"/>
              </w:rPr>
              <w:t>12.6</w:t>
            </w:r>
            <w:r>
              <w:rPr>
                <w:rFonts w:ascii="Times New Roman" w:eastAsiaTheme="minorEastAsia" w:hAnsi="Times New Roman" w:cs="Times New Roman"/>
                <w:sz w:val="18"/>
                <w:szCs w:val="18"/>
                <w:lang w:eastAsia="en-US"/>
              </w:rPr>
              <w:t xml:space="preserve"> - </w:t>
            </w:r>
            <w:r w:rsidR="007B3264" w:rsidRPr="00DB6540">
              <w:rPr>
                <w:rFonts w:ascii="Times New Roman" w:eastAsiaTheme="minorEastAsia" w:hAnsi="Times New Roman" w:cs="Times New Roman"/>
                <w:sz w:val="18"/>
                <w:szCs w:val="18"/>
                <w:lang w:eastAsia="en-US"/>
              </w:rPr>
              <w:t>15.4</w:t>
            </w:r>
            <w:r>
              <w:rPr>
                <w:rFonts w:ascii="Times New Roman" w:eastAsiaTheme="minorEastAsia" w:hAnsi="Times New Roman" w:cs="Times New Roman"/>
                <w:sz w:val="18"/>
                <w:szCs w:val="18"/>
                <w:lang w:eastAsia="en-US"/>
              </w:rPr>
              <w:t>)</w:t>
            </w:r>
          </w:p>
        </w:tc>
      </w:tr>
      <w:tr w:rsidR="00787D3C"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787D3C" w:rsidRPr="0029071D" w:rsidRDefault="00787D3C" w:rsidP="007D4B0B">
            <w:pPr>
              <w:rPr>
                <w:sz w:val="18"/>
              </w:rPr>
            </w:pPr>
            <w:r w:rsidRPr="00365360">
              <w:rPr>
                <w:rFonts w:ascii="Times New Roman" w:eastAsiaTheme="minorEastAsia" w:hAnsi="Times New Roman" w:cs="Times New Roman"/>
                <w:b w:val="0"/>
                <w:sz w:val="18"/>
                <w:szCs w:val="18"/>
              </w:rPr>
              <w:t xml:space="preserve">   Over 100,000</w:t>
            </w:r>
          </w:p>
        </w:tc>
        <w:tc>
          <w:tcPr>
            <w:tcW w:w="708" w:type="dxa"/>
            <w:tcBorders>
              <w:top w:val="nil"/>
              <w:left w:val="nil"/>
              <w:bottom w:val="nil"/>
              <w:right w:val="nil"/>
            </w:tcBorders>
            <w:noWrap/>
          </w:tcPr>
          <w:p w:rsidR="00787D3C" w:rsidRPr="00787D3C" w:rsidRDefault="00787D3C"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1538</w:t>
            </w:r>
          </w:p>
        </w:tc>
        <w:tc>
          <w:tcPr>
            <w:tcW w:w="709" w:type="dxa"/>
            <w:tcBorders>
              <w:top w:val="nil"/>
              <w:left w:val="nil"/>
              <w:bottom w:val="nil"/>
              <w:right w:val="nil"/>
            </w:tcBorders>
            <w:noWrap/>
          </w:tcPr>
          <w:p w:rsidR="00787D3C" w:rsidRPr="00787D3C" w:rsidRDefault="00787D3C"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27.6</w:t>
            </w:r>
          </w:p>
        </w:tc>
        <w:tc>
          <w:tcPr>
            <w:tcW w:w="1276" w:type="dxa"/>
            <w:gridSpan w:val="2"/>
            <w:tcBorders>
              <w:top w:val="nil"/>
              <w:left w:val="nil"/>
              <w:bottom w:val="nil"/>
              <w:right w:val="single" w:sz="4" w:space="0" w:color="auto"/>
            </w:tcBorders>
            <w:noWrap/>
          </w:tcPr>
          <w:p w:rsidR="00787D3C" w:rsidRPr="00787D3C" w:rsidRDefault="00787D3C"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(26.2 - 29.1)</w:t>
            </w:r>
          </w:p>
        </w:tc>
        <w:tc>
          <w:tcPr>
            <w:tcW w:w="709" w:type="dxa"/>
            <w:tcBorders>
              <w:top w:val="nil"/>
              <w:left w:val="single" w:sz="4" w:space="0" w:color="auto"/>
              <w:bottom w:val="nil"/>
              <w:right w:val="nil"/>
            </w:tcBorders>
            <w:noWrap/>
          </w:tcPr>
          <w:p w:rsidR="00787D3C" w:rsidRPr="00787D3C" w:rsidRDefault="00787D3C"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1053</w:t>
            </w:r>
          </w:p>
        </w:tc>
        <w:tc>
          <w:tcPr>
            <w:tcW w:w="567" w:type="dxa"/>
            <w:tcBorders>
              <w:top w:val="nil"/>
              <w:left w:val="nil"/>
              <w:bottom w:val="nil"/>
              <w:right w:val="nil"/>
            </w:tcBorders>
            <w:noWrap/>
          </w:tcPr>
          <w:p w:rsidR="00787D3C" w:rsidRPr="00787D3C" w:rsidRDefault="00787D3C"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29.9</w:t>
            </w:r>
          </w:p>
        </w:tc>
        <w:tc>
          <w:tcPr>
            <w:tcW w:w="1134" w:type="dxa"/>
            <w:gridSpan w:val="2"/>
            <w:tcBorders>
              <w:top w:val="nil"/>
              <w:left w:val="nil"/>
              <w:bottom w:val="nil"/>
              <w:right w:val="nil"/>
            </w:tcBorders>
            <w:shd w:val="clear" w:color="auto" w:fill="FFFFFF" w:themeFill="background1"/>
            <w:noWrap/>
          </w:tcPr>
          <w:p w:rsidR="00787D3C" w:rsidRPr="00787D3C" w:rsidRDefault="00787D3C"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787D3C">
              <w:rPr>
                <w:rFonts w:ascii="Times New Roman" w:eastAsiaTheme="minorEastAsia" w:hAnsi="Times New Roman" w:cs="Times New Roman"/>
                <w:sz w:val="18"/>
                <w:szCs w:val="18"/>
                <w:lang w:eastAsia="en-US"/>
              </w:rPr>
              <w:t>(28.0 - 31.7)</w:t>
            </w:r>
          </w:p>
        </w:tc>
      </w:tr>
      <w:tr w:rsidR="007B3264"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hideMark/>
          </w:tcPr>
          <w:p w:rsidR="007B3264" w:rsidRPr="0029071D" w:rsidRDefault="007B3264" w:rsidP="007D4B0B">
            <w:pPr>
              <w:rPr>
                <w:rFonts w:ascii="Times New Roman" w:hAnsi="Times New Roman" w:cs="Times New Roman"/>
                <w:b w:val="0"/>
                <w:sz w:val="18"/>
              </w:rPr>
            </w:pPr>
            <w:r w:rsidRPr="0029071D">
              <w:rPr>
                <w:rFonts w:ascii="Times New Roman" w:hAnsi="Times New Roman" w:cs="Times New Roman"/>
                <w:b w:val="0"/>
                <w:sz w:val="18"/>
              </w:rPr>
              <w:t xml:space="preserve">   Missing</w:t>
            </w:r>
          </w:p>
        </w:tc>
        <w:tc>
          <w:tcPr>
            <w:tcW w:w="708" w:type="dxa"/>
            <w:tcBorders>
              <w:top w:val="nil"/>
              <w:left w:val="nil"/>
              <w:bottom w:val="nil"/>
              <w:right w:val="nil"/>
            </w:tcBorders>
            <w:noWrap/>
          </w:tcPr>
          <w:p w:rsidR="007B3264" w:rsidRPr="0029071D" w:rsidRDefault="00787D3C"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681</w:t>
            </w:r>
          </w:p>
        </w:tc>
        <w:tc>
          <w:tcPr>
            <w:tcW w:w="709" w:type="dxa"/>
            <w:tcBorders>
              <w:top w:val="nil"/>
              <w:left w:val="nil"/>
              <w:bottom w:val="nil"/>
              <w:right w:val="nil"/>
            </w:tcBorders>
            <w:noWrap/>
          </w:tcPr>
          <w:p w:rsidR="007B3264" w:rsidRPr="0029071D" w:rsidRDefault="007B3264"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w:t>
            </w:r>
          </w:p>
        </w:tc>
        <w:tc>
          <w:tcPr>
            <w:tcW w:w="1276" w:type="dxa"/>
            <w:gridSpan w:val="2"/>
            <w:tcBorders>
              <w:top w:val="nil"/>
              <w:left w:val="nil"/>
              <w:bottom w:val="nil"/>
              <w:right w:val="single" w:sz="4" w:space="0" w:color="auto"/>
            </w:tcBorders>
            <w:noWrap/>
          </w:tcPr>
          <w:p w:rsidR="007B3264" w:rsidRPr="0029071D" w:rsidRDefault="007B3264" w:rsidP="007B326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7B3264" w:rsidRPr="00DB6540" w:rsidRDefault="00787D3C"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222</w:t>
            </w:r>
          </w:p>
        </w:tc>
        <w:tc>
          <w:tcPr>
            <w:tcW w:w="567" w:type="dxa"/>
            <w:tcBorders>
              <w:top w:val="nil"/>
              <w:left w:val="nil"/>
              <w:bottom w:val="nil"/>
              <w:right w:val="nil"/>
            </w:tcBorders>
            <w:noWrap/>
          </w:tcPr>
          <w:p w:rsidR="007B3264" w:rsidRPr="00DB6540" w:rsidRDefault="007B3264" w:rsidP="00DB6540">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w:t>
            </w:r>
          </w:p>
        </w:tc>
        <w:tc>
          <w:tcPr>
            <w:tcW w:w="1134" w:type="dxa"/>
            <w:gridSpan w:val="2"/>
            <w:tcBorders>
              <w:top w:val="nil"/>
              <w:left w:val="nil"/>
              <w:bottom w:val="nil"/>
              <w:right w:val="nil"/>
            </w:tcBorders>
            <w:shd w:val="clear" w:color="auto" w:fill="FFFFFF" w:themeFill="background1"/>
            <w:noWrap/>
          </w:tcPr>
          <w:p w:rsidR="007B3264" w:rsidRPr="00DB6540" w:rsidRDefault="007B3264"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B6540">
              <w:rPr>
                <w:rFonts w:ascii="Times New Roman" w:eastAsiaTheme="minorEastAsia" w:hAnsi="Times New Roman" w:cs="Times New Roman"/>
                <w:sz w:val="18"/>
                <w:szCs w:val="18"/>
                <w:lang w:eastAsia="en-US"/>
              </w:rPr>
              <w:t>-</w:t>
            </w:r>
          </w:p>
        </w:tc>
      </w:tr>
      <w:tr w:rsidR="003B71A5"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29071D" w:rsidRPr="0029071D" w:rsidRDefault="0029071D" w:rsidP="0029071D">
            <w:pPr>
              <w:rPr>
                <w:rFonts w:ascii="Times New Roman" w:hAnsi="Times New Roman" w:cs="Times New Roman"/>
                <w:sz w:val="18"/>
              </w:rPr>
            </w:pPr>
            <w:r w:rsidRPr="0029071D">
              <w:rPr>
                <w:rFonts w:ascii="Times New Roman" w:hAnsi="Times New Roman" w:cs="Times New Roman"/>
                <w:sz w:val="18"/>
              </w:rPr>
              <w:t>Area of residence</w:t>
            </w:r>
          </w:p>
        </w:tc>
        <w:tc>
          <w:tcPr>
            <w:tcW w:w="708" w:type="dxa"/>
            <w:tcBorders>
              <w:top w:val="nil"/>
              <w:left w:val="nil"/>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29071D" w:rsidRPr="0029071D" w:rsidRDefault="0029071D"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F0F8E"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F0F8E" w:rsidRPr="0029071D" w:rsidRDefault="001F0F8E" w:rsidP="0029071D">
            <w:pPr>
              <w:rPr>
                <w:rFonts w:ascii="Times New Roman" w:hAnsi="Times New Roman" w:cs="Times New Roman"/>
                <w:b w:val="0"/>
                <w:sz w:val="18"/>
              </w:rPr>
            </w:pPr>
            <w:r w:rsidRPr="0029071D">
              <w:rPr>
                <w:rFonts w:ascii="Times New Roman" w:hAnsi="Times New Roman" w:cs="Times New Roman"/>
                <w:b w:val="0"/>
                <w:sz w:val="18"/>
              </w:rPr>
              <w:t xml:space="preserve">   Auckland</w:t>
            </w:r>
          </w:p>
        </w:tc>
        <w:tc>
          <w:tcPr>
            <w:tcW w:w="708"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1874</w:t>
            </w:r>
          </w:p>
        </w:tc>
        <w:tc>
          <w:tcPr>
            <w:tcW w:w="709"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30</w:t>
            </w:r>
          </w:p>
        </w:tc>
        <w:tc>
          <w:tcPr>
            <w:tcW w:w="1276" w:type="dxa"/>
            <w:gridSpan w:val="2"/>
            <w:tcBorders>
              <w:top w:val="nil"/>
              <w:left w:val="nil"/>
              <w:bottom w:val="nil"/>
              <w:right w:val="single" w:sz="4" w:space="0" w:color="auto"/>
            </w:tcBorders>
            <w:noWrap/>
          </w:tcPr>
          <w:p w:rsidR="001F0F8E" w:rsidRPr="0029071D"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29.1</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30.9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F0F8E"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F0F8E" w:rsidRPr="0029071D" w:rsidRDefault="001F0F8E" w:rsidP="0029071D">
            <w:pPr>
              <w:rPr>
                <w:rFonts w:ascii="Times New Roman" w:hAnsi="Times New Roman" w:cs="Times New Roman"/>
                <w:b w:val="0"/>
                <w:sz w:val="18"/>
              </w:rPr>
            </w:pPr>
            <w:r>
              <w:rPr>
                <w:rFonts w:ascii="Times New Roman" w:hAnsi="Times New Roman" w:cs="Times New Roman"/>
                <w:b w:val="0"/>
                <w:sz w:val="18"/>
              </w:rPr>
              <w:t xml:space="preserve">   Wellington</w:t>
            </w:r>
          </w:p>
        </w:tc>
        <w:tc>
          <w:tcPr>
            <w:tcW w:w="708"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664</w:t>
            </w:r>
          </w:p>
        </w:tc>
        <w:tc>
          <w:tcPr>
            <w:tcW w:w="709"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11</w:t>
            </w:r>
          </w:p>
        </w:tc>
        <w:tc>
          <w:tcPr>
            <w:tcW w:w="1276" w:type="dxa"/>
            <w:gridSpan w:val="2"/>
            <w:tcBorders>
              <w:top w:val="nil"/>
              <w:left w:val="nil"/>
              <w:bottom w:val="nil"/>
              <w:right w:val="single" w:sz="4" w:space="0" w:color="auto"/>
            </w:tcBorders>
            <w:noWrap/>
          </w:tcPr>
          <w:p w:rsidR="001F0F8E" w:rsidRPr="0029071D"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 xml:space="preserve">1 - </w:t>
            </w:r>
            <w:r w:rsidRPr="0029071D">
              <w:rPr>
                <w:rFonts w:ascii="Times New Roman" w:eastAsiaTheme="minorEastAsia" w:hAnsi="Times New Roman" w:cs="Times New Roman"/>
                <w:sz w:val="18"/>
                <w:szCs w:val="18"/>
                <w:lang w:eastAsia="en-US"/>
              </w:rPr>
              <w:t>11.1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F0F8E"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F0F8E" w:rsidRPr="0029071D" w:rsidRDefault="001F0F8E" w:rsidP="0029071D">
            <w:pPr>
              <w:rPr>
                <w:rFonts w:ascii="Times New Roman" w:hAnsi="Times New Roman" w:cs="Times New Roman"/>
                <w:b w:val="0"/>
                <w:sz w:val="18"/>
              </w:rPr>
            </w:pPr>
            <w:r>
              <w:rPr>
                <w:rFonts w:ascii="Times New Roman" w:hAnsi="Times New Roman" w:cs="Times New Roman"/>
                <w:b w:val="0"/>
                <w:sz w:val="18"/>
              </w:rPr>
              <w:t xml:space="preserve">   Christchurch</w:t>
            </w:r>
          </w:p>
        </w:tc>
        <w:tc>
          <w:tcPr>
            <w:tcW w:w="708"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402</w:t>
            </w:r>
          </w:p>
        </w:tc>
        <w:tc>
          <w:tcPr>
            <w:tcW w:w="709"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6</w:t>
            </w:r>
          </w:p>
        </w:tc>
        <w:tc>
          <w:tcPr>
            <w:tcW w:w="1276" w:type="dxa"/>
            <w:gridSpan w:val="2"/>
            <w:tcBorders>
              <w:top w:val="nil"/>
              <w:left w:val="nil"/>
              <w:bottom w:val="nil"/>
              <w:right w:val="single" w:sz="4" w:space="0" w:color="auto"/>
            </w:tcBorders>
            <w:noWrap/>
          </w:tcPr>
          <w:p w:rsidR="001F0F8E" w:rsidRPr="0029071D"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5.8</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7.0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F0F8E"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1F0F8E" w:rsidRPr="0029071D" w:rsidRDefault="001F0F8E" w:rsidP="0029071D">
            <w:pPr>
              <w:rPr>
                <w:rFonts w:ascii="Times New Roman" w:hAnsi="Times New Roman" w:cs="Times New Roman"/>
                <w:b w:val="0"/>
                <w:sz w:val="18"/>
              </w:rPr>
            </w:pPr>
            <w:r>
              <w:rPr>
                <w:rFonts w:ascii="Times New Roman" w:hAnsi="Times New Roman" w:cs="Times New Roman"/>
                <w:b w:val="0"/>
                <w:sz w:val="18"/>
              </w:rPr>
              <w:t xml:space="preserve">   Rest of New Zealand</w:t>
            </w:r>
          </w:p>
        </w:tc>
        <w:tc>
          <w:tcPr>
            <w:tcW w:w="708"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3310</w:t>
            </w:r>
          </w:p>
        </w:tc>
        <w:tc>
          <w:tcPr>
            <w:tcW w:w="709" w:type="dxa"/>
            <w:tcBorders>
              <w:top w:val="nil"/>
              <w:left w:val="nil"/>
              <w:bottom w:val="nil"/>
              <w:right w:val="nil"/>
            </w:tcBorders>
            <w:noWrap/>
          </w:tcPr>
          <w:p w:rsidR="001F0F8E" w:rsidRPr="0029071D" w:rsidRDefault="001F0F8E"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29071D">
              <w:rPr>
                <w:rFonts w:ascii="Times New Roman" w:eastAsiaTheme="minorEastAsia" w:hAnsi="Times New Roman" w:cs="Times New Roman"/>
                <w:sz w:val="18"/>
                <w:szCs w:val="18"/>
                <w:lang w:eastAsia="en-US"/>
              </w:rPr>
              <w:t>53</w:t>
            </w:r>
          </w:p>
        </w:tc>
        <w:tc>
          <w:tcPr>
            <w:tcW w:w="1276" w:type="dxa"/>
            <w:gridSpan w:val="2"/>
            <w:tcBorders>
              <w:top w:val="nil"/>
              <w:left w:val="nil"/>
              <w:bottom w:val="nil"/>
              <w:right w:val="single" w:sz="4" w:space="0" w:color="auto"/>
            </w:tcBorders>
            <w:noWrap/>
          </w:tcPr>
          <w:p w:rsidR="001F0F8E" w:rsidRPr="0029071D" w:rsidRDefault="001F0F8E" w:rsidP="001F0F8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29071D">
              <w:rPr>
                <w:rFonts w:ascii="Times New Roman" w:eastAsiaTheme="minorEastAsia" w:hAnsi="Times New Roman" w:cs="Times New Roman"/>
                <w:sz w:val="18"/>
                <w:szCs w:val="18"/>
                <w:lang w:eastAsia="en-US"/>
              </w:rPr>
              <w:t>52.0</w:t>
            </w:r>
            <w:r>
              <w:rPr>
                <w:rFonts w:ascii="Times New Roman" w:eastAsiaTheme="minorEastAsia" w:hAnsi="Times New Roman" w:cs="Times New Roman"/>
                <w:sz w:val="18"/>
                <w:szCs w:val="18"/>
                <w:lang w:eastAsia="en-US"/>
              </w:rPr>
              <w:t xml:space="preserve"> - </w:t>
            </w:r>
            <w:r w:rsidRPr="0029071D">
              <w:rPr>
                <w:rFonts w:ascii="Times New Roman" w:eastAsiaTheme="minorEastAsia" w:hAnsi="Times New Roman" w:cs="Times New Roman"/>
                <w:sz w:val="18"/>
                <w:szCs w:val="18"/>
                <w:lang w:eastAsia="en-US"/>
              </w:rPr>
              <w:t>54.0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1F0F8E" w:rsidRPr="0029071D" w:rsidRDefault="001F0F8E"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3B71A5" w:rsidRPr="00C130D8"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C130D8" w:rsidRPr="00C130D8" w:rsidRDefault="00C130D8" w:rsidP="00C130D8">
            <w:pPr>
              <w:rPr>
                <w:rFonts w:ascii="Times New Roman" w:hAnsi="Times New Roman" w:cs="Times New Roman"/>
                <w:sz w:val="18"/>
              </w:rPr>
            </w:pPr>
            <w:r w:rsidRPr="00C130D8">
              <w:rPr>
                <w:rFonts w:ascii="Times New Roman" w:hAnsi="Times New Roman" w:cs="Times New Roman"/>
                <w:sz w:val="18"/>
              </w:rPr>
              <w:t xml:space="preserve">NZ </w:t>
            </w:r>
            <w:r w:rsidR="008E5342">
              <w:rPr>
                <w:rFonts w:ascii="Times New Roman" w:hAnsi="Times New Roman" w:cs="Times New Roman"/>
                <w:sz w:val="18"/>
              </w:rPr>
              <w:t xml:space="preserve">Individual </w:t>
            </w:r>
            <w:r w:rsidRPr="00C130D8">
              <w:rPr>
                <w:rFonts w:ascii="Times New Roman" w:hAnsi="Times New Roman" w:cs="Times New Roman"/>
                <w:sz w:val="18"/>
              </w:rPr>
              <w:t>Dep</w:t>
            </w:r>
            <w:r>
              <w:rPr>
                <w:rFonts w:ascii="Times New Roman" w:hAnsi="Times New Roman" w:cs="Times New Roman"/>
                <w:sz w:val="18"/>
              </w:rPr>
              <w:t>rivation Index</w:t>
            </w:r>
          </w:p>
        </w:tc>
        <w:tc>
          <w:tcPr>
            <w:tcW w:w="708" w:type="dxa"/>
            <w:tcBorders>
              <w:top w:val="nil"/>
              <w:left w:val="nil"/>
              <w:bottom w:val="nil"/>
              <w:right w:val="nil"/>
            </w:tcBorders>
            <w:noWrap/>
          </w:tcPr>
          <w:p w:rsidR="00C130D8" w:rsidRPr="00C130D8" w:rsidRDefault="00C130D8"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tcPr>
          <w:p w:rsidR="00C130D8" w:rsidRPr="00C130D8" w:rsidRDefault="00C130D8"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425" w:type="dxa"/>
            <w:tcBorders>
              <w:top w:val="nil"/>
              <w:left w:val="nil"/>
              <w:bottom w:val="nil"/>
              <w:right w:val="nil"/>
            </w:tcBorders>
            <w:noWrap/>
          </w:tcPr>
          <w:p w:rsidR="00C130D8" w:rsidRPr="00C130D8" w:rsidRDefault="00C130D8"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C130D8" w:rsidRPr="00C130D8" w:rsidRDefault="00C130D8" w:rsidP="0029071D">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tcPr>
          <w:p w:rsidR="00C130D8" w:rsidRPr="00C130D8" w:rsidRDefault="00C130D8"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C130D8" w:rsidRPr="00C130D8" w:rsidRDefault="00C130D8"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shd w:val="clear" w:color="auto" w:fill="FFFFFF" w:themeFill="background1"/>
            <w:noWrap/>
          </w:tcPr>
          <w:p w:rsidR="00C130D8" w:rsidRPr="00C130D8" w:rsidRDefault="00C130D8"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c>
          <w:tcPr>
            <w:tcW w:w="567" w:type="dxa"/>
            <w:tcBorders>
              <w:top w:val="nil"/>
              <w:left w:val="nil"/>
              <w:bottom w:val="nil"/>
              <w:right w:val="nil"/>
            </w:tcBorders>
            <w:noWrap/>
          </w:tcPr>
          <w:p w:rsidR="00C130D8" w:rsidRPr="00C130D8" w:rsidRDefault="00C130D8" w:rsidP="0029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Default="009F4F33" w:rsidP="008E5342">
            <w:pPr>
              <w:rPr>
                <w:b w:val="0"/>
                <w:sz w:val="18"/>
              </w:rPr>
            </w:pPr>
            <w:r>
              <w:rPr>
                <w:b w:val="0"/>
                <w:sz w:val="18"/>
              </w:rPr>
              <w:t xml:space="preserve">   0</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3540</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56.6</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55.2</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58.1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2275</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60.8</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58.9</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62.6</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1</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1348</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21.6</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20.3</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22.8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752</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20.1</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18.5</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21.7</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2</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683</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10.9</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10.0</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11.9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336</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9.0</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7.9</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10.1</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3</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271</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4.3</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3.8</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4.9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184</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4.9</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4.1</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5.8</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4</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201</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3.2</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2.7</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3.7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74</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2.0</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1.5</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2.4</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5</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106</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1.7</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1.4</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2.0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75</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2.0</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1.3</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2.7</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6</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61</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1.0</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0.7</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35</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0.9</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w:t>
            </w:r>
          </w:p>
        </w:tc>
      </w:tr>
      <w:tr w:rsidR="008E5342" w:rsidRPr="0029071D"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7</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30</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C130D8">
              <w:rPr>
                <w:rFonts w:ascii="Times New Roman" w:eastAsiaTheme="minorEastAsia" w:hAnsi="Times New Roman" w:cs="Times New Roman"/>
                <w:sz w:val="18"/>
                <w:szCs w:val="18"/>
                <w:lang w:eastAsia="en-US"/>
              </w:rPr>
              <w:t>0.5</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C130D8">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 xml:space="preserve"> - </w:t>
            </w:r>
            <w:r w:rsidRPr="00C130D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9</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0.3</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3B71A5">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Pr="003B71A5">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r>
      <w:tr w:rsidR="008E5342" w:rsidRPr="00C130D8"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nil"/>
              <w:right w:val="nil"/>
            </w:tcBorders>
          </w:tcPr>
          <w:p w:rsidR="008E5342" w:rsidRPr="00C130D8" w:rsidRDefault="008E5342" w:rsidP="008E5342">
            <w:pPr>
              <w:rPr>
                <w:rFonts w:ascii="Times New Roman" w:hAnsi="Times New Roman" w:cs="Times New Roman"/>
                <w:b w:val="0"/>
                <w:sz w:val="18"/>
              </w:rPr>
            </w:pPr>
            <w:r>
              <w:rPr>
                <w:rFonts w:ascii="Times New Roman" w:hAnsi="Times New Roman" w:cs="Times New Roman"/>
                <w:b w:val="0"/>
                <w:sz w:val="18"/>
              </w:rPr>
              <w:t xml:space="preserve">   8</w:t>
            </w:r>
          </w:p>
        </w:tc>
        <w:tc>
          <w:tcPr>
            <w:tcW w:w="708"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w:t>
            </w:r>
          </w:p>
        </w:tc>
        <w:tc>
          <w:tcPr>
            <w:tcW w:w="709" w:type="dxa"/>
            <w:tcBorders>
              <w:top w:val="nil"/>
              <w:left w:val="nil"/>
              <w:bottom w:val="nil"/>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w:t>
            </w:r>
          </w:p>
        </w:tc>
        <w:tc>
          <w:tcPr>
            <w:tcW w:w="1276" w:type="dxa"/>
            <w:gridSpan w:val="2"/>
            <w:tcBorders>
              <w:top w:val="nil"/>
              <w:left w:val="nil"/>
              <w:bottom w:val="nil"/>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(0.1 - 0.2)</w:t>
            </w:r>
          </w:p>
        </w:tc>
        <w:tc>
          <w:tcPr>
            <w:tcW w:w="709" w:type="dxa"/>
            <w:tcBorders>
              <w:top w:val="nil"/>
              <w:left w:val="single" w:sz="4" w:space="0" w:color="auto"/>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w:t>
            </w:r>
          </w:p>
        </w:tc>
        <w:tc>
          <w:tcPr>
            <w:tcW w:w="567" w:type="dxa"/>
            <w:tcBorders>
              <w:top w:val="nil"/>
              <w:left w:val="nil"/>
              <w:bottom w:val="nil"/>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w:t>
            </w:r>
          </w:p>
        </w:tc>
        <w:tc>
          <w:tcPr>
            <w:tcW w:w="1134" w:type="dxa"/>
            <w:gridSpan w:val="2"/>
            <w:tcBorders>
              <w:top w:val="nil"/>
              <w:left w:val="nil"/>
              <w:bottom w:val="nil"/>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(0.0 - 0.2)</w:t>
            </w:r>
          </w:p>
        </w:tc>
      </w:tr>
      <w:tr w:rsidR="008E5342" w:rsidRPr="00C130D8" w:rsidTr="00F959A8">
        <w:tc>
          <w:tcPr>
            <w:cnfStyle w:val="001000000000" w:firstRow="0" w:lastRow="0" w:firstColumn="1" w:lastColumn="0" w:oddVBand="0" w:evenVBand="0" w:oddHBand="0" w:evenHBand="0" w:firstRowFirstColumn="0" w:firstRowLastColumn="0" w:lastRowFirstColumn="0" w:lastRowLastColumn="0"/>
            <w:tcW w:w="3203" w:type="dxa"/>
            <w:tcBorders>
              <w:top w:val="nil"/>
              <w:left w:val="nil"/>
              <w:bottom w:val="single" w:sz="8" w:space="0" w:color="000000" w:themeColor="text1"/>
              <w:right w:val="nil"/>
            </w:tcBorders>
          </w:tcPr>
          <w:p w:rsidR="008E5342" w:rsidRPr="00C130D8" w:rsidRDefault="008E5342" w:rsidP="008E5342">
            <w:pPr>
              <w:rPr>
                <w:rFonts w:ascii="Times New Roman" w:hAnsi="Times New Roman" w:cs="Times New Roman"/>
                <w:b w:val="0"/>
                <w:sz w:val="18"/>
              </w:rPr>
            </w:pPr>
            <w:r w:rsidRPr="00C130D8">
              <w:rPr>
                <w:rFonts w:ascii="Times New Roman" w:hAnsi="Times New Roman" w:cs="Times New Roman"/>
                <w:b w:val="0"/>
                <w:sz w:val="18"/>
              </w:rPr>
              <w:t xml:space="preserve">   Missing</w:t>
            </w:r>
          </w:p>
        </w:tc>
        <w:tc>
          <w:tcPr>
            <w:tcW w:w="708" w:type="dxa"/>
            <w:tcBorders>
              <w:top w:val="nil"/>
              <w:left w:val="nil"/>
              <w:bottom w:val="single" w:sz="8" w:space="0" w:color="000000" w:themeColor="text1"/>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p>
        </w:tc>
        <w:tc>
          <w:tcPr>
            <w:tcW w:w="709" w:type="dxa"/>
            <w:tcBorders>
              <w:top w:val="nil"/>
              <w:left w:val="nil"/>
              <w:bottom w:val="single" w:sz="8" w:space="0" w:color="000000" w:themeColor="text1"/>
              <w:right w:val="nil"/>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276" w:type="dxa"/>
            <w:gridSpan w:val="2"/>
            <w:tcBorders>
              <w:top w:val="nil"/>
              <w:left w:val="nil"/>
              <w:bottom w:val="single" w:sz="8" w:space="0" w:color="000000" w:themeColor="text1"/>
              <w:right w:val="single" w:sz="4" w:space="0" w:color="auto"/>
            </w:tcBorders>
            <w:noWrap/>
          </w:tcPr>
          <w:p w:rsidR="008E5342" w:rsidRPr="00C130D8"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single" w:sz="8" w:space="0" w:color="000000" w:themeColor="text1"/>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1</w:t>
            </w:r>
          </w:p>
        </w:tc>
        <w:tc>
          <w:tcPr>
            <w:tcW w:w="567" w:type="dxa"/>
            <w:tcBorders>
              <w:top w:val="nil"/>
              <w:left w:val="nil"/>
              <w:bottom w:val="single" w:sz="8" w:space="0" w:color="000000" w:themeColor="text1"/>
              <w:right w:val="nil"/>
            </w:tcBorders>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w:t>
            </w:r>
          </w:p>
        </w:tc>
        <w:tc>
          <w:tcPr>
            <w:tcW w:w="1134" w:type="dxa"/>
            <w:gridSpan w:val="2"/>
            <w:tcBorders>
              <w:top w:val="nil"/>
              <w:left w:val="nil"/>
              <w:bottom w:val="single" w:sz="8" w:space="0" w:color="000000" w:themeColor="text1"/>
              <w:right w:val="nil"/>
            </w:tcBorders>
            <w:shd w:val="clear" w:color="auto" w:fill="FFFFFF" w:themeFill="background1"/>
            <w:noWrap/>
          </w:tcPr>
          <w:p w:rsidR="008E5342" w:rsidRPr="003B71A5" w:rsidRDefault="008E5342" w:rsidP="008E534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3B71A5">
              <w:rPr>
                <w:rFonts w:ascii="Times New Roman" w:eastAsiaTheme="minorEastAsia" w:hAnsi="Times New Roman" w:cs="Times New Roman"/>
                <w:sz w:val="18"/>
                <w:szCs w:val="18"/>
                <w:lang w:eastAsia="en-US"/>
              </w:rPr>
              <w:t>-</w:t>
            </w:r>
          </w:p>
        </w:tc>
      </w:tr>
    </w:tbl>
    <w:p w:rsidR="0034241E" w:rsidRPr="0034241E" w:rsidRDefault="0034241E" w:rsidP="0034241E">
      <w:pPr>
        <w:rPr>
          <w:sz w:val="18"/>
        </w:rPr>
      </w:pPr>
      <w:r>
        <w:rPr>
          <w:sz w:val="18"/>
        </w:rPr>
        <w:t>Data</w:t>
      </w:r>
      <w:r w:rsidRPr="0034241E">
        <w:rPr>
          <w:sz w:val="18"/>
        </w:rPr>
        <w:t xml:space="preserve"> weighted for 2013 Census data (both Waves) and attrition (Wave 2)</w:t>
      </w:r>
    </w:p>
    <w:p w:rsidR="00370CEE" w:rsidRDefault="00286328" w:rsidP="00370CEE">
      <w:pPr>
        <w:rPr>
          <w:sz w:val="18"/>
        </w:rPr>
      </w:pPr>
      <w:r w:rsidRPr="00286328">
        <w:rPr>
          <w:sz w:val="18"/>
        </w:rPr>
        <w:t>Baseline N</w:t>
      </w:r>
      <w:r>
        <w:rPr>
          <w:sz w:val="18"/>
        </w:rPr>
        <w:t xml:space="preserve"> </w:t>
      </w:r>
      <w:r w:rsidRPr="00286328">
        <w:rPr>
          <w:sz w:val="18"/>
        </w:rPr>
        <w:t>= 6,251</w:t>
      </w:r>
      <w:r w:rsidR="00AD78D2">
        <w:rPr>
          <w:sz w:val="18"/>
        </w:rPr>
        <w:t>; Wave 2 N = 3,745</w:t>
      </w:r>
    </w:p>
    <w:p w:rsidR="00AD78D2" w:rsidRDefault="00AD78D2" w:rsidP="00370CEE">
      <w:pPr>
        <w:rPr>
          <w:sz w:val="18"/>
        </w:rPr>
      </w:pPr>
      <w:r>
        <w:rPr>
          <w:sz w:val="18"/>
        </w:rPr>
        <w:t>Not all variables re-assessed in Wave 2</w:t>
      </w:r>
    </w:p>
    <w:p w:rsidR="00C130D8" w:rsidRDefault="00C130D8" w:rsidP="00370CEE">
      <w:pPr>
        <w:rPr>
          <w:sz w:val="18"/>
        </w:rPr>
      </w:pPr>
    </w:p>
    <w:p w:rsidR="007D4B0B" w:rsidRDefault="007D4B0B">
      <w:pPr>
        <w:rPr>
          <w:sz w:val="18"/>
        </w:rPr>
      </w:pPr>
      <w:r>
        <w:rPr>
          <w:sz w:val="18"/>
        </w:rPr>
        <w:br w:type="page"/>
      </w:r>
    </w:p>
    <w:p w:rsidR="00AB57AF" w:rsidRDefault="00AB57AF" w:rsidP="00AB57AF">
      <w:pPr>
        <w:pStyle w:val="Heading3b"/>
        <w:numPr>
          <w:ilvl w:val="0"/>
          <w:numId w:val="0"/>
        </w:numPr>
        <w:spacing w:before="0" w:after="0"/>
        <w:jc w:val="both"/>
        <w:rPr>
          <w:rFonts w:ascii="Times New Roman" w:hAnsi="Times New Roman" w:cs="Times New Roman"/>
          <w:b/>
          <w:i w:val="0"/>
        </w:rPr>
      </w:pPr>
      <w:bookmarkStart w:id="268" w:name="_Ref404160094"/>
      <w:bookmarkStart w:id="269" w:name="_Toc420392628"/>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175B">
        <w:rPr>
          <w:rFonts w:ascii="Times New Roman" w:hAnsi="Times New Roman" w:cs="Times New Roman"/>
          <w:b/>
          <w:i w:val="0"/>
          <w:noProof/>
        </w:rPr>
        <w:t>5</w:t>
      </w:r>
      <w:r w:rsidRPr="009F568C">
        <w:rPr>
          <w:rFonts w:ascii="Times New Roman" w:hAnsi="Times New Roman" w:cs="Times New Roman"/>
          <w:b/>
          <w:i w:val="0"/>
        </w:rPr>
        <w:fldChar w:fldCharType="end"/>
      </w:r>
      <w:bookmarkEnd w:id="268"/>
      <w:r w:rsidRPr="009F568C">
        <w:rPr>
          <w:rFonts w:ascii="Times New Roman" w:hAnsi="Times New Roman" w:cs="Times New Roman"/>
          <w:b/>
          <w:i w:val="0"/>
        </w:rPr>
        <w:t xml:space="preserve">: </w:t>
      </w:r>
      <w:r>
        <w:rPr>
          <w:rFonts w:ascii="Times New Roman" w:hAnsi="Times New Roman" w:cs="Times New Roman"/>
          <w:b/>
          <w:i w:val="0"/>
        </w:rPr>
        <w:t xml:space="preserve">Prevalence and 95% confidence intervals for </w:t>
      </w:r>
      <w:r w:rsidR="008110D8">
        <w:rPr>
          <w:rFonts w:ascii="Times New Roman" w:hAnsi="Times New Roman" w:cs="Times New Roman"/>
          <w:b/>
          <w:i w:val="0"/>
        </w:rPr>
        <w:t xml:space="preserve">past </w:t>
      </w:r>
      <w:r w:rsidR="00EE58B5">
        <w:rPr>
          <w:rFonts w:ascii="Times New Roman" w:hAnsi="Times New Roman" w:cs="Times New Roman"/>
          <w:b/>
          <w:i w:val="0"/>
        </w:rPr>
        <w:t>year</w:t>
      </w:r>
      <w:r w:rsidR="008110D8">
        <w:rPr>
          <w:rFonts w:ascii="Times New Roman" w:hAnsi="Times New Roman" w:cs="Times New Roman"/>
          <w:b/>
          <w:i w:val="0"/>
        </w:rPr>
        <w:t xml:space="preserve"> </w:t>
      </w:r>
      <w:r w:rsidR="00104F97">
        <w:rPr>
          <w:rFonts w:ascii="Times New Roman" w:hAnsi="Times New Roman" w:cs="Times New Roman"/>
          <w:b/>
          <w:i w:val="0"/>
        </w:rPr>
        <w:t xml:space="preserve">and </w:t>
      </w:r>
      <w:r w:rsidR="008110D8">
        <w:rPr>
          <w:rFonts w:ascii="Times New Roman" w:hAnsi="Times New Roman" w:cs="Times New Roman"/>
          <w:b/>
          <w:i w:val="0"/>
        </w:rPr>
        <w:t xml:space="preserve">past </w:t>
      </w:r>
      <w:r w:rsidR="00104F97">
        <w:rPr>
          <w:rFonts w:ascii="Times New Roman" w:hAnsi="Times New Roman" w:cs="Times New Roman"/>
          <w:b/>
          <w:i w:val="0"/>
        </w:rPr>
        <w:t xml:space="preserve">month </w:t>
      </w:r>
      <w:r>
        <w:rPr>
          <w:rFonts w:ascii="Times New Roman" w:hAnsi="Times New Roman" w:cs="Times New Roman"/>
          <w:b/>
          <w:i w:val="0"/>
        </w:rPr>
        <w:t xml:space="preserve">gambling </w:t>
      </w:r>
      <w:r w:rsidR="000B37DC">
        <w:rPr>
          <w:rFonts w:ascii="Times New Roman" w:hAnsi="Times New Roman" w:cs="Times New Roman"/>
          <w:b/>
          <w:i w:val="0"/>
        </w:rPr>
        <w:t>in Wave 1</w:t>
      </w:r>
      <w:r>
        <w:rPr>
          <w:rFonts w:ascii="Times New Roman" w:hAnsi="Times New Roman" w:cs="Times New Roman"/>
          <w:b/>
          <w:i w:val="0"/>
        </w:rPr>
        <w:t xml:space="preserve"> and Wave 2</w:t>
      </w:r>
      <w:bookmarkEnd w:id="269"/>
    </w:p>
    <w:p w:rsidR="00AB57AF" w:rsidRDefault="00AB57AF" w:rsidP="00AB57AF"/>
    <w:tbl>
      <w:tblPr>
        <w:tblStyle w:val="LightShading4"/>
        <w:tblW w:w="8533" w:type="dxa"/>
        <w:tblLook w:val="06A0" w:firstRow="1" w:lastRow="0" w:firstColumn="1" w:lastColumn="0" w:noHBand="1" w:noVBand="1"/>
      </w:tblPr>
      <w:tblGrid>
        <w:gridCol w:w="3632"/>
        <w:gridCol w:w="576"/>
        <w:gridCol w:w="567"/>
        <w:gridCol w:w="236"/>
        <w:gridCol w:w="926"/>
        <w:gridCol w:w="834"/>
        <w:gridCol w:w="11"/>
        <w:gridCol w:w="556"/>
        <w:gridCol w:w="11"/>
        <w:gridCol w:w="617"/>
        <w:gridCol w:w="556"/>
        <w:gridCol w:w="11"/>
      </w:tblGrid>
      <w:tr w:rsidR="00AB57AF" w:rsidRPr="00365360" w:rsidTr="00847A76">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3632" w:type="dxa"/>
            <w:vMerge w:val="restart"/>
            <w:tcBorders>
              <w:bottom w:val="single" w:sz="4" w:space="0" w:color="auto"/>
            </w:tcBorders>
            <w:vAlign w:val="bottom"/>
            <w:hideMark/>
          </w:tcPr>
          <w:p w:rsidR="00AB57AF" w:rsidRPr="00365360" w:rsidRDefault="00AB57AF" w:rsidP="00D15E9C">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rPr>
              <w:t>Gambling activity</w:t>
            </w:r>
          </w:p>
        </w:tc>
        <w:tc>
          <w:tcPr>
            <w:tcW w:w="2305" w:type="dxa"/>
            <w:gridSpan w:val="4"/>
            <w:tcBorders>
              <w:bottom w:val="single" w:sz="4" w:space="0" w:color="auto"/>
              <w:right w:val="single" w:sz="4" w:space="0" w:color="auto"/>
            </w:tcBorders>
            <w:noWrap/>
            <w:vAlign w:val="center"/>
            <w:hideMark/>
          </w:tcPr>
          <w:p w:rsidR="00AB57AF" w:rsidRPr="00365360" w:rsidRDefault="000B37DC" w:rsidP="00D15E9C">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18"/>
                <w:szCs w:val="18"/>
                <w:lang w:eastAsia="en-US"/>
              </w:rPr>
            </w:pPr>
            <w:r>
              <w:rPr>
                <w:rFonts w:ascii="Times New Roman" w:eastAsiaTheme="minorEastAsia" w:hAnsi="Times New Roman" w:cs="Times New Roman"/>
                <w:sz w:val="18"/>
                <w:szCs w:val="18"/>
              </w:rPr>
              <w:t>Wave 1</w:t>
            </w:r>
          </w:p>
        </w:tc>
        <w:tc>
          <w:tcPr>
            <w:tcW w:w="2585" w:type="dxa"/>
            <w:gridSpan w:val="6"/>
            <w:tcBorders>
              <w:left w:val="single" w:sz="4" w:space="0" w:color="auto"/>
              <w:bottom w:val="single" w:sz="4" w:space="0" w:color="auto"/>
            </w:tcBorders>
            <w:vAlign w:val="center"/>
          </w:tcPr>
          <w:p w:rsidR="00AB57AF" w:rsidRPr="00286328" w:rsidRDefault="00AB57AF" w:rsidP="00D15E9C">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Wave 2</w:t>
            </w:r>
          </w:p>
        </w:tc>
      </w:tr>
      <w:tr w:rsidR="00AB57AF" w:rsidRPr="00365360" w:rsidTr="00847A76">
        <w:trPr>
          <w:gridAfter w:val="1"/>
          <w:cnfStyle w:val="100000000000" w:firstRow="1" w:lastRow="0" w:firstColumn="0" w:lastColumn="0" w:oddVBand="0" w:evenVBand="0" w:oddHBand="0" w:evenHBand="0" w:firstRowFirstColumn="0" w:firstRowLastColumn="0" w:lastRowFirstColumn="0" w:lastRowLastColumn="0"/>
          <w:wAfter w:w="11" w:type="dxa"/>
          <w:tblHeader/>
        </w:trPr>
        <w:tc>
          <w:tcPr>
            <w:cnfStyle w:val="001000000000" w:firstRow="0" w:lastRow="0" w:firstColumn="1" w:lastColumn="0" w:oddVBand="0" w:evenVBand="0" w:oddHBand="0" w:evenHBand="0" w:firstRowFirstColumn="0" w:firstRowLastColumn="0" w:lastRowFirstColumn="0" w:lastRowLastColumn="0"/>
            <w:tcW w:w="3632" w:type="dxa"/>
            <w:vMerge/>
            <w:tcBorders>
              <w:bottom w:val="single" w:sz="4" w:space="0" w:color="auto"/>
            </w:tcBorders>
            <w:vAlign w:val="center"/>
            <w:hideMark/>
          </w:tcPr>
          <w:p w:rsidR="00AB57AF" w:rsidRPr="00365360" w:rsidRDefault="00AB57AF" w:rsidP="00D15E9C">
            <w:pPr>
              <w:spacing w:before="20" w:after="20"/>
              <w:rPr>
                <w:rFonts w:ascii="Times New Roman" w:eastAsiaTheme="minorEastAsia" w:hAnsi="Times New Roman" w:cs="Times New Roman"/>
                <w:sz w:val="18"/>
                <w:szCs w:val="18"/>
                <w:lang w:eastAsia="en-US"/>
              </w:rPr>
            </w:pPr>
          </w:p>
        </w:tc>
        <w:tc>
          <w:tcPr>
            <w:tcW w:w="576" w:type="dxa"/>
            <w:tcBorders>
              <w:top w:val="single" w:sz="4" w:space="0" w:color="auto"/>
              <w:bottom w:val="single" w:sz="4" w:space="0" w:color="auto"/>
            </w:tcBorders>
            <w:noWrap/>
            <w:vAlign w:val="center"/>
            <w:hideMark/>
          </w:tcPr>
          <w:p w:rsidR="00AB57AF" w:rsidRPr="00365360" w:rsidRDefault="00AB57AF"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n</w:t>
            </w:r>
          </w:p>
        </w:tc>
        <w:tc>
          <w:tcPr>
            <w:tcW w:w="567" w:type="dxa"/>
            <w:tcBorders>
              <w:top w:val="single" w:sz="4" w:space="0" w:color="auto"/>
              <w:bottom w:val="single" w:sz="4" w:space="0" w:color="auto"/>
            </w:tcBorders>
            <w:noWrap/>
            <w:vAlign w:val="center"/>
            <w:hideMark/>
          </w:tcPr>
          <w:p w:rsidR="00AB57AF" w:rsidRPr="00365360" w:rsidRDefault="00AB57AF"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w:t>
            </w:r>
          </w:p>
        </w:tc>
        <w:tc>
          <w:tcPr>
            <w:tcW w:w="1162" w:type="dxa"/>
            <w:gridSpan w:val="2"/>
            <w:tcBorders>
              <w:top w:val="single" w:sz="4" w:space="0" w:color="auto"/>
              <w:bottom w:val="single" w:sz="4" w:space="0" w:color="auto"/>
              <w:right w:val="single" w:sz="4" w:space="0" w:color="auto"/>
            </w:tcBorders>
            <w:noWrap/>
            <w:vAlign w:val="center"/>
          </w:tcPr>
          <w:p w:rsidR="00AB57AF" w:rsidRPr="00365360" w:rsidRDefault="009E6948"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r w:rsidR="00AB57A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c>
          <w:tcPr>
            <w:tcW w:w="834" w:type="dxa"/>
            <w:tcBorders>
              <w:top w:val="single" w:sz="4" w:space="0" w:color="auto"/>
              <w:left w:val="single" w:sz="4" w:space="0" w:color="auto"/>
              <w:bottom w:val="single" w:sz="4" w:space="0" w:color="auto"/>
            </w:tcBorders>
            <w:noWrap/>
            <w:vAlign w:val="center"/>
          </w:tcPr>
          <w:p w:rsidR="00AB57AF" w:rsidRPr="00365360" w:rsidRDefault="00AB57AF"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n</w:t>
            </w:r>
          </w:p>
        </w:tc>
        <w:tc>
          <w:tcPr>
            <w:tcW w:w="567" w:type="dxa"/>
            <w:gridSpan w:val="2"/>
            <w:tcBorders>
              <w:top w:val="single" w:sz="4" w:space="0" w:color="auto"/>
              <w:bottom w:val="single" w:sz="4" w:space="0" w:color="auto"/>
            </w:tcBorders>
            <w:noWrap/>
            <w:vAlign w:val="center"/>
          </w:tcPr>
          <w:p w:rsidR="00AB57AF" w:rsidRPr="00365360" w:rsidRDefault="00AB57AF"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p>
        </w:tc>
        <w:tc>
          <w:tcPr>
            <w:tcW w:w="1184" w:type="dxa"/>
            <w:gridSpan w:val="3"/>
            <w:tcBorders>
              <w:top w:val="single" w:sz="4" w:space="0" w:color="auto"/>
              <w:bottom w:val="single" w:sz="4" w:space="0" w:color="auto"/>
            </w:tcBorders>
            <w:shd w:val="clear" w:color="auto" w:fill="FFFFFF" w:themeFill="background1"/>
            <w:noWrap/>
            <w:vAlign w:val="center"/>
          </w:tcPr>
          <w:p w:rsidR="00AB57AF" w:rsidRPr="00365360" w:rsidRDefault="009E6948" w:rsidP="009E6948">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Pr>
                <w:rFonts w:ascii="Times New Roman" w:eastAsiaTheme="minorEastAsia" w:hAnsi="Times New Roman" w:cs="Times New Roman"/>
                <w:sz w:val="18"/>
                <w:szCs w:val="18"/>
                <w:lang w:eastAsia="en-US"/>
              </w:rPr>
              <w:t>(</w:t>
            </w:r>
            <w:r w:rsidR="00AB57A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r>
      <w:tr w:rsidR="00AB57AF" w:rsidRPr="00365360" w:rsidTr="00847A76">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AB57AF" w:rsidRPr="00365360" w:rsidRDefault="00AB57AF" w:rsidP="00D15E9C">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In past 12 months</w:t>
            </w:r>
          </w:p>
        </w:tc>
        <w:tc>
          <w:tcPr>
            <w:tcW w:w="576" w:type="dxa"/>
            <w:tcBorders>
              <w:top w:val="nil"/>
              <w:left w:val="nil"/>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36" w:type="dxa"/>
            <w:tcBorders>
              <w:top w:val="nil"/>
              <w:left w:val="nil"/>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926" w:type="dxa"/>
            <w:tcBorders>
              <w:top w:val="nil"/>
              <w:left w:val="nil"/>
              <w:bottom w:val="nil"/>
              <w:right w:val="single" w:sz="4" w:space="0" w:color="auto"/>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45" w:type="dxa"/>
            <w:gridSpan w:val="2"/>
            <w:tcBorders>
              <w:top w:val="nil"/>
              <w:left w:val="single" w:sz="4" w:space="0" w:color="auto"/>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gridSpan w:val="2"/>
            <w:tcBorders>
              <w:top w:val="nil"/>
              <w:left w:val="nil"/>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17" w:type="dxa"/>
            <w:tcBorders>
              <w:top w:val="nil"/>
              <w:left w:val="nil"/>
              <w:bottom w:val="nil"/>
              <w:right w:val="nil"/>
            </w:tcBorders>
            <w:shd w:val="clear" w:color="auto" w:fill="FFFFFF" w:themeFill="background1"/>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gridSpan w:val="2"/>
            <w:tcBorders>
              <w:top w:val="nil"/>
              <w:left w:val="nil"/>
              <w:bottom w:val="nil"/>
              <w:right w:val="nil"/>
            </w:tcBorders>
            <w:noWrap/>
            <w:vAlign w:val="center"/>
          </w:tcPr>
          <w:p w:rsidR="00AB57AF" w:rsidRPr="00365360" w:rsidRDefault="00AB57AF"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B84E1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Card games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265</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3.6 - 4.9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125</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3.3</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sidRPr="00B84E1B">
              <w:rPr>
                <w:rFonts w:ascii="Times New Roman" w:eastAsiaTheme="minorEastAsia" w:hAnsi="Times New Roman" w:cs="Times New Roman"/>
                <w:sz w:val="18"/>
                <w:szCs w:val="18"/>
                <w:lang w:eastAsia="en-US"/>
              </w:rPr>
              <w:t>2.6</w:t>
            </w:r>
            <w:r w:rsidR="009E6948">
              <w:rPr>
                <w:rFonts w:ascii="Times New Roman" w:eastAsiaTheme="minorEastAsia" w:hAnsi="Times New Roman" w:cs="Times New Roman"/>
                <w:sz w:val="18"/>
                <w:szCs w:val="18"/>
                <w:lang w:eastAsia="en-US"/>
              </w:rPr>
              <w:t xml:space="preserve"> - </w:t>
            </w:r>
            <w:r w:rsidR="009E6948" w:rsidRPr="00B84E1B">
              <w:rPr>
                <w:rFonts w:ascii="Times New Roman" w:eastAsiaTheme="minorEastAsia" w:hAnsi="Times New Roman" w:cs="Times New Roman"/>
                <w:sz w:val="18"/>
                <w:szCs w:val="18"/>
                <w:lang w:eastAsia="en-US"/>
              </w:rPr>
              <w:t>4.1</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084EBA" w:rsidRDefault="009E6948" w:rsidP="00D15E9C">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Bets with friends/workmates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914</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14.6</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13.6 - 15.7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84E1B">
              <w:rPr>
                <w:rFonts w:ascii="Times New Roman" w:eastAsiaTheme="minorEastAsia" w:hAnsi="Times New Roman" w:cs="Times New Roman"/>
                <w:sz w:val="18"/>
                <w:szCs w:val="18"/>
                <w:lang w:eastAsia="en-US"/>
              </w:rPr>
              <w:t>458</w:t>
            </w:r>
          </w:p>
        </w:tc>
        <w:tc>
          <w:tcPr>
            <w:tcW w:w="567" w:type="dxa"/>
            <w:gridSpan w:val="2"/>
            <w:tcBorders>
              <w:top w:val="nil"/>
              <w:left w:val="nil"/>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12.2</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11.0 - 13.5</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D15E9C">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Text game or competition</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169</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2.7</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2.2 - 3.2</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1.2 - 2.4</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Raffle/lottery (NZ or overseas)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2929</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46.9</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45.4 - 48.3</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1784</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47.6</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45.7 - 49.5</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521BF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Lotto </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3893</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62.3</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60.8 - 63.7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2237</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59.7</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57.8 - 61.6</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Keno</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178</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2.4 - 3.3</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95</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2.5</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F952B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2.0 - 3.</w:t>
            </w:r>
            <w:r w:rsidR="00F952B8">
              <w:rPr>
                <w:rFonts w:ascii="Times New Roman" w:eastAsiaTheme="minorEastAsia" w:hAnsi="Times New Roman" w:cs="Times New Roman"/>
                <w:sz w:val="18"/>
                <w:szCs w:val="18"/>
                <w:lang w:eastAsia="en-US"/>
              </w:rPr>
              <w:t>0</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521BFF">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Instant Kiwi/other scratch tickets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2026</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32.4</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31.0 - 33.8</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1118</w:t>
            </w:r>
          </w:p>
        </w:tc>
        <w:tc>
          <w:tcPr>
            <w:tcW w:w="567" w:type="dxa"/>
            <w:gridSpan w:val="2"/>
            <w:tcBorders>
              <w:top w:val="nil"/>
              <w:left w:val="nil"/>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29.8</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28.1 - 31.6</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D15E9C">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Housie or bingo</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104</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1.3 - 2.0</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49</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1.0 - 1.7</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Horse/dog race betting</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732</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11.7</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10.7 - 12.7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394</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10.5</w:t>
            </w:r>
          </w:p>
        </w:tc>
        <w:tc>
          <w:tcPr>
            <w:tcW w:w="1184" w:type="dxa"/>
            <w:gridSpan w:val="3"/>
            <w:tcBorders>
              <w:top w:val="nil"/>
              <w:left w:val="nil"/>
              <w:bottom w:val="nil"/>
              <w:right w:val="nil"/>
            </w:tcBorders>
            <w:shd w:val="clear" w:color="auto" w:fill="FFFFFF" w:themeFill="background1"/>
            <w:noWrap/>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9.3 - 11.7</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Sports betting</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287</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4.6</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3.9 - 5.3</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103</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2.7</w:t>
            </w:r>
          </w:p>
        </w:tc>
        <w:tc>
          <w:tcPr>
            <w:tcW w:w="1184" w:type="dxa"/>
            <w:gridSpan w:val="3"/>
            <w:tcBorders>
              <w:top w:val="nil"/>
              <w:left w:val="nil"/>
              <w:bottom w:val="nil"/>
              <w:right w:val="nil"/>
            </w:tcBorders>
            <w:shd w:val="clear" w:color="auto" w:fill="FFFFFF" w:themeFill="background1"/>
            <w:noWrap/>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2.1 - 3.4</w:t>
            </w:r>
            <w:r>
              <w:rPr>
                <w:rFonts w:ascii="Times New Roman" w:eastAsiaTheme="minorEastAsia" w:hAnsi="Times New Roman" w:cs="Times New Roman"/>
                <w:sz w:val="18"/>
                <w:szCs w:val="18"/>
                <w:lang w:eastAsia="en-US"/>
              </w:rPr>
              <w:t>)</w:t>
            </w:r>
          </w:p>
        </w:tc>
      </w:tr>
      <w:tr w:rsidR="009E6948" w:rsidRPr="00521BFF"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521BF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or EGMS (overseas)</w:t>
            </w:r>
          </w:p>
        </w:tc>
        <w:tc>
          <w:tcPr>
            <w:tcW w:w="576" w:type="dxa"/>
            <w:tcBorders>
              <w:top w:val="nil"/>
              <w:left w:val="nil"/>
              <w:bottom w:val="nil"/>
              <w:right w:val="nil"/>
            </w:tcBorders>
            <w:noWrap/>
            <w:vAlign w:val="center"/>
          </w:tcPr>
          <w:p w:rsidR="009E6948" w:rsidRPr="00521BFF" w:rsidRDefault="009E6948" w:rsidP="00521BF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228</w:t>
            </w:r>
          </w:p>
        </w:tc>
        <w:tc>
          <w:tcPr>
            <w:tcW w:w="567" w:type="dxa"/>
            <w:tcBorders>
              <w:top w:val="nil"/>
              <w:left w:val="nil"/>
              <w:bottom w:val="nil"/>
              <w:right w:val="nil"/>
            </w:tcBorders>
            <w:noWrap/>
            <w:vAlign w:val="center"/>
          </w:tcPr>
          <w:p w:rsidR="009E6948" w:rsidRPr="00521BFF" w:rsidRDefault="009E6948" w:rsidP="00521BF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3.6</w:t>
            </w:r>
          </w:p>
        </w:tc>
        <w:tc>
          <w:tcPr>
            <w:tcW w:w="1162" w:type="dxa"/>
            <w:gridSpan w:val="2"/>
            <w:tcBorders>
              <w:top w:val="nil"/>
              <w:left w:val="nil"/>
              <w:bottom w:val="nil"/>
              <w:right w:val="single" w:sz="4" w:space="0" w:color="auto"/>
            </w:tcBorders>
            <w:noWrap/>
            <w:vAlign w:val="center"/>
          </w:tcPr>
          <w:p w:rsidR="009E6948" w:rsidRPr="00521BFF"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3.1 - 4.2</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521BFF" w:rsidRDefault="009E6948"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94</w:t>
            </w:r>
          </w:p>
        </w:tc>
        <w:tc>
          <w:tcPr>
            <w:tcW w:w="567" w:type="dxa"/>
            <w:gridSpan w:val="2"/>
            <w:tcBorders>
              <w:top w:val="nil"/>
              <w:left w:val="nil"/>
              <w:bottom w:val="nil"/>
              <w:right w:val="nil"/>
            </w:tcBorders>
            <w:noWrap/>
            <w:vAlign w:val="center"/>
          </w:tcPr>
          <w:p w:rsidR="009E6948" w:rsidRPr="00521BFF" w:rsidRDefault="009E6948"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2.5</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1.9 - 3.1</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521BF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or EGMS (NZ)</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590</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9.4</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8.5 - 10.4</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270</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7.2</w:t>
            </w:r>
          </w:p>
        </w:tc>
        <w:tc>
          <w:tcPr>
            <w:tcW w:w="1184" w:type="dxa"/>
            <w:gridSpan w:val="3"/>
            <w:tcBorders>
              <w:top w:val="nil"/>
              <w:left w:val="nil"/>
              <w:bottom w:val="nil"/>
              <w:right w:val="nil"/>
            </w:tcBorders>
            <w:shd w:val="clear" w:color="auto" w:fill="FFFFFF" w:themeFill="background1"/>
            <w:noWrap/>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6.1 - 8.3</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521BF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(NZ)</w:t>
            </w:r>
          </w:p>
        </w:tc>
        <w:tc>
          <w:tcPr>
            <w:tcW w:w="576"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232</w:t>
            </w:r>
          </w:p>
        </w:tc>
        <w:tc>
          <w:tcPr>
            <w:tcW w:w="567"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3.7</w:t>
            </w:r>
          </w:p>
        </w:tc>
        <w:tc>
          <w:tcPr>
            <w:tcW w:w="1162" w:type="dxa"/>
            <w:gridSpan w:val="2"/>
            <w:tcBorders>
              <w:top w:val="nil"/>
              <w:left w:val="nil"/>
              <w:bottom w:val="nil"/>
              <w:right w:val="single" w:sz="4" w:space="0" w:color="auto"/>
            </w:tcBorders>
            <w:noWrap/>
          </w:tcPr>
          <w:p w:rsidR="009E6948" w:rsidRPr="00521BFF"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3.1 - 4.3</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113</w:t>
            </w:r>
          </w:p>
        </w:tc>
        <w:tc>
          <w:tcPr>
            <w:tcW w:w="567" w:type="dxa"/>
            <w:gridSpan w:val="2"/>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w:t>
            </w:r>
          </w:p>
        </w:tc>
        <w:tc>
          <w:tcPr>
            <w:tcW w:w="1184" w:type="dxa"/>
            <w:gridSpan w:val="3"/>
            <w:tcBorders>
              <w:top w:val="nil"/>
              <w:left w:val="nil"/>
              <w:bottom w:val="nil"/>
              <w:right w:val="nil"/>
            </w:tcBorders>
            <w:shd w:val="clear" w:color="auto" w:fill="FFFFFF" w:themeFill="background1"/>
            <w:noWrap/>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2.2 - 3.8</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521BF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EGMs (NZ)</w:t>
            </w:r>
          </w:p>
        </w:tc>
        <w:tc>
          <w:tcPr>
            <w:tcW w:w="576"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517</w:t>
            </w:r>
          </w:p>
        </w:tc>
        <w:tc>
          <w:tcPr>
            <w:tcW w:w="567"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8.3</w:t>
            </w:r>
          </w:p>
        </w:tc>
        <w:tc>
          <w:tcPr>
            <w:tcW w:w="1162" w:type="dxa"/>
            <w:gridSpan w:val="2"/>
            <w:tcBorders>
              <w:top w:val="nil"/>
              <w:left w:val="nil"/>
              <w:bottom w:val="nil"/>
              <w:right w:val="single" w:sz="4" w:space="0" w:color="auto"/>
            </w:tcBorders>
            <w:noWrap/>
          </w:tcPr>
          <w:p w:rsidR="009E6948" w:rsidRPr="00521BFF"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7.4 - 9.1</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227</w:t>
            </w:r>
          </w:p>
        </w:tc>
        <w:tc>
          <w:tcPr>
            <w:tcW w:w="567" w:type="dxa"/>
            <w:gridSpan w:val="2"/>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6.1</w:t>
            </w:r>
          </w:p>
        </w:tc>
        <w:tc>
          <w:tcPr>
            <w:tcW w:w="1184" w:type="dxa"/>
            <w:gridSpan w:val="3"/>
            <w:tcBorders>
              <w:top w:val="nil"/>
              <w:left w:val="nil"/>
              <w:bottom w:val="nil"/>
              <w:right w:val="nil"/>
            </w:tcBorders>
            <w:shd w:val="clear" w:color="auto" w:fill="FFFFFF" w:themeFill="background1"/>
            <w:noWrap/>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5.1 - 7.0</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D3673E" w:rsidRDefault="009E6948" w:rsidP="00D15E9C">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Pub EGMs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717</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11.5</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10.5 - 12.5</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332</w:t>
            </w:r>
          </w:p>
        </w:tc>
        <w:tc>
          <w:tcPr>
            <w:tcW w:w="567" w:type="dxa"/>
            <w:gridSpan w:val="2"/>
            <w:tcBorders>
              <w:top w:val="nil"/>
              <w:left w:val="nil"/>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8.9</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7.7 - 10.0</w:t>
            </w:r>
            <w:r>
              <w:rPr>
                <w:rFonts w:ascii="Times New Roman" w:eastAsiaTheme="minorEastAsia" w:hAnsi="Times New Roman" w:cs="Times New Roman"/>
                <w:sz w:val="18"/>
                <w:szCs w:val="18"/>
                <w:lang w:eastAsia="en-US"/>
              </w:rPr>
              <w:t>)</w:t>
            </w:r>
          </w:p>
        </w:tc>
      </w:tr>
      <w:tr w:rsidR="009E6948" w:rsidRPr="00521BFF"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D15E9C">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Club EGMs</w:t>
            </w:r>
          </w:p>
        </w:tc>
        <w:tc>
          <w:tcPr>
            <w:tcW w:w="576"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349</w:t>
            </w:r>
          </w:p>
        </w:tc>
        <w:tc>
          <w:tcPr>
            <w:tcW w:w="567"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5.6</w:t>
            </w:r>
          </w:p>
        </w:tc>
        <w:tc>
          <w:tcPr>
            <w:tcW w:w="1162" w:type="dxa"/>
            <w:gridSpan w:val="2"/>
            <w:tcBorders>
              <w:top w:val="nil"/>
              <w:left w:val="nil"/>
              <w:bottom w:val="nil"/>
              <w:right w:val="single" w:sz="4" w:space="0" w:color="auto"/>
            </w:tcBorders>
            <w:noWrap/>
          </w:tcPr>
          <w:p w:rsidR="009E6948" w:rsidRPr="00521BFF"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4.9 - 6.3</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154</w:t>
            </w:r>
          </w:p>
        </w:tc>
        <w:tc>
          <w:tcPr>
            <w:tcW w:w="567" w:type="dxa"/>
            <w:gridSpan w:val="2"/>
            <w:tcBorders>
              <w:top w:val="nil"/>
              <w:left w:val="nil"/>
              <w:bottom w:val="nil"/>
              <w:right w:val="nil"/>
            </w:tcBorders>
            <w:noWrap/>
            <w:vAlign w:val="center"/>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4.1</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3.4 - 4.9</w:t>
            </w:r>
            <w:r>
              <w:rPr>
                <w:rFonts w:ascii="Times New Roman" w:eastAsiaTheme="minorEastAsia" w:hAnsi="Times New Roman" w:cs="Times New Roman"/>
                <w:sz w:val="18"/>
                <w:szCs w:val="18"/>
                <w:lang w:eastAsia="en-US"/>
              </w:rPr>
              <w:t>)</w:t>
            </w:r>
          </w:p>
        </w:tc>
      </w:tr>
      <w:tr w:rsidR="009E6948" w:rsidRPr="00521BFF"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D15E9C">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EGMs overall</w:t>
            </w:r>
          </w:p>
        </w:tc>
        <w:tc>
          <w:tcPr>
            <w:tcW w:w="576"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1100</w:t>
            </w:r>
          </w:p>
        </w:tc>
        <w:tc>
          <w:tcPr>
            <w:tcW w:w="567" w:type="dxa"/>
            <w:tcBorders>
              <w:top w:val="nil"/>
              <w:left w:val="nil"/>
              <w:bottom w:val="nil"/>
              <w:right w:val="nil"/>
            </w:tcBorders>
            <w:noWrap/>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17.6</w:t>
            </w:r>
          </w:p>
        </w:tc>
        <w:tc>
          <w:tcPr>
            <w:tcW w:w="1162" w:type="dxa"/>
            <w:gridSpan w:val="2"/>
            <w:tcBorders>
              <w:top w:val="nil"/>
              <w:left w:val="nil"/>
              <w:bottom w:val="nil"/>
              <w:right w:val="single" w:sz="4" w:space="0" w:color="auto"/>
            </w:tcBorders>
            <w:noWrap/>
          </w:tcPr>
          <w:p w:rsidR="009E6948" w:rsidRPr="00521BFF"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16.4 - 18.8</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528</w:t>
            </w:r>
          </w:p>
        </w:tc>
        <w:tc>
          <w:tcPr>
            <w:tcW w:w="567" w:type="dxa"/>
            <w:gridSpan w:val="2"/>
            <w:tcBorders>
              <w:top w:val="nil"/>
              <w:left w:val="nil"/>
              <w:bottom w:val="nil"/>
              <w:right w:val="nil"/>
            </w:tcBorders>
            <w:noWrap/>
            <w:vAlign w:val="center"/>
          </w:tcPr>
          <w:p w:rsidR="009E6948" w:rsidRPr="00521BFF"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14.1</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12.7 - 15.5</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D3673E" w:rsidRDefault="009E6948" w:rsidP="00D15E9C">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 xml:space="preserve">Short-term speculative investments </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0.9</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0.7 - 1.2</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55</w:t>
            </w:r>
          </w:p>
        </w:tc>
        <w:tc>
          <w:tcPr>
            <w:tcW w:w="567" w:type="dxa"/>
            <w:gridSpan w:val="2"/>
            <w:tcBorders>
              <w:top w:val="nil"/>
              <w:left w:val="nil"/>
              <w:bottom w:val="nil"/>
              <w:right w:val="nil"/>
            </w:tcBorders>
            <w:noWrap/>
            <w:vAlign w:val="center"/>
          </w:tcPr>
          <w:p w:rsidR="009E6948" w:rsidRPr="00B84E1B"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0.9 - 2.0</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847A76">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Overseas internet gambling</w:t>
            </w:r>
            <w:r w:rsidR="00847A76" w:rsidRPr="00847A76">
              <w:rPr>
                <w:rFonts w:ascii="Times New Roman" w:eastAsiaTheme="minorEastAsia" w:hAnsi="Times New Roman" w:cs="Times New Roman"/>
                <w:b w:val="0"/>
                <w:sz w:val="18"/>
                <w:szCs w:val="18"/>
                <w:vertAlign w:val="superscript"/>
                <w:lang w:eastAsia="en-US"/>
              </w:rPr>
              <w:t>†</w:t>
            </w:r>
            <w:r w:rsidR="00847A76">
              <w:rPr>
                <w:rFonts w:ascii="Times New Roman" w:eastAsiaTheme="minorEastAsia" w:hAnsi="Times New Roman" w:cs="Times New Roman"/>
                <w:b w:val="0"/>
                <w:sz w:val="18"/>
                <w:szCs w:val="18"/>
                <w:lang w:eastAsia="en-US"/>
              </w:rPr>
              <w:t xml:space="preserve"> </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w:t>
            </w:r>
          </w:p>
        </w:tc>
        <w:tc>
          <w:tcPr>
            <w:tcW w:w="1162" w:type="dxa"/>
            <w:gridSpan w:val="2"/>
            <w:tcBorders>
              <w:top w:val="nil"/>
              <w:left w:val="nil"/>
              <w:bottom w:val="nil"/>
              <w:right w:val="single" w:sz="4" w:space="0" w:color="auto"/>
            </w:tcBorders>
            <w:noWrap/>
          </w:tcPr>
          <w:p w:rsidR="009E6948" w:rsidRPr="001D5426"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0.4 - 0.9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0.2 - 0.6</w:t>
            </w:r>
            <w:r>
              <w:rPr>
                <w:rFonts w:ascii="Times New Roman" w:eastAsiaTheme="minorEastAsia" w:hAnsi="Times New Roman" w:cs="Times New Roman"/>
                <w:sz w:val="18"/>
                <w:szCs w:val="18"/>
                <w:lang w:eastAsia="en-US"/>
              </w:rPr>
              <w:t>)</w:t>
            </w:r>
          </w:p>
        </w:tc>
      </w:tr>
      <w:tr w:rsidR="00847A76"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847A76" w:rsidRPr="00847A76" w:rsidRDefault="00847A76"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O</w:t>
            </w:r>
            <w:r w:rsidRPr="00847A76">
              <w:rPr>
                <w:rFonts w:ascii="Times New Roman" w:eastAsiaTheme="minorEastAsia" w:hAnsi="Times New Roman" w:cs="Times New Roman"/>
                <w:b w:val="0"/>
                <w:sz w:val="18"/>
                <w:szCs w:val="18"/>
                <w:lang w:eastAsia="en-US"/>
              </w:rPr>
              <w:t>verseas internet gambling</w:t>
            </w:r>
            <w:r>
              <w:rPr>
                <w:rFonts w:ascii="Times New Roman" w:eastAsiaTheme="minorEastAsia" w:hAnsi="Times New Roman" w:cs="Times New Roman"/>
                <w:b w:val="0"/>
                <w:sz w:val="18"/>
                <w:szCs w:val="18"/>
                <w:lang w:eastAsia="en-US"/>
              </w:rPr>
              <w:t xml:space="preserve"> overall</w:t>
            </w:r>
            <w:r w:rsidRPr="00847A76">
              <w:rPr>
                <w:rFonts w:ascii="Times New Roman" w:eastAsiaTheme="minorEastAsia" w:hAnsi="Times New Roman" w:cs="Times New Roman"/>
                <w:b w:val="0"/>
                <w:sz w:val="18"/>
                <w:szCs w:val="18"/>
                <w:vertAlign w:val="superscript"/>
                <w:lang w:eastAsia="en-US"/>
              </w:rPr>
              <w:t>‡</w:t>
            </w:r>
          </w:p>
        </w:tc>
        <w:tc>
          <w:tcPr>
            <w:tcW w:w="576" w:type="dxa"/>
            <w:tcBorders>
              <w:top w:val="nil"/>
              <w:left w:val="nil"/>
              <w:bottom w:val="nil"/>
              <w:right w:val="nil"/>
            </w:tcBorders>
            <w:noWrap/>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847A76">
              <w:rPr>
                <w:rFonts w:ascii="Times New Roman" w:eastAsiaTheme="minorEastAsia" w:hAnsi="Times New Roman" w:cs="Times New Roman"/>
                <w:sz w:val="18"/>
                <w:szCs w:val="18"/>
                <w:lang w:eastAsia="en-US"/>
              </w:rPr>
              <w:t>104</w:t>
            </w:r>
          </w:p>
        </w:tc>
        <w:tc>
          <w:tcPr>
            <w:tcW w:w="567" w:type="dxa"/>
            <w:tcBorders>
              <w:top w:val="nil"/>
              <w:left w:val="nil"/>
              <w:bottom w:val="nil"/>
              <w:right w:val="nil"/>
            </w:tcBorders>
            <w:noWrap/>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w:t>
            </w:r>
          </w:p>
        </w:tc>
        <w:tc>
          <w:tcPr>
            <w:tcW w:w="1162" w:type="dxa"/>
            <w:gridSpan w:val="2"/>
            <w:tcBorders>
              <w:top w:val="nil"/>
              <w:left w:val="nil"/>
              <w:bottom w:val="nil"/>
              <w:right w:val="single" w:sz="4" w:space="0" w:color="auto"/>
            </w:tcBorders>
            <w:noWrap/>
          </w:tcPr>
          <w:p w:rsidR="00847A76" w:rsidRPr="00847A76" w:rsidRDefault="00847A76"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(1.2 - 2.1)</w:t>
            </w:r>
          </w:p>
        </w:tc>
        <w:tc>
          <w:tcPr>
            <w:tcW w:w="834" w:type="dxa"/>
            <w:tcBorders>
              <w:top w:val="nil"/>
              <w:left w:val="single" w:sz="4" w:space="0" w:color="auto"/>
              <w:bottom w:val="nil"/>
              <w:right w:val="nil"/>
            </w:tcBorders>
            <w:noWrap/>
            <w:vAlign w:val="center"/>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567" w:type="dxa"/>
            <w:gridSpan w:val="2"/>
            <w:tcBorders>
              <w:top w:val="nil"/>
              <w:left w:val="nil"/>
              <w:bottom w:val="nil"/>
              <w:right w:val="nil"/>
            </w:tcBorders>
            <w:noWrap/>
            <w:vAlign w:val="center"/>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p>
        </w:tc>
        <w:tc>
          <w:tcPr>
            <w:tcW w:w="1184" w:type="dxa"/>
            <w:gridSpan w:val="3"/>
            <w:tcBorders>
              <w:top w:val="nil"/>
              <w:left w:val="nil"/>
              <w:bottom w:val="nil"/>
              <w:right w:val="nil"/>
            </w:tcBorders>
            <w:shd w:val="clear" w:color="auto" w:fill="FFFFFF" w:themeFill="background1"/>
            <w:noWrap/>
            <w:vAlign w:val="center"/>
          </w:tcPr>
          <w:p w:rsidR="00847A76" w:rsidRPr="00847A76" w:rsidRDefault="00847A76" w:rsidP="009E6948">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(0.8 - 1.7)</w:t>
            </w:r>
          </w:p>
        </w:tc>
      </w:tr>
      <w:tr w:rsidR="00104F97" w:rsidRPr="00365360" w:rsidTr="00847A76">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104F97" w:rsidRPr="00365360" w:rsidRDefault="00104F97" w:rsidP="00104F97">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In past month</w:t>
            </w:r>
          </w:p>
        </w:tc>
        <w:tc>
          <w:tcPr>
            <w:tcW w:w="576" w:type="dxa"/>
            <w:tcBorders>
              <w:top w:val="nil"/>
              <w:left w:val="nil"/>
              <w:bottom w:val="nil"/>
              <w:right w:val="nil"/>
            </w:tcBorders>
            <w:noWrap/>
          </w:tcPr>
          <w:p w:rsidR="00104F97" w:rsidRPr="001D5426"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104F97" w:rsidRPr="001D5426"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36" w:type="dxa"/>
            <w:tcBorders>
              <w:top w:val="nil"/>
              <w:left w:val="nil"/>
              <w:bottom w:val="nil"/>
              <w:right w:val="nil"/>
            </w:tcBorders>
            <w:noWrap/>
          </w:tcPr>
          <w:p w:rsidR="00104F97" w:rsidRPr="001D5426"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926" w:type="dxa"/>
            <w:tcBorders>
              <w:top w:val="nil"/>
              <w:left w:val="nil"/>
              <w:bottom w:val="nil"/>
              <w:right w:val="single" w:sz="4" w:space="0" w:color="auto"/>
            </w:tcBorders>
            <w:noWrap/>
          </w:tcPr>
          <w:p w:rsidR="00104F97" w:rsidRPr="001D5426"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45" w:type="dxa"/>
            <w:gridSpan w:val="2"/>
            <w:tcBorders>
              <w:top w:val="nil"/>
              <w:left w:val="single" w:sz="4" w:space="0" w:color="auto"/>
              <w:bottom w:val="nil"/>
              <w:right w:val="nil"/>
            </w:tcBorders>
            <w:noWrap/>
            <w:vAlign w:val="center"/>
          </w:tcPr>
          <w:p w:rsidR="00104F97" w:rsidRPr="00365360"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gridSpan w:val="2"/>
            <w:tcBorders>
              <w:top w:val="nil"/>
              <w:left w:val="nil"/>
              <w:bottom w:val="nil"/>
              <w:right w:val="nil"/>
            </w:tcBorders>
            <w:noWrap/>
            <w:vAlign w:val="center"/>
          </w:tcPr>
          <w:p w:rsidR="00104F97" w:rsidRPr="00365360"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17" w:type="dxa"/>
            <w:tcBorders>
              <w:top w:val="nil"/>
              <w:left w:val="nil"/>
              <w:bottom w:val="nil"/>
              <w:right w:val="nil"/>
            </w:tcBorders>
            <w:shd w:val="clear" w:color="auto" w:fill="FFFFFF" w:themeFill="background1"/>
            <w:noWrap/>
            <w:vAlign w:val="center"/>
          </w:tcPr>
          <w:p w:rsidR="00104F97" w:rsidRPr="00B84E1B"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gridSpan w:val="2"/>
            <w:tcBorders>
              <w:top w:val="nil"/>
              <w:left w:val="nil"/>
              <w:bottom w:val="nil"/>
              <w:right w:val="nil"/>
            </w:tcBorders>
            <w:noWrap/>
            <w:vAlign w:val="center"/>
          </w:tcPr>
          <w:p w:rsidR="00104F97" w:rsidRPr="00B84E1B" w:rsidRDefault="00104F97"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Card games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82</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p>
        </w:tc>
        <w:tc>
          <w:tcPr>
            <w:tcW w:w="1162" w:type="dxa"/>
            <w:gridSpan w:val="2"/>
            <w:tcBorders>
              <w:top w:val="nil"/>
              <w:left w:val="nil"/>
              <w:bottom w:val="nil"/>
              <w:right w:val="single" w:sz="4" w:space="0" w:color="auto"/>
            </w:tcBorders>
            <w:noWrap/>
          </w:tcPr>
          <w:p w:rsidR="009E6948" w:rsidRPr="001D5426"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36</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1.3</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084EBA"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Bets with friends/workmates</w:t>
            </w:r>
          </w:p>
        </w:tc>
        <w:tc>
          <w:tcPr>
            <w:tcW w:w="576"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97</w:t>
            </w:r>
          </w:p>
        </w:tc>
        <w:tc>
          <w:tcPr>
            <w:tcW w:w="567" w:type="dxa"/>
            <w:tcBorders>
              <w:top w:val="nil"/>
              <w:left w:val="nil"/>
              <w:bottom w:val="nil"/>
              <w:right w:val="nil"/>
            </w:tcBorders>
            <w:noWrap/>
          </w:tcPr>
          <w:p w:rsidR="009E6948" w:rsidRPr="001D5426"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1162" w:type="dxa"/>
            <w:gridSpan w:val="2"/>
            <w:tcBorders>
              <w:top w:val="nil"/>
              <w:left w:val="nil"/>
              <w:bottom w:val="nil"/>
              <w:right w:val="single" w:sz="4" w:space="0" w:color="auto"/>
            </w:tcBorders>
            <w:noWrap/>
          </w:tcPr>
          <w:p w:rsidR="009E6948" w:rsidRPr="001D5426"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62</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2.2</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0F3D0B">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Text game or competition</w:t>
            </w:r>
          </w:p>
        </w:tc>
        <w:tc>
          <w:tcPr>
            <w:tcW w:w="576"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39</w:t>
            </w:r>
          </w:p>
        </w:tc>
        <w:tc>
          <w:tcPr>
            <w:tcW w:w="567"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w:t>
            </w:r>
          </w:p>
        </w:tc>
        <w:tc>
          <w:tcPr>
            <w:tcW w:w="1162" w:type="dxa"/>
            <w:gridSpan w:val="2"/>
            <w:tcBorders>
              <w:top w:val="nil"/>
              <w:left w:val="nil"/>
              <w:bottom w:val="nil"/>
              <w:right w:val="single" w:sz="4" w:space="0" w:color="auto"/>
            </w:tcBorders>
            <w:noWrap/>
          </w:tcPr>
          <w:p w:rsidR="009E6948"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0.7</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Raffle/lottery (NZ or overseas)</w:t>
            </w:r>
          </w:p>
        </w:tc>
        <w:tc>
          <w:tcPr>
            <w:tcW w:w="576"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684</w:t>
            </w:r>
          </w:p>
        </w:tc>
        <w:tc>
          <w:tcPr>
            <w:tcW w:w="567"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10.9</w:t>
            </w:r>
          </w:p>
        </w:tc>
        <w:tc>
          <w:tcPr>
            <w:tcW w:w="1162" w:type="dxa"/>
            <w:gridSpan w:val="2"/>
            <w:tcBorders>
              <w:top w:val="nil"/>
              <w:left w:val="nil"/>
              <w:bottom w:val="nil"/>
              <w:right w:val="single" w:sz="4" w:space="0" w:color="auto"/>
            </w:tcBorders>
            <w:noWrap/>
          </w:tcPr>
          <w:p w:rsidR="009E6948"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10.1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11.8</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4.4</w:t>
            </w:r>
          </w:p>
        </w:tc>
        <w:tc>
          <w:tcPr>
            <w:tcW w:w="567" w:type="dxa"/>
            <w:gridSpan w:val="2"/>
            <w:tcBorders>
              <w:top w:val="nil"/>
              <w:left w:val="nil"/>
              <w:bottom w:val="nil"/>
              <w:right w:val="nil"/>
            </w:tcBorders>
            <w:noWrap/>
            <w:vAlign w:val="center"/>
          </w:tcPr>
          <w:p w:rsidR="009E6948" w:rsidRPr="00365360"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10.8</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9.7</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11.9</w:t>
            </w:r>
            <w:r>
              <w:rPr>
                <w:rFonts w:ascii="Times New Roman" w:eastAsiaTheme="minorEastAsia" w:hAnsi="Times New Roman" w:cs="Times New Roman"/>
                <w:sz w:val="18"/>
                <w:szCs w:val="18"/>
                <w:lang w:eastAsia="en-US"/>
              </w:rPr>
              <w:t>)</w:t>
            </w:r>
          </w:p>
        </w:tc>
      </w:tr>
      <w:tr w:rsidR="009E6948" w:rsidRPr="006305B8"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Lotto </w:t>
            </w:r>
          </w:p>
        </w:tc>
        <w:tc>
          <w:tcPr>
            <w:tcW w:w="576"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2200</w:t>
            </w:r>
          </w:p>
        </w:tc>
        <w:tc>
          <w:tcPr>
            <w:tcW w:w="567"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35.2</w:t>
            </w:r>
          </w:p>
        </w:tc>
        <w:tc>
          <w:tcPr>
            <w:tcW w:w="1162" w:type="dxa"/>
            <w:gridSpan w:val="2"/>
            <w:tcBorders>
              <w:top w:val="nil"/>
              <w:left w:val="nil"/>
              <w:bottom w:val="nil"/>
              <w:right w:val="single" w:sz="4" w:space="0" w:color="auto"/>
            </w:tcBorders>
            <w:noWrap/>
          </w:tcPr>
          <w:p w:rsidR="009E6948"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33.8</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36.6</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6305B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1224</w:t>
            </w:r>
          </w:p>
        </w:tc>
        <w:tc>
          <w:tcPr>
            <w:tcW w:w="567" w:type="dxa"/>
            <w:gridSpan w:val="2"/>
            <w:tcBorders>
              <w:top w:val="nil"/>
              <w:left w:val="nil"/>
              <w:bottom w:val="nil"/>
              <w:right w:val="nil"/>
            </w:tcBorders>
            <w:noWrap/>
            <w:vAlign w:val="center"/>
          </w:tcPr>
          <w:p w:rsidR="009E6948" w:rsidRPr="006305B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32.7</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30.9</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34.4</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365360" w:rsidRDefault="009E6948"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Keno</w:t>
            </w:r>
          </w:p>
        </w:tc>
        <w:tc>
          <w:tcPr>
            <w:tcW w:w="576" w:type="dxa"/>
            <w:tcBorders>
              <w:top w:val="nil"/>
              <w:left w:val="nil"/>
              <w:bottom w:val="nil"/>
              <w:right w:val="nil"/>
            </w:tcBorders>
            <w:noWrap/>
            <w:vAlign w:val="center"/>
          </w:tcPr>
          <w:p w:rsidR="009E6948" w:rsidRPr="00365360" w:rsidRDefault="009E6948" w:rsidP="00D15E9C">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86</w:t>
            </w:r>
          </w:p>
        </w:tc>
        <w:tc>
          <w:tcPr>
            <w:tcW w:w="567" w:type="dxa"/>
            <w:tcBorders>
              <w:top w:val="nil"/>
              <w:left w:val="nil"/>
              <w:bottom w:val="nil"/>
              <w:right w:val="nil"/>
            </w:tcBorders>
            <w:noWrap/>
            <w:vAlign w:val="center"/>
          </w:tcPr>
          <w:p w:rsidR="009E6948" w:rsidRPr="00365360" w:rsidRDefault="009E6948" w:rsidP="00D15E9C">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1.4</w:t>
            </w:r>
          </w:p>
        </w:tc>
        <w:tc>
          <w:tcPr>
            <w:tcW w:w="1162" w:type="dxa"/>
            <w:gridSpan w:val="2"/>
            <w:tcBorders>
              <w:top w:val="nil"/>
              <w:left w:val="nil"/>
              <w:bottom w:val="nil"/>
              <w:right w:val="single" w:sz="4" w:space="0" w:color="auto"/>
            </w:tcBorders>
            <w:noWrap/>
            <w:vAlign w:val="center"/>
          </w:tcPr>
          <w:p w:rsidR="009E6948" w:rsidRPr="00365360" w:rsidRDefault="006505D1" w:rsidP="006505D1">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365360" w:rsidRDefault="009E6948"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45</w:t>
            </w:r>
          </w:p>
        </w:tc>
        <w:tc>
          <w:tcPr>
            <w:tcW w:w="567" w:type="dxa"/>
            <w:gridSpan w:val="2"/>
            <w:tcBorders>
              <w:top w:val="nil"/>
              <w:left w:val="nil"/>
              <w:bottom w:val="nil"/>
              <w:right w:val="nil"/>
            </w:tcBorders>
            <w:noWrap/>
            <w:vAlign w:val="center"/>
          </w:tcPr>
          <w:p w:rsidR="009E6948" w:rsidRPr="00365360" w:rsidRDefault="009E6948"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0.8</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1.6</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Instant Kiwi/other scratch tickets</w:t>
            </w:r>
          </w:p>
        </w:tc>
        <w:tc>
          <w:tcPr>
            <w:tcW w:w="576"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750</w:t>
            </w:r>
          </w:p>
        </w:tc>
        <w:tc>
          <w:tcPr>
            <w:tcW w:w="567"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12.0</w:t>
            </w:r>
          </w:p>
        </w:tc>
        <w:tc>
          <w:tcPr>
            <w:tcW w:w="1162" w:type="dxa"/>
            <w:gridSpan w:val="2"/>
            <w:tcBorders>
              <w:top w:val="nil"/>
              <w:left w:val="nil"/>
              <w:bottom w:val="nil"/>
              <w:right w:val="single" w:sz="4" w:space="0" w:color="auto"/>
            </w:tcBorders>
            <w:noWrap/>
          </w:tcPr>
          <w:p w:rsidR="009E6948"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11.0</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13.0</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10.7</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9.6</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11.9</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0F3D0B">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Housie or bingo</w:t>
            </w:r>
          </w:p>
        </w:tc>
        <w:tc>
          <w:tcPr>
            <w:tcW w:w="576"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w:t>
            </w:r>
          </w:p>
        </w:tc>
        <w:tc>
          <w:tcPr>
            <w:tcW w:w="567" w:type="dxa"/>
            <w:tcBorders>
              <w:top w:val="nil"/>
              <w:left w:val="nil"/>
              <w:bottom w:val="nil"/>
              <w:right w:val="nil"/>
            </w:tcBorders>
            <w:noWrap/>
          </w:tcPr>
          <w:p w:rsidR="009E6948" w:rsidRPr="00084EBA"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c>
          <w:tcPr>
            <w:tcW w:w="1162" w:type="dxa"/>
            <w:gridSpan w:val="2"/>
            <w:tcBorders>
              <w:top w:val="nil"/>
              <w:left w:val="nil"/>
              <w:bottom w:val="nil"/>
              <w:right w:val="single" w:sz="4" w:space="0" w:color="auto"/>
            </w:tcBorders>
            <w:noWrap/>
          </w:tcPr>
          <w:p w:rsidR="009E6948"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0.7</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w:t>
            </w:r>
          </w:p>
        </w:tc>
      </w:tr>
      <w:tr w:rsidR="006505D1"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6505D1" w:rsidRPr="00365360" w:rsidRDefault="006505D1"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Horse/dog race betting</w:t>
            </w:r>
          </w:p>
        </w:tc>
        <w:tc>
          <w:tcPr>
            <w:tcW w:w="576"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176</w:t>
            </w:r>
          </w:p>
        </w:tc>
        <w:tc>
          <w:tcPr>
            <w:tcW w:w="567"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2.8</w:t>
            </w:r>
          </w:p>
        </w:tc>
        <w:tc>
          <w:tcPr>
            <w:tcW w:w="1162" w:type="dxa"/>
            <w:gridSpan w:val="2"/>
            <w:tcBorders>
              <w:top w:val="nil"/>
              <w:left w:val="nil"/>
              <w:bottom w:val="nil"/>
              <w:right w:val="single" w:sz="4" w:space="0" w:color="auto"/>
            </w:tcBorders>
            <w:noWrap/>
          </w:tcPr>
          <w:p w:rsidR="006505D1"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(2.3 - 3.3)</w:t>
            </w:r>
          </w:p>
        </w:tc>
        <w:tc>
          <w:tcPr>
            <w:tcW w:w="834" w:type="dxa"/>
            <w:tcBorders>
              <w:top w:val="nil"/>
              <w:left w:val="single" w:sz="4" w:space="0" w:color="auto"/>
              <w:bottom w:val="nil"/>
              <w:right w:val="nil"/>
            </w:tcBorders>
            <w:noWrap/>
          </w:tcPr>
          <w:p w:rsidR="006505D1" w:rsidRPr="00C130D8" w:rsidRDefault="006505D1" w:rsidP="00161DB9">
            <w:pPr>
              <w:tabs>
                <w:tab w:val="left" w:pos="438"/>
              </w:tab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ab/>
              <w:t>88</w:t>
            </w:r>
          </w:p>
        </w:tc>
        <w:tc>
          <w:tcPr>
            <w:tcW w:w="567" w:type="dxa"/>
            <w:gridSpan w:val="2"/>
            <w:tcBorders>
              <w:top w:val="nil"/>
              <w:left w:val="nil"/>
              <w:bottom w:val="nil"/>
              <w:right w:val="nil"/>
            </w:tcBorders>
            <w:noWrap/>
          </w:tcPr>
          <w:p w:rsidR="006505D1" w:rsidRPr="00C130D8"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2.3</w:t>
            </w:r>
          </w:p>
        </w:tc>
        <w:tc>
          <w:tcPr>
            <w:tcW w:w="1184" w:type="dxa"/>
            <w:gridSpan w:val="3"/>
            <w:tcBorders>
              <w:top w:val="nil"/>
              <w:left w:val="nil"/>
              <w:bottom w:val="nil"/>
              <w:right w:val="nil"/>
            </w:tcBorders>
            <w:shd w:val="clear" w:color="auto" w:fill="FFFFFF" w:themeFill="background1"/>
            <w:noWrap/>
          </w:tcPr>
          <w:p w:rsidR="006505D1"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(1.8 - 2.9)</w:t>
            </w:r>
          </w:p>
        </w:tc>
      </w:tr>
      <w:tr w:rsidR="006505D1"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6505D1" w:rsidRPr="00365360" w:rsidRDefault="006505D1"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Sports betting</w:t>
            </w:r>
          </w:p>
        </w:tc>
        <w:tc>
          <w:tcPr>
            <w:tcW w:w="576"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83</w:t>
            </w:r>
          </w:p>
        </w:tc>
        <w:tc>
          <w:tcPr>
            <w:tcW w:w="567"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p>
        </w:tc>
        <w:tc>
          <w:tcPr>
            <w:tcW w:w="1162" w:type="dxa"/>
            <w:gridSpan w:val="2"/>
            <w:tcBorders>
              <w:top w:val="nil"/>
              <w:left w:val="nil"/>
              <w:bottom w:val="nil"/>
              <w:right w:val="single" w:sz="4" w:space="0" w:color="auto"/>
            </w:tcBorders>
            <w:noWrap/>
          </w:tcPr>
          <w:p w:rsidR="006505D1"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(1.0 - 1.7)</w:t>
            </w:r>
          </w:p>
        </w:tc>
        <w:tc>
          <w:tcPr>
            <w:tcW w:w="834" w:type="dxa"/>
            <w:tcBorders>
              <w:top w:val="nil"/>
              <w:left w:val="single" w:sz="4" w:space="0" w:color="auto"/>
              <w:bottom w:val="nil"/>
              <w:right w:val="nil"/>
            </w:tcBorders>
            <w:noWrap/>
          </w:tcPr>
          <w:p w:rsidR="006505D1" w:rsidRPr="00C130D8"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35</w:t>
            </w:r>
          </w:p>
        </w:tc>
        <w:tc>
          <w:tcPr>
            <w:tcW w:w="567" w:type="dxa"/>
            <w:gridSpan w:val="2"/>
            <w:tcBorders>
              <w:top w:val="nil"/>
              <w:left w:val="nil"/>
              <w:bottom w:val="nil"/>
              <w:right w:val="nil"/>
            </w:tcBorders>
            <w:noWrap/>
          </w:tcPr>
          <w:p w:rsidR="006505D1" w:rsidRPr="00C130D8"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0.9</w:t>
            </w:r>
          </w:p>
        </w:tc>
        <w:tc>
          <w:tcPr>
            <w:tcW w:w="1184" w:type="dxa"/>
            <w:gridSpan w:val="3"/>
            <w:tcBorders>
              <w:top w:val="nil"/>
              <w:left w:val="nil"/>
              <w:bottom w:val="nil"/>
              <w:right w:val="nil"/>
            </w:tcBorders>
            <w:shd w:val="clear" w:color="auto" w:fill="FFFFFF" w:themeFill="background1"/>
            <w:noWrap/>
          </w:tcPr>
          <w:p w:rsidR="006505D1"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(0.6 - 1.3)</w:t>
            </w:r>
          </w:p>
        </w:tc>
      </w:tr>
      <w:tr w:rsidR="006505D1"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6505D1" w:rsidRPr="00521BFF" w:rsidRDefault="006505D1"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or EGMS (overseas)</w:t>
            </w:r>
          </w:p>
        </w:tc>
        <w:tc>
          <w:tcPr>
            <w:tcW w:w="576" w:type="dxa"/>
            <w:tcBorders>
              <w:top w:val="nil"/>
              <w:left w:val="nil"/>
              <w:bottom w:val="nil"/>
              <w:right w:val="nil"/>
            </w:tcBorders>
            <w:noWrap/>
            <w:vAlign w:val="center"/>
          </w:tcPr>
          <w:p w:rsidR="006505D1" w:rsidRPr="00084EBA" w:rsidRDefault="006505D1" w:rsidP="00104F9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w:t>
            </w:r>
          </w:p>
        </w:tc>
        <w:tc>
          <w:tcPr>
            <w:tcW w:w="567" w:type="dxa"/>
            <w:tcBorders>
              <w:top w:val="nil"/>
              <w:left w:val="nil"/>
              <w:bottom w:val="nil"/>
              <w:right w:val="nil"/>
            </w:tcBorders>
            <w:noWrap/>
            <w:vAlign w:val="center"/>
          </w:tcPr>
          <w:p w:rsidR="006505D1" w:rsidRPr="00084EBA" w:rsidRDefault="006505D1" w:rsidP="00104F9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0.1</w:t>
            </w:r>
          </w:p>
        </w:tc>
        <w:tc>
          <w:tcPr>
            <w:tcW w:w="1162" w:type="dxa"/>
            <w:gridSpan w:val="2"/>
            <w:tcBorders>
              <w:top w:val="nil"/>
              <w:left w:val="nil"/>
              <w:bottom w:val="nil"/>
              <w:right w:val="single" w:sz="4" w:space="0" w:color="auto"/>
            </w:tcBorders>
            <w:noWrap/>
            <w:vAlign w:val="center"/>
          </w:tcPr>
          <w:p w:rsidR="006505D1"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(0.0 - 0.1)</w:t>
            </w:r>
          </w:p>
        </w:tc>
        <w:tc>
          <w:tcPr>
            <w:tcW w:w="834" w:type="dxa"/>
            <w:tcBorders>
              <w:top w:val="nil"/>
              <w:left w:val="single" w:sz="4" w:space="0" w:color="auto"/>
              <w:bottom w:val="nil"/>
              <w:right w:val="nil"/>
            </w:tcBorders>
            <w:noWrap/>
            <w:vAlign w:val="center"/>
          </w:tcPr>
          <w:p w:rsidR="006505D1" w:rsidRPr="00C130D8" w:rsidRDefault="006505D1" w:rsidP="00161DB9">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w:t>
            </w:r>
          </w:p>
        </w:tc>
        <w:tc>
          <w:tcPr>
            <w:tcW w:w="567" w:type="dxa"/>
            <w:gridSpan w:val="2"/>
            <w:tcBorders>
              <w:top w:val="nil"/>
              <w:left w:val="nil"/>
              <w:bottom w:val="nil"/>
              <w:right w:val="nil"/>
            </w:tcBorders>
            <w:noWrap/>
            <w:vAlign w:val="center"/>
          </w:tcPr>
          <w:p w:rsidR="006505D1" w:rsidRPr="00C130D8" w:rsidRDefault="006505D1" w:rsidP="00161DB9">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w:t>
            </w:r>
          </w:p>
        </w:tc>
        <w:tc>
          <w:tcPr>
            <w:tcW w:w="1184" w:type="dxa"/>
            <w:gridSpan w:val="3"/>
            <w:tcBorders>
              <w:top w:val="nil"/>
              <w:left w:val="nil"/>
              <w:bottom w:val="nil"/>
              <w:right w:val="nil"/>
            </w:tcBorders>
            <w:shd w:val="clear" w:color="auto" w:fill="FFFFFF" w:themeFill="background1"/>
            <w:noWrap/>
            <w:vAlign w:val="center"/>
          </w:tcPr>
          <w:p w:rsidR="006505D1"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(0.0 - 0.1)</w:t>
            </w:r>
          </w:p>
        </w:tc>
      </w:tr>
      <w:tr w:rsidR="006505D1" w:rsidRPr="00084EBA"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6505D1" w:rsidRPr="00365360" w:rsidRDefault="006505D1"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or EGMS (NZ)</w:t>
            </w:r>
          </w:p>
        </w:tc>
        <w:tc>
          <w:tcPr>
            <w:tcW w:w="576"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59</w:t>
            </w:r>
          </w:p>
        </w:tc>
        <w:tc>
          <w:tcPr>
            <w:tcW w:w="567" w:type="dxa"/>
            <w:tcBorders>
              <w:top w:val="nil"/>
              <w:left w:val="nil"/>
              <w:bottom w:val="nil"/>
              <w:right w:val="nil"/>
            </w:tcBorders>
            <w:noWrap/>
          </w:tcPr>
          <w:p w:rsidR="006505D1" w:rsidRPr="00084EBA" w:rsidRDefault="006505D1"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0.9</w:t>
            </w:r>
          </w:p>
        </w:tc>
        <w:tc>
          <w:tcPr>
            <w:tcW w:w="1162" w:type="dxa"/>
            <w:gridSpan w:val="2"/>
            <w:tcBorders>
              <w:top w:val="nil"/>
              <w:left w:val="nil"/>
              <w:bottom w:val="nil"/>
              <w:right w:val="single" w:sz="4" w:space="0" w:color="auto"/>
            </w:tcBorders>
            <w:noWrap/>
          </w:tcPr>
          <w:p w:rsidR="006505D1" w:rsidRPr="00084EBA"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(0.6 - 1.2)</w:t>
            </w:r>
          </w:p>
        </w:tc>
        <w:tc>
          <w:tcPr>
            <w:tcW w:w="834" w:type="dxa"/>
            <w:tcBorders>
              <w:top w:val="nil"/>
              <w:left w:val="single" w:sz="4" w:space="0" w:color="auto"/>
              <w:bottom w:val="nil"/>
              <w:right w:val="nil"/>
            </w:tcBorders>
            <w:noWrap/>
            <w:vAlign w:val="center"/>
          </w:tcPr>
          <w:p w:rsidR="006505D1" w:rsidRPr="00084EBA" w:rsidRDefault="006505D1"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w:t>
            </w:r>
          </w:p>
        </w:tc>
        <w:tc>
          <w:tcPr>
            <w:tcW w:w="567" w:type="dxa"/>
            <w:gridSpan w:val="2"/>
            <w:tcBorders>
              <w:top w:val="nil"/>
              <w:left w:val="nil"/>
              <w:bottom w:val="nil"/>
              <w:right w:val="nil"/>
            </w:tcBorders>
            <w:noWrap/>
            <w:vAlign w:val="center"/>
          </w:tcPr>
          <w:p w:rsidR="006505D1" w:rsidRPr="00084EBA" w:rsidRDefault="006505D1"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0.7</w:t>
            </w:r>
          </w:p>
        </w:tc>
        <w:tc>
          <w:tcPr>
            <w:tcW w:w="1184" w:type="dxa"/>
            <w:gridSpan w:val="3"/>
            <w:tcBorders>
              <w:top w:val="nil"/>
              <w:left w:val="nil"/>
              <w:bottom w:val="nil"/>
              <w:right w:val="nil"/>
            </w:tcBorders>
            <w:shd w:val="clear" w:color="auto" w:fill="FFFFFF" w:themeFill="background1"/>
            <w:noWrap/>
            <w:vAlign w:val="center"/>
          </w:tcPr>
          <w:p w:rsidR="006505D1"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(0.2 - 1.2)</w:t>
            </w:r>
          </w:p>
        </w:tc>
      </w:tr>
      <w:tr w:rsidR="006505D1"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6505D1" w:rsidRPr="00521BFF" w:rsidRDefault="006505D1"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(NZ)</w:t>
            </w:r>
          </w:p>
        </w:tc>
        <w:tc>
          <w:tcPr>
            <w:tcW w:w="576" w:type="dxa"/>
            <w:tcBorders>
              <w:top w:val="nil"/>
              <w:left w:val="nil"/>
              <w:bottom w:val="nil"/>
              <w:right w:val="nil"/>
            </w:tcBorders>
            <w:noWrap/>
            <w:vAlign w:val="center"/>
          </w:tcPr>
          <w:p w:rsidR="006505D1" w:rsidRPr="00365360" w:rsidRDefault="006505D1" w:rsidP="00D15E9C">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13</w:t>
            </w:r>
          </w:p>
        </w:tc>
        <w:tc>
          <w:tcPr>
            <w:tcW w:w="567" w:type="dxa"/>
            <w:tcBorders>
              <w:top w:val="nil"/>
              <w:left w:val="nil"/>
              <w:bottom w:val="nil"/>
              <w:right w:val="nil"/>
            </w:tcBorders>
            <w:noWrap/>
            <w:vAlign w:val="center"/>
          </w:tcPr>
          <w:p w:rsidR="006505D1" w:rsidRPr="00365360" w:rsidRDefault="006505D1" w:rsidP="00D15E9C">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w:t>
            </w:r>
          </w:p>
        </w:tc>
        <w:tc>
          <w:tcPr>
            <w:tcW w:w="1162" w:type="dxa"/>
            <w:gridSpan w:val="2"/>
            <w:tcBorders>
              <w:top w:val="nil"/>
              <w:left w:val="nil"/>
              <w:bottom w:val="nil"/>
              <w:right w:val="single" w:sz="4" w:space="0" w:color="auto"/>
            </w:tcBorders>
            <w:noWrap/>
            <w:vAlign w:val="center"/>
          </w:tcPr>
          <w:p w:rsidR="006505D1" w:rsidRPr="00365360" w:rsidRDefault="006505D1" w:rsidP="006505D1">
            <w:pPr>
              <w:keepNext/>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(0.0 - 0.4)</w:t>
            </w:r>
          </w:p>
        </w:tc>
        <w:tc>
          <w:tcPr>
            <w:tcW w:w="834" w:type="dxa"/>
            <w:tcBorders>
              <w:top w:val="nil"/>
              <w:left w:val="single" w:sz="4" w:space="0" w:color="auto"/>
              <w:bottom w:val="nil"/>
              <w:right w:val="nil"/>
            </w:tcBorders>
            <w:noWrap/>
            <w:vAlign w:val="center"/>
          </w:tcPr>
          <w:p w:rsidR="006505D1" w:rsidRPr="00365360" w:rsidRDefault="006505D1"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567" w:type="dxa"/>
            <w:gridSpan w:val="2"/>
            <w:tcBorders>
              <w:top w:val="nil"/>
              <w:left w:val="nil"/>
              <w:bottom w:val="nil"/>
              <w:right w:val="nil"/>
            </w:tcBorders>
            <w:noWrap/>
            <w:vAlign w:val="center"/>
          </w:tcPr>
          <w:p w:rsidR="006505D1" w:rsidRPr="00365360" w:rsidRDefault="006505D1" w:rsidP="00B84E1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w:t>
            </w:r>
          </w:p>
        </w:tc>
        <w:tc>
          <w:tcPr>
            <w:tcW w:w="1184" w:type="dxa"/>
            <w:gridSpan w:val="3"/>
            <w:tcBorders>
              <w:top w:val="nil"/>
              <w:left w:val="nil"/>
              <w:bottom w:val="nil"/>
              <w:right w:val="nil"/>
            </w:tcBorders>
            <w:shd w:val="clear" w:color="auto" w:fill="FFFFFF" w:themeFill="background1"/>
            <w:noWrap/>
            <w:vAlign w:val="center"/>
          </w:tcPr>
          <w:p w:rsidR="006505D1"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(0.0 - 0.9)</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EGMs (NZ)</w:t>
            </w:r>
          </w:p>
        </w:tc>
        <w:tc>
          <w:tcPr>
            <w:tcW w:w="576"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55</w:t>
            </w:r>
          </w:p>
        </w:tc>
        <w:tc>
          <w:tcPr>
            <w:tcW w:w="567"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0.9</w:t>
            </w:r>
          </w:p>
        </w:tc>
        <w:tc>
          <w:tcPr>
            <w:tcW w:w="1162" w:type="dxa"/>
            <w:gridSpan w:val="2"/>
            <w:tcBorders>
              <w:top w:val="nil"/>
              <w:left w:val="nil"/>
              <w:bottom w:val="nil"/>
              <w:right w:val="single" w:sz="4" w:space="0" w:color="auto"/>
            </w:tcBorders>
            <w:noWrap/>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0.2</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D3673E"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Pub EGMs</w:t>
            </w:r>
          </w:p>
        </w:tc>
        <w:tc>
          <w:tcPr>
            <w:tcW w:w="576"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213</w:t>
            </w:r>
          </w:p>
        </w:tc>
        <w:tc>
          <w:tcPr>
            <w:tcW w:w="567"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w:t>
            </w:r>
          </w:p>
        </w:tc>
        <w:tc>
          <w:tcPr>
            <w:tcW w:w="1162" w:type="dxa"/>
            <w:gridSpan w:val="2"/>
            <w:tcBorders>
              <w:top w:val="nil"/>
              <w:left w:val="nil"/>
              <w:bottom w:val="nil"/>
              <w:right w:val="single" w:sz="4" w:space="0" w:color="auto"/>
            </w:tcBorders>
            <w:noWrap/>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2.9</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3.9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91</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2.4</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1.9</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3.0</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Club EGMs</w:t>
            </w:r>
          </w:p>
        </w:tc>
        <w:tc>
          <w:tcPr>
            <w:tcW w:w="576"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94</w:t>
            </w:r>
          </w:p>
        </w:tc>
        <w:tc>
          <w:tcPr>
            <w:tcW w:w="567"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w:t>
            </w:r>
          </w:p>
        </w:tc>
        <w:tc>
          <w:tcPr>
            <w:tcW w:w="1162" w:type="dxa"/>
            <w:gridSpan w:val="2"/>
            <w:tcBorders>
              <w:top w:val="nil"/>
              <w:left w:val="nil"/>
              <w:bottom w:val="nil"/>
              <w:right w:val="single" w:sz="4" w:space="0" w:color="auto"/>
            </w:tcBorders>
            <w:noWrap/>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1.2</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1.9</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0.7</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1.5</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521BFF"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EGMs overall</w:t>
            </w:r>
          </w:p>
        </w:tc>
        <w:tc>
          <w:tcPr>
            <w:tcW w:w="576"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309</w:t>
            </w:r>
          </w:p>
        </w:tc>
        <w:tc>
          <w:tcPr>
            <w:tcW w:w="567"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4.9</w:t>
            </w:r>
          </w:p>
        </w:tc>
        <w:tc>
          <w:tcPr>
            <w:tcW w:w="1162" w:type="dxa"/>
            <w:gridSpan w:val="2"/>
            <w:tcBorders>
              <w:top w:val="nil"/>
              <w:left w:val="nil"/>
              <w:bottom w:val="nil"/>
              <w:right w:val="single" w:sz="4" w:space="0" w:color="auto"/>
            </w:tcBorders>
            <w:noWrap/>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4.3</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5.6</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127</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3.4</w:t>
            </w:r>
          </w:p>
        </w:tc>
        <w:tc>
          <w:tcPr>
            <w:tcW w:w="1184" w:type="dxa"/>
            <w:gridSpan w:val="3"/>
            <w:tcBorders>
              <w:top w:val="nil"/>
              <w:left w:val="nil"/>
              <w:bottom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2.8</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4.0</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D3673E" w:rsidRDefault="009E6948" w:rsidP="000F3D0B">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 xml:space="preserve">Short-term speculative investments </w:t>
            </w:r>
          </w:p>
        </w:tc>
        <w:tc>
          <w:tcPr>
            <w:tcW w:w="576" w:type="dxa"/>
            <w:tcBorders>
              <w:top w:val="nil"/>
              <w:left w:val="nil"/>
              <w:bottom w:val="nil"/>
              <w:right w:val="nil"/>
            </w:tcBorders>
            <w:noWrap/>
            <w:vAlign w:val="center"/>
          </w:tcPr>
          <w:p w:rsidR="009E6948" w:rsidRPr="0029071D" w:rsidRDefault="009E6948" w:rsidP="00161DB9">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19</w:t>
            </w:r>
          </w:p>
        </w:tc>
        <w:tc>
          <w:tcPr>
            <w:tcW w:w="567" w:type="dxa"/>
            <w:tcBorders>
              <w:top w:val="nil"/>
              <w:left w:val="nil"/>
              <w:bottom w:val="nil"/>
              <w:right w:val="nil"/>
            </w:tcBorders>
            <w:noWrap/>
            <w:vAlign w:val="center"/>
          </w:tcPr>
          <w:p w:rsidR="009E6948" w:rsidRPr="0029071D" w:rsidRDefault="009E6948" w:rsidP="00161DB9">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0.3</w:t>
            </w:r>
          </w:p>
        </w:tc>
        <w:tc>
          <w:tcPr>
            <w:tcW w:w="1162" w:type="dxa"/>
            <w:gridSpan w:val="2"/>
            <w:tcBorders>
              <w:top w:val="nil"/>
              <w:left w:val="nil"/>
              <w:bottom w:val="nil"/>
              <w:right w:val="single" w:sz="4" w:space="0" w:color="auto"/>
            </w:tcBorders>
            <w:noWrap/>
            <w:vAlign w:val="center"/>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0.5</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vAlign w:val="center"/>
          </w:tcPr>
          <w:p w:rsidR="009E6948" w:rsidRPr="00C130D8" w:rsidRDefault="009E6948" w:rsidP="00161DB9">
            <w:pPr>
              <w:tabs>
                <w:tab w:val="left" w:pos="338"/>
              </w:tab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ab/>
              <w:t>14</w:t>
            </w:r>
          </w:p>
        </w:tc>
        <w:tc>
          <w:tcPr>
            <w:tcW w:w="567" w:type="dxa"/>
            <w:gridSpan w:val="2"/>
            <w:tcBorders>
              <w:top w:val="nil"/>
              <w:left w:val="nil"/>
              <w:bottom w:val="nil"/>
              <w:right w:val="nil"/>
            </w:tcBorders>
            <w:noWrap/>
            <w:vAlign w:val="center"/>
          </w:tcPr>
          <w:p w:rsidR="009E6948" w:rsidRPr="00C130D8" w:rsidRDefault="009E6948" w:rsidP="00161DB9">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w:t>
            </w:r>
          </w:p>
        </w:tc>
        <w:tc>
          <w:tcPr>
            <w:tcW w:w="1184" w:type="dxa"/>
            <w:gridSpan w:val="3"/>
            <w:tcBorders>
              <w:top w:val="nil"/>
              <w:left w:val="nil"/>
              <w:bottom w:val="nil"/>
              <w:right w:val="nil"/>
            </w:tcBorders>
            <w:shd w:val="clear" w:color="auto" w:fill="FFFFFF" w:themeFill="background1"/>
            <w:noWrap/>
            <w:vAlign w:val="center"/>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w:t>
            </w:r>
          </w:p>
        </w:tc>
      </w:tr>
      <w:tr w:rsidR="009E6948"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nil"/>
              <w:right w:val="nil"/>
            </w:tcBorders>
          </w:tcPr>
          <w:p w:rsidR="009E6948" w:rsidRPr="00BE1ED3" w:rsidRDefault="009E6948" w:rsidP="000F3D0B">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Overseas internet gambling</w:t>
            </w:r>
            <w:r w:rsidR="00847A76" w:rsidRPr="00847A76">
              <w:rPr>
                <w:rFonts w:ascii="Times New Roman" w:eastAsiaTheme="minorEastAsia" w:hAnsi="Times New Roman" w:cs="Times New Roman"/>
                <w:b w:val="0"/>
                <w:sz w:val="18"/>
                <w:szCs w:val="18"/>
                <w:vertAlign w:val="superscript"/>
                <w:lang w:eastAsia="en-US"/>
              </w:rPr>
              <w:t>†</w:t>
            </w:r>
          </w:p>
        </w:tc>
        <w:tc>
          <w:tcPr>
            <w:tcW w:w="576"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w:t>
            </w:r>
          </w:p>
        </w:tc>
        <w:tc>
          <w:tcPr>
            <w:tcW w:w="567" w:type="dxa"/>
            <w:tcBorders>
              <w:top w:val="nil"/>
              <w:left w:val="nil"/>
              <w:bottom w:val="nil"/>
              <w:right w:val="nil"/>
            </w:tcBorders>
            <w:noWrap/>
          </w:tcPr>
          <w:p w:rsidR="009E6948" w:rsidRPr="0029071D"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w:t>
            </w:r>
          </w:p>
        </w:tc>
        <w:tc>
          <w:tcPr>
            <w:tcW w:w="1162" w:type="dxa"/>
            <w:gridSpan w:val="2"/>
            <w:tcBorders>
              <w:top w:val="nil"/>
              <w:left w:val="nil"/>
              <w:bottom w:val="nil"/>
              <w:right w:val="single" w:sz="4" w:space="0" w:color="auto"/>
            </w:tcBorders>
            <w:noWrap/>
          </w:tcPr>
          <w:p w:rsidR="009E6948" w:rsidRPr="0029071D"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c>
          <w:tcPr>
            <w:tcW w:w="834" w:type="dxa"/>
            <w:tcBorders>
              <w:top w:val="nil"/>
              <w:left w:val="single" w:sz="4" w:space="0" w:color="auto"/>
              <w:bottom w:val="nil"/>
              <w:right w:val="nil"/>
            </w:tcBorders>
            <w:noWrap/>
          </w:tcPr>
          <w:p w:rsidR="009E6948" w:rsidRPr="00C130D8" w:rsidRDefault="009E6948" w:rsidP="00161DB9">
            <w:pPr>
              <w:tabs>
                <w:tab w:val="left" w:pos="488"/>
              </w:tabs>
              <w:spacing w:before="20" w:after="2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ab/>
              <w:t>8</w:t>
            </w:r>
          </w:p>
        </w:tc>
        <w:tc>
          <w:tcPr>
            <w:tcW w:w="567" w:type="dxa"/>
            <w:gridSpan w:val="2"/>
            <w:tcBorders>
              <w:top w:val="nil"/>
              <w:left w:val="nil"/>
              <w:bottom w:val="nil"/>
              <w:right w:val="nil"/>
            </w:tcBorders>
            <w:noWrap/>
          </w:tcPr>
          <w:p w:rsidR="009E6948" w:rsidRPr="00C130D8" w:rsidRDefault="009E6948"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w:t>
            </w:r>
          </w:p>
        </w:tc>
        <w:tc>
          <w:tcPr>
            <w:tcW w:w="1184" w:type="dxa"/>
            <w:gridSpan w:val="3"/>
            <w:tcBorders>
              <w:top w:val="nil"/>
              <w:left w:val="nil"/>
              <w:bottom w:val="nil"/>
              <w:right w:val="nil"/>
            </w:tcBorders>
            <w:shd w:val="clear" w:color="auto" w:fill="FFFFFF" w:themeFill="background1"/>
            <w:noWrap/>
          </w:tcPr>
          <w:p w:rsidR="009E6948" w:rsidRPr="00B84E1B" w:rsidRDefault="006505D1"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9E6948">
              <w:rPr>
                <w:rFonts w:ascii="Times New Roman" w:eastAsiaTheme="minorEastAsia" w:hAnsi="Times New Roman" w:cs="Times New Roman"/>
                <w:sz w:val="18"/>
                <w:szCs w:val="18"/>
                <w:lang w:eastAsia="en-US"/>
              </w:rPr>
              <w:t>0.0</w:t>
            </w:r>
            <w:r>
              <w:rPr>
                <w:rFonts w:ascii="Times New Roman" w:eastAsiaTheme="minorEastAsia" w:hAnsi="Times New Roman" w:cs="Times New Roman"/>
                <w:sz w:val="18"/>
                <w:szCs w:val="18"/>
                <w:lang w:eastAsia="en-US"/>
              </w:rPr>
              <w:t xml:space="preserve"> - </w:t>
            </w:r>
            <w:r w:rsidR="009E6948">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r>
      <w:tr w:rsidR="00847A76" w:rsidRPr="00365360" w:rsidTr="00847A76">
        <w:trPr>
          <w:gridAfter w:val="1"/>
          <w:wAfter w:w="11" w:type="dxa"/>
        </w:trPr>
        <w:tc>
          <w:tcPr>
            <w:cnfStyle w:val="001000000000" w:firstRow="0" w:lastRow="0" w:firstColumn="1" w:lastColumn="0" w:oddVBand="0" w:evenVBand="0" w:oddHBand="0" w:evenHBand="0" w:firstRowFirstColumn="0" w:firstRowLastColumn="0" w:lastRowFirstColumn="0" w:lastRowLastColumn="0"/>
            <w:tcW w:w="3632" w:type="dxa"/>
            <w:tcBorders>
              <w:top w:val="nil"/>
              <w:left w:val="nil"/>
              <w:bottom w:val="single" w:sz="4" w:space="0" w:color="auto"/>
              <w:right w:val="nil"/>
            </w:tcBorders>
          </w:tcPr>
          <w:p w:rsidR="00847A76" w:rsidRPr="00BE1ED3" w:rsidRDefault="00847A76" w:rsidP="000F3D0B">
            <w:pPr>
              <w:spacing w:before="20" w:after="20"/>
              <w:ind w:left="176"/>
              <w:rPr>
                <w:rFonts w:eastAsiaTheme="minorEastAsia"/>
                <w:sz w:val="18"/>
                <w:szCs w:val="18"/>
                <w:lang w:eastAsia="en-US"/>
              </w:rPr>
            </w:pPr>
            <w:r>
              <w:rPr>
                <w:rFonts w:ascii="Times New Roman" w:eastAsiaTheme="minorEastAsia" w:hAnsi="Times New Roman" w:cs="Times New Roman"/>
                <w:b w:val="0"/>
                <w:sz w:val="18"/>
                <w:szCs w:val="18"/>
                <w:lang w:eastAsia="en-US"/>
              </w:rPr>
              <w:t>O</w:t>
            </w:r>
            <w:r w:rsidRPr="00847A76">
              <w:rPr>
                <w:rFonts w:ascii="Times New Roman" w:eastAsiaTheme="minorEastAsia" w:hAnsi="Times New Roman" w:cs="Times New Roman"/>
                <w:b w:val="0"/>
                <w:sz w:val="18"/>
                <w:szCs w:val="18"/>
                <w:lang w:eastAsia="en-US"/>
              </w:rPr>
              <w:t>verseas internet gambling</w:t>
            </w:r>
            <w:r>
              <w:rPr>
                <w:rFonts w:ascii="Times New Roman" w:eastAsiaTheme="minorEastAsia" w:hAnsi="Times New Roman" w:cs="Times New Roman"/>
                <w:b w:val="0"/>
                <w:sz w:val="18"/>
                <w:szCs w:val="18"/>
                <w:lang w:eastAsia="en-US"/>
              </w:rPr>
              <w:t xml:space="preserve"> overall</w:t>
            </w:r>
            <w:r w:rsidRPr="00847A76">
              <w:rPr>
                <w:rFonts w:ascii="Times New Roman" w:eastAsiaTheme="minorEastAsia" w:hAnsi="Times New Roman" w:cs="Times New Roman"/>
                <w:b w:val="0"/>
                <w:sz w:val="18"/>
                <w:szCs w:val="18"/>
                <w:vertAlign w:val="superscript"/>
                <w:lang w:eastAsia="en-US"/>
              </w:rPr>
              <w:t>‡</w:t>
            </w:r>
          </w:p>
        </w:tc>
        <w:tc>
          <w:tcPr>
            <w:tcW w:w="576" w:type="dxa"/>
            <w:tcBorders>
              <w:top w:val="nil"/>
              <w:left w:val="nil"/>
              <w:bottom w:val="single" w:sz="4" w:space="0" w:color="auto"/>
              <w:right w:val="nil"/>
            </w:tcBorders>
            <w:noWrap/>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847A76">
              <w:rPr>
                <w:rFonts w:ascii="Times New Roman" w:eastAsiaTheme="minorEastAsia" w:hAnsi="Times New Roman" w:cs="Times New Roman"/>
                <w:sz w:val="18"/>
                <w:szCs w:val="18"/>
                <w:lang w:eastAsia="en-US"/>
              </w:rPr>
              <w:t>41</w:t>
            </w:r>
          </w:p>
        </w:tc>
        <w:tc>
          <w:tcPr>
            <w:tcW w:w="567" w:type="dxa"/>
            <w:tcBorders>
              <w:top w:val="nil"/>
              <w:left w:val="nil"/>
              <w:bottom w:val="single" w:sz="4" w:space="0" w:color="auto"/>
              <w:right w:val="nil"/>
            </w:tcBorders>
            <w:noWrap/>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0.6</w:t>
            </w:r>
          </w:p>
        </w:tc>
        <w:tc>
          <w:tcPr>
            <w:tcW w:w="1162" w:type="dxa"/>
            <w:gridSpan w:val="2"/>
            <w:tcBorders>
              <w:top w:val="nil"/>
              <w:left w:val="nil"/>
              <w:bottom w:val="single" w:sz="4" w:space="0" w:color="auto"/>
              <w:right w:val="single" w:sz="4" w:space="0" w:color="auto"/>
            </w:tcBorders>
            <w:noWrap/>
          </w:tcPr>
          <w:p w:rsidR="00847A76" w:rsidRPr="00847A76" w:rsidRDefault="00847A76"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(0.4 - 0.9)</w:t>
            </w:r>
          </w:p>
        </w:tc>
        <w:tc>
          <w:tcPr>
            <w:tcW w:w="834" w:type="dxa"/>
            <w:tcBorders>
              <w:top w:val="nil"/>
              <w:left w:val="single" w:sz="4" w:space="0" w:color="auto"/>
              <w:bottom w:val="single" w:sz="4" w:space="0" w:color="auto"/>
              <w:right w:val="nil"/>
            </w:tcBorders>
            <w:noWrap/>
          </w:tcPr>
          <w:p w:rsidR="00847A76" w:rsidRPr="00847A76" w:rsidRDefault="00847A76" w:rsidP="00847A76">
            <w:pPr>
              <w:tabs>
                <w:tab w:val="left" w:pos="488"/>
              </w:tabs>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w:t>
            </w:r>
          </w:p>
        </w:tc>
        <w:tc>
          <w:tcPr>
            <w:tcW w:w="567" w:type="dxa"/>
            <w:gridSpan w:val="2"/>
            <w:tcBorders>
              <w:top w:val="nil"/>
              <w:left w:val="nil"/>
              <w:bottom w:val="single" w:sz="4" w:space="0" w:color="auto"/>
              <w:right w:val="nil"/>
            </w:tcBorders>
            <w:noWrap/>
          </w:tcPr>
          <w:p w:rsidR="00847A76" w:rsidRPr="00847A76" w:rsidRDefault="00847A76"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0.5</w:t>
            </w:r>
          </w:p>
        </w:tc>
        <w:tc>
          <w:tcPr>
            <w:tcW w:w="1184" w:type="dxa"/>
            <w:gridSpan w:val="3"/>
            <w:tcBorders>
              <w:top w:val="nil"/>
              <w:left w:val="nil"/>
              <w:bottom w:val="single" w:sz="4" w:space="0" w:color="auto"/>
              <w:right w:val="nil"/>
            </w:tcBorders>
            <w:shd w:val="clear" w:color="auto" w:fill="FFFFFF" w:themeFill="background1"/>
            <w:noWrap/>
          </w:tcPr>
          <w:p w:rsidR="00847A76" w:rsidRPr="00847A76" w:rsidRDefault="00847A76" w:rsidP="006505D1">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(0.2 - 0.8)</w:t>
            </w:r>
          </w:p>
        </w:tc>
      </w:tr>
    </w:tbl>
    <w:p w:rsidR="00847A76" w:rsidRPr="00847A76" w:rsidRDefault="00847A76" w:rsidP="0034241E">
      <w:pPr>
        <w:rPr>
          <w:sz w:val="18"/>
        </w:rPr>
      </w:pPr>
      <w:r w:rsidRPr="00847A76">
        <w:rPr>
          <w:rFonts w:eastAsiaTheme="minorEastAsia"/>
          <w:b/>
          <w:sz w:val="18"/>
          <w:szCs w:val="18"/>
          <w:vertAlign w:val="superscript"/>
          <w:lang w:eastAsia="en-US"/>
        </w:rPr>
        <w:t>†</w:t>
      </w:r>
      <w:r>
        <w:rPr>
          <w:rFonts w:eastAsiaTheme="minorEastAsia"/>
          <w:b/>
          <w:sz w:val="18"/>
          <w:szCs w:val="18"/>
          <w:lang w:eastAsia="en-US"/>
        </w:rPr>
        <w:t xml:space="preserve"> </w:t>
      </w:r>
      <w:r w:rsidRPr="00847A76">
        <w:rPr>
          <w:rFonts w:eastAsiaTheme="minorEastAsia"/>
          <w:sz w:val="18"/>
          <w:szCs w:val="18"/>
          <w:lang w:eastAsia="en-US"/>
        </w:rPr>
        <w:t xml:space="preserve">Not included </w:t>
      </w:r>
      <w:r>
        <w:rPr>
          <w:rFonts w:eastAsiaTheme="minorEastAsia"/>
          <w:sz w:val="18"/>
          <w:szCs w:val="18"/>
          <w:lang w:eastAsia="en-US"/>
        </w:rPr>
        <w:t>in other overseas categories</w:t>
      </w:r>
    </w:p>
    <w:p w:rsidR="00847A76" w:rsidRPr="00847A76" w:rsidRDefault="00847A76" w:rsidP="0034241E">
      <w:pPr>
        <w:rPr>
          <w:sz w:val="18"/>
        </w:rPr>
      </w:pPr>
      <w:r w:rsidRPr="00847A76">
        <w:rPr>
          <w:rFonts w:eastAsiaTheme="minorEastAsia"/>
          <w:sz w:val="18"/>
          <w:szCs w:val="18"/>
          <w:vertAlign w:val="superscript"/>
          <w:lang w:eastAsia="en-US"/>
        </w:rPr>
        <w:t>‡</w:t>
      </w:r>
      <w:r w:rsidRPr="00847A76">
        <w:rPr>
          <w:rFonts w:eastAsiaTheme="minorEastAsia"/>
          <w:sz w:val="18"/>
          <w:szCs w:val="18"/>
          <w:lang w:eastAsia="en-US"/>
        </w:rPr>
        <w:t xml:space="preserve"> Excludes overseas raffles/lotteries</w:t>
      </w:r>
    </w:p>
    <w:p w:rsidR="0034241E" w:rsidRPr="0034241E" w:rsidRDefault="0034241E" w:rsidP="0034241E">
      <w:pPr>
        <w:rPr>
          <w:sz w:val="18"/>
        </w:rPr>
      </w:pPr>
      <w:r>
        <w:rPr>
          <w:sz w:val="18"/>
        </w:rPr>
        <w:t>Data</w:t>
      </w:r>
      <w:r w:rsidRPr="0034241E">
        <w:rPr>
          <w:sz w:val="18"/>
        </w:rPr>
        <w:t xml:space="preserve"> weighted for 2013 Census data (both Waves) and attrition (Wave 2)</w:t>
      </w:r>
    </w:p>
    <w:p w:rsidR="00AB57AF" w:rsidRDefault="00AB57AF">
      <w:pPr>
        <w:rPr>
          <w:b/>
          <w:bCs/>
          <w:szCs w:val="22"/>
        </w:rPr>
      </w:pPr>
      <w:r w:rsidRPr="00286328">
        <w:rPr>
          <w:sz w:val="18"/>
        </w:rPr>
        <w:t>Baseline N</w:t>
      </w:r>
      <w:r>
        <w:rPr>
          <w:sz w:val="18"/>
        </w:rPr>
        <w:t xml:space="preserve"> </w:t>
      </w:r>
      <w:r w:rsidRPr="00286328">
        <w:rPr>
          <w:sz w:val="18"/>
        </w:rPr>
        <w:t>= 6,251</w:t>
      </w:r>
      <w:r w:rsidR="000F3D0B">
        <w:rPr>
          <w:sz w:val="18"/>
        </w:rPr>
        <w:t>; Wave 2 N = 3,745</w:t>
      </w:r>
      <w:r>
        <w:rPr>
          <w:b/>
          <w:i/>
        </w:rPr>
        <w:br w:type="page"/>
      </w:r>
    </w:p>
    <w:p w:rsidR="007D4B0B" w:rsidRDefault="007D4B0B" w:rsidP="007D4B0B">
      <w:pPr>
        <w:pStyle w:val="Heading3b"/>
        <w:numPr>
          <w:ilvl w:val="0"/>
          <w:numId w:val="0"/>
        </w:numPr>
        <w:spacing w:before="0" w:after="0"/>
        <w:jc w:val="both"/>
        <w:rPr>
          <w:rFonts w:ascii="Times New Roman" w:hAnsi="Times New Roman" w:cs="Times New Roman"/>
          <w:b/>
          <w:i w:val="0"/>
        </w:rPr>
      </w:pPr>
      <w:bookmarkStart w:id="270" w:name="_Ref404160725"/>
      <w:bookmarkStart w:id="271" w:name="_Toc420392629"/>
      <w:r w:rsidRPr="009F568C">
        <w:rPr>
          <w:rFonts w:ascii="Times New Roman" w:hAnsi="Times New Roman" w:cs="Times New Roman"/>
          <w:b/>
          <w:i w:val="0"/>
        </w:rPr>
        <w:lastRenderedPageBreak/>
        <w:t xml:space="preserve">Appendix </w:t>
      </w:r>
      <w:r w:rsidRPr="009F568C">
        <w:rPr>
          <w:rFonts w:ascii="Times New Roman" w:hAnsi="Times New Roman" w:cs="Times New Roman"/>
          <w:b/>
          <w:i w:val="0"/>
        </w:rPr>
        <w:fldChar w:fldCharType="begin"/>
      </w:r>
      <w:r w:rsidRPr="009F568C">
        <w:rPr>
          <w:rFonts w:ascii="Times New Roman" w:hAnsi="Times New Roman" w:cs="Times New Roman"/>
          <w:b/>
          <w:i w:val="0"/>
        </w:rPr>
        <w:instrText xml:space="preserve"> SEQ Appendix \* ARABIC </w:instrText>
      </w:r>
      <w:r w:rsidRPr="009F568C">
        <w:rPr>
          <w:rFonts w:ascii="Times New Roman" w:hAnsi="Times New Roman" w:cs="Times New Roman"/>
          <w:b/>
          <w:i w:val="0"/>
        </w:rPr>
        <w:fldChar w:fldCharType="separate"/>
      </w:r>
      <w:r w:rsidR="00B2175B">
        <w:rPr>
          <w:rFonts w:ascii="Times New Roman" w:hAnsi="Times New Roman" w:cs="Times New Roman"/>
          <w:b/>
          <w:i w:val="0"/>
          <w:noProof/>
        </w:rPr>
        <w:t>6</w:t>
      </w:r>
      <w:r w:rsidRPr="009F568C">
        <w:rPr>
          <w:rFonts w:ascii="Times New Roman" w:hAnsi="Times New Roman" w:cs="Times New Roman"/>
          <w:b/>
          <w:i w:val="0"/>
        </w:rPr>
        <w:fldChar w:fldCharType="end"/>
      </w:r>
      <w:bookmarkEnd w:id="270"/>
      <w:r w:rsidRPr="009F568C">
        <w:rPr>
          <w:rFonts w:ascii="Times New Roman" w:hAnsi="Times New Roman" w:cs="Times New Roman"/>
          <w:b/>
          <w:i w:val="0"/>
        </w:rPr>
        <w:t xml:space="preserve">: </w:t>
      </w:r>
      <w:r>
        <w:rPr>
          <w:rFonts w:ascii="Times New Roman" w:hAnsi="Times New Roman" w:cs="Times New Roman"/>
          <w:b/>
          <w:i w:val="0"/>
        </w:rPr>
        <w:t xml:space="preserve">Prevalence and 95% confidence intervals for gambling </w:t>
      </w:r>
      <w:r w:rsidR="00C4011B">
        <w:rPr>
          <w:rFonts w:ascii="Times New Roman" w:hAnsi="Times New Roman" w:cs="Times New Roman"/>
          <w:b/>
          <w:i w:val="0"/>
        </w:rPr>
        <w:t>behaviour</w:t>
      </w:r>
      <w:r>
        <w:rPr>
          <w:rFonts w:ascii="Times New Roman" w:hAnsi="Times New Roman" w:cs="Times New Roman"/>
          <w:b/>
          <w:i w:val="0"/>
        </w:rPr>
        <w:t xml:space="preserve"> </w:t>
      </w:r>
      <w:r w:rsidR="00EE58B5">
        <w:rPr>
          <w:rFonts w:ascii="Times New Roman" w:hAnsi="Times New Roman" w:cs="Times New Roman"/>
          <w:b/>
          <w:i w:val="0"/>
        </w:rPr>
        <w:t>in Wave 1</w:t>
      </w:r>
      <w:r>
        <w:rPr>
          <w:rFonts w:ascii="Times New Roman" w:hAnsi="Times New Roman" w:cs="Times New Roman"/>
          <w:b/>
          <w:i w:val="0"/>
        </w:rPr>
        <w:t xml:space="preserve"> and Wave 2</w:t>
      </w:r>
      <w:bookmarkEnd w:id="271"/>
    </w:p>
    <w:p w:rsidR="007D4B0B" w:rsidRDefault="007D4B0B" w:rsidP="007D4B0B"/>
    <w:tbl>
      <w:tblPr>
        <w:tblStyle w:val="LightShading4"/>
        <w:tblW w:w="0" w:type="auto"/>
        <w:tblLook w:val="06A0" w:firstRow="1" w:lastRow="0" w:firstColumn="1" w:lastColumn="0" w:noHBand="1" w:noVBand="1"/>
      </w:tblPr>
      <w:tblGrid>
        <w:gridCol w:w="3579"/>
        <w:gridCol w:w="576"/>
        <w:gridCol w:w="567"/>
        <w:gridCol w:w="283"/>
        <w:gridCol w:w="851"/>
        <w:gridCol w:w="709"/>
        <w:gridCol w:w="567"/>
        <w:gridCol w:w="607"/>
        <w:gridCol w:w="567"/>
      </w:tblGrid>
      <w:tr w:rsidR="00BA54F7"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9" w:type="dxa"/>
            <w:vMerge w:val="restart"/>
            <w:tcBorders>
              <w:bottom w:val="single" w:sz="4" w:space="0" w:color="auto"/>
            </w:tcBorders>
            <w:vAlign w:val="bottom"/>
            <w:hideMark/>
          </w:tcPr>
          <w:p w:rsidR="007D4B0B" w:rsidRPr="00365360" w:rsidRDefault="00AB57AF" w:rsidP="007D4B0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rPr>
              <w:t>Gambling participation-related</w:t>
            </w:r>
            <w:r w:rsidR="007D4B0B" w:rsidRPr="00365360">
              <w:rPr>
                <w:rFonts w:ascii="Times New Roman" w:eastAsiaTheme="minorEastAsia" w:hAnsi="Times New Roman" w:cs="Times New Roman"/>
                <w:sz w:val="18"/>
                <w:szCs w:val="18"/>
              </w:rPr>
              <w:t xml:space="preserve"> variables</w:t>
            </w:r>
          </w:p>
        </w:tc>
        <w:tc>
          <w:tcPr>
            <w:tcW w:w="2277" w:type="dxa"/>
            <w:gridSpan w:val="4"/>
            <w:tcBorders>
              <w:bottom w:val="single" w:sz="4" w:space="0" w:color="auto"/>
              <w:right w:val="single" w:sz="4" w:space="0" w:color="auto"/>
            </w:tcBorders>
            <w:noWrap/>
            <w:vAlign w:val="center"/>
            <w:hideMark/>
          </w:tcPr>
          <w:p w:rsidR="007D4B0B" w:rsidRPr="00365360" w:rsidRDefault="00EE58B5" w:rsidP="007D4B0B">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18"/>
                <w:szCs w:val="18"/>
                <w:lang w:eastAsia="en-US"/>
              </w:rPr>
            </w:pPr>
            <w:r>
              <w:rPr>
                <w:rFonts w:ascii="Times New Roman" w:eastAsiaTheme="minorEastAsia" w:hAnsi="Times New Roman" w:cs="Times New Roman"/>
                <w:sz w:val="18"/>
                <w:szCs w:val="18"/>
              </w:rPr>
              <w:t>Wave 1</w:t>
            </w:r>
          </w:p>
        </w:tc>
        <w:tc>
          <w:tcPr>
            <w:tcW w:w="2450" w:type="dxa"/>
            <w:gridSpan w:val="4"/>
            <w:tcBorders>
              <w:left w:val="single" w:sz="4" w:space="0" w:color="auto"/>
              <w:bottom w:val="single" w:sz="4" w:space="0" w:color="auto"/>
            </w:tcBorders>
            <w:vAlign w:val="center"/>
          </w:tcPr>
          <w:p w:rsidR="007D4B0B" w:rsidRPr="00286328" w:rsidRDefault="007D4B0B" w:rsidP="007D4B0B">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Wave 2</w:t>
            </w:r>
          </w:p>
        </w:tc>
      </w:tr>
      <w:tr w:rsidR="00BA54F7"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79" w:type="dxa"/>
            <w:vMerge/>
            <w:tcBorders>
              <w:bottom w:val="single" w:sz="4" w:space="0" w:color="auto"/>
            </w:tcBorders>
            <w:vAlign w:val="center"/>
            <w:hideMark/>
          </w:tcPr>
          <w:p w:rsidR="007D4B0B" w:rsidRPr="00365360" w:rsidRDefault="007D4B0B" w:rsidP="007D4B0B">
            <w:pPr>
              <w:spacing w:before="20" w:after="20"/>
              <w:rPr>
                <w:rFonts w:ascii="Times New Roman" w:eastAsiaTheme="minorEastAsia" w:hAnsi="Times New Roman" w:cs="Times New Roman"/>
                <w:sz w:val="18"/>
                <w:szCs w:val="18"/>
                <w:lang w:eastAsia="en-US"/>
              </w:rPr>
            </w:pPr>
          </w:p>
        </w:tc>
        <w:tc>
          <w:tcPr>
            <w:tcW w:w="576" w:type="dxa"/>
            <w:tcBorders>
              <w:top w:val="single" w:sz="4" w:space="0" w:color="auto"/>
              <w:bottom w:val="single" w:sz="4" w:space="0" w:color="auto"/>
            </w:tcBorders>
            <w:noWrap/>
            <w:vAlign w:val="center"/>
            <w:hideMark/>
          </w:tcPr>
          <w:p w:rsidR="007D4B0B" w:rsidRPr="00365360" w:rsidRDefault="007D4B0B"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n</w:t>
            </w:r>
          </w:p>
        </w:tc>
        <w:tc>
          <w:tcPr>
            <w:tcW w:w="567" w:type="dxa"/>
            <w:tcBorders>
              <w:top w:val="single" w:sz="4" w:space="0" w:color="auto"/>
              <w:bottom w:val="single" w:sz="4" w:space="0" w:color="auto"/>
            </w:tcBorders>
            <w:noWrap/>
            <w:vAlign w:val="center"/>
            <w:hideMark/>
          </w:tcPr>
          <w:p w:rsidR="007D4B0B" w:rsidRPr="00365360" w:rsidRDefault="007D4B0B"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w:t>
            </w:r>
          </w:p>
        </w:tc>
        <w:tc>
          <w:tcPr>
            <w:tcW w:w="1134" w:type="dxa"/>
            <w:gridSpan w:val="2"/>
            <w:tcBorders>
              <w:top w:val="single" w:sz="4" w:space="0" w:color="auto"/>
              <w:bottom w:val="single" w:sz="4" w:space="0" w:color="auto"/>
              <w:right w:val="single" w:sz="4" w:space="0" w:color="auto"/>
            </w:tcBorders>
            <w:noWrap/>
            <w:vAlign w:val="center"/>
          </w:tcPr>
          <w:p w:rsidR="007D4B0B" w:rsidRPr="00365360" w:rsidRDefault="002049FE"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r w:rsidR="007D4B0B">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c>
          <w:tcPr>
            <w:tcW w:w="709" w:type="dxa"/>
            <w:tcBorders>
              <w:top w:val="single" w:sz="4" w:space="0" w:color="auto"/>
              <w:left w:val="single" w:sz="4" w:space="0" w:color="auto"/>
              <w:bottom w:val="single" w:sz="4" w:space="0" w:color="auto"/>
            </w:tcBorders>
            <w:noWrap/>
            <w:vAlign w:val="center"/>
          </w:tcPr>
          <w:p w:rsidR="007D4B0B" w:rsidRPr="00365360" w:rsidRDefault="007D4B0B"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n</w:t>
            </w:r>
          </w:p>
        </w:tc>
        <w:tc>
          <w:tcPr>
            <w:tcW w:w="567" w:type="dxa"/>
            <w:tcBorders>
              <w:top w:val="single" w:sz="4" w:space="0" w:color="auto"/>
              <w:bottom w:val="single" w:sz="4" w:space="0" w:color="auto"/>
            </w:tcBorders>
            <w:noWrap/>
            <w:vAlign w:val="center"/>
          </w:tcPr>
          <w:p w:rsidR="007D4B0B" w:rsidRPr="00365360" w:rsidRDefault="007D4B0B"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p>
        </w:tc>
        <w:tc>
          <w:tcPr>
            <w:tcW w:w="1174" w:type="dxa"/>
            <w:gridSpan w:val="2"/>
            <w:tcBorders>
              <w:top w:val="single" w:sz="4" w:space="0" w:color="auto"/>
              <w:bottom w:val="single" w:sz="4" w:space="0" w:color="auto"/>
            </w:tcBorders>
            <w:shd w:val="clear" w:color="auto" w:fill="FFFFFF" w:themeFill="background1"/>
            <w:noWrap/>
            <w:vAlign w:val="center"/>
          </w:tcPr>
          <w:p w:rsidR="007D4B0B" w:rsidRPr="00365360" w:rsidRDefault="002049FE" w:rsidP="002049F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Pr>
                <w:rFonts w:ascii="Times New Roman" w:eastAsiaTheme="minorEastAsia" w:hAnsi="Times New Roman" w:cs="Times New Roman"/>
                <w:sz w:val="18"/>
                <w:szCs w:val="18"/>
                <w:lang w:eastAsia="en-US"/>
              </w:rPr>
              <w:t>(</w:t>
            </w:r>
            <w:r w:rsidR="007D4B0B">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4722" w:type="dxa"/>
            <w:gridSpan w:val="3"/>
            <w:tcBorders>
              <w:top w:val="nil"/>
              <w:left w:val="nil"/>
              <w:bottom w:val="nil"/>
              <w:right w:val="nil"/>
            </w:tcBorders>
            <w:vAlign w:val="center"/>
          </w:tcPr>
          <w:p w:rsidR="007D4B0B" w:rsidRPr="00365360" w:rsidRDefault="007D4B0B" w:rsidP="007D4B0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Number of gambling activities participated in</w:t>
            </w:r>
          </w:p>
        </w:tc>
        <w:tc>
          <w:tcPr>
            <w:tcW w:w="283"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0</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1261</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20.2</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19.0</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21.4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828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22.1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20.5</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23.7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1</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1376</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22.0</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20.8</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23.2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805</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21.5</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19.9</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23.0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5B3185"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2</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1318</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21.1</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19.9</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22.7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828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22.1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20.5</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23.7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3</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964</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15.4</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14.4</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16.5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627</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16.7</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15.3</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18.2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4 - 6</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1097</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17.6</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16.4</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18.7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580</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15.5</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14.1</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16.9</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7 - 9</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206</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3.3</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2.8</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3.8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73</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2.0</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1.4</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2.5</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10+</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28</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0.4</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0.2</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0.7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5</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0.1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7D4B0B" w:rsidRPr="005B3185" w:rsidRDefault="005B3185" w:rsidP="005B3185">
            <w:pPr>
              <w:tabs>
                <w:tab w:val="left" w:pos="176"/>
              </w:tabs>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Pattern of participation</w:t>
            </w:r>
          </w:p>
        </w:tc>
        <w:tc>
          <w:tcPr>
            <w:tcW w:w="576" w:type="dxa"/>
            <w:tcBorders>
              <w:top w:val="nil"/>
              <w:left w:val="nil"/>
              <w:bottom w:val="nil"/>
              <w:right w:val="nil"/>
            </w:tcBorders>
            <w:noWrap/>
            <w:vAlign w:val="center"/>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567" w:type="dxa"/>
            <w:tcBorders>
              <w:top w:val="nil"/>
              <w:left w:val="nil"/>
              <w:bottom w:val="nil"/>
              <w:right w:val="nil"/>
            </w:tcBorders>
            <w:noWrap/>
            <w:vAlign w:val="center"/>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283" w:type="dxa"/>
            <w:tcBorders>
              <w:top w:val="nil"/>
              <w:left w:val="nil"/>
              <w:bottom w:val="nil"/>
              <w:right w:val="nil"/>
            </w:tcBorders>
            <w:noWrap/>
            <w:vAlign w:val="center"/>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Borders>
              <w:top w:val="nil"/>
              <w:left w:val="nil"/>
              <w:bottom w:val="nil"/>
              <w:right w:val="single" w:sz="4" w:space="0" w:color="auto"/>
            </w:tcBorders>
            <w:noWrap/>
            <w:vAlign w:val="center"/>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Borders>
              <w:top w:val="nil"/>
              <w:left w:val="single" w:sz="4" w:space="0" w:color="auto"/>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sz w:val="18"/>
                <w:szCs w:val="18"/>
                <w:lang w:eastAsia="en-US"/>
              </w:rPr>
            </w:pPr>
          </w:p>
        </w:tc>
        <w:tc>
          <w:tcPr>
            <w:tcW w:w="607" w:type="dxa"/>
            <w:tcBorders>
              <w:top w:val="nil"/>
              <w:left w:val="nil"/>
              <w:bottom w:val="nil"/>
              <w:right w:val="nil"/>
            </w:tcBorders>
            <w:shd w:val="clear" w:color="auto" w:fill="FFFFFF" w:themeFill="background1"/>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eastAsiaTheme="minorEastAsia"/>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5B3185" w:rsidRDefault="002049FE" w:rsidP="00D15E9C">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r>
            <w:r w:rsidRPr="005B3185">
              <w:rPr>
                <w:rFonts w:ascii="Times New Roman" w:eastAsiaTheme="minorEastAsia" w:hAnsi="Times New Roman" w:cs="Times New Roman"/>
                <w:b w:val="0"/>
                <w:sz w:val="18"/>
                <w:szCs w:val="18"/>
                <w:lang w:eastAsia="en-US"/>
              </w:rPr>
              <w:t>No</w:t>
            </w:r>
            <w:r>
              <w:rPr>
                <w:rFonts w:ascii="Times New Roman" w:eastAsiaTheme="minorEastAsia" w:hAnsi="Times New Roman" w:cs="Times New Roman"/>
                <w:b w:val="0"/>
                <w:sz w:val="18"/>
                <w:szCs w:val="18"/>
                <w:lang w:eastAsia="en-US"/>
              </w:rPr>
              <w:t xml:space="preserve"> gambling</w:t>
            </w:r>
            <w:r w:rsidRPr="005B3185">
              <w:rPr>
                <w:rFonts w:ascii="Times New Roman" w:eastAsiaTheme="minorEastAsia" w:hAnsi="Times New Roman" w:cs="Times New Roman"/>
                <w:b w:val="0"/>
                <w:sz w:val="18"/>
                <w:szCs w:val="18"/>
                <w:lang w:eastAsia="en-US"/>
              </w:rPr>
              <w:t xml:space="preserve"> in </w:t>
            </w:r>
            <w:r>
              <w:rPr>
                <w:rFonts w:ascii="Times New Roman" w:eastAsiaTheme="minorEastAsia" w:hAnsi="Times New Roman" w:cs="Times New Roman"/>
                <w:b w:val="0"/>
                <w:sz w:val="18"/>
                <w:szCs w:val="18"/>
                <w:lang w:eastAsia="en-US"/>
              </w:rPr>
              <w:t>p</w:t>
            </w:r>
            <w:r w:rsidRPr="005B3185">
              <w:rPr>
                <w:rFonts w:ascii="Times New Roman" w:eastAsiaTheme="minorEastAsia" w:hAnsi="Times New Roman" w:cs="Times New Roman"/>
                <w:b w:val="0"/>
                <w:sz w:val="18"/>
                <w:szCs w:val="18"/>
                <w:lang w:eastAsia="en-US"/>
              </w:rPr>
              <w:t>ast year</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1261</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20.2</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19.0</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21.4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828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22.1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20.5</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23.7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Infrequent gambler</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3590</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57.4</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56.0</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58.9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2141</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57.1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55.3</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59.0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Regular non-continuous gambler</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1007</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16.1</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15.1</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17.1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548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14.6</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13.4</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15.9</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Regular continuous gambler</w:t>
            </w:r>
          </w:p>
        </w:tc>
        <w:tc>
          <w:tcPr>
            <w:tcW w:w="576"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393</w:t>
            </w:r>
          </w:p>
        </w:tc>
        <w:tc>
          <w:tcPr>
            <w:tcW w:w="567" w:type="dxa"/>
            <w:tcBorders>
              <w:top w:val="nil"/>
              <w:left w:val="nil"/>
              <w:bottom w:val="nil"/>
              <w:right w:val="nil"/>
            </w:tcBorders>
            <w:noWrap/>
          </w:tcPr>
          <w:p w:rsidR="002049FE" w:rsidRPr="005B3185" w:rsidRDefault="002049FE" w:rsidP="005B3185">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B3185">
              <w:rPr>
                <w:rFonts w:ascii="Times New Roman" w:eastAsiaTheme="minorEastAsia" w:hAnsi="Times New Roman" w:cs="Times New Roman"/>
                <w:sz w:val="18"/>
                <w:szCs w:val="18"/>
                <w:lang w:eastAsia="en-US"/>
              </w:rPr>
              <w:t>6.3</w:t>
            </w:r>
          </w:p>
        </w:tc>
        <w:tc>
          <w:tcPr>
            <w:tcW w:w="1134" w:type="dxa"/>
            <w:gridSpan w:val="2"/>
            <w:tcBorders>
              <w:top w:val="nil"/>
              <w:left w:val="nil"/>
              <w:bottom w:val="nil"/>
              <w:right w:val="single" w:sz="4" w:space="0" w:color="auto"/>
            </w:tcBorders>
            <w:noWrap/>
          </w:tcPr>
          <w:p w:rsidR="002049FE" w:rsidRPr="005B3185"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B3185">
              <w:rPr>
                <w:rFonts w:ascii="Times New Roman" w:eastAsiaTheme="minorEastAsia" w:hAnsi="Times New Roman" w:cs="Times New Roman"/>
                <w:sz w:val="18"/>
                <w:szCs w:val="18"/>
                <w:lang w:eastAsia="en-US"/>
              </w:rPr>
              <w:t>5.6</w:t>
            </w:r>
            <w:r w:rsidR="002049FE">
              <w:rPr>
                <w:rFonts w:ascii="Times New Roman" w:eastAsiaTheme="minorEastAsia" w:hAnsi="Times New Roman" w:cs="Times New Roman"/>
                <w:sz w:val="18"/>
                <w:szCs w:val="18"/>
                <w:lang w:eastAsia="en-US"/>
              </w:rPr>
              <w:t xml:space="preserve"> - </w:t>
            </w:r>
            <w:r w:rsidR="002049FE" w:rsidRPr="005B3185">
              <w:rPr>
                <w:rFonts w:ascii="Times New Roman" w:eastAsiaTheme="minorEastAsia" w:hAnsi="Times New Roman" w:cs="Times New Roman"/>
                <w:sz w:val="18"/>
                <w:szCs w:val="18"/>
                <w:lang w:eastAsia="en-US"/>
              </w:rPr>
              <w:t>7.0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229</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6.1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5.2</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7.0</w:t>
            </w: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7D4B0B" w:rsidRPr="005B3185" w:rsidRDefault="005B3185" w:rsidP="007D4B0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Gambling frequency</w:t>
            </w:r>
          </w:p>
        </w:tc>
        <w:tc>
          <w:tcPr>
            <w:tcW w:w="576" w:type="dxa"/>
            <w:tcBorders>
              <w:top w:val="nil"/>
              <w:left w:val="nil"/>
              <w:bottom w:val="nil"/>
              <w:right w:val="nil"/>
            </w:tcBorders>
            <w:noWrap/>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7D4B0B" w:rsidRPr="002F4D3B"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D15E9C">
            <w:pPr>
              <w:tabs>
                <w:tab w:val="left" w:pos="205"/>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No gambling in past year</w:t>
            </w:r>
          </w:p>
        </w:tc>
        <w:tc>
          <w:tcPr>
            <w:tcW w:w="576"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1261</w:t>
            </w:r>
          </w:p>
        </w:tc>
        <w:tc>
          <w:tcPr>
            <w:tcW w:w="567"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20.2</w:t>
            </w:r>
          </w:p>
        </w:tc>
        <w:tc>
          <w:tcPr>
            <w:tcW w:w="1134" w:type="dxa"/>
            <w:gridSpan w:val="2"/>
            <w:tcBorders>
              <w:top w:val="nil"/>
              <w:left w:val="nil"/>
              <w:bottom w:val="nil"/>
              <w:right w:val="single" w:sz="4" w:space="0" w:color="auto"/>
            </w:tcBorders>
            <w:noWrap/>
          </w:tcPr>
          <w:p w:rsidR="002049FE" w:rsidRPr="00BE1ED3"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E1ED3">
              <w:rPr>
                <w:rFonts w:ascii="Times New Roman" w:eastAsiaTheme="minorEastAsia" w:hAnsi="Times New Roman" w:cs="Times New Roman"/>
                <w:sz w:val="18"/>
                <w:szCs w:val="18"/>
                <w:lang w:eastAsia="en-US"/>
              </w:rPr>
              <w:t>19.0</w:t>
            </w:r>
            <w:r w:rsidR="002049FE">
              <w:rPr>
                <w:rFonts w:ascii="Times New Roman" w:eastAsiaTheme="minorEastAsia" w:hAnsi="Times New Roman" w:cs="Times New Roman"/>
                <w:sz w:val="18"/>
                <w:szCs w:val="18"/>
                <w:lang w:eastAsia="en-US"/>
              </w:rPr>
              <w:t xml:space="preserve"> - </w:t>
            </w:r>
            <w:r w:rsidR="002049FE" w:rsidRPr="00BE1ED3">
              <w:rPr>
                <w:rFonts w:ascii="Times New Roman" w:eastAsiaTheme="minorEastAsia" w:hAnsi="Times New Roman" w:cs="Times New Roman"/>
                <w:sz w:val="18"/>
                <w:szCs w:val="18"/>
                <w:lang w:eastAsia="en-US"/>
              </w:rPr>
              <w:t>21.4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828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22.2</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20.6</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23.8</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5B3185">
            <w:pPr>
              <w:tabs>
                <w:tab w:val="left" w:pos="205"/>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At least weekly</w:t>
            </w:r>
          </w:p>
        </w:tc>
        <w:tc>
          <w:tcPr>
            <w:tcW w:w="576"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1425</w:t>
            </w:r>
          </w:p>
        </w:tc>
        <w:tc>
          <w:tcPr>
            <w:tcW w:w="567"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22.8</w:t>
            </w:r>
          </w:p>
        </w:tc>
        <w:tc>
          <w:tcPr>
            <w:tcW w:w="1134" w:type="dxa"/>
            <w:gridSpan w:val="2"/>
            <w:tcBorders>
              <w:top w:val="nil"/>
              <w:left w:val="nil"/>
              <w:bottom w:val="nil"/>
              <w:right w:val="single" w:sz="4" w:space="0" w:color="auto"/>
            </w:tcBorders>
            <w:noWrap/>
          </w:tcPr>
          <w:p w:rsidR="002049FE" w:rsidRPr="00BE1ED3"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E1ED3">
              <w:rPr>
                <w:rFonts w:ascii="Times New Roman" w:eastAsiaTheme="minorEastAsia" w:hAnsi="Times New Roman" w:cs="Times New Roman"/>
                <w:sz w:val="18"/>
                <w:szCs w:val="18"/>
                <w:lang w:eastAsia="en-US"/>
              </w:rPr>
              <w:t>21.6</w:t>
            </w:r>
            <w:r w:rsidR="002049FE">
              <w:rPr>
                <w:rFonts w:ascii="Times New Roman" w:eastAsiaTheme="minorEastAsia" w:hAnsi="Times New Roman" w:cs="Times New Roman"/>
                <w:sz w:val="18"/>
                <w:szCs w:val="18"/>
                <w:lang w:eastAsia="en-US"/>
              </w:rPr>
              <w:t xml:space="preserve"> - </w:t>
            </w:r>
            <w:r w:rsidR="002049FE" w:rsidRPr="00BE1ED3">
              <w:rPr>
                <w:rFonts w:ascii="Times New Roman" w:eastAsiaTheme="minorEastAsia" w:hAnsi="Times New Roman" w:cs="Times New Roman"/>
                <w:sz w:val="18"/>
                <w:szCs w:val="18"/>
                <w:lang w:eastAsia="en-US"/>
              </w:rPr>
              <w:t>24.0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787</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21.1</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19.6</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22.6</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084EBA" w:rsidRDefault="002049FE" w:rsidP="005B3185">
            <w:pPr>
              <w:tabs>
                <w:tab w:val="left" w:pos="205"/>
              </w:tabs>
              <w:spacing w:before="20" w:after="20"/>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ab/>
              <w:t>At least monthly</w:t>
            </w:r>
          </w:p>
        </w:tc>
        <w:tc>
          <w:tcPr>
            <w:tcW w:w="576"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1368</w:t>
            </w:r>
          </w:p>
        </w:tc>
        <w:tc>
          <w:tcPr>
            <w:tcW w:w="567"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21.9</w:t>
            </w:r>
          </w:p>
        </w:tc>
        <w:tc>
          <w:tcPr>
            <w:tcW w:w="1134" w:type="dxa"/>
            <w:gridSpan w:val="2"/>
            <w:tcBorders>
              <w:top w:val="nil"/>
              <w:left w:val="nil"/>
              <w:bottom w:val="nil"/>
              <w:right w:val="single" w:sz="4" w:space="0" w:color="auto"/>
            </w:tcBorders>
            <w:noWrap/>
          </w:tcPr>
          <w:p w:rsidR="002049FE" w:rsidRPr="00BE1ED3"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E1ED3">
              <w:rPr>
                <w:rFonts w:ascii="Times New Roman" w:eastAsiaTheme="minorEastAsia" w:hAnsi="Times New Roman" w:cs="Times New Roman"/>
                <w:sz w:val="18"/>
                <w:szCs w:val="18"/>
                <w:lang w:eastAsia="en-US"/>
              </w:rPr>
              <w:t>20.7</w:t>
            </w:r>
            <w:r w:rsidR="002049FE">
              <w:rPr>
                <w:rFonts w:ascii="Times New Roman" w:eastAsiaTheme="minorEastAsia" w:hAnsi="Times New Roman" w:cs="Times New Roman"/>
                <w:sz w:val="18"/>
                <w:szCs w:val="18"/>
                <w:lang w:eastAsia="en-US"/>
              </w:rPr>
              <w:t xml:space="preserve"> - </w:t>
            </w:r>
            <w:r w:rsidR="002049FE" w:rsidRPr="00BE1ED3">
              <w:rPr>
                <w:rFonts w:ascii="Times New Roman" w:eastAsiaTheme="minorEastAsia" w:hAnsi="Times New Roman" w:cs="Times New Roman"/>
                <w:sz w:val="18"/>
                <w:szCs w:val="18"/>
                <w:lang w:eastAsia="en-US"/>
              </w:rPr>
              <w:t>23.1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786</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21.0</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19.5</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22.6</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5B3185" w:rsidRDefault="002049FE" w:rsidP="005B3185">
            <w:pPr>
              <w:tabs>
                <w:tab w:val="left" w:pos="205"/>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At least 6 monthly</w:t>
            </w:r>
          </w:p>
        </w:tc>
        <w:tc>
          <w:tcPr>
            <w:tcW w:w="576"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1704</w:t>
            </w:r>
          </w:p>
        </w:tc>
        <w:tc>
          <w:tcPr>
            <w:tcW w:w="567"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27.3</w:t>
            </w:r>
          </w:p>
        </w:tc>
        <w:tc>
          <w:tcPr>
            <w:tcW w:w="1134" w:type="dxa"/>
            <w:gridSpan w:val="2"/>
            <w:tcBorders>
              <w:top w:val="nil"/>
              <w:left w:val="nil"/>
              <w:bottom w:val="nil"/>
              <w:right w:val="single" w:sz="4" w:space="0" w:color="auto"/>
            </w:tcBorders>
            <w:noWrap/>
          </w:tcPr>
          <w:p w:rsidR="002049FE" w:rsidRPr="00BE1ED3"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E1ED3">
              <w:rPr>
                <w:rFonts w:ascii="Times New Roman" w:eastAsiaTheme="minorEastAsia" w:hAnsi="Times New Roman" w:cs="Times New Roman"/>
                <w:sz w:val="18"/>
                <w:szCs w:val="18"/>
                <w:lang w:eastAsia="en-US"/>
              </w:rPr>
              <w:t>26.0</w:t>
            </w:r>
            <w:r w:rsidR="002049FE">
              <w:rPr>
                <w:rFonts w:ascii="Times New Roman" w:eastAsiaTheme="minorEastAsia" w:hAnsi="Times New Roman" w:cs="Times New Roman"/>
                <w:sz w:val="18"/>
                <w:szCs w:val="18"/>
                <w:lang w:eastAsia="en-US"/>
              </w:rPr>
              <w:t xml:space="preserve"> - </w:t>
            </w:r>
            <w:r w:rsidR="002049FE" w:rsidRPr="00BE1ED3">
              <w:rPr>
                <w:rFonts w:ascii="Times New Roman" w:eastAsiaTheme="minorEastAsia" w:hAnsi="Times New Roman" w:cs="Times New Roman"/>
                <w:sz w:val="18"/>
                <w:szCs w:val="18"/>
                <w:lang w:eastAsia="en-US"/>
              </w:rPr>
              <w:t>28.6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1067</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28.6</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26.8</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30.3</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r>
            <w:r w:rsidRPr="005B3185">
              <w:rPr>
                <w:rFonts w:ascii="Times New Roman" w:eastAsiaTheme="minorEastAsia" w:hAnsi="Times New Roman" w:cs="Times New Roman"/>
                <w:b w:val="0"/>
                <w:sz w:val="18"/>
                <w:szCs w:val="18"/>
                <w:lang w:eastAsia="en-US"/>
              </w:rPr>
              <w:t>At least once in past year</w:t>
            </w:r>
          </w:p>
        </w:tc>
        <w:tc>
          <w:tcPr>
            <w:tcW w:w="576" w:type="dxa"/>
            <w:tcBorders>
              <w:top w:val="nil"/>
              <w:left w:val="nil"/>
              <w:bottom w:val="nil"/>
              <w:right w:val="nil"/>
            </w:tcBorders>
            <w:noWrap/>
          </w:tcPr>
          <w:p w:rsidR="002049FE" w:rsidRPr="002F4D3B"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483</w:t>
            </w:r>
          </w:p>
        </w:tc>
        <w:tc>
          <w:tcPr>
            <w:tcW w:w="567" w:type="dxa"/>
            <w:tcBorders>
              <w:top w:val="nil"/>
              <w:left w:val="nil"/>
              <w:bottom w:val="nil"/>
              <w:right w:val="nil"/>
            </w:tcBorders>
            <w:noWrap/>
          </w:tcPr>
          <w:p w:rsidR="002049FE" w:rsidRPr="00BE1ED3" w:rsidRDefault="002049FE" w:rsidP="00BE1ED3">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E1ED3">
              <w:rPr>
                <w:rFonts w:ascii="Times New Roman" w:eastAsiaTheme="minorEastAsia" w:hAnsi="Times New Roman" w:cs="Times New Roman"/>
                <w:sz w:val="18"/>
                <w:szCs w:val="18"/>
                <w:lang w:eastAsia="en-US"/>
              </w:rPr>
              <w:t>7.7</w:t>
            </w:r>
          </w:p>
        </w:tc>
        <w:tc>
          <w:tcPr>
            <w:tcW w:w="1134" w:type="dxa"/>
            <w:gridSpan w:val="2"/>
            <w:tcBorders>
              <w:top w:val="nil"/>
              <w:left w:val="nil"/>
              <w:bottom w:val="nil"/>
              <w:right w:val="single" w:sz="4" w:space="0" w:color="auto"/>
            </w:tcBorders>
            <w:noWrap/>
          </w:tcPr>
          <w:p w:rsidR="002049FE" w:rsidRPr="00BE1ED3"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E1ED3">
              <w:rPr>
                <w:rFonts w:ascii="Times New Roman" w:eastAsiaTheme="minorEastAsia" w:hAnsi="Times New Roman" w:cs="Times New Roman"/>
                <w:sz w:val="18"/>
                <w:szCs w:val="18"/>
                <w:lang w:eastAsia="en-US"/>
              </w:rPr>
              <w:t>6.9</w:t>
            </w:r>
            <w:r w:rsidR="002049FE">
              <w:rPr>
                <w:rFonts w:ascii="Times New Roman" w:eastAsiaTheme="minorEastAsia" w:hAnsi="Times New Roman" w:cs="Times New Roman"/>
                <w:sz w:val="18"/>
                <w:szCs w:val="18"/>
                <w:lang w:eastAsia="en-US"/>
              </w:rPr>
              <w:t xml:space="preserve"> - </w:t>
            </w:r>
            <w:r w:rsidR="002049FE" w:rsidRPr="00BE1ED3">
              <w:rPr>
                <w:rFonts w:ascii="Times New Roman" w:eastAsiaTheme="minorEastAsia" w:hAnsi="Times New Roman" w:cs="Times New Roman"/>
                <w:sz w:val="18"/>
                <w:szCs w:val="18"/>
                <w:lang w:eastAsia="en-US"/>
              </w:rPr>
              <w:t>8.6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268</w:t>
            </w:r>
          </w:p>
        </w:tc>
        <w:tc>
          <w:tcPr>
            <w:tcW w:w="567" w:type="dxa"/>
            <w:tcBorders>
              <w:top w:val="nil"/>
              <w:left w:val="nil"/>
              <w:bottom w:val="nil"/>
              <w:right w:val="nil"/>
            </w:tcBorders>
            <w:noWrap/>
          </w:tcPr>
          <w:p w:rsidR="002049FE" w:rsidRPr="000F3D0B"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0F3D0B">
              <w:rPr>
                <w:rFonts w:ascii="Times New Roman" w:eastAsiaTheme="minorEastAsia" w:hAnsi="Times New Roman" w:cs="Times New Roman"/>
                <w:sz w:val="18"/>
                <w:szCs w:val="18"/>
                <w:lang w:eastAsia="en-US"/>
              </w:rPr>
              <w:t>7.2</w:t>
            </w:r>
          </w:p>
        </w:tc>
        <w:tc>
          <w:tcPr>
            <w:tcW w:w="1174" w:type="dxa"/>
            <w:gridSpan w:val="2"/>
            <w:tcBorders>
              <w:top w:val="nil"/>
              <w:left w:val="nil"/>
              <w:bottom w:val="nil"/>
              <w:right w:val="nil"/>
            </w:tcBorders>
            <w:shd w:val="clear" w:color="auto" w:fill="FFFFFF" w:themeFill="background1"/>
            <w:noWrap/>
          </w:tcPr>
          <w:p w:rsidR="002049FE" w:rsidRPr="000F3D0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0F3D0B">
              <w:rPr>
                <w:rFonts w:ascii="Times New Roman" w:eastAsiaTheme="minorEastAsia" w:hAnsi="Times New Roman" w:cs="Times New Roman"/>
                <w:sz w:val="18"/>
                <w:szCs w:val="18"/>
                <w:lang w:eastAsia="en-US"/>
              </w:rPr>
              <w:t>6.2</w:t>
            </w:r>
            <w:r w:rsidR="002049FE">
              <w:rPr>
                <w:rFonts w:ascii="Times New Roman" w:eastAsiaTheme="minorEastAsia" w:hAnsi="Times New Roman" w:cs="Times New Roman"/>
                <w:sz w:val="18"/>
                <w:szCs w:val="18"/>
                <w:lang w:eastAsia="en-US"/>
              </w:rPr>
              <w:t xml:space="preserve"> - </w:t>
            </w:r>
            <w:r w:rsidR="002049FE" w:rsidRPr="000F3D0B">
              <w:rPr>
                <w:rFonts w:ascii="Times New Roman" w:eastAsiaTheme="minorEastAsia" w:hAnsi="Times New Roman" w:cs="Times New Roman"/>
                <w:sz w:val="18"/>
                <w:szCs w:val="18"/>
                <w:lang w:eastAsia="en-US"/>
              </w:rPr>
              <w:t>8.2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tabs>
                <w:tab w:val="left" w:pos="176"/>
              </w:tabs>
              <w:spacing w:before="20" w:after="20"/>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b/>
              <w:t>Missing</w:t>
            </w:r>
          </w:p>
        </w:tc>
        <w:tc>
          <w:tcPr>
            <w:tcW w:w="576" w:type="dxa"/>
            <w:tcBorders>
              <w:top w:val="nil"/>
              <w:left w:val="nil"/>
              <w:bottom w:val="nil"/>
              <w:right w:val="nil"/>
            </w:tcBorders>
            <w:noWrap/>
          </w:tcPr>
          <w:p w:rsidR="002049FE" w:rsidRPr="002F4D3B"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w:t>
            </w:r>
          </w:p>
        </w:tc>
        <w:tc>
          <w:tcPr>
            <w:tcW w:w="567" w:type="dxa"/>
            <w:tcBorders>
              <w:top w:val="nil"/>
              <w:left w:val="nil"/>
              <w:bottom w:val="nil"/>
              <w:right w:val="nil"/>
            </w:tcBorders>
            <w:noWrap/>
          </w:tcPr>
          <w:p w:rsidR="002049FE" w:rsidRPr="002F4D3B"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4" w:type="dxa"/>
            <w:gridSpan w:val="2"/>
            <w:tcBorders>
              <w:top w:val="nil"/>
              <w:left w:val="nil"/>
              <w:bottom w:val="nil"/>
              <w:right w:val="single" w:sz="4" w:space="0" w:color="auto"/>
            </w:tcBorders>
            <w:noWrap/>
          </w:tcPr>
          <w:p w:rsidR="002049FE" w:rsidRPr="002F4D3B" w:rsidRDefault="002049FE"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2049FE" w:rsidRPr="00365360"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12</w:t>
            </w:r>
          </w:p>
        </w:tc>
        <w:tc>
          <w:tcPr>
            <w:tcW w:w="567" w:type="dxa"/>
            <w:tcBorders>
              <w:top w:val="nil"/>
              <w:left w:val="nil"/>
              <w:bottom w:val="nil"/>
              <w:right w:val="nil"/>
            </w:tcBorders>
            <w:noWrap/>
            <w:vAlign w:val="center"/>
          </w:tcPr>
          <w:p w:rsidR="002049FE" w:rsidRPr="00365360"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74" w:type="dxa"/>
            <w:gridSpan w:val="2"/>
            <w:tcBorders>
              <w:top w:val="nil"/>
              <w:left w:val="nil"/>
              <w:bottom w:val="nil"/>
              <w:right w:val="nil"/>
            </w:tcBorders>
            <w:shd w:val="clear" w:color="auto" w:fill="FFFFFF" w:themeFill="background1"/>
            <w:noWrap/>
            <w:vAlign w:val="center"/>
          </w:tcPr>
          <w:p w:rsidR="002049FE" w:rsidRPr="00365360" w:rsidRDefault="002049FE"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r>
              <w:rPr>
                <w:rFonts w:ascii="Times New Roman" w:eastAsiaTheme="minorEastAsia" w:hAnsi="Times New Roman" w:cs="Times New Roman"/>
                <w:i/>
                <w:sz w:val="18"/>
                <w:szCs w:val="18"/>
                <w:lang w:eastAsia="en-US"/>
              </w:rPr>
              <w:t>-</w:t>
            </w:r>
          </w:p>
        </w:tc>
      </w:tr>
      <w:tr w:rsidR="009C115D" w:rsidRPr="00365360" w:rsidTr="00F959A8">
        <w:tc>
          <w:tcPr>
            <w:cnfStyle w:val="001000000000" w:firstRow="0" w:lastRow="0" w:firstColumn="1" w:lastColumn="0" w:oddVBand="0" w:evenVBand="0" w:oddHBand="0" w:evenHBand="0" w:firstRowFirstColumn="0" w:firstRowLastColumn="0" w:lastRowFirstColumn="0" w:lastRowLastColumn="0"/>
            <w:tcW w:w="4155" w:type="dxa"/>
            <w:gridSpan w:val="2"/>
            <w:tcBorders>
              <w:top w:val="nil"/>
              <w:left w:val="nil"/>
              <w:bottom w:val="nil"/>
              <w:right w:val="nil"/>
            </w:tcBorders>
          </w:tcPr>
          <w:p w:rsidR="009C115D" w:rsidRPr="00084EBA" w:rsidRDefault="009C115D" w:rsidP="009C115D">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Typical monthly gambling expenditure</w:t>
            </w:r>
          </w:p>
        </w:tc>
        <w:tc>
          <w:tcPr>
            <w:tcW w:w="567" w:type="dxa"/>
            <w:tcBorders>
              <w:top w:val="nil"/>
              <w:left w:val="nil"/>
              <w:bottom w:val="nil"/>
              <w:right w:val="nil"/>
            </w:tcBorders>
            <w:noWrap/>
          </w:tcPr>
          <w:p w:rsidR="009C115D" w:rsidRPr="00084EBA"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9C115D" w:rsidRPr="00084EBA"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9C115D" w:rsidRPr="00084EBA"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9C115D" w:rsidRPr="00365360"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9C115D" w:rsidRPr="00365360"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9C115D" w:rsidRPr="00365360"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9C115D" w:rsidRPr="00365360" w:rsidRDefault="009C115D"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625A0E">
            <w:pPr>
              <w:keepNext/>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 gambling in p</w:t>
            </w:r>
            <w:r w:rsidRPr="00D15E9C">
              <w:rPr>
                <w:rFonts w:ascii="Times New Roman" w:eastAsiaTheme="minorEastAsia" w:hAnsi="Times New Roman" w:cs="Times New Roman"/>
                <w:b w:val="0"/>
                <w:sz w:val="18"/>
                <w:szCs w:val="18"/>
                <w:lang w:eastAsia="en-US"/>
              </w:rPr>
              <w:t xml:space="preserve">ast </w:t>
            </w:r>
            <w:r>
              <w:rPr>
                <w:rFonts w:ascii="Times New Roman" w:eastAsiaTheme="minorEastAsia" w:hAnsi="Times New Roman" w:cs="Times New Roman"/>
                <w:b w:val="0"/>
                <w:sz w:val="18"/>
                <w:szCs w:val="18"/>
                <w:lang w:eastAsia="en-US"/>
              </w:rPr>
              <w:t>year</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1278</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20.4</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19.3</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21.6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838</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22.4</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20.8</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24.0</w:t>
            </w:r>
            <w:r>
              <w:rPr>
                <w:rFonts w:ascii="Times New Roman" w:eastAsiaTheme="minorEastAsia" w:hAnsi="Times New Roman" w:cs="Times New Roman"/>
                <w:sz w:val="18"/>
                <w:szCs w:val="18"/>
                <w:lang w:eastAsia="en-US"/>
              </w:rPr>
              <w:t>)</w:t>
            </w:r>
          </w:p>
        </w:tc>
      </w:tr>
      <w:tr w:rsidR="002049FE" w:rsidRPr="006305B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keepNext/>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$10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1019</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16.3</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15.2</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17.4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654</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17.5</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16.0</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18.9</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$11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$20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1003</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16.0</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15.0</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17.1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592</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15.8</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14.4</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17.2</w:t>
            </w:r>
            <w:r>
              <w:rPr>
                <w:rFonts w:ascii="Times New Roman" w:eastAsiaTheme="minorEastAsia" w:hAnsi="Times New Roman" w:cs="Times New Roman"/>
                <w:sz w:val="18"/>
                <w:szCs w:val="18"/>
                <w:lang w:eastAsia="en-US"/>
              </w:rPr>
              <w:t>)</w:t>
            </w:r>
          </w:p>
        </w:tc>
      </w:tr>
      <w:tr w:rsidR="002049FE" w:rsidRPr="00C130D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$21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$30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625</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10.0</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9.1</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10.9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364</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9.7</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8.6</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10.8</w:t>
            </w:r>
            <w:r>
              <w:rPr>
                <w:rFonts w:ascii="Times New Roman" w:eastAsiaTheme="minorEastAsia" w:hAnsi="Times New Roman" w:cs="Times New Roman"/>
                <w:sz w:val="18"/>
                <w:szCs w:val="18"/>
                <w:lang w:eastAsia="en-US"/>
              </w:rPr>
              <w:t>)</w:t>
            </w:r>
          </w:p>
        </w:tc>
      </w:tr>
      <w:tr w:rsidR="002049FE" w:rsidRPr="00C130D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$31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$50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709</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11.3</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10.4</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12.3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394</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10.5</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9.4</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11.7</w:t>
            </w:r>
            <w:r>
              <w:rPr>
                <w:rFonts w:ascii="Times New Roman" w:eastAsiaTheme="minorEastAsia" w:hAnsi="Times New Roman" w:cs="Times New Roman"/>
                <w:sz w:val="18"/>
                <w:szCs w:val="18"/>
                <w:lang w:eastAsia="en-US"/>
              </w:rPr>
              <w:t>)</w:t>
            </w:r>
          </w:p>
        </w:tc>
      </w:tr>
      <w:tr w:rsidR="002049FE" w:rsidRPr="00C130D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$51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$100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798</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12.8</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11.8</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13.8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473</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12.6</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11.3</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13.9</w:t>
            </w:r>
            <w:r>
              <w:rPr>
                <w:rFonts w:ascii="Times New Roman" w:eastAsiaTheme="minorEastAsia" w:hAnsi="Times New Roman" w:cs="Times New Roman"/>
                <w:sz w:val="18"/>
                <w:szCs w:val="18"/>
                <w:lang w:eastAsia="en-US"/>
              </w:rPr>
              <w:t>)</w:t>
            </w:r>
          </w:p>
        </w:tc>
      </w:tr>
      <w:tr w:rsidR="002049FE" w:rsidRPr="00C130D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$101</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D15E9C">
              <w:rPr>
                <w:rFonts w:ascii="Times New Roman" w:eastAsiaTheme="minorEastAsia" w:hAnsi="Times New Roman" w:cs="Times New Roman"/>
                <w:b w:val="0"/>
                <w:sz w:val="18"/>
                <w:szCs w:val="18"/>
                <w:lang w:eastAsia="en-US"/>
              </w:rPr>
              <w:t>$500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688</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11.0</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10.1</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11.9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364</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9.7</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8.5</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10.9</w:t>
            </w:r>
            <w:r>
              <w:rPr>
                <w:rFonts w:ascii="Times New Roman" w:eastAsiaTheme="minorEastAsia" w:hAnsi="Times New Roman" w:cs="Times New Roman"/>
                <w:sz w:val="18"/>
                <w:szCs w:val="18"/>
                <w:lang w:eastAsia="en-US"/>
              </w:rPr>
              <w:t>)</w:t>
            </w:r>
          </w:p>
        </w:tc>
      </w:tr>
      <w:tr w:rsidR="002049FE" w:rsidRPr="00C130D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sidRPr="00D15E9C">
              <w:rPr>
                <w:rFonts w:ascii="Times New Roman" w:eastAsiaTheme="minorEastAsia" w:hAnsi="Times New Roman" w:cs="Times New Roman"/>
                <w:b w:val="0"/>
                <w:sz w:val="18"/>
                <w:szCs w:val="18"/>
                <w:lang w:eastAsia="en-US"/>
              </w:rPr>
              <w:t>&gt;$500</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129</w:t>
            </w:r>
          </w:p>
        </w:tc>
        <w:tc>
          <w:tcPr>
            <w:tcW w:w="567" w:type="dxa"/>
            <w:tcBorders>
              <w:top w:val="nil"/>
              <w:left w:val="nil"/>
              <w:bottom w:val="nil"/>
              <w:right w:val="nil"/>
            </w:tcBorders>
            <w:noWrap/>
          </w:tcPr>
          <w:p w:rsidR="002049FE" w:rsidRPr="00D15E9C"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2.</w:t>
            </w:r>
            <w:r>
              <w:rPr>
                <w:rFonts w:ascii="Times New Roman" w:eastAsiaTheme="minorEastAsia" w:hAnsi="Times New Roman" w:cs="Times New Roman"/>
                <w:sz w:val="18"/>
                <w:szCs w:val="18"/>
                <w:lang w:eastAsia="en-US"/>
              </w:rPr>
              <w:t>1</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1.7</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2.5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64</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1.7</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1.2</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2.2</w:t>
            </w:r>
            <w:r>
              <w:rPr>
                <w:rFonts w:ascii="Times New Roman" w:eastAsiaTheme="minorEastAsia" w:hAnsi="Times New Roman" w:cs="Times New Roman"/>
                <w:sz w:val="18"/>
                <w:szCs w:val="18"/>
                <w:lang w:eastAsia="en-US"/>
              </w:rPr>
              <w:t>)</w:t>
            </w:r>
          </w:p>
        </w:tc>
      </w:tr>
      <w:tr w:rsidR="002049FE" w:rsidRPr="00084EBA"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0F3D0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Not r</w:t>
            </w:r>
            <w:r w:rsidRPr="00D15E9C">
              <w:rPr>
                <w:rFonts w:ascii="Times New Roman" w:eastAsiaTheme="minorEastAsia" w:hAnsi="Times New Roman" w:cs="Times New Roman"/>
                <w:b w:val="0"/>
                <w:sz w:val="18"/>
                <w:szCs w:val="18"/>
                <w:lang w:eastAsia="en-US"/>
              </w:rPr>
              <w:t>eported</w:t>
            </w:r>
          </w:p>
        </w:tc>
        <w:tc>
          <w:tcPr>
            <w:tcW w:w="576"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15E9C">
              <w:rPr>
                <w:rFonts w:ascii="Times New Roman" w:eastAsiaTheme="minorEastAsia" w:hAnsi="Times New Roman" w:cs="Times New Roman"/>
                <w:sz w:val="18"/>
                <w:szCs w:val="18"/>
                <w:lang w:eastAsia="en-US"/>
              </w:rPr>
              <w:t>2</w:t>
            </w:r>
          </w:p>
        </w:tc>
        <w:tc>
          <w:tcPr>
            <w:tcW w:w="567" w:type="dxa"/>
            <w:tcBorders>
              <w:top w:val="nil"/>
              <w:left w:val="nil"/>
              <w:bottom w:val="nil"/>
              <w:right w:val="nil"/>
            </w:tcBorders>
            <w:noWrap/>
          </w:tcPr>
          <w:p w:rsidR="002049FE" w:rsidRPr="00D15E9C" w:rsidRDefault="002049FE"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0.0</w:t>
            </w:r>
          </w:p>
        </w:tc>
        <w:tc>
          <w:tcPr>
            <w:tcW w:w="1134" w:type="dxa"/>
            <w:gridSpan w:val="2"/>
            <w:tcBorders>
              <w:top w:val="nil"/>
              <w:left w:val="nil"/>
              <w:bottom w:val="nil"/>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D15E9C">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D15E9C">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2</w:t>
            </w:r>
          </w:p>
        </w:tc>
        <w:tc>
          <w:tcPr>
            <w:tcW w:w="567" w:type="dxa"/>
            <w:tcBorders>
              <w:top w:val="nil"/>
              <w:left w:val="nil"/>
              <w:bottom w:val="nil"/>
              <w:right w:val="nil"/>
            </w:tcBorders>
            <w:noWrap/>
          </w:tcPr>
          <w:p w:rsidR="002049FE" w:rsidRPr="00F6055B" w:rsidRDefault="002049FE" w:rsidP="00F6055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6055B">
              <w:rPr>
                <w:rFonts w:ascii="Times New Roman" w:eastAsiaTheme="minorEastAsia" w:hAnsi="Times New Roman" w:cs="Times New Roman"/>
                <w:sz w:val="18"/>
                <w:szCs w:val="18"/>
                <w:lang w:eastAsia="en-US"/>
              </w:rPr>
              <w:t>0.1</w:t>
            </w:r>
          </w:p>
        </w:tc>
        <w:tc>
          <w:tcPr>
            <w:tcW w:w="1174" w:type="dxa"/>
            <w:gridSpan w:val="2"/>
            <w:tcBorders>
              <w:top w:val="nil"/>
              <w:left w:val="nil"/>
              <w:bottom w:val="nil"/>
              <w:right w:val="nil"/>
            </w:tcBorders>
            <w:shd w:val="clear" w:color="auto" w:fill="FFFFFF" w:themeFill="background1"/>
            <w:noWrap/>
          </w:tcPr>
          <w:p w:rsidR="002049FE" w:rsidRPr="00F6055B"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F6055B">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F6055B">
              <w:rPr>
                <w:rFonts w:ascii="Times New Roman" w:eastAsiaTheme="minorEastAsia" w:hAnsi="Times New Roman" w:cs="Times New Roman"/>
                <w:sz w:val="18"/>
                <w:szCs w:val="18"/>
                <w:lang w:eastAsia="en-US"/>
              </w:rPr>
              <w:t>0.2</w:t>
            </w: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7D4B0B" w:rsidRPr="00365360" w:rsidRDefault="00BE1ED3" w:rsidP="007D4B0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Most preferred activity</w:t>
            </w:r>
          </w:p>
        </w:tc>
        <w:tc>
          <w:tcPr>
            <w:tcW w:w="576"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 gambling in past year</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1261</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20.2</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19.0</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21.4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828</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22.1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20.5</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23.7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Cards games</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126</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2.0</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1.6</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2.5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65</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1.7</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1.1</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2.4</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084EBA" w:rsidRDefault="002049FE" w:rsidP="00BE1ED3">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Bets with friends/workmates</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288</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4.6</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4.0</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5.2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147</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3.9</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3.2</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4.7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BE1ED3" w:rsidRDefault="002049FE" w:rsidP="00BE1ED3">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Text game or competition</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15</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0.2</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0.1</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8</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0.2</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Raffle/lottery (NZ or overseas)</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575</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9.2</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8.4</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10.1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380</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10.1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9.0</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11.2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Lotto</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1105</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17.7</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16.6</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18.7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605</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16.1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14.8</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17.5</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Keno</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17</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0.3</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0.1</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11</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0.3</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0.1</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0.5</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BE1ED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Bullseye</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13</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0.2</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0.1</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BE1ED3" w:rsidRDefault="002049FE" w:rsidP="00521BFF">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Instant K</w:t>
            </w:r>
            <w:r w:rsidRPr="00BE1ED3">
              <w:rPr>
                <w:rFonts w:ascii="Times New Roman" w:eastAsiaTheme="minorEastAsia" w:hAnsi="Times New Roman" w:cs="Times New Roman"/>
                <w:b w:val="0"/>
                <w:sz w:val="18"/>
                <w:szCs w:val="18"/>
              </w:rPr>
              <w:t>iwi</w:t>
            </w:r>
            <w:r>
              <w:rPr>
                <w:rFonts w:ascii="Times New Roman" w:eastAsiaTheme="minorEastAsia" w:hAnsi="Times New Roman" w:cs="Times New Roman"/>
                <w:b w:val="0"/>
                <w:sz w:val="18"/>
                <w:szCs w:val="18"/>
              </w:rPr>
              <w:t>/or other scratch tickets</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549</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8.8</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7.9</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9.6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297</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7.9</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6.9</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9.0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BE1ED3" w:rsidRDefault="002049FE" w:rsidP="001D5426">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Housie or bingo</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44</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0.7</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0.5</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27</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0.7</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0.5</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Horse/dog race betting</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362</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5.8</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5.1</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6.5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204</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5.4</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4.6</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6.3</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Sports betting</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74</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1.2</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0.8</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1.6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34</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0.9</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0.5</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1.3</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Casino table games or EGMS (NZ and overseas)</w:t>
            </w:r>
          </w:p>
        </w:tc>
        <w:tc>
          <w:tcPr>
            <w:tcW w:w="576" w:type="dxa"/>
            <w:tcBorders>
              <w:top w:val="nil"/>
              <w:left w:val="nil"/>
              <w:bottom w:val="nil"/>
              <w:right w:val="nil"/>
            </w:tcBorders>
            <w:noWrap/>
            <w:vAlign w:val="center"/>
          </w:tcPr>
          <w:p w:rsidR="002049FE" w:rsidRPr="001D5426" w:rsidRDefault="002049FE" w:rsidP="00EC476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254</w:t>
            </w:r>
          </w:p>
        </w:tc>
        <w:tc>
          <w:tcPr>
            <w:tcW w:w="567" w:type="dxa"/>
            <w:tcBorders>
              <w:top w:val="nil"/>
              <w:left w:val="nil"/>
              <w:bottom w:val="nil"/>
              <w:right w:val="nil"/>
            </w:tcBorders>
            <w:noWrap/>
            <w:vAlign w:val="center"/>
          </w:tcPr>
          <w:p w:rsidR="002049FE" w:rsidRPr="001D5426" w:rsidRDefault="002049FE" w:rsidP="00EC476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4.1</w:t>
            </w:r>
          </w:p>
        </w:tc>
        <w:tc>
          <w:tcPr>
            <w:tcW w:w="1134" w:type="dxa"/>
            <w:gridSpan w:val="2"/>
            <w:tcBorders>
              <w:top w:val="nil"/>
              <w:left w:val="nil"/>
              <w:bottom w:val="nil"/>
              <w:right w:val="single" w:sz="4" w:space="0" w:color="auto"/>
            </w:tcBorders>
            <w:noWrap/>
            <w:vAlign w:val="center"/>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3.4</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4.7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vAlign w:val="center"/>
          </w:tcPr>
          <w:p w:rsidR="002049FE" w:rsidRPr="00535AA7" w:rsidRDefault="002049FE" w:rsidP="00EC476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127</w:t>
            </w:r>
          </w:p>
        </w:tc>
        <w:tc>
          <w:tcPr>
            <w:tcW w:w="567" w:type="dxa"/>
            <w:tcBorders>
              <w:top w:val="nil"/>
              <w:left w:val="nil"/>
              <w:bottom w:val="nil"/>
              <w:right w:val="nil"/>
            </w:tcBorders>
            <w:noWrap/>
            <w:vAlign w:val="center"/>
          </w:tcPr>
          <w:p w:rsidR="002049FE" w:rsidRPr="00535AA7" w:rsidRDefault="002049FE" w:rsidP="00EC476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3.4</w:t>
            </w:r>
          </w:p>
        </w:tc>
        <w:tc>
          <w:tcPr>
            <w:tcW w:w="1174" w:type="dxa"/>
            <w:gridSpan w:val="2"/>
            <w:tcBorders>
              <w:top w:val="nil"/>
              <w:left w:val="nil"/>
              <w:bottom w:val="nil"/>
              <w:right w:val="nil"/>
            </w:tcBorders>
            <w:shd w:val="clear" w:color="auto" w:fill="FFFFFF" w:themeFill="background1"/>
            <w:noWrap/>
            <w:vAlign w:val="center"/>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2.6</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4.2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single" w:sz="4" w:space="0" w:color="auto"/>
              <w:right w:val="nil"/>
            </w:tcBorders>
          </w:tcPr>
          <w:p w:rsidR="002049FE" w:rsidRPr="00D3673E" w:rsidRDefault="002049FE" w:rsidP="001D5426">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t>Non-casino EGMs</w:t>
            </w:r>
          </w:p>
        </w:tc>
        <w:tc>
          <w:tcPr>
            <w:tcW w:w="576" w:type="dxa"/>
            <w:tcBorders>
              <w:top w:val="nil"/>
              <w:left w:val="nil"/>
              <w:bottom w:val="single" w:sz="4" w:space="0" w:color="auto"/>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219</w:t>
            </w:r>
          </w:p>
        </w:tc>
        <w:tc>
          <w:tcPr>
            <w:tcW w:w="567" w:type="dxa"/>
            <w:tcBorders>
              <w:top w:val="nil"/>
              <w:left w:val="nil"/>
              <w:bottom w:val="single" w:sz="4" w:space="0" w:color="auto"/>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3.5</w:t>
            </w:r>
          </w:p>
        </w:tc>
        <w:tc>
          <w:tcPr>
            <w:tcW w:w="1134" w:type="dxa"/>
            <w:gridSpan w:val="2"/>
            <w:tcBorders>
              <w:top w:val="nil"/>
              <w:left w:val="nil"/>
              <w:bottom w:val="single" w:sz="4" w:space="0" w:color="auto"/>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2.9</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4.1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single" w:sz="4" w:space="0" w:color="auto"/>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130</w:t>
            </w:r>
          </w:p>
        </w:tc>
        <w:tc>
          <w:tcPr>
            <w:tcW w:w="567" w:type="dxa"/>
            <w:tcBorders>
              <w:top w:val="nil"/>
              <w:left w:val="nil"/>
              <w:bottom w:val="single" w:sz="4" w:space="0" w:color="auto"/>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3.5</w:t>
            </w:r>
          </w:p>
        </w:tc>
        <w:tc>
          <w:tcPr>
            <w:tcW w:w="1174" w:type="dxa"/>
            <w:gridSpan w:val="2"/>
            <w:tcBorders>
              <w:top w:val="nil"/>
              <w:left w:val="nil"/>
              <w:bottom w:val="single" w:sz="4" w:space="0" w:color="auto"/>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2.7</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4.2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nil"/>
              <w:bottom w:val="nil"/>
              <w:right w:val="nil"/>
            </w:tcBorders>
          </w:tcPr>
          <w:p w:rsidR="002049FE" w:rsidRPr="00D3673E" w:rsidRDefault="002049FE" w:rsidP="001D5426">
            <w:pPr>
              <w:spacing w:before="20" w:after="20"/>
              <w:ind w:left="176"/>
              <w:rPr>
                <w:rFonts w:ascii="Times New Roman" w:eastAsiaTheme="minorEastAsia" w:hAnsi="Times New Roman" w:cs="Times New Roman"/>
                <w:b w:val="0"/>
                <w:sz w:val="18"/>
                <w:szCs w:val="18"/>
              </w:rPr>
            </w:pPr>
            <w:r>
              <w:rPr>
                <w:rFonts w:ascii="Times New Roman" w:eastAsiaTheme="minorEastAsia" w:hAnsi="Times New Roman" w:cs="Times New Roman"/>
                <w:b w:val="0"/>
                <w:sz w:val="18"/>
                <w:szCs w:val="18"/>
              </w:rPr>
              <w:lastRenderedPageBreak/>
              <w:t xml:space="preserve">Short-term speculative investments </w:t>
            </w:r>
          </w:p>
        </w:tc>
        <w:tc>
          <w:tcPr>
            <w:tcW w:w="576" w:type="dxa"/>
            <w:tcBorders>
              <w:top w:val="single" w:sz="4" w:space="0" w:color="auto"/>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25</w:t>
            </w:r>
          </w:p>
        </w:tc>
        <w:tc>
          <w:tcPr>
            <w:tcW w:w="567" w:type="dxa"/>
            <w:tcBorders>
              <w:top w:val="single" w:sz="4" w:space="0" w:color="auto"/>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0.4</w:t>
            </w:r>
          </w:p>
        </w:tc>
        <w:tc>
          <w:tcPr>
            <w:tcW w:w="1134" w:type="dxa"/>
            <w:gridSpan w:val="2"/>
            <w:tcBorders>
              <w:top w:val="single" w:sz="4" w:space="0" w:color="auto"/>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0.2</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0.6</w:t>
            </w:r>
            <w:r>
              <w:rPr>
                <w:rFonts w:ascii="Times New Roman" w:eastAsiaTheme="minorEastAsia" w:hAnsi="Times New Roman" w:cs="Times New Roman"/>
                <w:sz w:val="18"/>
                <w:szCs w:val="18"/>
                <w:lang w:eastAsia="en-US"/>
              </w:rPr>
              <w:t>)</w:t>
            </w:r>
          </w:p>
        </w:tc>
        <w:tc>
          <w:tcPr>
            <w:tcW w:w="709" w:type="dxa"/>
            <w:tcBorders>
              <w:top w:val="single" w:sz="4" w:space="0" w:color="auto"/>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24</w:t>
            </w:r>
          </w:p>
        </w:tc>
        <w:tc>
          <w:tcPr>
            <w:tcW w:w="567" w:type="dxa"/>
            <w:tcBorders>
              <w:top w:val="single" w:sz="4" w:space="0" w:color="auto"/>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0.6</w:t>
            </w:r>
          </w:p>
        </w:tc>
        <w:tc>
          <w:tcPr>
            <w:tcW w:w="1174" w:type="dxa"/>
            <w:gridSpan w:val="2"/>
            <w:tcBorders>
              <w:top w:val="single" w:sz="4" w:space="0" w:color="auto"/>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0.3</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BE1ED3" w:rsidRDefault="002049FE" w:rsidP="001D5426">
            <w:pPr>
              <w:spacing w:before="20" w:after="20"/>
              <w:ind w:left="176"/>
              <w:rPr>
                <w:rFonts w:ascii="Times New Roman" w:eastAsiaTheme="minorEastAsia" w:hAnsi="Times New Roman" w:cs="Times New Roman"/>
                <w:b w:val="0"/>
                <w:sz w:val="18"/>
                <w:szCs w:val="18"/>
                <w:lang w:eastAsia="en-US"/>
              </w:rPr>
            </w:pPr>
            <w:r w:rsidRPr="00BE1ED3">
              <w:rPr>
                <w:rFonts w:ascii="Times New Roman" w:eastAsiaTheme="minorEastAsia" w:hAnsi="Times New Roman" w:cs="Times New Roman"/>
                <w:b w:val="0"/>
                <w:sz w:val="18"/>
                <w:szCs w:val="18"/>
                <w:lang w:eastAsia="en-US"/>
              </w:rPr>
              <w:t>Overseas internet gambling</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4</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0.1</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4</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0.0</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0.2</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Other activities</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35</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0.6</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0.3</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0.8</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23</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0.6</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0.4</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0.9</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 preference</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397</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6.4</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5.6</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7.1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266</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7.1</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6.2</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8.0</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No/none</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847</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13.5</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12.6</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14.5</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538</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14.4</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13.0</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15.7</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365360" w:rsidRDefault="002049FE" w:rsidP="001D5426">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Refused/Don’t know</w:t>
            </w:r>
          </w:p>
        </w:tc>
        <w:tc>
          <w:tcPr>
            <w:tcW w:w="576"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40</w:t>
            </w:r>
          </w:p>
        </w:tc>
        <w:tc>
          <w:tcPr>
            <w:tcW w:w="567" w:type="dxa"/>
            <w:tcBorders>
              <w:top w:val="nil"/>
              <w:left w:val="nil"/>
              <w:bottom w:val="nil"/>
              <w:right w:val="nil"/>
            </w:tcBorders>
            <w:noWrap/>
          </w:tcPr>
          <w:p w:rsidR="002049FE" w:rsidRPr="001D5426" w:rsidRDefault="002049FE" w:rsidP="001D5426">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D5426">
              <w:rPr>
                <w:rFonts w:ascii="Times New Roman" w:eastAsiaTheme="minorEastAsia" w:hAnsi="Times New Roman" w:cs="Times New Roman"/>
                <w:sz w:val="18"/>
                <w:szCs w:val="18"/>
                <w:lang w:eastAsia="en-US"/>
              </w:rPr>
              <w:t>0.6</w:t>
            </w:r>
          </w:p>
        </w:tc>
        <w:tc>
          <w:tcPr>
            <w:tcW w:w="1134" w:type="dxa"/>
            <w:gridSpan w:val="2"/>
            <w:tcBorders>
              <w:top w:val="nil"/>
              <w:left w:val="nil"/>
              <w:bottom w:val="nil"/>
              <w:right w:val="single" w:sz="4" w:space="0" w:color="auto"/>
            </w:tcBorders>
            <w:noWrap/>
          </w:tcPr>
          <w:p w:rsidR="002049FE" w:rsidRPr="001D5426"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1D5426">
              <w:rPr>
                <w:rFonts w:ascii="Times New Roman" w:eastAsiaTheme="minorEastAsia" w:hAnsi="Times New Roman" w:cs="Times New Roman"/>
                <w:sz w:val="18"/>
                <w:szCs w:val="18"/>
                <w:lang w:eastAsia="en-US"/>
              </w:rPr>
              <w:t>0.4</w:t>
            </w:r>
            <w:r w:rsidR="002049FE">
              <w:rPr>
                <w:rFonts w:ascii="Times New Roman" w:eastAsiaTheme="minorEastAsia" w:hAnsi="Times New Roman" w:cs="Times New Roman"/>
                <w:sz w:val="18"/>
                <w:szCs w:val="18"/>
                <w:lang w:eastAsia="en-US"/>
              </w:rPr>
              <w:t xml:space="preserve"> - </w:t>
            </w:r>
            <w:r w:rsidR="002049FE" w:rsidRPr="001D5426">
              <w:rPr>
                <w:rFonts w:ascii="Times New Roman" w:eastAsiaTheme="minorEastAsia" w:hAnsi="Times New Roman" w:cs="Times New Roman"/>
                <w:sz w:val="18"/>
                <w:szCs w:val="18"/>
                <w:lang w:eastAsia="en-US"/>
              </w:rPr>
              <w:t>0.9</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24</w:t>
            </w:r>
          </w:p>
        </w:tc>
        <w:tc>
          <w:tcPr>
            <w:tcW w:w="567" w:type="dxa"/>
            <w:tcBorders>
              <w:top w:val="nil"/>
              <w:left w:val="nil"/>
              <w:bottom w:val="nil"/>
              <w:right w:val="nil"/>
            </w:tcBorders>
            <w:noWrap/>
          </w:tcPr>
          <w:p w:rsidR="002049FE" w:rsidRPr="00535AA7" w:rsidRDefault="002049FE" w:rsidP="00535A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535AA7">
              <w:rPr>
                <w:rFonts w:ascii="Times New Roman" w:eastAsiaTheme="minorEastAsia" w:hAnsi="Times New Roman" w:cs="Times New Roman"/>
                <w:sz w:val="18"/>
                <w:szCs w:val="18"/>
                <w:lang w:eastAsia="en-US"/>
              </w:rPr>
              <w:t>0.7</w:t>
            </w:r>
          </w:p>
        </w:tc>
        <w:tc>
          <w:tcPr>
            <w:tcW w:w="1174" w:type="dxa"/>
            <w:gridSpan w:val="2"/>
            <w:tcBorders>
              <w:top w:val="nil"/>
              <w:left w:val="nil"/>
              <w:bottom w:val="nil"/>
              <w:right w:val="nil"/>
            </w:tcBorders>
            <w:shd w:val="clear" w:color="auto" w:fill="FFFFFF" w:themeFill="background1"/>
            <w:noWrap/>
          </w:tcPr>
          <w:p w:rsidR="002049FE" w:rsidRPr="00535AA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535AA7">
              <w:rPr>
                <w:rFonts w:ascii="Times New Roman" w:eastAsiaTheme="minorEastAsia" w:hAnsi="Times New Roman" w:cs="Times New Roman"/>
                <w:sz w:val="18"/>
                <w:szCs w:val="18"/>
                <w:lang w:eastAsia="en-US"/>
              </w:rPr>
              <w:t>0.4</w:t>
            </w:r>
            <w:r w:rsidR="002049FE">
              <w:rPr>
                <w:rFonts w:ascii="Times New Roman" w:eastAsiaTheme="minorEastAsia" w:hAnsi="Times New Roman" w:cs="Times New Roman"/>
                <w:sz w:val="18"/>
                <w:szCs w:val="18"/>
                <w:lang w:eastAsia="en-US"/>
              </w:rPr>
              <w:t xml:space="preserve"> - </w:t>
            </w:r>
            <w:r w:rsidR="002049FE" w:rsidRPr="00535AA7">
              <w:rPr>
                <w:rFonts w:ascii="Times New Roman" w:eastAsiaTheme="minorEastAsia" w:hAnsi="Times New Roman" w:cs="Times New Roman"/>
                <w:sz w:val="18"/>
                <w:szCs w:val="18"/>
                <w:lang w:eastAsia="en-US"/>
              </w:rPr>
              <w:t>0.9</w:t>
            </w: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7D4B0B" w:rsidRPr="00D15E9C" w:rsidRDefault="00AD78D2" w:rsidP="00D15E9C">
            <w:pPr>
              <w:keepNext/>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Who gambled with</w:t>
            </w:r>
          </w:p>
        </w:tc>
        <w:tc>
          <w:tcPr>
            <w:tcW w:w="576" w:type="dxa"/>
            <w:tcBorders>
              <w:top w:val="nil"/>
              <w:left w:val="nil"/>
              <w:bottom w:val="nil"/>
              <w:right w:val="nil"/>
            </w:tcBorders>
            <w:noWrap/>
          </w:tcPr>
          <w:p w:rsidR="007D4B0B" w:rsidRPr="00084EBA"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7D4B0B" w:rsidRPr="00084EBA"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7D4B0B" w:rsidRPr="00084EBA"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7D4B0B" w:rsidRPr="00084EBA"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7D4B0B" w:rsidRPr="00365360" w:rsidRDefault="007D4B0B"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D15E9C">
            <w:pPr>
              <w:keepNext/>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Alone</w:t>
            </w:r>
          </w:p>
        </w:tc>
        <w:tc>
          <w:tcPr>
            <w:tcW w:w="576"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1869</w:t>
            </w:r>
          </w:p>
        </w:tc>
        <w:tc>
          <w:tcPr>
            <w:tcW w:w="567"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50.4</w:t>
            </w:r>
          </w:p>
        </w:tc>
        <w:tc>
          <w:tcPr>
            <w:tcW w:w="1134" w:type="dxa"/>
            <w:gridSpan w:val="2"/>
            <w:tcBorders>
              <w:top w:val="nil"/>
              <w:left w:val="nil"/>
              <w:bottom w:val="nil"/>
              <w:right w:val="single" w:sz="4" w:space="0" w:color="auto"/>
            </w:tcBorders>
            <w:noWrap/>
          </w:tcPr>
          <w:p w:rsidR="002049FE" w:rsidRPr="00AD78D2"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AD78D2">
              <w:rPr>
                <w:rFonts w:ascii="Times New Roman" w:eastAsiaTheme="minorEastAsia" w:hAnsi="Times New Roman" w:cs="Times New Roman"/>
                <w:sz w:val="18"/>
                <w:szCs w:val="18"/>
                <w:lang w:eastAsia="en-US"/>
              </w:rPr>
              <w:t>48.5</w:t>
            </w:r>
            <w:r w:rsidR="002049FE">
              <w:rPr>
                <w:rFonts w:ascii="Times New Roman" w:eastAsiaTheme="minorEastAsia" w:hAnsi="Times New Roman" w:cs="Times New Roman"/>
                <w:sz w:val="18"/>
                <w:szCs w:val="18"/>
                <w:lang w:eastAsia="en-US"/>
              </w:rPr>
              <w:t xml:space="preserve"> - </w:t>
            </w:r>
            <w:r w:rsidR="002049FE" w:rsidRPr="00AD78D2">
              <w:rPr>
                <w:rFonts w:ascii="Times New Roman" w:eastAsiaTheme="minorEastAsia" w:hAnsi="Times New Roman" w:cs="Times New Roman"/>
                <w:sz w:val="18"/>
                <w:szCs w:val="18"/>
                <w:lang w:eastAsia="en-US"/>
              </w:rPr>
              <w:t>52.4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1070</w:t>
            </w:r>
          </w:p>
        </w:tc>
        <w:tc>
          <w:tcPr>
            <w:tcW w:w="567" w:type="dxa"/>
            <w:tcBorders>
              <w:top w:val="nil"/>
              <w:left w:val="nil"/>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51.2</w:t>
            </w:r>
          </w:p>
        </w:tc>
        <w:tc>
          <w:tcPr>
            <w:tcW w:w="1174" w:type="dxa"/>
            <w:gridSpan w:val="2"/>
            <w:tcBorders>
              <w:top w:val="nil"/>
              <w:left w:val="nil"/>
              <w:bottom w:val="nil"/>
              <w:right w:val="nil"/>
            </w:tcBorders>
            <w:shd w:val="clear" w:color="auto" w:fill="FFFFFF" w:themeFill="background1"/>
            <w:noWrap/>
          </w:tcPr>
          <w:p w:rsidR="002049FE" w:rsidRPr="00BA54F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A54F7">
              <w:rPr>
                <w:rFonts w:ascii="Times New Roman" w:eastAsiaTheme="minorEastAsia" w:hAnsi="Times New Roman" w:cs="Times New Roman"/>
                <w:sz w:val="18"/>
                <w:szCs w:val="18"/>
                <w:lang w:eastAsia="en-US"/>
              </w:rPr>
              <w:t>48.6</w:t>
            </w:r>
            <w:r w:rsidR="002049FE">
              <w:rPr>
                <w:rFonts w:ascii="Times New Roman" w:eastAsiaTheme="minorEastAsia" w:hAnsi="Times New Roman" w:cs="Times New Roman"/>
                <w:sz w:val="18"/>
                <w:szCs w:val="18"/>
                <w:lang w:eastAsia="en-US"/>
              </w:rPr>
              <w:t xml:space="preserve"> - </w:t>
            </w:r>
            <w:r w:rsidR="002049FE" w:rsidRPr="00BA54F7">
              <w:rPr>
                <w:rFonts w:ascii="Times New Roman" w:eastAsiaTheme="minorEastAsia" w:hAnsi="Times New Roman" w:cs="Times New Roman"/>
                <w:sz w:val="18"/>
                <w:szCs w:val="18"/>
                <w:lang w:eastAsia="en-US"/>
              </w:rPr>
              <w:t>53.8</w:t>
            </w:r>
            <w:r>
              <w:rPr>
                <w:rFonts w:ascii="Times New Roman" w:eastAsiaTheme="minorEastAsia" w:hAnsi="Times New Roman" w:cs="Times New Roman"/>
                <w:sz w:val="18"/>
                <w:szCs w:val="18"/>
                <w:lang w:eastAsia="en-US"/>
              </w:rPr>
              <w:t>)</w:t>
            </w:r>
          </w:p>
        </w:tc>
      </w:tr>
      <w:tr w:rsidR="002049FE" w:rsidRPr="006305B8"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D15E9C">
            <w:pPr>
              <w:keepNext/>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With one person</w:t>
            </w:r>
          </w:p>
        </w:tc>
        <w:tc>
          <w:tcPr>
            <w:tcW w:w="576"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865</w:t>
            </w:r>
          </w:p>
        </w:tc>
        <w:tc>
          <w:tcPr>
            <w:tcW w:w="567"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23.3</w:t>
            </w:r>
          </w:p>
        </w:tc>
        <w:tc>
          <w:tcPr>
            <w:tcW w:w="1134" w:type="dxa"/>
            <w:gridSpan w:val="2"/>
            <w:tcBorders>
              <w:top w:val="nil"/>
              <w:left w:val="nil"/>
              <w:bottom w:val="nil"/>
              <w:right w:val="single" w:sz="4" w:space="0" w:color="auto"/>
            </w:tcBorders>
            <w:noWrap/>
          </w:tcPr>
          <w:p w:rsidR="002049FE" w:rsidRPr="00AD78D2"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AD78D2">
              <w:rPr>
                <w:rFonts w:ascii="Times New Roman" w:eastAsiaTheme="minorEastAsia" w:hAnsi="Times New Roman" w:cs="Times New Roman"/>
                <w:sz w:val="18"/>
                <w:szCs w:val="18"/>
                <w:lang w:eastAsia="en-US"/>
              </w:rPr>
              <w:t>21.7</w:t>
            </w:r>
            <w:r w:rsidR="002049FE">
              <w:rPr>
                <w:rFonts w:ascii="Times New Roman" w:eastAsiaTheme="minorEastAsia" w:hAnsi="Times New Roman" w:cs="Times New Roman"/>
                <w:sz w:val="18"/>
                <w:szCs w:val="18"/>
                <w:lang w:eastAsia="en-US"/>
              </w:rPr>
              <w:t xml:space="preserve"> - </w:t>
            </w:r>
            <w:r w:rsidR="002049FE" w:rsidRPr="00AD78D2">
              <w:rPr>
                <w:rFonts w:ascii="Times New Roman" w:eastAsiaTheme="minorEastAsia" w:hAnsi="Times New Roman" w:cs="Times New Roman"/>
                <w:sz w:val="18"/>
                <w:szCs w:val="18"/>
                <w:lang w:eastAsia="en-US"/>
              </w:rPr>
              <w:t>25.0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434</w:t>
            </w:r>
          </w:p>
        </w:tc>
        <w:tc>
          <w:tcPr>
            <w:tcW w:w="567" w:type="dxa"/>
            <w:tcBorders>
              <w:top w:val="nil"/>
              <w:left w:val="nil"/>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20.8</w:t>
            </w:r>
          </w:p>
        </w:tc>
        <w:tc>
          <w:tcPr>
            <w:tcW w:w="1174" w:type="dxa"/>
            <w:gridSpan w:val="2"/>
            <w:tcBorders>
              <w:top w:val="nil"/>
              <w:left w:val="nil"/>
              <w:bottom w:val="nil"/>
              <w:right w:val="nil"/>
            </w:tcBorders>
            <w:shd w:val="clear" w:color="auto" w:fill="FFFFFF" w:themeFill="background1"/>
            <w:noWrap/>
          </w:tcPr>
          <w:p w:rsidR="002049FE" w:rsidRPr="00BA54F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A54F7">
              <w:rPr>
                <w:rFonts w:ascii="Times New Roman" w:eastAsiaTheme="minorEastAsia" w:hAnsi="Times New Roman" w:cs="Times New Roman"/>
                <w:sz w:val="18"/>
                <w:szCs w:val="18"/>
                <w:lang w:eastAsia="en-US"/>
              </w:rPr>
              <w:t>18.7</w:t>
            </w:r>
            <w:r w:rsidR="002049FE">
              <w:rPr>
                <w:rFonts w:ascii="Times New Roman" w:eastAsiaTheme="minorEastAsia" w:hAnsi="Times New Roman" w:cs="Times New Roman"/>
                <w:sz w:val="18"/>
                <w:szCs w:val="18"/>
                <w:lang w:eastAsia="en-US"/>
              </w:rPr>
              <w:t xml:space="preserve"> - </w:t>
            </w:r>
            <w:r w:rsidR="002049FE" w:rsidRPr="00BA54F7">
              <w:rPr>
                <w:rFonts w:ascii="Times New Roman" w:eastAsiaTheme="minorEastAsia" w:hAnsi="Times New Roman" w:cs="Times New Roman"/>
                <w:sz w:val="18"/>
                <w:szCs w:val="18"/>
                <w:lang w:eastAsia="en-US"/>
              </w:rPr>
              <w:t>22.9</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With several people/a group</w:t>
            </w:r>
          </w:p>
        </w:tc>
        <w:tc>
          <w:tcPr>
            <w:tcW w:w="576"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972</w:t>
            </w:r>
          </w:p>
        </w:tc>
        <w:tc>
          <w:tcPr>
            <w:tcW w:w="567" w:type="dxa"/>
            <w:tcBorders>
              <w:top w:val="nil"/>
              <w:left w:val="nil"/>
              <w:bottom w:val="nil"/>
              <w:right w:val="nil"/>
            </w:tcBorders>
            <w:noWrap/>
          </w:tcPr>
          <w:p w:rsidR="002049FE" w:rsidRPr="00AD78D2" w:rsidRDefault="002049F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26.2</w:t>
            </w:r>
          </w:p>
        </w:tc>
        <w:tc>
          <w:tcPr>
            <w:tcW w:w="1134" w:type="dxa"/>
            <w:gridSpan w:val="2"/>
            <w:tcBorders>
              <w:top w:val="nil"/>
              <w:left w:val="nil"/>
              <w:bottom w:val="nil"/>
              <w:right w:val="single" w:sz="4" w:space="0" w:color="auto"/>
            </w:tcBorders>
            <w:noWrap/>
          </w:tcPr>
          <w:p w:rsidR="002049FE" w:rsidRPr="00AD78D2"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AD78D2">
              <w:rPr>
                <w:rFonts w:ascii="Times New Roman" w:eastAsiaTheme="minorEastAsia" w:hAnsi="Times New Roman" w:cs="Times New Roman"/>
                <w:sz w:val="18"/>
                <w:szCs w:val="18"/>
                <w:lang w:eastAsia="en-US"/>
              </w:rPr>
              <w:t>24.5</w:t>
            </w:r>
            <w:r w:rsidR="002049FE">
              <w:rPr>
                <w:rFonts w:ascii="Times New Roman" w:eastAsiaTheme="minorEastAsia" w:hAnsi="Times New Roman" w:cs="Times New Roman"/>
                <w:sz w:val="18"/>
                <w:szCs w:val="18"/>
                <w:lang w:eastAsia="en-US"/>
              </w:rPr>
              <w:t xml:space="preserve"> - </w:t>
            </w:r>
            <w:r w:rsidR="002049FE" w:rsidRPr="00AD78D2">
              <w:rPr>
                <w:rFonts w:ascii="Times New Roman" w:eastAsiaTheme="minorEastAsia" w:hAnsi="Times New Roman" w:cs="Times New Roman"/>
                <w:sz w:val="18"/>
                <w:szCs w:val="18"/>
                <w:lang w:eastAsia="en-US"/>
              </w:rPr>
              <w:t>28.0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586</w:t>
            </w:r>
          </w:p>
        </w:tc>
        <w:tc>
          <w:tcPr>
            <w:tcW w:w="567" w:type="dxa"/>
            <w:tcBorders>
              <w:top w:val="nil"/>
              <w:left w:val="nil"/>
              <w:bottom w:val="nil"/>
              <w:right w:val="nil"/>
            </w:tcBorders>
            <w:noWrap/>
          </w:tcPr>
          <w:p w:rsidR="002049FE" w:rsidRPr="00BA54F7" w:rsidRDefault="002049FE" w:rsidP="00BA54F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BA54F7">
              <w:rPr>
                <w:rFonts w:ascii="Times New Roman" w:eastAsiaTheme="minorEastAsia" w:hAnsi="Times New Roman" w:cs="Times New Roman"/>
                <w:sz w:val="18"/>
                <w:szCs w:val="18"/>
                <w:lang w:eastAsia="en-US"/>
              </w:rPr>
              <w:t>28.0</w:t>
            </w:r>
          </w:p>
        </w:tc>
        <w:tc>
          <w:tcPr>
            <w:tcW w:w="1174" w:type="dxa"/>
            <w:gridSpan w:val="2"/>
            <w:tcBorders>
              <w:top w:val="nil"/>
              <w:left w:val="nil"/>
              <w:bottom w:val="nil"/>
              <w:right w:val="nil"/>
            </w:tcBorders>
            <w:shd w:val="clear" w:color="auto" w:fill="FFFFFF" w:themeFill="background1"/>
            <w:noWrap/>
          </w:tcPr>
          <w:p w:rsidR="002049FE" w:rsidRPr="00BA54F7"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sidRPr="00BA54F7">
              <w:rPr>
                <w:rFonts w:ascii="Times New Roman" w:eastAsiaTheme="minorEastAsia" w:hAnsi="Times New Roman" w:cs="Times New Roman"/>
                <w:sz w:val="18"/>
                <w:szCs w:val="18"/>
                <w:lang w:eastAsia="en-US"/>
              </w:rPr>
              <w:t>25.6</w:t>
            </w:r>
            <w:r w:rsidR="002049FE">
              <w:rPr>
                <w:rFonts w:ascii="Times New Roman" w:eastAsiaTheme="minorEastAsia" w:hAnsi="Times New Roman" w:cs="Times New Roman"/>
                <w:sz w:val="18"/>
                <w:szCs w:val="18"/>
                <w:lang w:eastAsia="en-US"/>
              </w:rPr>
              <w:t xml:space="preserve"> - </w:t>
            </w:r>
            <w:r w:rsidR="002049FE" w:rsidRPr="00BA54F7">
              <w:rPr>
                <w:rFonts w:ascii="Times New Roman" w:eastAsiaTheme="minorEastAsia" w:hAnsi="Times New Roman" w:cs="Times New Roman"/>
                <w:sz w:val="18"/>
                <w:szCs w:val="18"/>
                <w:lang w:eastAsia="en-US"/>
              </w:rPr>
              <w:t>30.4</w:t>
            </w:r>
            <w:r>
              <w:rPr>
                <w:rFonts w:ascii="Times New Roman" w:eastAsiaTheme="minorEastAsia" w:hAnsi="Times New Roman" w:cs="Times New Roman"/>
                <w:sz w:val="18"/>
                <w:szCs w:val="18"/>
                <w:lang w:eastAsia="en-US"/>
              </w:rPr>
              <w:t>)</w:t>
            </w: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nil"/>
              <w:right w:val="nil"/>
            </w:tcBorders>
          </w:tcPr>
          <w:p w:rsidR="002049FE" w:rsidRPr="00D15E9C" w:rsidRDefault="002049FE"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Missing</w:t>
            </w:r>
          </w:p>
        </w:tc>
        <w:tc>
          <w:tcPr>
            <w:tcW w:w="576" w:type="dxa"/>
            <w:tcBorders>
              <w:top w:val="nil"/>
              <w:left w:val="nil"/>
              <w:bottom w:val="nil"/>
              <w:right w:val="nil"/>
            </w:tcBorders>
            <w:noWrap/>
          </w:tcPr>
          <w:p w:rsidR="002049FE" w:rsidRPr="00D15E9C" w:rsidRDefault="002049FE"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2580</w:t>
            </w:r>
          </w:p>
        </w:tc>
        <w:tc>
          <w:tcPr>
            <w:tcW w:w="567" w:type="dxa"/>
            <w:tcBorders>
              <w:top w:val="nil"/>
              <w:left w:val="nil"/>
              <w:bottom w:val="nil"/>
              <w:right w:val="nil"/>
            </w:tcBorders>
            <w:noWrap/>
          </w:tcPr>
          <w:p w:rsidR="002049FE" w:rsidRPr="00D15E9C" w:rsidRDefault="002049FE"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34" w:type="dxa"/>
            <w:gridSpan w:val="2"/>
            <w:tcBorders>
              <w:top w:val="nil"/>
              <w:left w:val="nil"/>
              <w:bottom w:val="nil"/>
              <w:right w:val="single" w:sz="4" w:space="0" w:color="auto"/>
            </w:tcBorders>
            <w:noWrap/>
          </w:tcPr>
          <w:p w:rsidR="002049FE" w:rsidRPr="00D15E9C" w:rsidRDefault="002049FE"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2049FE" w:rsidRPr="00C130D8"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1624</w:t>
            </w:r>
          </w:p>
        </w:tc>
        <w:tc>
          <w:tcPr>
            <w:tcW w:w="567" w:type="dxa"/>
            <w:tcBorders>
              <w:top w:val="nil"/>
              <w:left w:val="nil"/>
              <w:bottom w:val="nil"/>
              <w:right w:val="nil"/>
            </w:tcBorders>
            <w:noWrap/>
          </w:tcPr>
          <w:p w:rsidR="002049FE" w:rsidRPr="00C130D8"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174" w:type="dxa"/>
            <w:gridSpan w:val="2"/>
            <w:tcBorders>
              <w:top w:val="nil"/>
              <w:left w:val="nil"/>
              <w:bottom w:val="nil"/>
              <w:right w:val="nil"/>
            </w:tcBorders>
            <w:shd w:val="clear" w:color="auto" w:fill="FFFFFF" w:themeFill="background1"/>
            <w:noWrap/>
          </w:tcPr>
          <w:p w:rsidR="002049FE" w:rsidRPr="00C130D8" w:rsidRDefault="002049FE"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r>
      <w:tr w:rsidR="00BA54F7" w:rsidRPr="00365360" w:rsidTr="00F959A8">
        <w:tc>
          <w:tcPr>
            <w:cnfStyle w:val="001000000000" w:firstRow="0" w:lastRow="0" w:firstColumn="1" w:lastColumn="0" w:oddVBand="0" w:evenVBand="0" w:oddHBand="0" w:evenHBand="0" w:firstRowFirstColumn="0" w:firstRowLastColumn="0" w:lastRowFirstColumn="0" w:lastRowLastColumn="0"/>
            <w:tcW w:w="4155" w:type="dxa"/>
            <w:gridSpan w:val="2"/>
            <w:tcBorders>
              <w:top w:val="nil"/>
              <w:left w:val="nil"/>
              <w:bottom w:val="nil"/>
              <w:right w:val="nil"/>
            </w:tcBorders>
          </w:tcPr>
          <w:p w:rsidR="00AD78D2" w:rsidRPr="00D15E9C" w:rsidRDefault="00AD78D2" w:rsidP="00AD78D2">
            <w:pPr>
              <w:spacing w:before="20" w:after="2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Know people with a gambling problem</w:t>
            </w:r>
          </w:p>
        </w:tc>
        <w:tc>
          <w:tcPr>
            <w:tcW w:w="567" w:type="dxa"/>
            <w:tcBorders>
              <w:top w:val="nil"/>
              <w:left w:val="nil"/>
              <w:bottom w:val="nil"/>
              <w:right w:val="nil"/>
            </w:tcBorders>
            <w:noWrap/>
          </w:tcPr>
          <w:p w:rsidR="00AD78D2" w:rsidRPr="00D15E9C" w:rsidRDefault="00AD78D2"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AD78D2" w:rsidRPr="00D15E9C" w:rsidRDefault="00AD78D2"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AD78D2" w:rsidRPr="00D15E9C" w:rsidRDefault="00AD78D2"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tcPr>
          <w:p w:rsidR="00AD78D2" w:rsidRPr="00C130D8" w:rsidRDefault="00AD78D2"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AD78D2" w:rsidRPr="00C130D8" w:rsidRDefault="00AD78D2"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tcPr>
          <w:p w:rsidR="00AD78D2" w:rsidRPr="00C130D8" w:rsidRDefault="00AD78D2"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AD78D2" w:rsidRPr="00C130D8" w:rsidRDefault="00AD78D2"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r>
      <w:tr w:rsidR="002049FE" w:rsidRPr="00365360" w:rsidTr="00F959A8">
        <w:tc>
          <w:tcPr>
            <w:cnfStyle w:val="001000000000" w:firstRow="0" w:lastRow="0" w:firstColumn="1" w:lastColumn="0" w:oddVBand="0" w:evenVBand="0" w:oddHBand="0" w:evenHBand="0" w:firstRowFirstColumn="0" w:firstRowLastColumn="0" w:lastRowFirstColumn="0" w:lastRowLastColumn="0"/>
            <w:tcW w:w="3579" w:type="dxa"/>
            <w:tcBorders>
              <w:top w:val="nil"/>
              <w:left w:val="nil"/>
              <w:bottom w:val="single" w:sz="4" w:space="0" w:color="auto"/>
              <w:right w:val="nil"/>
            </w:tcBorders>
          </w:tcPr>
          <w:p w:rsidR="002049FE" w:rsidRPr="00D15E9C" w:rsidRDefault="002049FE" w:rsidP="00D15E9C">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Yes</w:t>
            </w:r>
          </w:p>
        </w:tc>
        <w:tc>
          <w:tcPr>
            <w:tcW w:w="576" w:type="dxa"/>
            <w:tcBorders>
              <w:top w:val="nil"/>
              <w:left w:val="nil"/>
              <w:bottom w:val="single" w:sz="4" w:space="0" w:color="auto"/>
              <w:right w:val="nil"/>
            </w:tcBorders>
            <w:noWrap/>
          </w:tcPr>
          <w:p w:rsidR="002049FE" w:rsidRPr="00D15E9C" w:rsidRDefault="002049FE"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2014</w:t>
            </w:r>
          </w:p>
        </w:tc>
        <w:tc>
          <w:tcPr>
            <w:tcW w:w="567" w:type="dxa"/>
            <w:tcBorders>
              <w:top w:val="nil"/>
              <w:left w:val="nil"/>
              <w:bottom w:val="single" w:sz="4" w:space="0" w:color="auto"/>
              <w:right w:val="nil"/>
            </w:tcBorders>
            <w:noWrap/>
          </w:tcPr>
          <w:p w:rsidR="002049FE" w:rsidRPr="00D15E9C" w:rsidRDefault="002049FE" w:rsidP="00D15E9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32.2</w:t>
            </w:r>
          </w:p>
        </w:tc>
        <w:tc>
          <w:tcPr>
            <w:tcW w:w="1134" w:type="dxa"/>
            <w:gridSpan w:val="2"/>
            <w:tcBorders>
              <w:top w:val="nil"/>
              <w:left w:val="nil"/>
              <w:bottom w:val="single" w:sz="4" w:space="0" w:color="auto"/>
              <w:right w:val="single" w:sz="4" w:space="0" w:color="auto"/>
            </w:tcBorders>
            <w:noWrap/>
          </w:tcPr>
          <w:p w:rsidR="002049FE" w:rsidRPr="00D15E9C"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Pr>
                <w:rFonts w:ascii="Times New Roman" w:eastAsiaTheme="minorEastAsia" w:hAnsi="Times New Roman" w:cs="Times New Roman"/>
                <w:sz w:val="18"/>
                <w:szCs w:val="18"/>
                <w:lang w:eastAsia="en-US"/>
              </w:rPr>
              <w:t>30.9 - 33.6</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single" w:sz="4" w:space="0" w:color="auto"/>
              <w:right w:val="nil"/>
            </w:tcBorders>
            <w:noWrap/>
          </w:tcPr>
          <w:p w:rsidR="002049FE" w:rsidRPr="00C130D8"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1150</w:t>
            </w:r>
          </w:p>
        </w:tc>
        <w:tc>
          <w:tcPr>
            <w:tcW w:w="567" w:type="dxa"/>
            <w:tcBorders>
              <w:top w:val="nil"/>
              <w:left w:val="nil"/>
              <w:bottom w:val="single" w:sz="4" w:space="0" w:color="auto"/>
              <w:right w:val="nil"/>
            </w:tcBorders>
            <w:noWrap/>
          </w:tcPr>
          <w:p w:rsidR="002049FE" w:rsidRPr="00C130D8" w:rsidRDefault="002049FE" w:rsidP="007D4B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30.7</w:t>
            </w:r>
          </w:p>
        </w:tc>
        <w:tc>
          <w:tcPr>
            <w:tcW w:w="1174" w:type="dxa"/>
            <w:gridSpan w:val="2"/>
            <w:tcBorders>
              <w:top w:val="nil"/>
              <w:left w:val="nil"/>
              <w:bottom w:val="single" w:sz="4" w:space="0" w:color="auto"/>
              <w:right w:val="nil"/>
            </w:tcBorders>
            <w:shd w:val="clear" w:color="auto" w:fill="FFFFFF" w:themeFill="background1"/>
            <w:noWrap/>
          </w:tcPr>
          <w:p w:rsidR="002049FE" w:rsidRPr="00C130D8" w:rsidRDefault="00A63035" w:rsidP="002049F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2049FE">
              <w:rPr>
                <w:rFonts w:ascii="Times New Roman" w:eastAsiaTheme="minorEastAsia" w:hAnsi="Times New Roman" w:cs="Times New Roman"/>
                <w:sz w:val="18"/>
                <w:szCs w:val="18"/>
                <w:lang w:eastAsia="en-US"/>
              </w:rPr>
              <w:t>29.0 - 32.5</w:t>
            </w:r>
            <w:r>
              <w:rPr>
                <w:rFonts w:ascii="Times New Roman" w:eastAsiaTheme="minorEastAsia" w:hAnsi="Times New Roman" w:cs="Times New Roman"/>
                <w:sz w:val="18"/>
                <w:szCs w:val="18"/>
                <w:lang w:eastAsia="en-US"/>
              </w:rPr>
              <w:t>)</w:t>
            </w:r>
          </w:p>
        </w:tc>
      </w:tr>
    </w:tbl>
    <w:p w:rsidR="0034241E" w:rsidRPr="0034241E" w:rsidRDefault="0034241E" w:rsidP="0034241E">
      <w:pPr>
        <w:rPr>
          <w:sz w:val="18"/>
        </w:rPr>
      </w:pPr>
      <w:r>
        <w:rPr>
          <w:sz w:val="18"/>
        </w:rPr>
        <w:t>Data</w:t>
      </w:r>
      <w:r w:rsidRPr="0034241E">
        <w:rPr>
          <w:sz w:val="18"/>
        </w:rPr>
        <w:t xml:space="preserve"> weighted for 2013 Census data (both Waves) and attrition (Wave 2)</w:t>
      </w:r>
    </w:p>
    <w:p w:rsidR="007D4B0B" w:rsidRDefault="007D4B0B" w:rsidP="007D4B0B">
      <w:pPr>
        <w:rPr>
          <w:sz w:val="18"/>
        </w:rPr>
      </w:pPr>
      <w:r w:rsidRPr="00286328">
        <w:rPr>
          <w:sz w:val="18"/>
        </w:rPr>
        <w:t>Baseline N</w:t>
      </w:r>
      <w:r>
        <w:rPr>
          <w:sz w:val="18"/>
        </w:rPr>
        <w:t xml:space="preserve"> </w:t>
      </w:r>
      <w:r w:rsidRPr="00286328">
        <w:rPr>
          <w:sz w:val="18"/>
        </w:rPr>
        <w:t>= 6,251</w:t>
      </w:r>
      <w:r w:rsidR="000F3D0B">
        <w:rPr>
          <w:sz w:val="18"/>
        </w:rPr>
        <w:t>; Wave 2 N = 3,745</w:t>
      </w:r>
    </w:p>
    <w:p w:rsidR="007D4B0B" w:rsidRDefault="007D4B0B" w:rsidP="00370CEE"/>
    <w:p w:rsidR="007D4B0B" w:rsidRDefault="007D4B0B" w:rsidP="00370CEE"/>
    <w:p w:rsidR="004A4D8F" w:rsidRDefault="004A4D8F">
      <w:r>
        <w:br w:type="page"/>
      </w:r>
    </w:p>
    <w:p w:rsidR="007D4B0B" w:rsidRPr="000F3D0B" w:rsidRDefault="004A4D8F" w:rsidP="000F3D0B">
      <w:pPr>
        <w:pStyle w:val="Heading3b"/>
        <w:numPr>
          <w:ilvl w:val="0"/>
          <w:numId w:val="0"/>
        </w:numPr>
        <w:spacing w:before="0" w:after="0"/>
        <w:jc w:val="both"/>
        <w:rPr>
          <w:rFonts w:ascii="Times New Roman" w:hAnsi="Times New Roman" w:cs="Times New Roman"/>
          <w:b/>
          <w:i w:val="0"/>
        </w:rPr>
      </w:pPr>
      <w:bookmarkStart w:id="272" w:name="_Ref404162847"/>
      <w:bookmarkStart w:id="273" w:name="_Toc420392630"/>
      <w:r w:rsidRPr="000F3D0B">
        <w:rPr>
          <w:rFonts w:ascii="Times New Roman" w:hAnsi="Times New Roman" w:cs="Times New Roman"/>
          <w:b/>
          <w:i w:val="0"/>
        </w:rPr>
        <w:lastRenderedPageBreak/>
        <w:t xml:space="preserve">Appendix </w:t>
      </w:r>
      <w:r w:rsidRPr="000F3D0B">
        <w:rPr>
          <w:rFonts w:ascii="Times New Roman" w:hAnsi="Times New Roman" w:cs="Times New Roman"/>
          <w:b/>
          <w:i w:val="0"/>
        </w:rPr>
        <w:fldChar w:fldCharType="begin"/>
      </w:r>
      <w:r w:rsidRPr="000F3D0B">
        <w:rPr>
          <w:rFonts w:ascii="Times New Roman" w:hAnsi="Times New Roman" w:cs="Times New Roman"/>
          <w:b/>
          <w:i w:val="0"/>
        </w:rPr>
        <w:instrText xml:space="preserve"> SEQ Appendix \* ARABIC </w:instrText>
      </w:r>
      <w:r w:rsidRPr="000F3D0B">
        <w:rPr>
          <w:rFonts w:ascii="Times New Roman" w:hAnsi="Times New Roman" w:cs="Times New Roman"/>
          <w:b/>
          <w:i w:val="0"/>
        </w:rPr>
        <w:fldChar w:fldCharType="separate"/>
      </w:r>
      <w:r w:rsidR="00B2175B">
        <w:rPr>
          <w:rFonts w:ascii="Times New Roman" w:hAnsi="Times New Roman" w:cs="Times New Roman"/>
          <w:b/>
          <w:i w:val="0"/>
          <w:noProof/>
        </w:rPr>
        <w:t>7</w:t>
      </w:r>
      <w:r w:rsidRPr="000F3D0B">
        <w:rPr>
          <w:rFonts w:ascii="Times New Roman" w:hAnsi="Times New Roman" w:cs="Times New Roman"/>
          <w:b/>
          <w:i w:val="0"/>
        </w:rPr>
        <w:fldChar w:fldCharType="end"/>
      </w:r>
      <w:bookmarkEnd w:id="272"/>
      <w:r w:rsidRPr="000F3D0B">
        <w:rPr>
          <w:rFonts w:ascii="Times New Roman" w:hAnsi="Times New Roman" w:cs="Times New Roman"/>
          <w:b/>
          <w:i w:val="0"/>
        </w:rPr>
        <w:t xml:space="preserve">: Prevalence and 95% confidence intervals for time spent playing EGMs in an average day </w:t>
      </w:r>
      <w:r w:rsidR="004A5099">
        <w:rPr>
          <w:rFonts w:ascii="Times New Roman" w:hAnsi="Times New Roman" w:cs="Times New Roman"/>
          <w:b/>
          <w:i w:val="0"/>
        </w:rPr>
        <w:t>in Wave 1</w:t>
      </w:r>
      <w:r w:rsidRPr="000F3D0B">
        <w:rPr>
          <w:rFonts w:ascii="Times New Roman" w:hAnsi="Times New Roman" w:cs="Times New Roman"/>
          <w:b/>
          <w:i w:val="0"/>
        </w:rPr>
        <w:t xml:space="preserve"> and Wave 2</w:t>
      </w:r>
      <w:bookmarkEnd w:id="273"/>
    </w:p>
    <w:p w:rsidR="007D4B0B" w:rsidRPr="004A4D8F" w:rsidRDefault="007D4B0B" w:rsidP="00370CEE"/>
    <w:tbl>
      <w:tblPr>
        <w:tblStyle w:val="LightShading4"/>
        <w:tblW w:w="0" w:type="auto"/>
        <w:tblLook w:val="06A0" w:firstRow="1" w:lastRow="0" w:firstColumn="1" w:lastColumn="0" w:noHBand="1" w:noVBand="1"/>
      </w:tblPr>
      <w:tblGrid>
        <w:gridCol w:w="3588"/>
        <w:gridCol w:w="567"/>
        <w:gridCol w:w="567"/>
        <w:gridCol w:w="283"/>
        <w:gridCol w:w="851"/>
        <w:gridCol w:w="709"/>
        <w:gridCol w:w="567"/>
        <w:gridCol w:w="607"/>
        <w:gridCol w:w="567"/>
      </w:tblGrid>
      <w:tr w:rsidR="00110BEC" w:rsidRPr="00286328"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88" w:type="dxa"/>
            <w:vMerge w:val="restart"/>
            <w:tcBorders>
              <w:bottom w:val="single" w:sz="4" w:space="0" w:color="auto"/>
            </w:tcBorders>
            <w:vAlign w:val="bottom"/>
            <w:hideMark/>
          </w:tcPr>
          <w:p w:rsidR="004A4D8F" w:rsidRPr="00365360" w:rsidRDefault="004A4D8F" w:rsidP="000F3D0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rPr>
              <w:t>Venue and time</w:t>
            </w:r>
          </w:p>
        </w:tc>
        <w:tc>
          <w:tcPr>
            <w:tcW w:w="2268" w:type="dxa"/>
            <w:gridSpan w:val="4"/>
            <w:tcBorders>
              <w:bottom w:val="single" w:sz="4" w:space="0" w:color="auto"/>
              <w:right w:val="single" w:sz="4" w:space="0" w:color="auto"/>
            </w:tcBorders>
            <w:noWrap/>
            <w:vAlign w:val="center"/>
            <w:hideMark/>
          </w:tcPr>
          <w:p w:rsidR="004A4D8F" w:rsidRPr="00365360" w:rsidRDefault="004A5099" w:rsidP="000F3D0B">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18"/>
                <w:szCs w:val="18"/>
                <w:lang w:eastAsia="en-US"/>
              </w:rPr>
            </w:pPr>
            <w:r>
              <w:rPr>
                <w:rFonts w:ascii="Times New Roman" w:eastAsiaTheme="minorEastAsia" w:hAnsi="Times New Roman" w:cs="Times New Roman"/>
                <w:sz w:val="18"/>
                <w:szCs w:val="18"/>
              </w:rPr>
              <w:t>Wave 1</w:t>
            </w:r>
          </w:p>
        </w:tc>
        <w:tc>
          <w:tcPr>
            <w:tcW w:w="2450" w:type="dxa"/>
            <w:gridSpan w:val="4"/>
            <w:tcBorders>
              <w:left w:val="single" w:sz="4" w:space="0" w:color="auto"/>
              <w:bottom w:val="single" w:sz="4" w:space="0" w:color="auto"/>
            </w:tcBorders>
            <w:vAlign w:val="center"/>
          </w:tcPr>
          <w:p w:rsidR="004A4D8F" w:rsidRPr="00286328" w:rsidRDefault="004A4D8F" w:rsidP="000F3D0B">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Wave 2</w:t>
            </w:r>
          </w:p>
        </w:tc>
      </w:tr>
      <w:tr w:rsidR="00110BEC"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88" w:type="dxa"/>
            <w:vMerge/>
            <w:tcBorders>
              <w:bottom w:val="single" w:sz="4" w:space="0" w:color="auto"/>
            </w:tcBorders>
            <w:vAlign w:val="center"/>
            <w:hideMark/>
          </w:tcPr>
          <w:p w:rsidR="004A4D8F" w:rsidRPr="00365360" w:rsidRDefault="004A4D8F" w:rsidP="000F3D0B">
            <w:pPr>
              <w:spacing w:before="20" w:after="20"/>
              <w:rPr>
                <w:rFonts w:ascii="Times New Roman" w:eastAsiaTheme="minorEastAsia" w:hAnsi="Times New Roman" w:cs="Times New Roman"/>
                <w:sz w:val="18"/>
                <w:szCs w:val="18"/>
                <w:lang w:eastAsia="en-US"/>
              </w:rPr>
            </w:pPr>
          </w:p>
        </w:tc>
        <w:tc>
          <w:tcPr>
            <w:tcW w:w="567" w:type="dxa"/>
            <w:tcBorders>
              <w:top w:val="single" w:sz="4" w:space="0" w:color="auto"/>
              <w:bottom w:val="single" w:sz="4" w:space="0" w:color="auto"/>
            </w:tcBorders>
            <w:noWrap/>
            <w:vAlign w:val="center"/>
            <w:hideMark/>
          </w:tcPr>
          <w:p w:rsidR="004A4D8F" w:rsidRPr="00365360" w:rsidRDefault="004A4D8F"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n</w:t>
            </w:r>
          </w:p>
        </w:tc>
        <w:tc>
          <w:tcPr>
            <w:tcW w:w="567" w:type="dxa"/>
            <w:tcBorders>
              <w:top w:val="single" w:sz="4" w:space="0" w:color="auto"/>
              <w:bottom w:val="single" w:sz="4" w:space="0" w:color="auto"/>
            </w:tcBorders>
            <w:noWrap/>
            <w:vAlign w:val="center"/>
            <w:hideMark/>
          </w:tcPr>
          <w:p w:rsidR="004A4D8F" w:rsidRPr="00365360" w:rsidRDefault="004A4D8F"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w:t>
            </w:r>
          </w:p>
        </w:tc>
        <w:tc>
          <w:tcPr>
            <w:tcW w:w="1134" w:type="dxa"/>
            <w:gridSpan w:val="2"/>
            <w:tcBorders>
              <w:top w:val="single" w:sz="4" w:space="0" w:color="auto"/>
              <w:bottom w:val="single" w:sz="4" w:space="0" w:color="auto"/>
              <w:right w:val="single" w:sz="4" w:space="0" w:color="auto"/>
            </w:tcBorders>
            <w:noWrap/>
            <w:vAlign w:val="center"/>
          </w:tcPr>
          <w:p w:rsidR="004A4D8F" w:rsidRPr="00365360" w:rsidRDefault="00B9283E"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r w:rsidR="004A4D8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c>
          <w:tcPr>
            <w:tcW w:w="709" w:type="dxa"/>
            <w:tcBorders>
              <w:top w:val="single" w:sz="4" w:space="0" w:color="auto"/>
              <w:left w:val="single" w:sz="4" w:space="0" w:color="auto"/>
              <w:bottom w:val="single" w:sz="4" w:space="0" w:color="auto"/>
            </w:tcBorders>
            <w:noWrap/>
            <w:vAlign w:val="center"/>
          </w:tcPr>
          <w:p w:rsidR="004A4D8F" w:rsidRPr="00365360" w:rsidRDefault="004A4D8F"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n</w:t>
            </w:r>
          </w:p>
        </w:tc>
        <w:tc>
          <w:tcPr>
            <w:tcW w:w="567" w:type="dxa"/>
            <w:tcBorders>
              <w:top w:val="single" w:sz="4" w:space="0" w:color="auto"/>
              <w:bottom w:val="single" w:sz="4" w:space="0" w:color="auto"/>
            </w:tcBorders>
            <w:noWrap/>
            <w:vAlign w:val="center"/>
          </w:tcPr>
          <w:p w:rsidR="004A4D8F" w:rsidRPr="00365360" w:rsidRDefault="004A4D8F"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p>
        </w:tc>
        <w:tc>
          <w:tcPr>
            <w:tcW w:w="1174" w:type="dxa"/>
            <w:gridSpan w:val="2"/>
            <w:tcBorders>
              <w:top w:val="single" w:sz="4" w:space="0" w:color="auto"/>
              <w:bottom w:val="single" w:sz="4" w:space="0" w:color="auto"/>
            </w:tcBorders>
            <w:shd w:val="clear" w:color="auto" w:fill="FFFFFF" w:themeFill="background1"/>
            <w:noWrap/>
            <w:vAlign w:val="center"/>
          </w:tcPr>
          <w:p w:rsidR="004A4D8F" w:rsidRPr="00365360" w:rsidRDefault="00B9283E" w:rsidP="00B9283E">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Pr>
                <w:rFonts w:ascii="Times New Roman" w:eastAsiaTheme="minorEastAsia" w:hAnsi="Times New Roman" w:cs="Times New Roman"/>
                <w:sz w:val="18"/>
                <w:szCs w:val="18"/>
                <w:lang w:eastAsia="en-US"/>
              </w:rPr>
              <w:t>(</w:t>
            </w:r>
            <w:r w:rsidR="004A4D8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r>
      <w:tr w:rsidR="00110BEC" w:rsidRPr="00365360" w:rsidTr="00F959A8">
        <w:tc>
          <w:tcPr>
            <w:cnfStyle w:val="001000000000" w:firstRow="0" w:lastRow="0" w:firstColumn="1" w:lastColumn="0" w:oddVBand="0" w:evenVBand="0" w:oddHBand="0" w:evenHBand="0" w:firstRowFirstColumn="0" w:firstRowLastColumn="0" w:lastRowFirstColumn="0" w:lastRowLastColumn="0"/>
            <w:tcW w:w="4722" w:type="dxa"/>
            <w:gridSpan w:val="3"/>
            <w:tcBorders>
              <w:top w:val="nil"/>
              <w:left w:val="nil"/>
              <w:bottom w:val="nil"/>
              <w:right w:val="nil"/>
            </w:tcBorders>
            <w:vAlign w:val="center"/>
          </w:tcPr>
          <w:p w:rsidR="004A4D8F" w:rsidRPr="00365360" w:rsidRDefault="004A4D8F" w:rsidP="004A4D8F">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NZ casino</w:t>
            </w:r>
          </w:p>
        </w:tc>
        <w:tc>
          <w:tcPr>
            <w:tcW w:w="283"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4A4D8F">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Up to 15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120</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23.4</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18.4</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28.4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43</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18.9</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12.2</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25.6</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4A4D8F">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16 - 30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118</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23.1</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18.1</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28.0</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54</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23.9</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16.5</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31.3</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5B3185" w:rsidRDefault="00B9283E" w:rsidP="004A4D8F">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31 - 60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113</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22.1</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17.7</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26.4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47</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20.7</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14.8</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26.5</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4A4D8F">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&gt; 60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161</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31.5</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26.7</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36.2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83</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36.5</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29.2</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43.8</w:t>
            </w:r>
            <w:r>
              <w:rPr>
                <w:rFonts w:ascii="Times New Roman" w:eastAsiaTheme="minorEastAsia" w:hAnsi="Times New Roman" w:cs="Times New Roman"/>
                <w:sz w:val="18"/>
                <w:szCs w:val="18"/>
                <w:lang w:eastAsia="en-US"/>
              </w:rPr>
              <w:t>)</w:t>
            </w:r>
          </w:p>
        </w:tc>
      </w:tr>
      <w:tr w:rsidR="00110BEC"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4A4D8F" w:rsidRPr="004A4D8F" w:rsidRDefault="004A4D8F" w:rsidP="004A4D8F">
            <w:pPr>
              <w:spacing w:before="20" w:after="20"/>
              <w:ind w:left="34"/>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Pub</w:t>
            </w:r>
          </w:p>
        </w:tc>
        <w:tc>
          <w:tcPr>
            <w:tcW w:w="567"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Up to 15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253</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35.5</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30.9</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40.1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119</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35.8</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29.2</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42.4</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16 - 30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209</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29.3</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25.0</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33.7</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97</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29.2</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23.0</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35.4</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5B3185"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31 - 60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148</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20.7</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17.2</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24.2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75</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22.6</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15.9</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29.2</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&gt; 60 minutes</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103</w:t>
            </w:r>
          </w:p>
        </w:tc>
        <w:tc>
          <w:tcPr>
            <w:tcW w:w="567" w:type="dxa"/>
            <w:tcBorders>
              <w:top w:val="nil"/>
              <w:left w:val="nil"/>
              <w:bottom w:val="nil"/>
              <w:right w:val="nil"/>
            </w:tcBorders>
            <w:noWrap/>
          </w:tcPr>
          <w:p w:rsidR="00B9283E" w:rsidRPr="004A4D8F" w:rsidRDefault="00B9283E" w:rsidP="004A4D8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4A4D8F">
              <w:rPr>
                <w:rFonts w:ascii="Times New Roman" w:eastAsiaTheme="minorEastAsia" w:hAnsi="Times New Roman" w:cs="Times New Roman"/>
                <w:sz w:val="18"/>
                <w:szCs w:val="18"/>
                <w:lang w:eastAsia="en-US"/>
              </w:rPr>
              <w:t>14.4</w:t>
            </w:r>
          </w:p>
        </w:tc>
        <w:tc>
          <w:tcPr>
            <w:tcW w:w="1134" w:type="dxa"/>
            <w:gridSpan w:val="2"/>
            <w:tcBorders>
              <w:top w:val="nil"/>
              <w:left w:val="nil"/>
              <w:bottom w:val="nil"/>
              <w:right w:val="single" w:sz="4" w:space="0" w:color="auto"/>
            </w:tcBorders>
            <w:noWrap/>
          </w:tcPr>
          <w:p w:rsidR="00B9283E" w:rsidRPr="004A4D8F"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4A4D8F">
              <w:rPr>
                <w:rFonts w:ascii="Times New Roman" w:eastAsiaTheme="minorEastAsia" w:hAnsi="Times New Roman" w:cs="Times New Roman"/>
                <w:sz w:val="18"/>
                <w:szCs w:val="18"/>
                <w:lang w:eastAsia="en-US"/>
              </w:rPr>
              <w:t>11.5</w:t>
            </w:r>
            <w:r>
              <w:rPr>
                <w:rFonts w:ascii="Times New Roman" w:eastAsiaTheme="minorEastAsia" w:hAnsi="Times New Roman" w:cs="Times New Roman"/>
                <w:sz w:val="18"/>
                <w:szCs w:val="18"/>
                <w:lang w:eastAsia="en-US"/>
              </w:rPr>
              <w:t xml:space="preserve"> - </w:t>
            </w:r>
            <w:r w:rsidRPr="004A4D8F">
              <w:rPr>
                <w:rFonts w:ascii="Times New Roman" w:eastAsiaTheme="minorEastAsia" w:hAnsi="Times New Roman" w:cs="Times New Roman"/>
                <w:sz w:val="18"/>
                <w:szCs w:val="18"/>
                <w:lang w:eastAsia="en-US"/>
              </w:rPr>
              <w:t>17.3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41</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12.4</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8.7</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16.2</w:t>
            </w:r>
            <w:r>
              <w:rPr>
                <w:rFonts w:ascii="Times New Roman" w:eastAsiaTheme="minorEastAsia" w:hAnsi="Times New Roman" w:cs="Times New Roman"/>
                <w:sz w:val="18"/>
                <w:szCs w:val="18"/>
                <w:lang w:eastAsia="en-US"/>
              </w:rPr>
              <w:t>)</w:t>
            </w:r>
          </w:p>
        </w:tc>
      </w:tr>
      <w:tr w:rsidR="00110BEC"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4A4D8F" w:rsidRPr="004A4D8F" w:rsidRDefault="004A4D8F" w:rsidP="000F3D0B">
            <w:pPr>
              <w:spacing w:before="20" w:after="20"/>
              <w:ind w:left="34"/>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Club</w:t>
            </w:r>
          </w:p>
        </w:tc>
        <w:tc>
          <w:tcPr>
            <w:tcW w:w="567"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83" w:type="dxa"/>
            <w:tcBorders>
              <w:top w:val="nil"/>
              <w:left w:val="nil"/>
              <w:bottom w:val="nil"/>
              <w:right w:val="nil"/>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851" w:type="dxa"/>
            <w:tcBorders>
              <w:top w:val="nil"/>
              <w:left w:val="nil"/>
              <w:bottom w:val="nil"/>
              <w:right w:val="single" w:sz="4" w:space="0" w:color="auto"/>
            </w:tcBorders>
            <w:noWrap/>
          </w:tcPr>
          <w:p w:rsidR="004A4D8F" w:rsidRPr="005B3185"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single" w:sz="4" w:space="0" w:color="auto"/>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07" w:type="dxa"/>
            <w:tcBorders>
              <w:top w:val="nil"/>
              <w:left w:val="nil"/>
              <w:bottom w:val="nil"/>
              <w:right w:val="nil"/>
            </w:tcBorders>
            <w:shd w:val="clear" w:color="auto" w:fill="FFFFFF" w:themeFill="background1"/>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567" w:type="dxa"/>
            <w:tcBorders>
              <w:top w:val="nil"/>
              <w:left w:val="nil"/>
              <w:bottom w:val="nil"/>
              <w:right w:val="nil"/>
            </w:tcBorders>
            <w:noWrap/>
            <w:vAlign w:val="center"/>
          </w:tcPr>
          <w:p w:rsidR="004A4D8F" w:rsidRPr="00365360" w:rsidRDefault="004A4D8F" w:rsidP="000F3D0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Up to 15 minutes</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88</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25.5</w:t>
            </w:r>
          </w:p>
        </w:tc>
        <w:tc>
          <w:tcPr>
            <w:tcW w:w="1134" w:type="dxa"/>
            <w:gridSpan w:val="2"/>
            <w:tcBorders>
              <w:top w:val="nil"/>
              <w:left w:val="nil"/>
              <w:bottom w:val="nil"/>
              <w:right w:val="single" w:sz="4" w:space="0" w:color="auto"/>
            </w:tcBorders>
            <w:noWrap/>
          </w:tcPr>
          <w:p w:rsidR="00B9283E" w:rsidRPr="00AD78D2"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AD78D2">
              <w:rPr>
                <w:rFonts w:ascii="Times New Roman" w:eastAsiaTheme="minorEastAsia" w:hAnsi="Times New Roman" w:cs="Times New Roman"/>
                <w:sz w:val="18"/>
                <w:szCs w:val="18"/>
                <w:lang w:eastAsia="en-US"/>
              </w:rPr>
              <w:t>19.7</w:t>
            </w:r>
            <w:r>
              <w:rPr>
                <w:rFonts w:ascii="Times New Roman" w:eastAsiaTheme="minorEastAsia" w:hAnsi="Times New Roman" w:cs="Times New Roman"/>
                <w:sz w:val="18"/>
                <w:szCs w:val="18"/>
                <w:lang w:eastAsia="en-US"/>
              </w:rPr>
              <w:t xml:space="preserve"> - </w:t>
            </w:r>
            <w:r w:rsidRPr="00AD78D2">
              <w:rPr>
                <w:rFonts w:ascii="Times New Roman" w:eastAsiaTheme="minorEastAsia" w:hAnsi="Times New Roman" w:cs="Times New Roman"/>
                <w:sz w:val="18"/>
                <w:szCs w:val="18"/>
                <w:lang w:eastAsia="en-US"/>
              </w:rPr>
              <w:t>31.2</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59</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38.1</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28.5</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47.7</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16 - 30 minutes</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125</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36.3</w:t>
            </w:r>
          </w:p>
        </w:tc>
        <w:tc>
          <w:tcPr>
            <w:tcW w:w="1134" w:type="dxa"/>
            <w:gridSpan w:val="2"/>
            <w:tcBorders>
              <w:top w:val="nil"/>
              <w:left w:val="nil"/>
              <w:bottom w:val="nil"/>
              <w:right w:val="single" w:sz="4" w:space="0" w:color="auto"/>
            </w:tcBorders>
            <w:noWrap/>
          </w:tcPr>
          <w:p w:rsidR="00B9283E" w:rsidRPr="00AD78D2"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AD78D2">
              <w:rPr>
                <w:rFonts w:ascii="Times New Roman" w:eastAsiaTheme="minorEastAsia" w:hAnsi="Times New Roman" w:cs="Times New Roman"/>
                <w:sz w:val="18"/>
                <w:szCs w:val="18"/>
                <w:lang w:eastAsia="en-US"/>
              </w:rPr>
              <w:t>30.2</w:t>
            </w:r>
            <w:r>
              <w:rPr>
                <w:rFonts w:ascii="Times New Roman" w:eastAsiaTheme="minorEastAsia" w:hAnsi="Times New Roman" w:cs="Times New Roman"/>
                <w:sz w:val="18"/>
                <w:szCs w:val="18"/>
                <w:lang w:eastAsia="en-US"/>
              </w:rPr>
              <w:t xml:space="preserve"> - </w:t>
            </w:r>
            <w:r w:rsidRPr="00AD78D2">
              <w:rPr>
                <w:rFonts w:ascii="Times New Roman" w:eastAsiaTheme="minorEastAsia" w:hAnsi="Times New Roman" w:cs="Times New Roman"/>
                <w:sz w:val="18"/>
                <w:szCs w:val="18"/>
                <w:lang w:eastAsia="en-US"/>
              </w:rPr>
              <w:t>42.4</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42</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27.4</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19.3</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35.6</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nil"/>
              <w:right w:val="nil"/>
            </w:tcBorders>
          </w:tcPr>
          <w:p w:rsidR="00B9283E" w:rsidRPr="005B3185"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31 - 60 minutes</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89</w:t>
            </w:r>
          </w:p>
        </w:tc>
        <w:tc>
          <w:tcPr>
            <w:tcW w:w="567" w:type="dxa"/>
            <w:tcBorders>
              <w:top w:val="nil"/>
              <w:left w:val="nil"/>
              <w:bottom w:val="nil"/>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25.7</w:t>
            </w:r>
          </w:p>
        </w:tc>
        <w:tc>
          <w:tcPr>
            <w:tcW w:w="1134" w:type="dxa"/>
            <w:gridSpan w:val="2"/>
            <w:tcBorders>
              <w:top w:val="nil"/>
              <w:left w:val="nil"/>
              <w:bottom w:val="nil"/>
              <w:right w:val="single" w:sz="4" w:space="0" w:color="auto"/>
            </w:tcBorders>
            <w:noWrap/>
          </w:tcPr>
          <w:p w:rsidR="00B9283E" w:rsidRPr="00AD78D2"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AD78D2">
              <w:rPr>
                <w:rFonts w:ascii="Times New Roman" w:eastAsiaTheme="minorEastAsia" w:hAnsi="Times New Roman" w:cs="Times New Roman"/>
                <w:sz w:val="18"/>
                <w:szCs w:val="18"/>
                <w:lang w:eastAsia="en-US"/>
              </w:rPr>
              <w:t>20.3</w:t>
            </w:r>
            <w:r>
              <w:rPr>
                <w:rFonts w:ascii="Times New Roman" w:eastAsiaTheme="minorEastAsia" w:hAnsi="Times New Roman" w:cs="Times New Roman"/>
                <w:sz w:val="18"/>
                <w:szCs w:val="18"/>
                <w:lang w:eastAsia="en-US"/>
              </w:rPr>
              <w:t xml:space="preserve"> - </w:t>
            </w:r>
            <w:r w:rsidRPr="00AD78D2">
              <w:rPr>
                <w:rFonts w:ascii="Times New Roman" w:eastAsiaTheme="minorEastAsia" w:hAnsi="Times New Roman" w:cs="Times New Roman"/>
                <w:sz w:val="18"/>
                <w:szCs w:val="18"/>
                <w:lang w:eastAsia="en-US"/>
              </w:rPr>
              <w:t>31.1</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34</w:t>
            </w:r>
          </w:p>
        </w:tc>
        <w:tc>
          <w:tcPr>
            <w:tcW w:w="567" w:type="dxa"/>
            <w:tcBorders>
              <w:top w:val="nil"/>
              <w:left w:val="nil"/>
              <w:bottom w:val="nil"/>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22.2</w:t>
            </w:r>
          </w:p>
        </w:tc>
        <w:tc>
          <w:tcPr>
            <w:tcW w:w="1174" w:type="dxa"/>
            <w:gridSpan w:val="2"/>
            <w:tcBorders>
              <w:top w:val="nil"/>
              <w:left w:val="nil"/>
              <w:bottom w:val="nil"/>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14.5</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29.9</w:t>
            </w:r>
            <w:r>
              <w:rPr>
                <w:rFonts w:ascii="Times New Roman" w:eastAsiaTheme="minorEastAsia" w:hAnsi="Times New Roman" w:cs="Times New Roman"/>
                <w:sz w:val="18"/>
                <w:szCs w:val="18"/>
                <w:lang w:eastAsia="en-US"/>
              </w:rPr>
              <w:t>)</w:t>
            </w:r>
          </w:p>
        </w:tc>
      </w:tr>
      <w:tr w:rsidR="00B9283E" w:rsidRPr="00365360" w:rsidTr="00F959A8">
        <w:tc>
          <w:tcPr>
            <w:cnfStyle w:val="001000000000" w:firstRow="0" w:lastRow="0" w:firstColumn="1" w:lastColumn="0" w:oddVBand="0" w:evenVBand="0" w:oddHBand="0" w:evenHBand="0" w:firstRowFirstColumn="0" w:firstRowLastColumn="0" w:lastRowFirstColumn="0" w:lastRowLastColumn="0"/>
            <w:tcW w:w="3588" w:type="dxa"/>
            <w:tcBorders>
              <w:top w:val="nil"/>
              <w:left w:val="nil"/>
              <w:bottom w:val="single" w:sz="4" w:space="0" w:color="auto"/>
              <w:right w:val="nil"/>
            </w:tcBorders>
          </w:tcPr>
          <w:p w:rsidR="00B9283E" w:rsidRPr="00365360" w:rsidRDefault="00B9283E" w:rsidP="000F3D0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&gt; 60 minutes</w:t>
            </w:r>
          </w:p>
        </w:tc>
        <w:tc>
          <w:tcPr>
            <w:tcW w:w="567" w:type="dxa"/>
            <w:tcBorders>
              <w:top w:val="nil"/>
              <w:left w:val="nil"/>
              <w:bottom w:val="single" w:sz="4" w:space="0" w:color="auto"/>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43</w:t>
            </w:r>
          </w:p>
        </w:tc>
        <w:tc>
          <w:tcPr>
            <w:tcW w:w="567" w:type="dxa"/>
            <w:tcBorders>
              <w:top w:val="nil"/>
              <w:left w:val="nil"/>
              <w:bottom w:val="single" w:sz="4" w:space="0" w:color="auto"/>
              <w:right w:val="nil"/>
            </w:tcBorders>
            <w:noWrap/>
          </w:tcPr>
          <w:p w:rsidR="00B9283E" w:rsidRPr="00AD78D2" w:rsidRDefault="00B9283E" w:rsidP="00AD78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AD78D2">
              <w:rPr>
                <w:rFonts w:ascii="Times New Roman" w:eastAsiaTheme="minorEastAsia" w:hAnsi="Times New Roman" w:cs="Times New Roman"/>
                <w:sz w:val="18"/>
                <w:szCs w:val="18"/>
                <w:lang w:eastAsia="en-US"/>
              </w:rPr>
              <w:t>12.5</w:t>
            </w:r>
          </w:p>
        </w:tc>
        <w:tc>
          <w:tcPr>
            <w:tcW w:w="1134" w:type="dxa"/>
            <w:gridSpan w:val="2"/>
            <w:tcBorders>
              <w:top w:val="nil"/>
              <w:left w:val="nil"/>
              <w:bottom w:val="single" w:sz="4" w:space="0" w:color="auto"/>
              <w:right w:val="single" w:sz="4" w:space="0" w:color="auto"/>
            </w:tcBorders>
            <w:noWrap/>
          </w:tcPr>
          <w:p w:rsidR="00B9283E" w:rsidRPr="00AD78D2"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AD78D2">
              <w:rPr>
                <w:rFonts w:ascii="Times New Roman" w:eastAsiaTheme="minorEastAsia" w:hAnsi="Times New Roman" w:cs="Times New Roman"/>
                <w:sz w:val="18"/>
                <w:szCs w:val="18"/>
                <w:lang w:eastAsia="en-US"/>
              </w:rPr>
              <w:t>8.8</w:t>
            </w:r>
            <w:r>
              <w:rPr>
                <w:rFonts w:ascii="Times New Roman" w:eastAsiaTheme="minorEastAsia" w:hAnsi="Times New Roman" w:cs="Times New Roman"/>
                <w:sz w:val="18"/>
                <w:szCs w:val="18"/>
                <w:lang w:eastAsia="en-US"/>
              </w:rPr>
              <w:t xml:space="preserve"> - </w:t>
            </w:r>
            <w:r w:rsidRPr="00AD78D2">
              <w:rPr>
                <w:rFonts w:ascii="Times New Roman" w:eastAsiaTheme="minorEastAsia" w:hAnsi="Times New Roman" w:cs="Times New Roman"/>
                <w:sz w:val="18"/>
                <w:szCs w:val="18"/>
                <w:lang w:eastAsia="en-US"/>
              </w:rPr>
              <w:t>16.3</w:t>
            </w:r>
            <w:r>
              <w:rPr>
                <w:rFonts w:ascii="Times New Roman" w:eastAsiaTheme="minorEastAsia" w:hAnsi="Times New Roman" w:cs="Times New Roman"/>
                <w:sz w:val="18"/>
                <w:szCs w:val="18"/>
                <w:lang w:eastAsia="en-US"/>
              </w:rPr>
              <w:t>)</w:t>
            </w:r>
          </w:p>
        </w:tc>
        <w:tc>
          <w:tcPr>
            <w:tcW w:w="709" w:type="dxa"/>
            <w:tcBorders>
              <w:top w:val="nil"/>
              <w:left w:val="single" w:sz="4" w:space="0" w:color="auto"/>
              <w:bottom w:val="single" w:sz="4" w:space="0" w:color="auto"/>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19</w:t>
            </w:r>
          </w:p>
        </w:tc>
        <w:tc>
          <w:tcPr>
            <w:tcW w:w="567" w:type="dxa"/>
            <w:tcBorders>
              <w:top w:val="nil"/>
              <w:left w:val="nil"/>
              <w:bottom w:val="single" w:sz="4" w:space="0" w:color="auto"/>
              <w:right w:val="nil"/>
            </w:tcBorders>
            <w:noWrap/>
          </w:tcPr>
          <w:p w:rsidR="00B9283E" w:rsidRPr="00110BEC" w:rsidRDefault="00B9283E" w:rsidP="00110BEC">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110BEC">
              <w:rPr>
                <w:rFonts w:ascii="Times New Roman" w:eastAsiaTheme="minorEastAsia" w:hAnsi="Times New Roman" w:cs="Times New Roman"/>
                <w:sz w:val="18"/>
                <w:szCs w:val="18"/>
                <w:lang w:eastAsia="en-US"/>
              </w:rPr>
              <w:t>12.3</w:t>
            </w:r>
          </w:p>
        </w:tc>
        <w:tc>
          <w:tcPr>
            <w:tcW w:w="1174" w:type="dxa"/>
            <w:gridSpan w:val="2"/>
            <w:tcBorders>
              <w:top w:val="nil"/>
              <w:left w:val="nil"/>
              <w:bottom w:val="single" w:sz="4" w:space="0" w:color="auto"/>
              <w:right w:val="nil"/>
            </w:tcBorders>
            <w:shd w:val="clear" w:color="auto" w:fill="FFFFFF" w:themeFill="background1"/>
            <w:noWrap/>
          </w:tcPr>
          <w:p w:rsidR="00B9283E" w:rsidRPr="00110BEC" w:rsidRDefault="00B9283E" w:rsidP="00B9283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110BEC">
              <w:rPr>
                <w:rFonts w:ascii="Times New Roman" w:eastAsiaTheme="minorEastAsia" w:hAnsi="Times New Roman" w:cs="Times New Roman"/>
                <w:sz w:val="18"/>
                <w:szCs w:val="18"/>
                <w:lang w:eastAsia="en-US"/>
              </w:rPr>
              <w:t>6.8</w:t>
            </w:r>
            <w:r>
              <w:rPr>
                <w:rFonts w:ascii="Times New Roman" w:eastAsiaTheme="minorEastAsia" w:hAnsi="Times New Roman" w:cs="Times New Roman"/>
                <w:sz w:val="18"/>
                <w:szCs w:val="18"/>
                <w:lang w:eastAsia="en-US"/>
              </w:rPr>
              <w:t xml:space="preserve"> - </w:t>
            </w:r>
            <w:r w:rsidRPr="00110BEC">
              <w:rPr>
                <w:rFonts w:ascii="Times New Roman" w:eastAsiaTheme="minorEastAsia" w:hAnsi="Times New Roman" w:cs="Times New Roman"/>
                <w:sz w:val="18"/>
                <w:szCs w:val="18"/>
                <w:lang w:eastAsia="en-US"/>
              </w:rPr>
              <w:t>17.8</w:t>
            </w:r>
            <w:r>
              <w:rPr>
                <w:rFonts w:ascii="Times New Roman" w:eastAsiaTheme="minorEastAsia" w:hAnsi="Times New Roman" w:cs="Times New Roman"/>
                <w:sz w:val="18"/>
                <w:szCs w:val="18"/>
                <w:lang w:eastAsia="en-US"/>
              </w:rPr>
              <w:t>)</w:t>
            </w:r>
          </w:p>
        </w:tc>
      </w:tr>
    </w:tbl>
    <w:p w:rsidR="0034241E" w:rsidRPr="0034241E" w:rsidRDefault="0034241E" w:rsidP="0034241E">
      <w:pPr>
        <w:rPr>
          <w:sz w:val="18"/>
        </w:rPr>
      </w:pPr>
      <w:r>
        <w:rPr>
          <w:sz w:val="18"/>
        </w:rPr>
        <w:t>Data</w:t>
      </w:r>
      <w:r w:rsidRPr="0034241E">
        <w:rPr>
          <w:sz w:val="18"/>
        </w:rPr>
        <w:t xml:space="preserve"> weighted for 2013 Census data (both Waves) and attrition (Wave 2)</w:t>
      </w:r>
    </w:p>
    <w:p w:rsidR="007D4B0B" w:rsidRPr="004A4D8F" w:rsidRDefault="007D4B0B" w:rsidP="00370CEE"/>
    <w:p w:rsidR="006E229C" w:rsidRDefault="006E229C">
      <w:r>
        <w:br w:type="page"/>
      </w:r>
    </w:p>
    <w:p w:rsidR="00DC3DDF" w:rsidRPr="00BA54F7" w:rsidRDefault="00DC3DDF" w:rsidP="00DC3DDF">
      <w:pPr>
        <w:pStyle w:val="Heading3b"/>
        <w:numPr>
          <w:ilvl w:val="0"/>
          <w:numId w:val="0"/>
        </w:numPr>
        <w:spacing w:before="0" w:after="0"/>
        <w:jc w:val="both"/>
        <w:rPr>
          <w:rFonts w:ascii="Times New Roman" w:hAnsi="Times New Roman" w:cs="Times New Roman"/>
          <w:b/>
          <w:i w:val="0"/>
        </w:rPr>
      </w:pPr>
      <w:bookmarkStart w:id="274" w:name="_Ref404240898"/>
      <w:bookmarkStart w:id="275" w:name="_Toc420392631"/>
      <w:r w:rsidRPr="00BA54F7">
        <w:rPr>
          <w:rFonts w:ascii="Times New Roman" w:hAnsi="Times New Roman" w:cs="Times New Roman"/>
          <w:b/>
          <w:i w:val="0"/>
        </w:rPr>
        <w:lastRenderedPageBreak/>
        <w:t xml:space="preserve">Appendix </w:t>
      </w:r>
      <w:r w:rsidRPr="00BA54F7">
        <w:rPr>
          <w:rFonts w:ascii="Times New Roman" w:hAnsi="Times New Roman" w:cs="Times New Roman"/>
          <w:b/>
          <w:i w:val="0"/>
        </w:rPr>
        <w:fldChar w:fldCharType="begin"/>
      </w:r>
      <w:r w:rsidRPr="00BA54F7">
        <w:rPr>
          <w:rFonts w:ascii="Times New Roman" w:hAnsi="Times New Roman" w:cs="Times New Roman"/>
          <w:b/>
          <w:i w:val="0"/>
        </w:rPr>
        <w:instrText xml:space="preserve"> SEQ Appendix \* ARABIC </w:instrText>
      </w:r>
      <w:r w:rsidRPr="00BA54F7">
        <w:rPr>
          <w:rFonts w:ascii="Times New Roman" w:hAnsi="Times New Roman" w:cs="Times New Roman"/>
          <w:b/>
          <w:i w:val="0"/>
        </w:rPr>
        <w:fldChar w:fldCharType="separate"/>
      </w:r>
      <w:r w:rsidR="00B2175B">
        <w:rPr>
          <w:rFonts w:ascii="Times New Roman" w:hAnsi="Times New Roman" w:cs="Times New Roman"/>
          <w:b/>
          <w:i w:val="0"/>
          <w:noProof/>
        </w:rPr>
        <w:t>8</w:t>
      </w:r>
      <w:r w:rsidRPr="00BA54F7">
        <w:rPr>
          <w:rFonts w:ascii="Times New Roman" w:hAnsi="Times New Roman" w:cs="Times New Roman"/>
          <w:b/>
          <w:i w:val="0"/>
        </w:rPr>
        <w:fldChar w:fldCharType="end"/>
      </w:r>
      <w:bookmarkEnd w:id="274"/>
      <w:r w:rsidRPr="00BA54F7">
        <w:rPr>
          <w:rFonts w:ascii="Times New Roman" w:hAnsi="Times New Roman" w:cs="Times New Roman"/>
          <w:b/>
          <w:i w:val="0"/>
        </w:rPr>
        <w:t xml:space="preserve">: Prevalence and 95% confidence intervals by </w:t>
      </w:r>
      <w:r w:rsidR="000A2F0E">
        <w:rPr>
          <w:rFonts w:ascii="Times New Roman" w:hAnsi="Times New Roman" w:cs="Times New Roman"/>
          <w:b/>
          <w:i w:val="0"/>
        </w:rPr>
        <w:t>health status</w:t>
      </w:r>
      <w:r w:rsidRPr="00BA54F7">
        <w:rPr>
          <w:rFonts w:ascii="Times New Roman" w:hAnsi="Times New Roman" w:cs="Times New Roman"/>
          <w:b/>
          <w:i w:val="0"/>
        </w:rPr>
        <w:t xml:space="preserve"> </w:t>
      </w:r>
      <w:r w:rsidR="004A5099">
        <w:rPr>
          <w:rFonts w:ascii="Times New Roman" w:hAnsi="Times New Roman" w:cs="Times New Roman"/>
          <w:b/>
          <w:i w:val="0"/>
        </w:rPr>
        <w:t>in Wave 1</w:t>
      </w:r>
      <w:r w:rsidRPr="00BA54F7">
        <w:rPr>
          <w:rFonts w:ascii="Times New Roman" w:hAnsi="Times New Roman" w:cs="Times New Roman"/>
          <w:b/>
          <w:i w:val="0"/>
        </w:rPr>
        <w:t xml:space="preserve"> and Wave 2</w:t>
      </w:r>
      <w:bookmarkEnd w:id="275"/>
    </w:p>
    <w:p w:rsidR="00DC3DDF" w:rsidRPr="004A4D8F" w:rsidRDefault="00DC3DDF" w:rsidP="00DC3DDF"/>
    <w:tbl>
      <w:tblPr>
        <w:tblStyle w:val="LightShading4"/>
        <w:tblW w:w="0" w:type="auto"/>
        <w:tblLook w:val="06A0" w:firstRow="1" w:lastRow="0" w:firstColumn="1" w:lastColumn="0" w:noHBand="1" w:noVBand="1"/>
      </w:tblPr>
      <w:tblGrid>
        <w:gridCol w:w="2681"/>
        <w:gridCol w:w="753"/>
        <w:gridCol w:w="709"/>
        <w:gridCol w:w="254"/>
        <w:gridCol w:w="1122"/>
        <w:gridCol w:w="753"/>
        <w:gridCol w:w="708"/>
        <w:gridCol w:w="619"/>
        <w:gridCol w:w="707"/>
      </w:tblGrid>
      <w:tr w:rsidR="004A2687" w:rsidRPr="00286328"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1" w:type="dxa"/>
            <w:vMerge w:val="restart"/>
            <w:tcBorders>
              <w:bottom w:val="single" w:sz="4" w:space="0" w:color="auto"/>
            </w:tcBorders>
            <w:vAlign w:val="bottom"/>
            <w:hideMark/>
          </w:tcPr>
          <w:p w:rsidR="00DC3DDF" w:rsidRPr="00365360" w:rsidRDefault="000A2F0E" w:rsidP="00952AEB">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Health</w:t>
            </w:r>
            <w:r w:rsidR="00DC3DDF">
              <w:rPr>
                <w:rFonts w:ascii="Times New Roman" w:eastAsiaTheme="minorEastAsia" w:hAnsi="Times New Roman" w:cs="Times New Roman"/>
                <w:sz w:val="18"/>
                <w:szCs w:val="18"/>
                <w:lang w:eastAsia="en-US"/>
              </w:rPr>
              <w:t xml:space="preserve"> issue</w:t>
            </w:r>
          </w:p>
        </w:tc>
        <w:tc>
          <w:tcPr>
            <w:tcW w:w="2838" w:type="dxa"/>
            <w:gridSpan w:val="4"/>
            <w:tcBorders>
              <w:bottom w:val="single" w:sz="4" w:space="0" w:color="auto"/>
              <w:right w:val="single" w:sz="4" w:space="0" w:color="auto"/>
            </w:tcBorders>
            <w:noWrap/>
            <w:vAlign w:val="center"/>
            <w:hideMark/>
          </w:tcPr>
          <w:p w:rsidR="00DC3DDF" w:rsidRPr="00365360" w:rsidRDefault="004A5099" w:rsidP="00952AEB">
            <w:pPr>
              <w:spacing w:before="20" w:after="20"/>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i/>
                <w:sz w:val="18"/>
                <w:szCs w:val="18"/>
                <w:lang w:eastAsia="en-US"/>
              </w:rPr>
            </w:pPr>
            <w:r>
              <w:rPr>
                <w:rFonts w:ascii="Times New Roman" w:eastAsiaTheme="minorEastAsia" w:hAnsi="Times New Roman" w:cs="Times New Roman"/>
                <w:sz w:val="18"/>
                <w:szCs w:val="18"/>
              </w:rPr>
              <w:t>Wave 1</w:t>
            </w:r>
          </w:p>
        </w:tc>
        <w:tc>
          <w:tcPr>
            <w:tcW w:w="2787" w:type="dxa"/>
            <w:gridSpan w:val="4"/>
            <w:tcBorders>
              <w:left w:val="single" w:sz="4" w:space="0" w:color="auto"/>
              <w:bottom w:val="single" w:sz="4" w:space="0" w:color="auto"/>
            </w:tcBorders>
            <w:vAlign w:val="center"/>
          </w:tcPr>
          <w:p w:rsidR="00DC3DDF" w:rsidRPr="00286328" w:rsidRDefault="00DC3DDF" w:rsidP="00952AEB">
            <w:pPr>
              <w:spacing w:before="20" w:after="2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Wave 2</w:t>
            </w:r>
          </w:p>
        </w:tc>
      </w:tr>
      <w:tr w:rsidR="00FF7DD2" w:rsidRPr="00365360" w:rsidTr="00F959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1" w:type="dxa"/>
            <w:vMerge/>
            <w:tcBorders>
              <w:bottom w:val="single" w:sz="4" w:space="0" w:color="auto"/>
            </w:tcBorders>
            <w:vAlign w:val="center"/>
            <w:hideMark/>
          </w:tcPr>
          <w:p w:rsidR="00DC3DDF" w:rsidRPr="00365360" w:rsidRDefault="00DC3DDF" w:rsidP="00952AEB">
            <w:pPr>
              <w:spacing w:before="20" w:after="20"/>
              <w:rPr>
                <w:rFonts w:ascii="Times New Roman" w:eastAsiaTheme="minorEastAsia" w:hAnsi="Times New Roman" w:cs="Times New Roman"/>
                <w:sz w:val="18"/>
                <w:szCs w:val="18"/>
                <w:lang w:eastAsia="en-US"/>
              </w:rPr>
            </w:pPr>
          </w:p>
        </w:tc>
        <w:tc>
          <w:tcPr>
            <w:tcW w:w="753" w:type="dxa"/>
            <w:tcBorders>
              <w:top w:val="single" w:sz="4" w:space="0" w:color="auto"/>
              <w:bottom w:val="single" w:sz="4" w:space="0" w:color="auto"/>
            </w:tcBorders>
            <w:noWrap/>
            <w:vAlign w:val="center"/>
            <w:hideMark/>
          </w:tcPr>
          <w:p w:rsidR="00DC3DDF" w:rsidRPr="00365360" w:rsidRDefault="00DC3DDF"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n</w:t>
            </w:r>
          </w:p>
        </w:tc>
        <w:tc>
          <w:tcPr>
            <w:tcW w:w="709" w:type="dxa"/>
            <w:tcBorders>
              <w:top w:val="single" w:sz="4" w:space="0" w:color="auto"/>
              <w:bottom w:val="single" w:sz="4" w:space="0" w:color="auto"/>
            </w:tcBorders>
            <w:noWrap/>
            <w:vAlign w:val="center"/>
            <w:hideMark/>
          </w:tcPr>
          <w:p w:rsidR="00DC3DDF" w:rsidRPr="00365360" w:rsidRDefault="00DC3DDF"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rPr>
              <w:t>%</w:t>
            </w:r>
          </w:p>
        </w:tc>
        <w:tc>
          <w:tcPr>
            <w:tcW w:w="1376" w:type="dxa"/>
            <w:gridSpan w:val="2"/>
            <w:tcBorders>
              <w:top w:val="single" w:sz="4" w:space="0" w:color="auto"/>
              <w:bottom w:val="single" w:sz="4" w:space="0" w:color="auto"/>
              <w:right w:val="single" w:sz="4" w:space="0" w:color="auto"/>
            </w:tcBorders>
            <w:noWrap/>
            <w:vAlign w:val="center"/>
          </w:tcPr>
          <w:p w:rsidR="00DC3DDF" w:rsidRPr="00365360" w:rsidRDefault="001B4BF2"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r w:rsidR="00DC3DD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c>
          <w:tcPr>
            <w:tcW w:w="753" w:type="dxa"/>
            <w:tcBorders>
              <w:top w:val="single" w:sz="4" w:space="0" w:color="auto"/>
              <w:left w:val="single" w:sz="4" w:space="0" w:color="auto"/>
              <w:bottom w:val="single" w:sz="4" w:space="0" w:color="auto"/>
            </w:tcBorders>
            <w:noWrap/>
            <w:vAlign w:val="center"/>
          </w:tcPr>
          <w:p w:rsidR="00DC3DDF" w:rsidRPr="00365360" w:rsidRDefault="00DC3DDF"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n</w:t>
            </w:r>
          </w:p>
        </w:tc>
        <w:tc>
          <w:tcPr>
            <w:tcW w:w="708" w:type="dxa"/>
            <w:tcBorders>
              <w:top w:val="single" w:sz="4" w:space="0" w:color="auto"/>
              <w:bottom w:val="single" w:sz="4" w:space="0" w:color="auto"/>
            </w:tcBorders>
            <w:noWrap/>
            <w:vAlign w:val="center"/>
          </w:tcPr>
          <w:p w:rsidR="00DC3DDF" w:rsidRPr="00365360" w:rsidRDefault="00DC3DDF"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18"/>
                <w:szCs w:val="18"/>
                <w:lang w:eastAsia="en-US"/>
              </w:rPr>
            </w:pPr>
            <w:r>
              <w:rPr>
                <w:rFonts w:ascii="Times New Roman" w:eastAsiaTheme="minorEastAsia" w:hAnsi="Times New Roman" w:cs="Times New Roman"/>
                <w:sz w:val="18"/>
                <w:szCs w:val="18"/>
                <w:lang w:eastAsia="en-US"/>
              </w:rPr>
              <w:t>%</w:t>
            </w:r>
          </w:p>
        </w:tc>
        <w:tc>
          <w:tcPr>
            <w:tcW w:w="1326" w:type="dxa"/>
            <w:gridSpan w:val="2"/>
            <w:tcBorders>
              <w:top w:val="single" w:sz="4" w:space="0" w:color="auto"/>
              <w:bottom w:val="single" w:sz="4" w:space="0" w:color="auto"/>
            </w:tcBorders>
            <w:shd w:val="clear" w:color="auto" w:fill="FFFFFF" w:themeFill="background1"/>
            <w:noWrap/>
            <w:vAlign w:val="center"/>
          </w:tcPr>
          <w:p w:rsidR="00DC3DDF" w:rsidRPr="00365360" w:rsidRDefault="001B4BF2" w:rsidP="001B4BF2">
            <w:pPr>
              <w:spacing w:before="20" w:after="20"/>
              <w:jc w:val="righ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i/>
                <w:sz w:val="18"/>
                <w:szCs w:val="18"/>
                <w:lang w:eastAsia="en-US"/>
              </w:rPr>
            </w:pPr>
            <w:r>
              <w:rPr>
                <w:rFonts w:ascii="Times New Roman" w:eastAsiaTheme="minorEastAsia" w:hAnsi="Times New Roman" w:cs="Times New Roman"/>
                <w:sz w:val="18"/>
                <w:szCs w:val="18"/>
                <w:lang w:eastAsia="en-US"/>
              </w:rPr>
              <w:t>(</w:t>
            </w:r>
            <w:r w:rsidR="00DC3DDF">
              <w:rPr>
                <w:rFonts w:ascii="Times New Roman" w:eastAsiaTheme="minorEastAsia" w:hAnsi="Times New Roman" w:cs="Times New Roman"/>
                <w:sz w:val="18"/>
                <w:szCs w:val="18"/>
                <w:lang w:eastAsia="en-US"/>
              </w:rPr>
              <w:t>95% CI</w:t>
            </w:r>
            <w:r>
              <w:rPr>
                <w:rFonts w:ascii="Times New Roman" w:eastAsiaTheme="minorEastAsia" w:hAnsi="Times New Roman" w:cs="Times New Roman"/>
                <w:sz w:val="18"/>
                <w:szCs w:val="18"/>
                <w:lang w:eastAsia="en-US"/>
              </w:rPr>
              <w:t>)</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4143" w:type="dxa"/>
            <w:gridSpan w:val="3"/>
            <w:tcBorders>
              <w:top w:val="nil"/>
              <w:left w:val="nil"/>
              <w:bottom w:val="nil"/>
              <w:right w:val="nil"/>
            </w:tcBorders>
            <w:vAlign w:val="center"/>
          </w:tcPr>
          <w:p w:rsidR="00DC3DDF" w:rsidRPr="00365360" w:rsidRDefault="00DC3DDF" w:rsidP="00DC3DDF">
            <w:pPr>
              <w:spacing w:before="20" w:after="2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Number of significant life events</w:t>
            </w:r>
          </w:p>
        </w:tc>
        <w:tc>
          <w:tcPr>
            <w:tcW w:w="254" w:type="dxa"/>
            <w:tcBorders>
              <w:top w:val="nil"/>
              <w:left w:val="nil"/>
              <w:bottom w:val="nil"/>
              <w:right w:val="nil"/>
            </w:tcBorders>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1122" w:type="dxa"/>
            <w:tcBorders>
              <w:top w:val="nil"/>
              <w:left w:val="nil"/>
              <w:bottom w:val="nil"/>
              <w:right w:val="single" w:sz="4" w:space="0" w:color="auto"/>
            </w:tcBorders>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53" w:type="dxa"/>
            <w:tcBorders>
              <w:top w:val="nil"/>
              <w:left w:val="single" w:sz="4" w:space="0" w:color="auto"/>
              <w:bottom w:val="nil"/>
              <w:right w:val="nil"/>
            </w:tcBorders>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8" w:type="dxa"/>
            <w:tcBorders>
              <w:top w:val="nil"/>
              <w:left w:val="nil"/>
              <w:bottom w:val="nil"/>
              <w:right w:val="nil"/>
            </w:tcBorders>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19" w:type="dxa"/>
            <w:tcBorders>
              <w:top w:val="nil"/>
              <w:left w:val="nil"/>
              <w:bottom w:val="nil"/>
              <w:right w:val="nil"/>
            </w:tcBorders>
            <w:shd w:val="clear" w:color="auto" w:fill="FFFFFF" w:themeFill="background1"/>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c>
          <w:tcPr>
            <w:tcW w:w="707" w:type="dxa"/>
            <w:tcBorders>
              <w:top w:val="nil"/>
              <w:left w:val="nil"/>
              <w:bottom w:val="nil"/>
              <w:right w:val="nil"/>
            </w:tcBorders>
            <w:noWrap/>
            <w:vAlign w:val="center"/>
          </w:tcPr>
          <w:p w:rsidR="00DC3DDF" w:rsidRPr="00365360" w:rsidRDefault="00DC3DDF"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eastAsia="en-US"/>
              </w:rPr>
            </w:pP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365360" w:rsidRDefault="001B4BF2" w:rsidP="00952AE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0</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1711</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27.4</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26.1</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28.6</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1081</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28.9</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27.2</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30.5</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365360" w:rsidRDefault="001B4BF2" w:rsidP="00952AE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1</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1645</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26.3</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25.0</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27.6</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1125</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30.0</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28.2</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31.8</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5B3185" w:rsidRDefault="001B4BF2" w:rsidP="00952AE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2</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1151</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18.4</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17.3</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19.6</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701</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18.7</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17.2</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20.2</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365360" w:rsidRDefault="001B4BF2" w:rsidP="00952AEB">
            <w:pPr>
              <w:tabs>
                <w:tab w:val="left" w:pos="176"/>
              </w:tabs>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3</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727</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11.6</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10.7</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12.6</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433</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11.6</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10.3</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12.8</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337D74" w:rsidRDefault="001B4BF2" w:rsidP="00952AE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4</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479</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7.7</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6.8</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8.5</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215</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5.7</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4.8</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6.6</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337D74" w:rsidRDefault="001B4BF2" w:rsidP="00952AEB">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5+</w:t>
            </w:r>
          </w:p>
        </w:tc>
        <w:tc>
          <w:tcPr>
            <w:tcW w:w="753"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536</w:t>
            </w:r>
          </w:p>
        </w:tc>
        <w:tc>
          <w:tcPr>
            <w:tcW w:w="709" w:type="dxa"/>
            <w:tcBorders>
              <w:top w:val="nil"/>
              <w:left w:val="nil"/>
              <w:bottom w:val="nil"/>
              <w:right w:val="nil"/>
            </w:tcBorders>
            <w:noWrap/>
          </w:tcPr>
          <w:p w:rsidR="001B4BF2" w:rsidRPr="00DC3DDF" w:rsidRDefault="001B4BF2" w:rsidP="00DC3DDF">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8.6</w:t>
            </w:r>
          </w:p>
        </w:tc>
        <w:tc>
          <w:tcPr>
            <w:tcW w:w="1376" w:type="dxa"/>
            <w:gridSpan w:val="2"/>
            <w:tcBorders>
              <w:top w:val="nil"/>
              <w:left w:val="nil"/>
              <w:bottom w:val="nil"/>
              <w:right w:val="single" w:sz="4" w:space="0" w:color="auto"/>
            </w:tcBorders>
            <w:noWrap/>
          </w:tcPr>
          <w:p w:rsidR="001B4BF2" w:rsidRPr="00DC3DDF" w:rsidRDefault="00E05874"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DC3DDF">
              <w:rPr>
                <w:rFonts w:ascii="Times New Roman" w:eastAsiaTheme="minorEastAsia" w:hAnsi="Times New Roman" w:cs="Times New Roman"/>
                <w:sz w:val="18"/>
                <w:szCs w:val="18"/>
                <w:lang w:eastAsia="en-US"/>
              </w:rPr>
              <w:t>7.7</w:t>
            </w:r>
            <w:r w:rsidR="001B4BF2">
              <w:rPr>
                <w:rFonts w:ascii="Times New Roman" w:eastAsiaTheme="minorEastAsia" w:hAnsi="Times New Roman" w:cs="Times New Roman"/>
                <w:sz w:val="18"/>
                <w:szCs w:val="18"/>
                <w:lang w:eastAsia="en-US"/>
              </w:rPr>
              <w:t xml:space="preserve"> - </w:t>
            </w:r>
            <w:r w:rsidR="001B4BF2" w:rsidRPr="00DC3DDF">
              <w:rPr>
                <w:rFonts w:ascii="Times New Roman" w:eastAsiaTheme="minorEastAsia" w:hAnsi="Times New Roman" w:cs="Times New Roman"/>
                <w:sz w:val="18"/>
                <w:szCs w:val="18"/>
                <w:lang w:eastAsia="en-US"/>
              </w:rPr>
              <w:t>9.4</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190</w:t>
            </w:r>
          </w:p>
        </w:tc>
        <w:tc>
          <w:tcPr>
            <w:tcW w:w="708" w:type="dxa"/>
            <w:tcBorders>
              <w:top w:val="nil"/>
              <w:left w:val="nil"/>
              <w:bottom w:val="nil"/>
              <w:right w:val="nil"/>
            </w:tcBorders>
            <w:noWrap/>
          </w:tcPr>
          <w:p w:rsidR="001B4BF2" w:rsidRPr="00FF7DD2" w:rsidRDefault="001B4BF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5.1</w:t>
            </w:r>
          </w:p>
        </w:tc>
        <w:tc>
          <w:tcPr>
            <w:tcW w:w="1326" w:type="dxa"/>
            <w:gridSpan w:val="2"/>
            <w:tcBorders>
              <w:top w:val="nil"/>
              <w:left w:val="nil"/>
              <w:bottom w:val="nil"/>
              <w:right w:val="nil"/>
            </w:tcBorders>
            <w:shd w:val="clear" w:color="auto" w:fill="FFFFFF" w:themeFill="background1"/>
            <w:noWrap/>
          </w:tcPr>
          <w:p w:rsidR="001B4BF2" w:rsidRPr="00FF7DD2" w:rsidRDefault="00E05874"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001B4BF2" w:rsidRPr="00FF7DD2">
              <w:rPr>
                <w:rFonts w:ascii="Times New Roman" w:eastAsiaTheme="minorEastAsia" w:hAnsi="Times New Roman" w:cs="Times New Roman"/>
                <w:sz w:val="18"/>
                <w:szCs w:val="18"/>
                <w:lang w:eastAsia="en-US"/>
              </w:rPr>
              <w:t>4.2</w:t>
            </w:r>
            <w:r>
              <w:rPr>
                <w:rFonts w:ascii="Times New Roman" w:eastAsiaTheme="minorEastAsia" w:hAnsi="Times New Roman" w:cs="Times New Roman"/>
                <w:sz w:val="18"/>
                <w:szCs w:val="18"/>
                <w:lang w:eastAsia="en-US"/>
              </w:rPr>
              <w:t xml:space="preserve"> - </w:t>
            </w:r>
            <w:r w:rsidR="001B4BF2" w:rsidRPr="00FF7DD2">
              <w:rPr>
                <w:rFonts w:ascii="Times New Roman" w:eastAsiaTheme="minorEastAsia" w:hAnsi="Times New Roman" w:cs="Times New Roman"/>
                <w:sz w:val="18"/>
                <w:szCs w:val="18"/>
                <w:lang w:eastAsia="en-US"/>
              </w:rPr>
              <w:t>5.9</w:t>
            </w:r>
            <w:r>
              <w:rPr>
                <w:rFonts w:ascii="Times New Roman" w:eastAsiaTheme="minorEastAsia" w:hAnsi="Times New Roman" w:cs="Times New Roman"/>
                <w:sz w:val="18"/>
                <w:szCs w:val="18"/>
                <w:lang w:eastAsia="en-US"/>
              </w:rPr>
              <w:t>)</w:t>
            </w:r>
          </w:p>
        </w:tc>
      </w:tr>
      <w:tr w:rsidR="001B4BF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1B4BF2" w:rsidRPr="00DC3DDF" w:rsidRDefault="001B4BF2" w:rsidP="00DC3DDF">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Missing</w:t>
            </w:r>
          </w:p>
        </w:tc>
        <w:tc>
          <w:tcPr>
            <w:tcW w:w="753" w:type="dxa"/>
            <w:tcBorders>
              <w:top w:val="nil"/>
              <w:left w:val="nil"/>
              <w:bottom w:val="nil"/>
              <w:right w:val="nil"/>
            </w:tcBorders>
            <w:noWrap/>
          </w:tcPr>
          <w:p w:rsidR="001B4BF2" w:rsidRPr="006E229C" w:rsidRDefault="001B4BF2"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w:t>
            </w:r>
          </w:p>
        </w:tc>
        <w:tc>
          <w:tcPr>
            <w:tcW w:w="709" w:type="dxa"/>
            <w:tcBorders>
              <w:top w:val="nil"/>
              <w:left w:val="nil"/>
              <w:bottom w:val="nil"/>
              <w:right w:val="nil"/>
            </w:tcBorders>
            <w:noWrap/>
          </w:tcPr>
          <w:p w:rsidR="001B4BF2" w:rsidRPr="006E229C" w:rsidRDefault="001B4BF2"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376" w:type="dxa"/>
            <w:gridSpan w:val="2"/>
            <w:tcBorders>
              <w:top w:val="nil"/>
              <w:left w:val="nil"/>
              <w:bottom w:val="nil"/>
              <w:right w:val="single" w:sz="4" w:space="0" w:color="auto"/>
            </w:tcBorders>
            <w:noWrap/>
          </w:tcPr>
          <w:p w:rsidR="001B4BF2" w:rsidRPr="006E229C" w:rsidRDefault="001B4BF2" w:rsidP="001B4BF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vAlign w:val="center"/>
          </w:tcPr>
          <w:p w:rsidR="001B4BF2" w:rsidRPr="00365360" w:rsidRDefault="001B4BF2"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708" w:type="dxa"/>
            <w:tcBorders>
              <w:top w:val="nil"/>
              <w:left w:val="nil"/>
              <w:bottom w:val="nil"/>
              <w:right w:val="nil"/>
            </w:tcBorders>
            <w:noWrap/>
            <w:vAlign w:val="center"/>
          </w:tcPr>
          <w:p w:rsidR="001B4BF2" w:rsidRPr="00365360" w:rsidRDefault="001B4BF2" w:rsidP="00952AEB">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c>
          <w:tcPr>
            <w:tcW w:w="1326" w:type="dxa"/>
            <w:gridSpan w:val="2"/>
            <w:tcBorders>
              <w:top w:val="nil"/>
              <w:left w:val="nil"/>
              <w:bottom w:val="nil"/>
              <w:right w:val="nil"/>
            </w:tcBorders>
            <w:shd w:val="clear" w:color="auto" w:fill="FFFFFF" w:themeFill="background1"/>
            <w:noWrap/>
            <w:vAlign w:val="center"/>
          </w:tcPr>
          <w:p w:rsidR="001B4BF2" w:rsidRPr="00231132" w:rsidRDefault="001B4BF2"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p>
        </w:tc>
      </w:tr>
      <w:tr w:rsidR="004A2687"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FF7DD2" w:rsidRPr="00DC3DDF" w:rsidRDefault="00FF7DD2" w:rsidP="00DC3DDF">
            <w:pPr>
              <w:spacing w:before="20" w:after="20"/>
              <w:rPr>
                <w:rFonts w:ascii="Times New Roman" w:eastAsiaTheme="minorEastAsia" w:hAnsi="Times New Roman" w:cs="Times New Roman"/>
                <w:sz w:val="18"/>
                <w:szCs w:val="18"/>
                <w:lang w:eastAsia="en-US"/>
              </w:rPr>
            </w:pPr>
            <w:r w:rsidRPr="00DC3DDF">
              <w:rPr>
                <w:rFonts w:ascii="Times New Roman" w:eastAsiaTheme="minorEastAsia" w:hAnsi="Times New Roman" w:cs="Times New Roman"/>
                <w:sz w:val="18"/>
                <w:szCs w:val="18"/>
                <w:lang w:eastAsia="en-US"/>
              </w:rPr>
              <w:t>Quality of life (WHOQoL-8)</w:t>
            </w:r>
          </w:p>
        </w:tc>
        <w:tc>
          <w:tcPr>
            <w:tcW w:w="753" w:type="dxa"/>
            <w:tcBorders>
              <w:top w:val="nil"/>
              <w:left w:val="nil"/>
              <w:bottom w:val="nil"/>
              <w:right w:val="nil"/>
            </w:tcBorders>
            <w:noWrap/>
          </w:tcPr>
          <w:p w:rsidR="00FF7DD2" w:rsidRPr="006A207E" w:rsidRDefault="00FF7DD2"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9" w:type="dxa"/>
            <w:tcBorders>
              <w:top w:val="nil"/>
              <w:left w:val="nil"/>
              <w:bottom w:val="nil"/>
              <w:right w:val="nil"/>
            </w:tcBorders>
            <w:noWrap/>
          </w:tcPr>
          <w:p w:rsidR="00FF7DD2" w:rsidRPr="006A207E" w:rsidRDefault="00FF7DD2"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254" w:type="dxa"/>
            <w:tcBorders>
              <w:top w:val="nil"/>
              <w:left w:val="nil"/>
              <w:bottom w:val="nil"/>
              <w:right w:val="nil"/>
            </w:tcBorders>
            <w:noWrap/>
          </w:tcPr>
          <w:p w:rsidR="00FF7DD2" w:rsidRPr="006A207E" w:rsidRDefault="00FF7DD2"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1122" w:type="dxa"/>
            <w:tcBorders>
              <w:top w:val="nil"/>
              <w:left w:val="nil"/>
              <w:bottom w:val="nil"/>
              <w:right w:val="single" w:sz="4" w:space="0" w:color="auto"/>
            </w:tcBorders>
            <w:noWrap/>
          </w:tcPr>
          <w:p w:rsidR="00FF7DD2" w:rsidRPr="006A207E" w:rsidRDefault="00FF7DD2"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53" w:type="dxa"/>
            <w:tcBorders>
              <w:top w:val="nil"/>
              <w:left w:val="single" w:sz="4" w:space="0" w:color="auto"/>
              <w:bottom w:val="nil"/>
              <w:right w:val="nil"/>
            </w:tcBorders>
            <w:noWrap/>
          </w:tcPr>
          <w:p w:rsidR="00FF7DD2" w:rsidRPr="00FF7DD2" w:rsidRDefault="00FF7DD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8" w:type="dxa"/>
            <w:tcBorders>
              <w:top w:val="nil"/>
              <w:left w:val="nil"/>
              <w:bottom w:val="nil"/>
              <w:right w:val="nil"/>
            </w:tcBorders>
            <w:noWrap/>
          </w:tcPr>
          <w:p w:rsidR="00FF7DD2" w:rsidRPr="00FF7DD2" w:rsidRDefault="00FF7DD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619" w:type="dxa"/>
            <w:tcBorders>
              <w:top w:val="nil"/>
              <w:left w:val="nil"/>
              <w:bottom w:val="nil"/>
              <w:right w:val="nil"/>
            </w:tcBorders>
            <w:shd w:val="clear" w:color="auto" w:fill="FFFFFF" w:themeFill="background1"/>
            <w:noWrap/>
          </w:tcPr>
          <w:p w:rsidR="00FF7DD2" w:rsidRPr="00FF7DD2" w:rsidRDefault="00FF7DD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c>
          <w:tcPr>
            <w:tcW w:w="707" w:type="dxa"/>
            <w:tcBorders>
              <w:top w:val="nil"/>
              <w:left w:val="nil"/>
              <w:bottom w:val="nil"/>
              <w:right w:val="nil"/>
            </w:tcBorders>
            <w:noWrap/>
          </w:tcPr>
          <w:p w:rsidR="00FF7DD2" w:rsidRPr="00FF7DD2" w:rsidRDefault="00FF7DD2"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8F0467" w:rsidRDefault="00E05874" w:rsidP="008F0467">
            <w:pPr>
              <w:spacing w:before="20" w:after="20"/>
              <w:ind w:left="176"/>
              <w:rPr>
                <w:rFonts w:ascii="Times New Roman" w:eastAsiaTheme="minorEastAsia" w:hAnsi="Times New Roman" w:cs="Times New Roman"/>
                <w:b w:val="0"/>
                <w:sz w:val="18"/>
                <w:szCs w:val="18"/>
                <w:lang w:eastAsia="en-US"/>
              </w:rPr>
            </w:pPr>
            <w:r w:rsidRPr="008F0467">
              <w:rPr>
                <w:rFonts w:ascii="Times New Roman" w:eastAsiaTheme="minorEastAsia" w:hAnsi="Times New Roman" w:cs="Times New Roman"/>
                <w:b w:val="0"/>
                <w:sz w:val="18"/>
                <w:szCs w:val="18"/>
                <w:lang w:eastAsia="en-US"/>
              </w:rPr>
              <w:t>Below median (Score 0 - 24)</w:t>
            </w:r>
          </w:p>
        </w:tc>
        <w:tc>
          <w:tcPr>
            <w:tcW w:w="753" w:type="dxa"/>
            <w:tcBorders>
              <w:top w:val="nil"/>
              <w:left w:val="nil"/>
              <w:bottom w:val="nil"/>
              <w:right w:val="nil"/>
            </w:tcBorders>
            <w:noWrap/>
          </w:tcPr>
          <w:p w:rsidR="00E05874" w:rsidRPr="006A207E" w:rsidRDefault="0053334A"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2635</w:t>
            </w:r>
          </w:p>
        </w:tc>
        <w:tc>
          <w:tcPr>
            <w:tcW w:w="709" w:type="dxa"/>
            <w:tcBorders>
              <w:top w:val="nil"/>
              <w:left w:val="nil"/>
              <w:bottom w:val="nil"/>
              <w:right w:val="nil"/>
            </w:tcBorders>
            <w:noWrap/>
          </w:tcPr>
          <w:p w:rsidR="00E05874" w:rsidRPr="006A207E" w:rsidRDefault="0053334A"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42.2</w:t>
            </w:r>
          </w:p>
        </w:tc>
        <w:tc>
          <w:tcPr>
            <w:tcW w:w="1376" w:type="dxa"/>
            <w:gridSpan w:val="2"/>
            <w:tcBorders>
              <w:top w:val="nil"/>
              <w:left w:val="nil"/>
              <w:bottom w:val="nil"/>
              <w:right w:val="single" w:sz="4" w:space="0" w:color="auto"/>
            </w:tcBorders>
            <w:noWrap/>
          </w:tcPr>
          <w:p w:rsidR="00E05874" w:rsidRPr="006A207E" w:rsidRDefault="0053334A" w:rsidP="0053334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6A207E">
              <w:rPr>
                <w:rFonts w:ascii="Times New Roman" w:eastAsiaTheme="minorEastAsia" w:hAnsi="Times New Roman" w:cs="Times New Roman"/>
                <w:sz w:val="18"/>
                <w:szCs w:val="18"/>
                <w:lang w:eastAsia="en-US"/>
              </w:rPr>
              <w:t>40.7</w:t>
            </w:r>
            <w:r>
              <w:rPr>
                <w:rFonts w:ascii="Times New Roman" w:eastAsiaTheme="minorEastAsia" w:hAnsi="Times New Roman" w:cs="Times New Roman"/>
                <w:sz w:val="18"/>
                <w:szCs w:val="18"/>
                <w:lang w:eastAsia="en-US"/>
              </w:rPr>
              <w:t xml:space="preserve"> - </w:t>
            </w:r>
            <w:r w:rsidRPr="006A207E">
              <w:rPr>
                <w:rFonts w:ascii="Times New Roman" w:eastAsiaTheme="minorEastAsia" w:hAnsi="Times New Roman" w:cs="Times New Roman"/>
                <w:sz w:val="18"/>
                <w:szCs w:val="18"/>
                <w:lang w:eastAsia="en-US"/>
              </w:rPr>
              <w:t>43.6</w:t>
            </w:r>
            <w:r>
              <w:rPr>
                <w:rFonts w:ascii="Times New Roman" w:eastAsiaTheme="minorEastAsia" w:hAnsi="Times New Roman" w:cs="Times New Roman"/>
                <w:sz w:val="18"/>
                <w:szCs w:val="18"/>
                <w:lang w:eastAsia="en-US"/>
              </w:rPr>
              <w:t xml:space="preserve">) </w:t>
            </w:r>
          </w:p>
        </w:tc>
        <w:tc>
          <w:tcPr>
            <w:tcW w:w="753" w:type="dxa"/>
            <w:tcBorders>
              <w:top w:val="nil"/>
              <w:left w:val="single" w:sz="4" w:space="0" w:color="auto"/>
              <w:bottom w:val="nil"/>
              <w:right w:val="nil"/>
            </w:tcBorders>
            <w:noWrap/>
          </w:tcPr>
          <w:p w:rsidR="00E05874" w:rsidRPr="00FF7DD2" w:rsidRDefault="0053334A"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1534</w:t>
            </w:r>
          </w:p>
        </w:tc>
        <w:tc>
          <w:tcPr>
            <w:tcW w:w="708" w:type="dxa"/>
            <w:tcBorders>
              <w:top w:val="nil"/>
              <w:left w:val="nil"/>
              <w:bottom w:val="nil"/>
              <w:right w:val="nil"/>
            </w:tcBorders>
            <w:noWrap/>
          </w:tcPr>
          <w:p w:rsidR="00E05874" w:rsidRPr="00FF7DD2" w:rsidRDefault="0053334A"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41.0</w:t>
            </w:r>
          </w:p>
        </w:tc>
        <w:tc>
          <w:tcPr>
            <w:tcW w:w="1326" w:type="dxa"/>
            <w:gridSpan w:val="2"/>
            <w:tcBorders>
              <w:top w:val="nil"/>
              <w:left w:val="nil"/>
              <w:bottom w:val="nil"/>
              <w:right w:val="nil"/>
            </w:tcBorders>
            <w:shd w:val="clear" w:color="auto" w:fill="FFFFFF" w:themeFill="background1"/>
            <w:noWrap/>
          </w:tcPr>
          <w:p w:rsidR="00E05874" w:rsidRPr="00FF7DD2" w:rsidRDefault="0053334A" w:rsidP="0053334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FF7DD2">
              <w:rPr>
                <w:rFonts w:ascii="Times New Roman" w:eastAsiaTheme="minorEastAsia" w:hAnsi="Times New Roman" w:cs="Times New Roman"/>
                <w:sz w:val="18"/>
                <w:szCs w:val="18"/>
                <w:lang w:eastAsia="en-US"/>
              </w:rPr>
              <w:t>39.1</w:t>
            </w:r>
            <w:r>
              <w:rPr>
                <w:rFonts w:ascii="Times New Roman" w:eastAsiaTheme="minorEastAsia" w:hAnsi="Times New Roman" w:cs="Times New Roman"/>
                <w:sz w:val="18"/>
                <w:szCs w:val="18"/>
                <w:lang w:eastAsia="en-US"/>
              </w:rPr>
              <w:t xml:space="preserve"> - </w:t>
            </w:r>
            <w:r w:rsidRPr="00FF7DD2">
              <w:rPr>
                <w:rFonts w:ascii="Times New Roman" w:eastAsiaTheme="minorEastAsia" w:hAnsi="Times New Roman" w:cs="Times New Roman"/>
                <w:sz w:val="18"/>
                <w:szCs w:val="18"/>
                <w:lang w:eastAsia="en-US"/>
              </w:rPr>
              <w:t>42.9</w:t>
            </w:r>
            <w:r>
              <w:rPr>
                <w:rFonts w:ascii="Times New Roman" w:eastAsiaTheme="minorEastAsia" w:hAnsi="Times New Roman" w:cs="Times New Roman"/>
                <w:sz w:val="18"/>
                <w:szCs w:val="18"/>
                <w:lang w:eastAsia="en-US"/>
              </w:rPr>
              <w:t xml:space="preserve">) </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8F0467" w:rsidRDefault="00E05874" w:rsidP="008F0467">
            <w:pPr>
              <w:spacing w:before="20" w:after="20"/>
              <w:ind w:left="176"/>
              <w:rPr>
                <w:rFonts w:ascii="Times New Roman" w:eastAsiaTheme="minorEastAsia" w:hAnsi="Times New Roman" w:cs="Times New Roman"/>
                <w:b w:val="0"/>
                <w:sz w:val="18"/>
                <w:szCs w:val="18"/>
                <w:lang w:eastAsia="en-US"/>
              </w:rPr>
            </w:pPr>
            <w:r w:rsidRPr="008F0467">
              <w:rPr>
                <w:rFonts w:ascii="Times New Roman" w:eastAsiaTheme="minorEastAsia" w:hAnsi="Times New Roman" w:cs="Times New Roman"/>
                <w:b w:val="0"/>
                <w:sz w:val="18"/>
                <w:szCs w:val="18"/>
                <w:lang w:eastAsia="en-US"/>
              </w:rPr>
              <w:t>Median (Score 25)</w:t>
            </w:r>
          </w:p>
        </w:tc>
        <w:tc>
          <w:tcPr>
            <w:tcW w:w="753" w:type="dxa"/>
            <w:tcBorders>
              <w:top w:val="nil"/>
              <w:left w:val="nil"/>
              <w:bottom w:val="nil"/>
              <w:right w:val="nil"/>
            </w:tcBorders>
            <w:noWrap/>
          </w:tcPr>
          <w:p w:rsidR="00E05874" w:rsidRPr="006A207E" w:rsidRDefault="0053334A"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648</w:t>
            </w:r>
          </w:p>
        </w:tc>
        <w:tc>
          <w:tcPr>
            <w:tcW w:w="709" w:type="dxa"/>
            <w:tcBorders>
              <w:top w:val="nil"/>
              <w:left w:val="nil"/>
              <w:bottom w:val="nil"/>
              <w:right w:val="nil"/>
            </w:tcBorders>
            <w:noWrap/>
          </w:tcPr>
          <w:p w:rsidR="00E05874" w:rsidRPr="006A207E" w:rsidRDefault="0053334A" w:rsidP="006A207E">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10.4</w:t>
            </w:r>
          </w:p>
        </w:tc>
        <w:tc>
          <w:tcPr>
            <w:tcW w:w="1376" w:type="dxa"/>
            <w:gridSpan w:val="2"/>
            <w:tcBorders>
              <w:top w:val="nil"/>
              <w:left w:val="nil"/>
              <w:bottom w:val="nil"/>
              <w:right w:val="single" w:sz="4" w:space="0" w:color="auto"/>
            </w:tcBorders>
            <w:noWrap/>
          </w:tcPr>
          <w:p w:rsidR="00E05874" w:rsidRPr="006A207E" w:rsidRDefault="0053334A" w:rsidP="0053334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6A207E">
              <w:rPr>
                <w:rFonts w:ascii="Times New Roman" w:eastAsiaTheme="minorEastAsia" w:hAnsi="Times New Roman" w:cs="Times New Roman"/>
                <w:sz w:val="18"/>
                <w:szCs w:val="18"/>
                <w:lang w:eastAsia="en-US"/>
              </w:rPr>
              <w:t>9.5</w:t>
            </w:r>
            <w:r>
              <w:rPr>
                <w:rFonts w:ascii="Times New Roman" w:eastAsiaTheme="minorEastAsia" w:hAnsi="Times New Roman" w:cs="Times New Roman"/>
                <w:sz w:val="18"/>
                <w:szCs w:val="18"/>
                <w:lang w:eastAsia="en-US"/>
              </w:rPr>
              <w:t xml:space="preserve"> - </w:t>
            </w:r>
            <w:r w:rsidRPr="006A207E">
              <w:rPr>
                <w:rFonts w:ascii="Times New Roman" w:eastAsiaTheme="minorEastAsia" w:hAnsi="Times New Roman" w:cs="Times New Roman"/>
                <w:sz w:val="18"/>
                <w:szCs w:val="18"/>
                <w:lang w:eastAsia="en-US"/>
              </w:rPr>
              <w:t>11.3</w:t>
            </w:r>
            <w:r>
              <w:rPr>
                <w:rFonts w:ascii="Times New Roman" w:eastAsiaTheme="minorEastAsia" w:hAnsi="Times New Roman" w:cs="Times New Roman"/>
                <w:sz w:val="18"/>
                <w:szCs w:val="18"/>
                <w:lang w:eastAsia="en-US"/>
              </w:rPr>
              <w:t xml:space="preserve">) </w:t>
            </w:r>
          </w:p>
        </w:tc>
        <w:tc>
          <w:tcPr>
            <w:tcW w:w="753" w:type="dxa"/>
            <w:tcBorders>
              <w:top w:val="nil"/>
              <w:left w:val="single" w:sz="4" w:space="0" w:color="auto"/>
              <w:bottom w:val="nil"/>
              <w:right w:val="nil"/>
            </w:tcBorders>
            <w:noWrap/>
          </w:tcPr>
          <w:p w:rsidR="00E05874" w:rsidRPr="00FF7DD2" w:rsidRDefault="0053334A"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369</w:t>
            </w:r>
          </w:p>
        </w:tc>
        <w:tc>
          <w:tcPr>
            <w:tcW w:w="708" w:type="dxa"/>
            <w:tcBorders>
              <w:top w:val="nil"/>
              <w:left w:val="nil"/>
              <w:bottom w:val="nil"/>
              <w:right w:val="nil"/>
            </w:tcBorders>
            <w:noWrap/>
          </w:tcPr>
          <w:p w:rsidR="00E05874" w:rsidRPr="00FF7DD2" w:rsidRDefault="0053334A" w:rsidP="00FF7DD2">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9.9</w:t>
            </w:r>
          </w:p>
        </w:tc>
        <w:tc>
          <w:tcPr>
            <w:tcW w:w="1326" w:type="dxa"/>
            <w:gridSpan w:val="2"/>
            <w:tcBorders>
              <w:top w:val="nil"/>
              <w:left w:val="nil"/>
              <w:bottom w:val="nil"/>
              <w:right w:val="nil"/>
            </w:tcBorders>
            <w:shd w:val="clear" w:color="auto" w:fill="FFFFFF" w:themeFill="background1"/>
            <w:noWrap/>
          </w:tcPr>
          <w:p w:rsidR="00E05874" w:rsidRPr="00FF7DD2" w:rsidRDefault="0053334A" w:rsidP="0053334A">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FF7DD2">
              <w:rPr>
                <w:rFonts w:ascii="Times New Roman" w:eastAsiaTheme="minorEastAsia" w:hAnsi="Times New Roman" w:cs="Times New Roman"/>
                <w:sz w:val="18"/>
                <w:szCs w:val="18"/>
                <w:lang w:eastAsia="en-US"/>
              </w:rPr>
              <w:t>8.8</w:t>
            </w:r>
            <w:r>
              <w:rPr>
                <w:rFonts w:ascii="Times New Roman" w:eastAsiaTheme="minorEastAsia" w:hAnsi="Times New Roman" w:cs="Times New Roman"/>
                <w:sz w:val="18"/>
                <w:szCs w:val="18"/>
                <w:lang w:eastAsia="en-US"/>
              </w:rPr>
              <w:t xml:space="preserve"> - </w:t>
            </w:r>
            <w:r w:rsidRPr="00FF7DD2">
              <w:rPr>
                <w:rFonts w:ascii="Times New Roman" w:eastAsiaTheme="minorEastAsia" w:hAnsi="Times New Roman" w:cs="Times New Roman"/>
                <w:sz w:val="18"/>
                <w:szCs w:val="18"/>
                <w:lang w:eastAsia="en-US"/>
              </w:rPr>
              <w:t>11.0</w:t>
            </w:r>
            <w:r>
              <w:rPr>
                <w:rFonts w:ascii="Times New Roman" w:eastAsiaTheme="minorEastAsia" w:hAnsi="Times New Roman" w:cs="Times New Roman"/>
                <w:sz w:val="18"/>
                <w:szCs w:val="18"/>
                <w:lang w:eastAsia="en-US"/>
              </w:rPr>
              <w:t xml:space="preserve">) </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8F0467" w:rsidRDefault="00E05874" w:rsidP="008F0467">
            <w:pPr>
              <w:spacing w:before="20" w:after="20"/>
              <w:ind w:left="176"/>
              <w:rPr>
                <w:rFonts w:ascii="Times New Roman" w:eastAsiaTheme="minorEastAsia" w:hAnsi="Times New Roman" w:cs="Times New Roman"/>
                <w:b w:val="0"/>
                <w:sz w:val="18"/>
                <w:szCs w:val="18"/>
                <w:lang w:eastAsia="en-US"/>
              </w:rPr>
            </w:pPr>
            <w:r w:rsidRPr="008F0467">
              <w:rPr>
                <w:rFonts w:ascii="Times New Roman" w:eastAsiaTheme="minorEastAsia" w:hAnsi="Times New Roman" w:cs="Times New Roman"/>
                <w:b w:val="0"/>
                <w:sz w:val="18"/>
                <w:szCs w:val="18"/>
                <w:lang w:eastAsia="en-US"/>
              </w:rPr>
              <w:t>Above median (Score 26 - 32)</w:t>
            </w:r>
          </w:p>
        </w:tc>
        <w:tc>
          <w:tcPr>
            <w:tcW w:w="753" w:type="dxa"/>
            <w:tcBorders>
              <w:top w:val="nil"/>
              <w:left w:val="nil"/>
              <w:bottom w:val="nil"/>
              <w:right w:val="nil"/>
            </w:tcBorders>
            <w:noWrap/>
            <w:vAlign w:val="center"/>
          </w:tcPr>
          <w:p w:rsidR="00E05874" w:rsidRPr="006A207E" w:rsidRDefault="0053334A" w:rsidP="00C917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2962</w:t>
            </w:r>
          </w:p>
        </w:tc>
        <w:tc>
          <w:tcPr>
            <w:tcW w:w="709" w:type="dxa"/>
            <w:tcBorders>
              <w:top w:val="nil"/>
              <w:left w:val="nil"/>
              <w:bottom w:val="nil"/>
              <w:right w:val="nil"/>
            </w:tcBorders>
            <w:noWrap/>
            <w:vAlign w:val="center"/>
          </w:tcPr>
          <w:p w:rsidR="00E05874" w:rsidRPr="006A207E" w:rsidRDefault="0053334A" w:rsidP="00C917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47.4</w:t>
            </w:r>
          </w:p>
        </w:tc>
        <w:tc>
          <w:tcPr>
            <w:tcW w:w="1376" w:type="dxa"/>
            <w:gridSpan w:val="2"/>
            <w:tcBorders>
              <w:top w:val="nil"/>
              <w:left w:val="nil"/>
              <w:bottom w:val="nil"/>
              <w:right w:val="single" w:sz="4" w:space="0" w:color="auto"/>
            </w:tcBorders>
            <w:noWrap/>
            <w:vAlign w:val="center"/>
          </w:tcPr>
          <w:p w:rsidR="00E05874" w:rsidRPr="006A207E" w:rsidRDefault="0053334A"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6A207E">
              <w:rPr>
                <w:rFonts w:ascii="Times New Roman" w:eastAsiaTheme="minorEastAsia" w:hAnsi="Times New Roman" w:cs="Times New Roman"/>
                <w:sz w:val="18"/>
                <w:szCs w:val="18"/>
                <w:lang w:eastAsia="en-US"/>
              </w:rPr>
              <w:t>46.0</w:t>
            </w:r>
            <w:r>
              <w:rPr>
                <w:rFonts w:ascii="Times New Roman" w:eastAsiaTheme="minorEastAsia" w:hAnsi="Times New Roman" w:cs="Times New Roman"/>
                <w:sz w:val="18"/>
                <w:szCs w:val="18"/>
                <w:lang w:eastAsia="en-US"/>
              </w:rPr>
              <w:t xml:space="preserve"> - </w:t>
            </w:r>
            <w:r w:rsidRPr="006A207E">
              <w:rPr>
                <w:rFonts w:ascii="Times New Roman" w:eastAsiaTheme="minorEastAsia" w:hAnsi="Times New Roman" w:cs="Times New Roman"/>
                <w:sz w:val="18"/>
                <w:szCs w:val="18"/>
                <w:lang w:eastAsia="en-US"/>
              </w:rPr>
              <w:t>48.9</w:t>
            </w:r>
            <w:r>
              <w:rPr>
                <w:rFonts w:ascii="Times New Roman" w:eastAsiaTheme="minorEastAsia" w:hAnsi="Times New Roman" w:cs="Times New Roman"/>
                <w:sz w:val="18"/>
                <w:szCs w:val="18"/>
                <w:lang w:eastAsia="en-US"/>
              </w:rPr>
              <w:t>)</w:t>
            </w:r>
          </w:p>
        </w:tc>
        <w:tc>
          <w:tcPr>
            <w:tcW w:w="753" w:type="dxa"/>
            <w:tcBorders>
              <w:top w:val="nil"/>
              <w:left w:val="single" w:sz="4" w:space="0" w:color="auto"/>
              <w:bottom w:val="nil"/>
              <w:right w:val="nil"/>
            </w:tcBorders>
            <w:noWrap/>
            <w:vAlign w:val="center"/>
          </w:tcPr>
          <w:p w:rsidR="00E05874" w:rsidRPr="00FF7DD2" w:rsidRDefault="0053334A" w:rsidP="00C917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1840</w:t>
            </w:r>
          </w:p>
        </w:tc>
        <w:tc>
          <w:tcPr>
            <w:tcW w:w="708" w:type="dxa"/>
            <w:tcBorders>
              <w:top w:val="nil"/>
              <w:left w:val="nil"/>
              <w:bottom w:val="nil"/>
              <w:right w:val="nil"/>
            </w:tcBorders>
            <w:noWrap/>
            <w:vAlign w:val="center"/>
          </w:tcPr>
          <w:p w:rsidR="00E05874" w:rsidRPr="00FF7DD2" w:rsidRDefault="0053334A" w:rsidP="00C917A7">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49.2</w:t>
            </w:r>
          </w:p>
        </w:tc>
        <w:tc>
          <w:tcPr>
            <w:tcW w:w="1326" w:type="dxa"/>
            <w:gridSpan w:val="2"/>
            <w:tcBorders>
              <w:top w:val="nil"/>
              <w:left w:val="nil"/>
              <w:bottom w:val="nil"/>
              <w:right w:val="nil"/>
            </w:tcBorders>
            <w:shd w:val="clear" w:color="auto" w:fill="FFFFFF" w:themeFill="background1"/>
            <w:noWrap/>
            <w:vAlign w:val="center"/>
          </w:tcPr>
          <w:p w:rsidR="00E05874" w:rsidRPr="00FF7DD2" w:rsidRDefault="0053334A" w:rsidP="00E05874">
            <w:pPr>
              <w:spacing w:before="20" w:after="20"/>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eastAsia="en-US"/>
              </w:rPr>
            </w:pPr>
            <w:r>
              <w:rPr>
                <w:rFonts w:ascii="Times New Roman" w:eastAsiaTheme="minorEastAsia" w:hAnsi="Times New Roman" w:cs="Times New Roman"/>
                <w:sz w:val="18"/>
                <w:szCs w:val="18"/>
                <w:lang w:eastAsia="en-US"/>
              </w:rPr>
              <w:t>(</w:t>
            </w:r>
            <w:r w:rsidRPr="00FF7DD2">
              <w:rPr>
                <w:rFonts w:ascii="Times New Roman" w:eastAsiaTheme="minorEastAsia" w:hAnsi="Times New Roman" w:cs="Times New Roman"/>
                <w:sz w:val="18"/>
                <w:szCs w:val="18"/>
                <w:lang w:eastAsia="en-US"/>
              </w:rPr>
              <w:t>47.2</w:t>
            </w:r>
            <w:r>
              <w:rPr>
                <w:rFonts w:ascii="Times New Roman" w:eastAsiaTheme="minorEastAsia" w:hAnsi="Times New Roman" w:cs="Times New Roman"/>
                <w:sz w:val="18"/>
                <w:szCs w:val="18"/>
                <w:lang w:eastAsia="en-US"/>
              </w:rPr>
              <w:t xml:space="preserve"> - </w:t>
            </w:r>
            <w:r w:rsidRPr="00FF7DD2">
              <w:rPr>
                <w:rFonts w:ascii="Times New Roman" w:eastAsiaTheme="minorEastAsia" w:hAnsi="Times New Roman" w:cs="Times New Roman"/>
                <w:sz w:val="18"/>
                <w:szCs w:val="18"/>
                <w:lang w:eastAsia="en-US"/>
              </w:rPr>
              <w:t>51.1</w:t>
            </w:r>
            <w:r>
              <w:rPr>
                <w:rFonts w:ascii="Times New Roman" w:eastAsiaTheme="minorEastAsia" w:hAnsi="Times New Roman" w:cs="Times New Roman"/>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8F0467" w:rsidRDefault="00E05874" w:rsidP="008F0467">
            <w:pPr>
              <w:spacing w:before="20" w:after="20"/>
              <w:ind w:left="176"/>
              <w:rPr>
                <w:rFonts w:ascii="Times New Roman" w:eastAsiaTheme="minorEastAsia" w:hAnsi="Times New Roman" w:cs="Times New Roman"/>
                <w:b w:val="0"/>
                <w:sz w:val="18"/>
                <w:szCs w:val="18"/>
                <w:lang w:eastAsia="en-US"/>
              </w:rPr>
            </w:pPr>
            <w:r w:rsidRPr="008F0467">
              <w:rPr>
                <w:rFonts w:ascii="Times New Roman" w:eastAsiaTheme="minorEastAsia" w:hAnsi="Times New Roman" w:cs="Times New Roman"/>
                <w:b w:val="0"/>
                <w:sz w:val="18"/>
                <w:szCs w:val="18"/>
                <w:lang w:eastAsia="en-US"/>
              </w:rPr>
              <w:t>Missing</w:t>
            </w:r>
          </w:p>
        </w:tc>
        <w:tc>
          <w:tcPr>
            <w:tcW w:w="753" w:type="dxa"/>
            <w:tcBorders>
              <w:top w:val="nil"/>
              <w:left w:val="nil"/>
              <w:bottom w:val="nil"/>
              <w:right w:val="nil"/>
            </w:tcBorders>
            <w:noWrap/>
          </w:tcPr>
          <w:p w:rsidR="00E05874" w:rsidRPr="008F0467"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8</w:t>
            </w:r>
          </w:p>
        </w:tc>
        <w:tc>
          <w:tcPr>
            <w:tcW w:w="709" w:type="dxa"/>
            <w:tcBorders>
              <w:top w:val="nil"/>
              <w:left w:val="nil"/>
              <w:bottom w:val="nil"/>
              <w:right w:val="nil"/>
            </w:tcBorders>
            <w:noWrap/>
          </w:tcPr>
          <w:p w:rsidR="00E05874" w:rsidRPr="008F0467"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76" w:type="dxa"/>
            <w:gridSpan w:val="2"/>
            <w:tcBorders>
              <w:top w:val="nil"/>
              <w:left w:val="nil"/>
              <w:bottom w:val="nil"/>
              <w:right w:val="single" w:sz="4" w:space="0" w:color="auto"/>
            </w:tcBorders>
            <w:noWrap/>
          </w:tcPr>
          <w:p w:rsidR="00E05874" w:rsidRPr="008F046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vAlign w:val="center"/>
          </w:tcPr>
          <w:p w:rsidR="00E05874" w:rsidRPr="008F0467"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w:t>
            </w:r>
          </w:p>
        </w:tc>
        <w:tc>
          <w:tcPr>
            <w:tcW w:w="708" w:type="dxa"/>
            <w:tcBorders>
              <w:top w:val="nil"/>
              <w:left w:val="nil"/>
              <w:bottom w:val="nil"/>
              <w:right w:val="nil"/>
            </w:tcBorders>
            <w:noWrap/>
            <w:vAlign w:val="center"/>
          </w:tcPr>
          <w:p w:rsidR="00E05874" w:rsidRPr="008F0467"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26" w:type="dxa"/>
            <w:gridSpan w:val="2"/>
            <w:tcBorders>
              <w:top w:val="nil"/>
              <w:left w:val="nil"/>
              <w:bottom w:val="nil"/>
              <w:right w:val="nil"/>
            </w:tcBorders>
            <w:shd w:val="clear" w:color="auto" w:fill="FFFFFF" w:themeFill="background1"/>
            <w:noWrap/>
            <w:vAlign w:val="center"/>
          </w:tcPr>
          <w:p w:rsidR="00E05874" w:rsidRPr="008F046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3434" w:type="dxa"/>
            <w:gridSpan w:val="2"/>
            <w:tcBorders>
              <w:top w:val="nil"/>
              <w:left w:val="nil"/>
              <w:bottom w:val="nil"/>
              <w:right w:val="nil"/>
            </w:tcBorders>
          </w:tcPr>
          <w:p w:rsidR="00FF7DD2" w:rsidRPr="00FF7DD2" w:rsidRDefault="00FF7DD2" w:rsidP="00FF7DD2">
            <w:pPr>
              <w:spacing w:before="20" w:after="20"/>
              <w:rPr>
                <w:rFonts w:ascii="Times New Roman" w:eastAsiaTheme="minorEastAsia" w:hAnsi="Times New Roman" w:cs="Times New Roman"/>
                <w:sz w:val="18"/>
                <w:szCs w:val="18"/>
                <w:lang w:eastAsia="en-US"/>
              </w:rPr>
            </w:pPr>
            <w:r w:rsidRPr="00A523E3">
              <w:rPr>
                <w:rFonts w:ascii="Times New Roman" w:eastAsiaTheme="minorEastAsia" w:hAnsi="Times New Roman" w:cs="Times New Roman"/>
                <w:sz w:val="18"/>
                <w:szCs w:val="18"/>
                <w:lang w:eastAsia="en-US"/>
              </w:rPr>
              <w:t>Psychological distress (Kessler-10)</w:t>
            </w:r>
          </w:p>
        </w:tc>
        <w:tc>
          <w:tcPr>
            <w:tcW w:w="709" w:type="dxa"/>
            <w:tcBorders>
              <w:top w:val="nil"/>
              <w:left w:val="nil"/>
              <w:bottom w:val="nil"/>
              <w:right w:val="nil"/>
            </w:tcBorders>
            <w:noWrap/>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254" w:type="dxa"/>
            <w:tcBorders>
              <w:top w:val="nil"/>
              <w:left w:val="nil"/>
              <w:bottom w:val="nil"/>
              <w:right w:val="nil"/>
            </w:tcBorders>
            <w:noWrap/>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1122" w:type="dxa"/>
            <w:tcBorders>
              <w:top w:val="nil"/>
              <w:left w:val="nil"/>
              <w:bottom w:val="nil"/>
              <w:right w:val="single" w:sz="4" w:space="0" w:color="auto"/>
            </w:tcBorders>
            <w:noWrap/>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53" w:type="dxa"/>
            <w:tcBorders>
              <w:top w:val="nil"/>
              <w:left w:val="single" w:sz="4" w:space="0" w:color="auto"/>
              <w:bottom w:val="nil"/>
              <w:right w:val="nil"/>
            </w:tcBorders>
            <w:noWrap/>
            <w:vAlign w:val="center"/>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8" w:type="dxa"/>
            <w:tcBorders>
              <w:top w:val="nil"/>
              <w:left w:val="nil"/>
              <w:bottom w:val="nil"/>
              <w:right w:val="nil"/>
            </w:tcBorders>
            <w:noWrap/>
            <w:vAlign w:val="center"/>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619" w:type="dxa"/>
            <w:tcBorders>
              <w:top w:val="nil"/>
              <w:left w:val="nil"/>
              <w:bottom w:val="nil"/>
              <w:right w:val="nil"/>
            </w:tcBorders>
            <w:shd w:val="clear" w:color="auto" w:fill="FFFFFF" w:themeFill="background1"/>
            <w:noWrap/>
            <w:vAlign w:val="center"/>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7" w:type="dxa"/>
            <w:tcBorders>
              <w:top w:val="nil"/>
              <w:left w:val="nil"/>
              <w:bottom w:val="nil"/>
              <w:right w:val="nil"/>
            </w:tcBorders>
            <w:noWrap/>
            <w:vAlign w:val="center"/>
          </w:tcPr>
          <w:p w:rsidR="00FF7DD2" w:rsidRPr="008F0467"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Score </w:t>
            </w:r>
            <w:r w:rsidRPr="00A523E3">
              <w:rPr>
                <w:rFonts w:ascii="Times New Roman" w:eastAsiaTheme="minorEastAsia" w:hAnsi="Times New Roman" w:cs="Times New Roman"/>
                <w:b w:val="0"/>
                <w:sz w:val="18"/>
                <w:szCs w:val="18"/>
                <w:lang w:eastAsia="en-US"/>
              </w:rPr>
              <w:t>0</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5</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4597</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73.6</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72.3</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74.9</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2831</w:t>
            </w:r>
          </w:p>
        </w:tc>
        <w:tc>
          <w:tcPr>
            <w:tcW w:w="708" w:type="dxa"/>
            <w:tcBorders>
              <w:top w:val="nil"/>
              <w:left w:val="nil"/>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75.6</w:t>
            </w:r>
          </w:p>
        </w:tc>
        <w:tc>
          <w:tcPr>
            <w:tcW w:w="1326" w:type="dxa"/>
            <w:gridSpan w:val="2"/>
            <w:tcBorders>
              <w:top w:val="nil"/>
              <w:left w:val="nil"/>
              <w:bottom w:val="nil"/>
              <w:right w:val="nil"/>
            </w:tcBorders>
            <w:shd w:val="clear" w:color="auto" w:fill="FFFFFF" w:themeFill="background1"/>
            <w:noWrap/>
          </w:tcPr>
          <w:p w:rsidR="00E05874" w:rsidRPr="00FF7DD2"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FF7DD2">
              <w:rPr>
                <w:rFonts w:ascii="Times New Roman" w:eastAsiaTheme="minorEastAsia" w:hAnsi="Times New Roman" w:cs="Times New Roman"/>
                <w:bCs/>
                <w:sz w:val="18"/>
                <w:szCs w:val="18"/>
                <w:lang w:eastAsia="en-US"/>
              </w:rPr>
              <w:t>73.9</w:t>
            </w:r>
            <w:r>
              <w:rPr>
                <w:rFonts w:ascii="Times New Roman" w:eastAsiaTheme="minorEastAsia" w:hAnsi="Times New Roman" w:cs="Times New Roman"/>
                <w:bCs/>
                <w:sz w:val="18"/>
                <w:szCs w:val="18"/>
                <w:lang w:eastAsia="en-US"/>
              </w:rPr>
              <w:t xml:space="preserve"> - </w:t>
            </w:r>
            <w:r w:rsidRPr="00FF7DD2">
              <w:rPr>
                <w:rFonts w:ascii="Times New Roman" w:eastAsiaTheme="minorEastAsia" w:hAnsi="Times New Roman" w:cs="Times New Roman"/>
                <w:bCs/>
                <w:sz w:val="18"/>
                <w:szCs w:val="18"/>
                <w:lang w:eastAsia="en-US"/>
              </w:rPr>
              <w:t>77.2</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Score </w:t>
            </w:r>
            <w:r w:rsidRPr="00A523E3">
              <w:rPr>
                <w:rFonts w:ascii="Times New Roman" w:eastAsiaTheme="minorEastAsia" w:hAnsi="Times New Roman" w:cs="Times New Roman"/>
                <w:b w:val="0"/>
                <w:sz w:val="18"/>
                <w:szCs w:val="18"/>
                <w:lang w:eastAsia="en-US"/>
              </w:rPr>
              <w:t>6</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11</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1204</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19.3</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18.1</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20.5</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659</w:t>
            </w:r>
          </w:p>
        </w:tc>
        <w:tc>
          <w:tcPr>
            <w:tcW w:w="708" w:type="dxa"/>
            <w:tcBorders>
              <w:top w:val="nil"/>
              <w:left w:val="nil"/>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17.6</w:t>
            </w:r>
          </w:p>
        </w:tc>
        <w:tc>
          <w:tcPr>
            <w:tcW w:w="1326" w:type="dxa"/>
            <w:gridSpan w:val="2"/>
            <w:tcBorders>
              <w:top w:val="nil"/>
              <w:left w:val="nil"/>
              <w:bottom w:val="nil"/>
              <w:right w:val="nil"/>
            </w:tcBorders>
            <w:shd w:val="clear" w:color="auto" w:fill="FFFFFF" w:themeFill="background1"/>
            <w:noWrap/>
          </w:tcPr>
          <w:p w:rsidR="00E05874" w:rsidRPr="00FF7DD2"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FF7DD2">
              <w:rPr>
                <w:rFonts w:ascii="Times New Roman" w:eastAsiaTheme="minorEastAsia" w:hAnsi="Times New Roman" w:cs="Times New Roman"/>
                <w:bCs/>
                <w:sz w:val="18"/>
                <w:szCs w:val="18"/>
                <w:lang w:eastAsia="en-US"/>
              </w:rPr>
              <w:t>16.1</w:t>
            </w:r>
            <w:r>
              <w:rPr>
                <w:rFonts w:ascii="Times New Roman" w:eastAsiaTheme="minorEastAsia" w:hAnsi="Times New Roman" w:cs="Times New Roman"/>
                <w:bCs/>
                <w:sz w:val="18"/>
                <w:szCs w:val="18"/>
                <w:lang w:eastAsia="en-US"/>
              </w:rPr>
              <w:t xml:space="preserve"> - </w:t>
            </w:r>
            <w:r w:rsidRPr="00FF7DD2">
              <w:rPr>
                <w:rFonts w:ascii="Times New Roman" w:eastAsiaTheme="minorEastAsia" w:hAnsi="Times New Roman" w:cs="Times New Roman"/>
                <w:bCs/>
                <w:sz w:val="18"/>
                <w:szCs w:val="18"/>
                <w:lang w:eastAsia="en-US"/>
              </w:rPr>
              <w:t>19.1</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Score </w:t>
            </w:r>
            <w:r w:rsidRPr="00A523E3">
              <w:rPr>
                <w:rFonts w:ascii="Times New Roman" w:eastAsiaTheme="minorEastAsia" w:hAnsi="Times New Roman" w:cs="Times New Roman"/>
                <w:b w:val="0"/>
                <w:sz w:val="18"/>
                <w:szCs w:val="18"/>
                <w:lang w:eastAsia="en-US"/>
              </w:rPr>
              <w:t>12</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19</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339</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5.4</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4.8</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6.1</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207</w:t>
            </w:r>
          </w:p>
        </w:tc>
        <w:tc>
          <w:tcPr>
            <w:tcW w:w="708" w:type="dxa"/>
            <w:tcBorders>
              <w:top w:val="nil"/>
              <w:left w:val="nil"/>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5.5</w:t>
            </w:r>
          </w:p>
        </w:tc>
        <w:tc>
          <w:tcPr>
            <w:tcW w:w="1326" w:type="dxa"/>
            <w:gridSpan w:val="2"/>
            <w:tcBorders>
              <w:top w:val="nil"/>
              <w:left w:val="nil"/>
              <w:bottom w:val="nil"/>
              <w:right w:val="nil"/>
            </w:tcBorders>
            <w:shd w:val="clear" w:color="auto" w:fill="FFFFFF" w:themeFill="background1"/>
            <w:noWrap/>
          </w:tcPr>
          <w:p w:rsidR="00E05874" w:rsidRPr="00FF7DD2"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FF7DD2">
              <w:rPr>
                <w:rFonts w:ascii="Times New Roman" w:eastAsiaTheme="minorEastAsia" w:hAnsi="Times New Roman" w:cs="Times New Roman"/>
                <w:bCs/>
                <w:sz w:val="18"/>
                <w:szCs w:val="18"/>
                <w:lang w:eastAsia="en-US"/>
              </w:rPr>
              <w:t>4.7</w:t>
            </w:r>
            <w:r>
              <w:rPr>
                <w:rFonts w:ascii="Times New Roman" w:eastAsiaTheme="minorEastAsia" w:hAnsi="Times New Roman" w:cs="Times New Roman"/>
                <w:bCs/>
                <w:sz w:val="18"/>
                <w:szCs w:val="18"/>
                <w:lang w:eastAsia="en-US"/>
              </w:rPr>
              <w:t xml:space="preserve"> - </w:t>
            </w:r>
            <w:r w:rsidRPr="00FF7DD2">
              <w:rPr>
                <w:rFonts w:ascii="Times New Roman" w:eastAsiaTheme="minorEastAsia" w:hAnsi="Times New Roman" w:cs="Times New Roman"/>
                <w:bCs/>
                <w:sz w:val="18"/>
                <w:szCs w:val="18"/>
                <w:lang w:eastAsia="en-US"/>
              </w:rPr>
              <w:t>6.4</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 xml:space="preserve">Score </w:t>
            </w:r>
            <w:r w:rsidRPr="00A523E3">
              <w:rPr>
                <w:rFonts w:ascii="Times New Roman" w:eastAsiaTheme="minorEastAsia" w:hAnsi="Times New Roman" w:cs="Times New Roman"/>
                <w:b w:val="0"/>
                <w:sz w:val="18"/>
                <w:szCs w:val="18"/>
                <w:lang w:eastAsia="en-US"/>
              </w:rPr>
              <w:t>20</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w:t>
            </w:r>
            <w:r>
              <w:rPr>
                <w:rFonts w:ascii="Times New Roman" w:eastAsiaTheme="minorEastAsia" w:hAnsi="Times New Roman" w:cs="Times New Roman"/>
                <w:b w:val="0"/>
                <w:sz w:val="18"/>
                <w:szCs w:val="18"/>
                <w:lang w:eastAsia="en-US"/>
              </w:rPr>
              <w:t xml:space="preserve"> </w:t>
            </w:r>
            <w:r w:rsidRPr="00A523E3">
              <w:rPr>
                <w:rFonts w:ascii="Times New Roman" w:eastAsiaTheme="minorEastAsia" w:hAnsi="Times New Roman" w:cs="Times New Roman"/>
                <w:b w:val="0"/>
                <w:sz w:val="18"/>
                <w:szCs w:val="18"/>
                <w:lang w:eastAsia="en-US"/>
              </w:rPr>
              <w:t>40</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107</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1.7</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1.4</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2.6</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48</w:t>
            </w:r>
          </w:p>
        </w:tc>
        <w:tc>
          <w:tcPr>
            <w:tcW w:w="708" w:type="dxa"/>
            <w:tcBorders>
              <w:top w:val="nil"/>
              <w:left w:val="nil"/>
              <w:bottom w:val="nil"/>
              <w:right w:val="nil"/>
            </w:tcBorders>
            <w:noWrap/>
          </w:tcPr>
          <w:p w:rsidR="00E05874" w:rsidRPr="00FF7DD2" w:rsidRDefault="00E05874" w:rsidP="00FF7DD2">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FF7DD2">
              <w:rPr>
                <w:rFonts w:ascii="Times New Roman" w:eastAsiaTheme="minorEastAsia" w:hAnsi="Times New Roman" w:cs="Times New Roman"/>
                <w:bCs/>
                <w:sz w:val="18"/>
                <w:szCs w:val="18"/>
                <w:lang w:eastAsia="en-US"/>
              </w:rPr>
              <w:t>1.3</w:t>
            </w:r>
          </w:p>
        </w:tc>
        <w:tc>
          <w:tcPr>
            <w:tcW w:w="1326" w:type="dxa"/>
            <w:gridSpan w:val="2"/>
            <w:tcBorders>
              <w:top w:val="nil"/>
              <w:left w:val="nil"/>
              <w:bottom w:val="nil"/>
              <w:right w:val="nil"/>
            </w:tcBorders>
            <w:shd w:val="clear" w:color="auto" w:fill="FFFFFF" w:themeFill="background1"/>
            <w:noWrap/>
          </w:tcPr>
          <w:p w:rsidR="00E05874" w:rsidRPr="00FF7DD2"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FF7DD2">
              <w:rPr>
                <w:rFonts w:ascii="Times New Roman" w:eastAsiaTheme="minorEastAsia" w:hAnsi="Times New Roman" w:cs="Times New Roman"/>
                <w:bCs/>
                <w:sz w:val="18"/>
                <w:szCs w:val="18"/>
                <w:lang w:eastAsia="en-US"/>
              </w:rPr>
              <w:t>0.9</w:t>
            </w:r>
            <w:r>
              <w:rPr>
                <w:rFonts w:ascii="Times New Roman" w:eastAsiaTheme="minorEastAsia" w:hAnsi="Times New Roman" w:cs="Times New Roman"/>
                <w:bCs/>
                <w:sz w:val="18"/>
                <w:szCs w:val="18"/>
                <w:lang w:eastAsia="en-US"/>
              </w:rPr>
              <w:t xml:space="preserve"> - </w:t>
            </w:r>
            <w:r w:rsidRPr="00FF7DD2">
              <w:rPr>
                <w:rFonts w:ascii="Times New Roman" w:eastAsiaTheme="minorEastAsia" w:hAnsi="Times New Roman" w:cs="Times New Roman"/>
                <w:bCs/>
                <w:sz w:val="18"/>
                <w:szCs w:val="18"/>
                <w:lang w:eastAsia="en-US"/>
              </w:rPr>
              <w:t>1.7</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sidRPr="00A523E3">
              <w:rPr>
                <w:rFonts w:ascii="Times New Roman" w:eastAsiaTheme="minorEastAsia" w:hAnsi="Times New Roman" w:cs="Times New Roman"/>
                <w:b w:val="0"/>
                <w:sz w:val="18"/>
                <w:szCs w:val="18"/>
                <w:lang w:eastAsia="en-US"/>
              </w:rPr>
              <w:t>Missing</w:t>
            </w:r>
          </w:p>
        </w:tc>
        <w:tc>
          <w:tcPr>
            <w:tcW w:w="753"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5</w:t>
            </w:r>
          </w:p>
        </w:tc>
        <w:tc>
          <w:tcPr>
            <w:tcW w:w="709"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08" w:type="dxa"/>
            <w:tcBorders>
              <w:top w:val="nil"/>
              <w:left w:val="nil"/>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4143" w:type="dxa"/>
            <w:gridSpan w:val="3"/>
            <w:tcBorders>
              <w:top w:val="nil"/>
              <w:left w:val="nil"/>
              <w:bottom w:val="nil"/>
              <w:right w:val="nil"/>
            </w:tcBorders>
          </w:tcPr>
          <w:p w:rsidR="00FF7DD2" w:rsidRPr="00FF7DD2" w:rsidRDefault="00FF7DD2" w:rsidP="00FF7DD2">
            <w:pPr>
              <w:spacing w:before="20" w:after="20"/>
              <w:rPr>
                <w:rFonts w:ascii="Times New Roman" w:eastAsiaTheme="minorEastAsia" w:hAnsi="Times New Roman" w:cs="Times New Roman"/>
                <w:sz w:val="18"/>
                <w:szCs w:val="18"/>
                <w:lang w:eastAsia="en-US"/>
              </w:rPr>
            </w:pPr>
            <w:r w:rsidRPr="00FF7DD2">
              <w:rPr>
                <w:rFonts w:ascii="Times New Roman" w:eastAsiaTheme="minorEastAsia" w:hAnsi="Times New Roman" w:cs="Times New Roman"/>
                <w:sz w:val="18"/>
                <w:szCs w:val="18"/>
                <w:lang w:eastAsia="en-US"/>
              </w:rPr>
              <w:t>Hazardous alcohol consumption (AUDIT-C)</w:t>
            </w:r>
          </w:p>
        </w:tc>
        <w:tc>
          <w:tcPr>
            <w:tcW w:w="254" w:type="dxa"/>
            <w:tcBorders>
              <w:top w:val="nil"/>
              <w:left w:val="nil"/>
              <w:bottom w:val="nil"/>
              <w:right w:val="nil"/>
            </w:tcBorders>
            <w:noWrap/>
          </w:tcPr>
          <w:p w:rsidR="00FF7DD2" w:rsidRPr="00FF7DD2"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highlight w:val="yellow"/>
                <w:lang w:eastAsia="en-US"/>
              </w:rPr>
            </w:pPr>
          </w:p>
        </w:tc>
        <w:tc>
          <w:tcPr>
            <w:tcW w:w="1122" w:type="dxa"/>
            <w:tcBorders>
              <w:top w:val="nil"/>
              <w:left w:val="nil"/>
              <w:bottom w:val="nil"/>
              <w:right w:val="single" w:sz="4" w:space="0" w:color="auto"/>
            </w:tcBorders>
            <w:noWrap/>
          </w:tcPr>
          <w:p w:rsidR="00FF7DD2" w:rsidRPr="00FF7DD2"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highlight w:val="yellow"/>
                <w:lang w:eastAsia="en-US"/>
              </w:rPr>
            </w:pPr>
          </w:p>
        </w:tc>
        <w:tc>
          <w:tcPr>
            <w:tcW w:w="753" w:type="dxa"/>
            <w:tcBorders>
              <w:top w:val="nil"/>
              <w:left w:val="single" w:sz="4" w:space="0" w:color="auto"/>
              <w:bottom w:val="nil"/>
              <w:right w:val="nil"/>
            </w:tcBorders>
            <w:noWrap/>
            <w:vAlign w:val="center"/>
          </w:tcPr>
          <w:p w:rsidR="00FF7DD2" w:rsidRPr="00A523E3"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8" w:type="dxa"/>
            <w:tcBorders>
              <w:top w:val="nil"/>
              <w:left w:val="nil"/>
              <w:bottom w:val="nil"/>
              <w:right w:val="nil"/>
            </w:tcBorders>
            <w:noWrap/>
            <w:vAlign w:val="center"/>
          </w:tcPr>
          <w:p w:rsidR="00FF7DD2" w:rsidRPr="00A523E3"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619" w:type="dxa"/>
            <w:tcBorders>
              <w:top w:val="nil"/>
              <w:left w:val="nil"/>
              <w:bottom w:val="nil"/>
              <w:right w:val="nil"/>
            </w:tcBorders>
            <w:shd w:val="clear" w:color="auto" w:fill="FFFFFF" w:themeFill="background1"/>
            <w:noWrap/>
            <w:vAlign w:val="center"/>
          </w:tcPr>
          <w:p w:rsidR="00FF7DD2" w:rsidRPr="00A523E3"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7" w:type="dxa"/>
            <w:tcBorders>
              <w:top w:val="nil"/>
              <w:left w:val="nil"/>
              <w:bottom w:val="nil"/>
              <w:right w:val="nil"/>
            </w:tcBorders>
            <w:noWrap/>
            <w:vAlign w:val="center"/>
          </w:tcPr>
          <w:p w:rsidR="00FF7DD2" w:rsidRPr="00A523E3" w:rsidRDefault="00FF7DD2"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7E675F" w:rsidRDefault="00E05874" w:rsidP="00A523E3">
            <w:pPr>
              <w:spacing w:before="20" w:after="20"/>
              <w:ind w:left="176"/>
              <w:rPr>
                <w:rFonts w:ascii="Times New Roman" w:eastAsiaTheme="minorEastAsia" w:hAnsi="Times New Roman" w:cs="Times New Roman"/>
                <w:b w:val="0"/>
                <w:sz w:val="18"/>
                <w:szCs w:val="18"/>
                <w:lang w:eastAsia="en-US"/>
              </w:rPr>
            </w:pPr>
            <w:r w:rsidRPr="007E675F">
              <w:rPr>
                <w:rFonts w:ascii="Times New Roman" w:eastAsiaTheme="minorEastAsia" w:hAnsi="Times New Roman" w:cs="Times New Roman"/>
                <w:b w:val="0"/>
                <w:sz w:val="18"/>
                <w:szCs w:val="18"/>
                <w:lang w:eastAsia="en-US"/>
              </w:rPr>
              <w:t>No</w:t>
            </w:r>
          </w:p>
        </w:tc>
        <w:tc>
          <w:tcPr>
            <w:tcW w:w="753" w:type="dxa"/>
            <w:tcBorders>
              <w:top w:val="nil"/>
              <w:left w:val="nil"/>
              <w:bottom w:val="nil"/>
              <w:right w:val="nil"/>
            </w:tcBorders>
            <w:noWrap/>
          </w:tcPr>
          <w:p w:rsidR="00E05874" w:rsidRPr="007E675F"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3925</w:t>
            </w:r>
          </w:p>
        </w:tc>
        <w:tc>
          <w:tcPr>
            <w:tcW w:w="709" w:type="dxa"/>
            <w:tcBorders>
              <w:top w:val="nil"/>
              <w:left w:val="nil"/>
              <w:bottom w:val="nil"/>
              <w:right w:val="nil"/>
            </w:tcBorders>
            <w:noWrap/>
          </w:tcPr>
          <w:p w:rsidR="00E05874" w:rsidRPr="007E675F"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62.9</w:t>
            </w:r>
          </w:p>
        </w:tc>
        <w:tc>
          <w:tcPr>
            <w:tcW w:w="1376" w:type="dxa"/>
            <w:gridSpan w:val="2"/>
            <w:tcBorders>
              <w:top w:val="nil"/>
              <w:left w:val="nil"/>
              <w:bottom w:val="nil"/>
              <w:right w:val="single" w:sz="4" w:space="0" w:color="auto"/>
            </w:tcBorders>
            <w:noWrap/>
          </w:tcPr>
          <w:p w:rsidR="00E05874" w:rsidRPr="007E675F"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(61.4 - 64.3)</w:t>
            </w:r>
          </w:p>
        </w:tc>
        <w:tc>
          <w:tcPr>
            <w:tcW w:w="753" w:type="dxa"/>
            <w:tcBorders>
              <w:top w:val="nil"/>
              <w:left w:val="single" w:sz="4" w:space="0" w:color="auto"/>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2437</w:t>
            </w:r>
          </w:p>
        </w:tc>
        <w:tc>
          <w:tcPr>
            <w:tcW w:w="708" w:type="dxa"/>
            <w:tcBorders>
              <w:top w:val="nil"/>
              <w:left w:val="nil"/>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65.1</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(63.2 - 66.9)</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7E675F" w:rsidRDefault="00E05874" w:rsidP="00A523E3">
            <w:pPr>
              <w:spacing w:before="20" w:after="20"/>
              <w:ind w:left="176"/>
              <w:rPr>
                <w:rFonts w:ascii="Times New Roman" w:eastAsiaTheme="minorEastAsia" w:hAnsi="Times New Roman" w:cs="Times New Roman"/>
                <w:b w:val="0"/>
                <w:sz w:val="18"/>
                <w:szCs w:val="18"/>
                <w:lang w:eastAsia="en-US"/>
              </w:rPr>
            </w:pPr>
            <w:r w:rsidRPr="007E675F">
              <w:rPr>
                <w:rFonts w:ascii="Times New Roman" w:eastAsiaTheme="minorEastAsia" w:hAnsi="Times New Roman" w:cs="Times New Roman"/>
                <w:b w:val="0"/>
                <w:sz w:val="18"/>
                <w:szCs w:val="18"/>
                <w:lang w:eastAsia="en-US"/>
              </w:rPr>
              <w:t>Yes</w:t>
            </w:r>
          </w:p>
        </w:tc>
        <w:tc>
          <w:tcPr>
            <w:tcW w:w="753" w:type="dxa"/>
            <w:tcBorders>
              <w:top w:val="nil"/>
              <w:left w:val="nil"/>
              <w:bottom w:val="nil"/>
              <w:right w:val="nil"/>
            </w:tcBorders>
            <w:noWrap/>
          </w:tcPr>
          <w:p w:rsidR="00E05874" w:rsidRPr="007E675F"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2319</w:t>
            </w:r>
          </w:p>
        </w:tc>
        <w:tc>
          <w:tcPr>
            <w:tcW w:w="709" w:type="dxa"/>
            <w:tcBorders>
              <w:top w:val="nil"/>
              <w:left w:val="nil"/>
              <w:bottom w:val="nil"/>
              <w:right w:val="nil"/>
            </w:tcBorders>
            <w:noWrap/>
          </w:tcPr>
          <w:p w:rsidR="00E05874" w:rsidRPr="007E675F"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37.1</w:t>
            </w:r>
          </w:p>
        </w:tc>
        <w:tc>
          <w:tcPr>
            <w:tcW w:w="1376" w:type="dxa"/>
            <w:gridSpan w:val="2"/>
            <w:tcBorders>
              <w:top w:val="nil"/>
              <w:left w:val="nil"/>
              <w:bottom w:val="nil"/>
              <w:right w:val="single" w:sz="4" w:space="0" w:color="auto"/>
            </w:tcBorders>
            <w:noWrap/>
          </w:tcPr>
          <w:p w:rsidR="00E05874" w:rsidRPr="007E675F"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(35.7 - 38.6)</w:t>
            </w:r>
          </w:p>
        </w:tc>
        <w:tc>
          <w:tcPr>
            <w:tcW w:w="753" w:type="dxa"/>
            <w:tcBorders>
              <w:top w:val="nil"/>
              <w:left w:val="single" w:sz="4" w:space="0" w:color="auto"/>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1309</w:t>
            </w:r>
          </w:p>
        </w:tc>
        <w:tc>
          <w:tcPr>
            <w:tcW w:w="708" w:type="dxa"/>
            <w:tcBorders>
              <w:top w:val="nil"/>
              <w:left w:val="nil"/>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34.9</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(33.1 - 36.8)</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7E675F" w:rsidRDefault="00E05874" w:rsidP="00A523E3">
            <w:pPr>
              <w:spacing w:before="20" w:after="20"/>
              <w:ind w:left="176"/>
              <w:rPr>
                <w:rFonts w:ascii="Times New Roman" w:eastAsiaTheme="minorEastAsia" w:hAnsi="Times New Roman" w:cs="Times New Roman"/>
                <w:b w:val="0"/>
                <w:sz w:val="18"/>
                <w:szCs w:val="18"/>
                <w:lang w:eastAsia="en-US"/>
              </w:rPr>
            </w:pPr>
            <w:r w:rsidRPr="007E675F">
              <w:rPr>
                <w:rFonts w:ascii="Times New Roman" w:eastAsiaTheme="minorEastAsia" w:hAnsi="Times New Roman" w:cs="Times New Roman"/>
                <w:b w:val="0"/>
                <w:sz w:val="18"/>
                <w:szCs w:val="18"/>
                <w:lang w:eastAsia="en-US"/>
              </w:rPr>
              <w:t>Missing</w:t>
            </w:r>
          </w:p>
        </w:tc>
        <w:tc>
          <w:tcPr>
            <w:tcW w:w="753" w:type="dxa"/>
            <w:tcBorders>
              <w:top w:val="nil"/>
              <w:left w:val="nil"/>
              <w:bottom w:val="nil"/>
              <w:right w:val="nil"/>
            </w:tcBorders>
            <w:noWrap/>
          </w:tcPr>
          <w:p w:rsidR="00E05874" w:rsidRPr="007E675F"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10</w:t>
            </w:r>
          </w:p>
        </w:tc>
        <w:tc>
          <w:tcPr>
            <w:tcW w:w="709" w:type="dxa"/>
            <w:tcBorders>
              <w:top w:val="nil"/>
              <w:left w:val="nil"/>
              <w:bottom w:val="nil"/>
              <w:right w:val="nil"/>
            </w:tcBorders>
            <w:noWrap/>
          </w:tcPr>
          <w:p w:rsidR="00E05874" w:rsidRPr="007E675F"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w:t>
            </w:r>
          </w:p>
        </w:tc>
        <w:tc>
          <w:tcPr>
            <w:tcW w:w="1376" w:type="dxa"/>
            <w:gridSpan w:val="2"/>
            <w:tcBorders>
              <w:top w:val="nil"/>
              <w:left w:val="nil"/>
              <w:bottom w:val="nil"/>
              <w:right w:val="single" w:sz="4" w:space="0" w:color="auto"/>
            </w:tcBorders>
            <w:noWrap/>
          </w:tcPr>
          <w:p w:rsidR="00E05874" w:rsidRPr="007E675F"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7E675F">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08" w:type="dxa"/>
            <w:tcBorders>
              <w:top w:val="nil"/>
              <w:left w:val="nil"/>
              <w:bottom w:val="nil"/>
              <w:right w:val="nil"/>
            </w:tcBorders>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7E675F"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A523E3" w:rsidRPr="00A523E3" w:rsidRDefault="00A523E3" w:rsidP="00A523E3">
            <w:pPr>
              <w:spacing w:before="20" w:after="20"/>
              <w:rPr>
                <w:rFonts w:ascii="Times New Roman" w:eastAsiaTheme="minorEastAsia" w:hAnsi="Times New Roman" w:cs="Times New Roman"/>
                <w:sz w:val="18"/>
                <w:szCs w:val="18"/>
                <w:lang w:eastAsia="en-US"/>
              </w:rPr>
            </w:pPr>
            <w:r w:rsidRPr="00A523E3">
              <w:rPr>
                <w:rFonts w:ascii="Times New Roman" w:eastAsiaTheme="minorEastAsia" w:hAnsi="Times New Roman" w:cs="Times New Roman"/>
                <w:sz w:val="18"/>
                <w:szCs w:val="18"/>
                <w:lang w:eastAsia="en-US"/>
              </w:rPr>
              <w:t>Other drug use</w:t>
            </w:r>
          </w:p>
        </w:tc>
        <w:tc>
          <w:tcPr>
            <w:tcW w:w="753"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9"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254"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1122" w:type="dxa"/>
            <w:tcBorders>
              <w:top w:val="nil"/>
              <w:left w:val="nil"/>
              <w:bottom w:val="nil"/>
              <w:right w:val="single" w:sz="4" w:space="0" w:color="auto"/>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53" w:type="dxa"/>
            <w:tcBorders>
              <w:top w:val="nil"/>
              <w:left w:val="single" w:sz="4" w:space="0" w:color="auto"/>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8"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619" w:type="dxa"/>
            <w:tcBorders>
              <w:top w:val="nil"/>
              <w:left w:val="nil"/>
              <w:bottom w:val="nil"/>
              <w:right w:val="nil"/>
            </w:tcBorders>
            <w:shd w:val="clear" w:color="auto" w:fill="FFFFFF" w:themeFill="background1"/>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7"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Yes</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916</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14.7</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13.5</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15.8</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427</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11.4</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10.0</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12.8</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No</w:t>
            </w:r>
          </w:p>
        </w:tc>
        <w:tc>
          <w:tcPr>
            <w:tcW w:w="753"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5334</w:t>
            </w:r>
          </w:p>
        </w:tc>
        <w:tc>
          <w:tcPr>
            <w:tcW w:w="709" w:type="dxa"/>
            <w:tcBorders>
              <w:top w:val="nil"/>
              <w:left w:val="nil"/>
              <w:bottom w:val="nil"/>
              <w:right w:val="nil"/>
            </w:tcBorders>
            <w:noWrap/>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A523E3">
              <w:rPr>
                <w:rFonts w:ascii="Times New Roman" w:eastAsiaTheme="minorEastAsia" w:hAnsi="Times New Roman" w:cs="Times New Roman"/>
                <w:bCs/>
                <w:sz w:val="18"/>
                <w:szCs w:val="18"/>
                <w:lang w:eastAsia="en-US"/>
              </w:rPr>
              <w:t>85.3</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A523E3">
              <w:rPr>
                <w:rFonts w:ascii="Times New Roman" w:eastAsiaTheme="minorEastAsia" w:hAnsi="Times New Roman" w:cs="Times New Roman"/>
                <w:bCs/>
                <w:sz w:val="18"/>
                <w:szCs w:val="18"/>
                <w:lang w:eastAsia="en-US"/>
              </w:rPr>
              <w:t>84.2</w:t>
            </w:r>
            <w:r>
              <w:rPr>
                <w:rFonts w:ascii="Times New Roman" w:eastAsiaTheme="minorEastAsia" w:hAnsi="Times New Roman" w:cs="Times New Roman"/>
                <w:bCs/>
                <w:sz w:val="18"/>
                <w:szCs w:val="18"/>
                <w:lang w:eastAsia="en-US"/>
              </w:rPr>
              <w:t xml:space="preserve"> - </w:t>
            </w:r>
            <w:r w:rsidRPr="00A523E3">
              <w:rPr>
                <w:rFonts w:ascii="Times New Roman" w:eastAsiaTheme="minorEastAsia" w:hAnsi="Times New Roman" w:cs="Times New Roman"/>
                <w:bCs/>
                <w:sz w:val="18"/>
                <w:szCs w:val="18"/>
                <w:lang w:eastAsia="en-US"/>
              </w:rPr>
              <w:t>86.5</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3319</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88.6</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87.2</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90.0</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Cannabis</w:t>
            </w:r>
          </w:p>
        </w:tc>
        <w:tc>
          <w:tcPr>
            <w:tcW w:w="753"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757</w:t>
            </w:r>
          </w:p>
        </w:tc>
        <w:tc>
          <w:tcPr>
            <w:tcW w:w="709"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12.1</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(11.1 - 13.2)</w:t>
            </w:r>
          </w:p>
        </w:tc>
        <w:tc>
          <w:tcPr>
            <w:tcW w:w="753" w:type="dxa"/>
            <w:tcBorders>
              <w:top w:val="nil"/>
              <w:left w:val="single" w:sz="4" w:space="0" w:color="auto"/>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342</w:t>
            </w:r>
          </w:p>
        </w:tc>
        <w:tc>
          <w:tcPr>
            <w:tcW w:w="708" w:type="dxa"/>
            <w:tcBorders>
              <w:top w:val="nil"/>
              <w:left w:val="nil"/>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9.1</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(7.8 - 10.4)</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A523E3" w:rsidRPr="00A523E3" w:rsidRDefault="00A523E3" w:rsidP="00A523E3">
            <w:pPr>
              <w:spacing w:before="20" w:after="20"/>
              <w:rPr>
                <w:rFonts w:ascii="Times New Roman" w:eastAsiaTheme="minorEastAsia" w:hAnsi="Times New Roman" w:cs="Times New Roman"/>
                <w:sz w:val="18"/>
                <w:szCs w:val="18"/>
                <w:lang w:eastAsia="en-US"/>
              </w:rPr>
            </w:pPr>
            <w:r w:rsidRPr="00A523E3">
              <w:rPr>
                <w:rFonts w:ascii="Times New Roman" w:eastAsiaTheme="minorEastAsia" w:hAnsi="Times New Roman" w:cs="Times New Roman"/>
                <w:sz w:val="18"/>
                <w:szCs w:val="18"/>
                <w:lang w:eastAsia="en-US"/>
              </w:rPr>
              <w:t>Tobacco use</w:t>
            </w:r>
          </w:p>
        </w:tc>
        <w:tc>
          <w:tcPr>
            <w:tcW w:w="753"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9"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254"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1122" w:type="dxa"/>
            <w:tcBorders>
              <w:top w:val="nil"/>
              <w:left w:val="nil"/>
              <w:bottom w:val="nil"/>
              <w:right w:val="single" w:sz="4" w:space="0" w:color="auto"/>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53" w:type="dxa"/>
            <w:tcBorders>
              <w:top w:val="nil"/>
              <w:left w:val="single" w:sz="4" w:space="0" w:color="auto"/>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8"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619" w:type="dxa"/>
            <w:tcBorders>
              <w:top w:val="nil"/>
              <w:left w:val="nil"/>
              <w:bottom w:val="nil"/>
              <w:right w:val="nil"/>
            </w:tcBorders>
            <w:shd w:val="clear" w:color="auto" w:fill="FFFFFF" w:themeFill="background1"/>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7"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Ever smoked</w:t>
            </w:r>
          </w:p>
        </w:tc>
        <w:tc>
          <w:tcPr>
            <w:tcW w:w="753"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4109</w:t>
            </w:r>
          </w:p>
        </w:tc>
        <w:tc>
          <w:tcPr>
            <w:tcW w:w="709"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65.7</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(64.4 - 67.1)</w:t>
            </w:r>
          </w:p>
        </w:tc>
        <w:tc>
          <w:tcPr>
            <w:tcW w:w="753" w:type="dxa"/>
            <w:tcBorders>
              <w:top w:val="nil"/>
              <w:left w:val="single" w:sz="4" w:space="0" w:color="auto"/>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2449</w:t>
            </w:r>
          </w:p>
        </w:tc>
        <w:tc>
          <w:tcPr>
            <w:tcW w:w="708" w:type="dxa"/>
            <w:tcBorders>
              <w:top w:val="nil"/>
              <w:left w:val="nil"/>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65.4</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(63.6 - 67.2)</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Smoked more than 100 cigarettes in lifetime</w:t>
            </w:r>
          </w:p>
        </w:tc>
        <w:tc>
          <w:tcPr>
            <w:tcW w:w="753" w:type="dxa"/>
            <w:tcBorders>
              <w:top w:val="nil"/>
              <w:left w:val="nil"/>
              <w:bottom w:val="nil"/>
              <w:right w:val="nil"/>
            </w:tcBorders>
            <w:noWrap/>
            <w:vAlign w:val="center"/>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2779</w:t>
            </w:r>
          </w:p>
        </w:tc>
        <w:tc>
          <w:tcPr>
            <w:tcW w:w="709" w:type="dxa"/>
            <w:tcBorders>
              <w:top w:val="nil"/>
              <w:left w:val="nil"/>
              <w:bottom w:val="nil"/>
              <w:right w:val="nil"/>
            </w:tcBorders>
            <w:noWrap/>
            <w:vAlign w:val="center"/>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44.5</w:t>
            </w:r>
          </w:p>
        </w:tc>
        <w:tc>
          <w:tcPr>
            <w:tcW w:w="1376" w:type="dxa"/>
            <w:gridSpan w:val="2"/>
            <w:tcBorders>
              <w:top w:val="nil"/>
              <w:left w:val="nil"/>
              <w:bottom w:val="nil"/>
              <w:right w:val="single" w:sz="4" w:space="0" w:color="auto"/>
            </w:tcBorders>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(43.0 - 45.9)</w:t>
            </w:r>
          </w:p>
        </w:tc>
        <w:tc>
          <w:tcPr>
            <w:tcW w:w="753" w:type="dxa"/>
            <w:tcBorders>
              <w:top w:val="nil"/>
              <w:left w:val="single" w:sz="4" w:space="0" w:color="auto"/>
              <w:bottom w:val="nil"/>
              <w:right w:val="nil"/>
            </w:tcBorders>
            <w:noWrap/>
            <w:vAlign w:val="center"/>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1670</w:t>
            </w:r>
          </w:p>
        </w:tc>
        <w:tc>
          <w:tcPr>
            <w:tcW w:w="708" w:type="dxa"/>
            <w:tcBorders>
              <w:top w:val="nil"/>
              <w:left w:val="nil"/>
              <w:bottom w:val="nil"/>
              <w:right w:val="nil"/>
            </w:tcBorders>
            <w:noWrap/>
            <w:vAlign w:val="center"/>
          </w:tcPr>
          <w:p w:rsidR="00E05874" w:rsidRPr="00A523E3" w:rsidRDefault="00E05874" w:rsidP="00A523E3">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44.6</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(42.7 - 46.5)</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Ever smoked daily</w:t>
            </w:r>
          </w:p>
        </w:tc>
        <w:tc>
          <w:tcPr>
            <w:tcW w:w="753"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2594</w:t>
            </w:r>
          </w:p>
        </w:tc>
        <w:tc>
          <w:tcPr>
            <w:tcW w:w="709" w:type="dxa"/>
            <w:tcBorders>
              <w:top w:val="nil"/>
              <w:left w:val="nil"/>
              <w:bottom w:val="nil"/>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41.5</w:t>
            </w:r>
          </w:p>
        </w:tc>
        <w:tc>
          <w:tcPr>
            <w:tcW w:w="1376" w:type="dxa"/>
            <w:gridSpan w:val="2"/>
            <w:tcBorders>
              <w:top w:val="nil"/>
              <w:left w:val="nil"/>
              <w:bottom w:val="nil"/>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(40.1 - 42.9)</w:t>
            </w:r>
          </w:p>
        </w:tc>
        <w:tc>
          <w:tcPr>
            <w:tcW w:w="753" w:type="dxa"/>
            <w:tcBorders>
              <w:top w:val="nil"/>
              <w:left w:val="single" w:sz="4" w:space="0" w:color="auto"/>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2187</w:t>
            </w:r>
          </w:p>
        </w:tc>
        <w:tc>
          <w:tcPr>
            <w:tcW w:w="708" w:type="dxa"/>
            <w:tcBorders>
              <w:top w:val="nil"/>
              <w:left w:val="nil"/>
              <w:bottom w:val="nil"/>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41.6</w:t>
            </w:r>
          </w:p>
        </w:tc>
        <w:tc>
          <w:tcPr>
            <w:tcW w:w="1326" w:type="dxa"/>
            <w:gridSpan w:val="2"/>
            <w:tcBorders>
              <w:top w:val="nil"/>
              <w:left w:val="nil"/>
              <w:bottom w:val="nil"/>
              <w:right w:val="nil"/>
            </w:tcBorders>
            <w:shd w:val="clear" w:color="auto" w:fill="FFFFFF" w:themeFill="background1"/>
            <w:noWrap/>
            <w:vAlign w:val="center"/>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(39.7 - 43.5)</w:t>
            </w:r>
          </w:p>
        </w:tc>
      </w:tr>
      <w:tr w:rsidR="00FF7DD2" w:rsidRPr="00365360" w:rsidTr="00F959A8">
        <w:tc>
          <w:tcPr>
            <w:cnfStyle w:val="001000000000" w:firstRow="0" w:lastRow="0" w:firstColumn="1" w:lastColumn="0" w:oddVBand="0" w:evenVBand="0" w:oddHBand="0" w:evenHBand="0" w:firstRowFirstColumn="0" w:firstRowLastColumn="0" w:lastRowFirstColumn="0" w:lastRowLastColumn="0"/>
            <w:tcW w:w="3434" w:type="dxa"/>
            <w:gridSpan w:val="2"/>
            <w:tcBorders>
              <w:top w:val="nil"/>
              <w:left w:val="nil"/>
              <w:bottom w:val="nil"/>
              <w:right w:val="nil"/>
            </w:tcBorders>
          </w:tcPr>
          <w:p w:rsidR="00A523E3" w:rsidRPr="00A523E3" w:rsidRDefault="00A523E3" w:rsidP="00A523E3">
            <w:pPr>
              <w:spacing w:before="20" w:after="20"/>
              <w:rPr>
                <w:rFonts w:ascii="Times New Roman" w:eastAsiaTheme="minorEastAsia" w:hAnsi="Times New Roman" w:cs="Times New Roman"/>
                <w:sz w:val="18"/>
                <w:szCs w:val="18"/>
                <w:lang w:eastAsia="en-US"/>
              </w:rPr>
            </w:pPr>
            <w:r w:rsidRPr="00A523E3">
              <w:rPr>
                <w:rFonts w:ascii="Times New Roman" w:eastAsiaTheme="minorEastAsia" w:hAnsi="Times New Roman" w:cs="Times New Roman"/>
                <w:sz w:val="18"/>
                <w:szCs w:val="18"/>
                <w:lang w:eastAsia="en-US"/>
              </w:rPr>
              <w:t>How often currently smoke tobacco</w:t>
            </w:r>
          </w:p>
        </w:tc>
        <w:tc>
          <w:tcPr>
            <w:tcW w:w="709"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254" w:type="dxa"/>
            <w:tcBorders>
              <w:top w:val="nil"/>
              <w:left w:val="nil"/>
              <w:bottom w:val="nil"/>
              <w:right w:val="nil"/>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1122" w:type="dxa"/>
            <w:tcBorders>
              <w:top w:val="nil"/>
              <w:left w:val="nil"/>
              <w:bottom w:val="nil"/>
              <w:right w:val="single" w:sz="4" w:space="0" w:color="auto"/>
            </w:tcBorders>
            <w:noWrap/>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53" w:type="dxa"/>
            <w:tcBorders>
              <w:top w:val="nil"/>
              <w:left w:val="single" w:sz="4" w:space="0" w:color="auto"/>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8"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619" w:type="dxa"/>
            <w:tcBorders>
              <w:top w:val="nil"/>
              <w:left w:val="nil"/>
              <w:bottom w:val="nil"/>
              <w:right w:val="nil"/>
            </w:tcBorders>
            <w:shd w:val="clear" w:color="auto" w:fill="FFFFFF" w:themeFill="background1"/>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c>
          <w:tcPr>
            <w:tcW w:w="707" w:type="dxa"/>
            <w:tcBorders>
              <w:top w:val="nil"/>
              <w:left w:val="nil"/>
              <w:bottom w:val="nil"/>
              <w:right w:val="nil"/>
            </w:tcBorders>
            <w:noWrap/>
            <w:vAlign w:val="center"/>
          </w:tcPr>
          <w:p w:rsidR="00A523E3" w:rsidRPr="00A523E3" w:rsidRDefault="00A523E3"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286BE9">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Does not smoke now</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1616</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25.9</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24.6</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27.1</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1023</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27.3</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25.6</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29.0</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286BE9">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At least once a day</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985</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15.8</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14.7</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16.8</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543</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14.5</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13.1</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15.9</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286BE9">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At least once a week</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88</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1.4</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1.0</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1.8</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56</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1.5</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1.0</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2.0</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286BE9">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At least once a month</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32</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0.5</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0.3</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0.7</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13</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0.4</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0.2</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0.5</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286BE9">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Less than once a month</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57</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0.9</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0.6</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1.2</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35</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0.9</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0.6</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1.3</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nil"/>
              <w:right w:val="nil"/>
            </w:tcBorders>
          </w:tcPr>
          <w:p w:rsidR="00E05874" w:rsidRPr="00286BE9" w:rsidRDefault="00E05874" w:rsidP="0063048B">
            <w:pPr>
              <w:spacing w:before="20" w:after="20"/>
              <w:ind w:left="176"/>
              <w:rPr>
                <w:rFonts w:ascii="Times New Roman" w:eastAsiaTheme="minorEastAsia" w:hAnsi="Times New Roman" w:cs="Times New Roman"/>
                <w:b w:val="0"/>
                <w:sz w:val="18"/>
                <w:szCs w:val="18"/>
                <w:lang w:eastAsia="en-US"/>
              </w:rPr>
            </w:pPr>
            <w:r w:rsidRPr="00286BE9">
              <w:rPr>
                <w:rFonts w:ascii="Times New Roman" w:eastAsiaTheme="minorEastAsia" w:hAnsi="Times New Roman" w:cs="Times New Roman"/>
                <w:b w:val="0"/>
                <w:sz w:val="18"/>
                <w:szCs w:val="18"/>
                <w:lang w:eastAsia="en-US"/>
              </w:rPr>
              <w:t xml:space="preserve">Never </w:t>
            </w:r>
            <w:r w:rsidR="0063048B">
              <w:rPr>
                <w:rFonts w:ascii="Times New Roman" w:eastAsiaTheme="minorEastAsia" w:hAnsi="Times New Roman" w:cs="Times New Roman"/>
                <w:b w:val="0"/>
                <w:sz w:val="18"/>
                <w:szCs w:val="18"/>
                <w:lang w:eastAsia="en-US"/>
              </w:rPr>
              <w:t>smoked</w:t>
            </w:r>
          </w:p>
        </w:tc>
        <w:tc>
          <w:tcPr>
            <w:tcW w:w="753"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3470</w:t>
            </w:r>
          </w:p>
        </w:tc>
        <w:tc>
          <w:tcPr>
            <w:tcW w:w="709" w:type="dxa"/>
            <w:tcBorders>
              <w:top w:val="nil"/>
              <w:left w:val="nil"/>
              <w:bottom w:val="nil"/>
              <w:right w:val="nil"/>
            </w:tcBorders>
            <w:noWrap/>
          </w:tcPr>
          <w:p w:rsidR="00E05874" w:rsidRPr="00286BE9" w:rsidRDefault="00E05874" w:rsidP="00286BE9">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286BE9">
              <w:rPr>
                <w:rFonts w:ascii="Times New Roman" w:eastAsiaTheme="minorEastAsia" w:hAnsi="Times New Roman" w:cs="Times New Roman"/>
                <w:bCs/>
                <w:sz w:val="18"/>
                <w:szCs w:val="18"/>
                <w:lang w:eastAsia="en-US"/>
              </w:rPr>
              <w:t>55.5</w:t>
            </w:r>
          </w:p>
        </w:tc>
        <w:tc>
          <w:tcPr>
            <w:tcW w:w="1376" w:type="dxa"/>
            <w:gridSpan w:val="2"/>
            <w:tcBorders>
              <w:top w:val="nil"/>
              <w:left w:val="nil"/>
              <w:bottom w:val="nil"/>
              <w:right w:val="single" w:sz="4" w:space="0" w:color="auto"/>
            </w:tcBorders>
            <w:noWrap/>
          </w:tcPr>
          <w:p w:rsidR="00E05874" w:rsidRPr="00286BE9"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286BE9">
              <w:rPr>
                <w:rFonts w:ascii="Times New Roman" w:eastAsiaTheme="minorEastAsia" w:hAnsi="Times New Roman" w:cs="Times New Roman"/>
                <w:bCs/>
                <w:sz w:val="18"/>
                <w:szCs w:val="18"/>
                <w:lang w:eastAsia="en-US"/>
              </w:rPr>
              <w:t>54.1</w:t>
            </w:r>
            <w:r>
              <w:rPr>
                <w:rFonts w:ascii="Times New Roman" w:eastAsiaTheme="minorEastAsia" w:hAnsi="Times New Roman" w:cs="Times New Roman"/>
                <w:bCs/>
                <w:sz w:val="18"/>
                <w:szCs w:val="18"/>
                <w:lang w:eastAsia="en-US"/>
              </w:rPr>
              <w:t xml:space="preserve"> - </w:t>
            </w:r>
            <w:r w:rsidRPr="00286BE9">
              <w:rPr>
                <w:rFonts w:ascii="Times New Roman" w:eastAsiaTheme="minorEastAsia" w:hAnsi="Times New Roman" w:cs="Times New Roman"/>
                <w:bCs/>
                <w:sz w:val="18"/>
                <w:szCs w:val="18"/>
                <w:lang w:eastAsia="en-US"/>
              </w:rPr>
              <w:t>57.0</w:t>
            </w: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2075</w:t>
            </w:r>
          </w:p>
        </w:tc>
        <w:tc>
          <w:tcPr>
            <w:tcW w:w="708" w:type="dxa"/>
            <w:tcBorders>
              <w:top w:val="nil"/>
              <w:left w:val="nil"/>
              <w:bottom w:val="nil"/>
              <w:right w:val="nil"/>
            </w:tcBorders>
            <w:noWrap/>
          </w:tcPr>
          <w:p w:rsidR="00E05874" w:rsidRPr="004A2687" w:rsidRDefault="00E05874" w:rsidP="004A2687">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4A2687">
              <w:rPr>
                <w:rFonts w:ascii="Times New Roman" w:eastAsiaTheme="minorEastAsia" w:hAnsi="Times New Roman" w:cs="Times New Roman"/>
                <w:bCs/>
                <w:sz w:val="18"/>
                <w:szCs w:val="18"/>
                <w:lang w:eastAsia="en-US"/>
              </w:rPr>
              <w:t>55.4</w:t>
            </w:r>
          </w:p>
        </w:tc>
        <w:tc>
          <w:tcPr>
            <w:tcW w:w="1326" w:type="dxa"/>
            <w:gridSpan w:val="2"/>
            <w:tcBorders>
              <w:top w:val="nil"/>
              <w:left w:val="nil"/>
              <w:bottom w:val="nil"/>
              <w:right w:val="nil"/>
            </w:tcBorders>
            <w:shd w:val="clear" w:color="auto" w:fill="FFFFFF" w:themeFill="background1"/>
            <w:noWrap/>
          </w:tcPr>
          <w:p w:rsidR="00E05874" w:rsidRPr="004A2687"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r w:rsidRPr="004A2687">
              <w:rPr>
                <w:rFonts w:ascii="Times New Roman" w:eastAsiaTheme="minorEastAsia" w:hAnsi="Times New Roman" w:cs="Times New Roman"/>
                <w:bCs/>
                <w:sz w:val="18"/>
                <w:szCs w:val="18"/>
                <w:lang w:eastAsia="en-US"/>
              </w:rPr>
              <w:t>53.5</w:t>
            </w:r>
            <w:r>
              <w:rPr>
                <w:rFonts w:ascii="Times New Roman" w:eastAsiaTheme="minorEastAsia" w:hAnsi="Times New Roman" w:cs="Times New Roman"/>
                <w:bCs/>
                <w:sz w:val="18"/>
                <w:szCs w:val="18"/>
                <w:lang w:eastAsia="en-US"/>
              </w:rPr>
              <w:t xml:space="preserve"> - </w:t>
            </w:r>
            <w:r w:rsidRPr="004A2687">
              <w:rPr>
                <w:rFonts w:ascii="Times New Roman" w:eastAsiaTheme="minorEastAsia" w:hAnsi="Times New Roman" w:cs="Times New Roman"/>
                <w:bCs/>
                <w:sz w:val="18"/>
                <w:szCs w:val="18"/>
                <w:lang w:eastAsia="en-US"/>
              </w:rPr>
              <w:t>57.3</w:t>
            </w:r>
            <w:r>
              <w:rPr>
                <w:rFonts w:ascii="Times New Roman" w:eastAsiaTheme="minorEastAsia" w:hAnsi="Times New Roman" w:cs="Times New Roman"/>
                <w:bCs/>
                <w:sz w:val="18"/>
                <w:szCs w:val="18"/>
                <w:lang w:eastAsia="en-US"/>
              </w:rPr>
              <w:t>)</w:t>
            </w:r>
          </w:p>
        </w:tc>
      </w:tr>
      <w:tr w:rsidR="00E05874" w:rsidRPr="00365360" w:rsidTr="00F959A8">
        <w:tc>
          <w:tcPr>
            <w:cnfStyle w:val="001000000000" w:firstRow="0" w:lastRow="0" w:firstColumn="1" w:lastColumn="0" w:oddVBand="0" w:evenVBand="0" w:oddHBand="0" w:evenHBand="0" w:firstRowFirstColumn="0" w:firstRowLastColumn="0" w:lastRowFirstColumn="0" w:lastRowLastColumn="0"/>
            <w:tcW w:w="2681" w:type="dxa"/>
            <w:tcBorders>
              <w:top w:val="nil"/>
              <w:left w:val="nil"/>
              <w:bottom w:val="single" w:sz="4" w:space="0" w:color="auto"/>
              <w:right w:val="nil"/>
            </w:tcBorders>
          </w:tcPr>
          <w:p w:rsidR="00E05874" w:rsidRPr="00A523E3" w:rsidRDefault="00E05874" w:rsidP="00A523E3">
            <w:pPr>
              <w:spacing w:before="20" w:after="20"/>
              <w:ind w:left="176"/>
              <w:rPr>
                <w:rFonts w:ascii="Times New Roman" w:eastAsiaTheme="minorEastAsia" w:hAnsi="Times New Roman" w:cs="Times New Roman"/>
                <w:b w:val="0"/>
                <w:sz w:val="18"/>
                <w:szCs w:val="18"/>
                <w:lang w:eastAsia="en-US"/>
              </w:rPr>
            </w:pPr>
            <w:r>
              <w:rPr>
                <w:rFonts w:ascii="Times New Roman" w:eastAsiaTheme="minorEastAsia" w:hAnsi="Times New Roman" w:cs="Times New Roman"/>
                <w:b w:val="0"/>
                <w:sz w:val="18"/>
                <w:szCs w:val="18"/>
                <w:lang w:eastAsia="en-US"/>
              </w:rPr>
              <w:t>Missing</w:t>
            </w:r>
          </w:p>
        </w:tc>
        <w:tc>
          <w:tcPr>
            <w:tcW w:w="753" w:type="dxa"/>
            <w:tcBorders>
              <w:top w:val="nil"/>
              <w:left w:val="nil"/>
              <w:bottom w:val="single" w:sz="4" w:space="0" w:color="auto"/>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3</w:t>
            </w:r>
          </w:p>
        </w:tc>
        <w:tc>
          <w:tcPr>
            <w:tcW w:w="709" w:type="dxa"/>
            <w:tcBorders>
              <w:top w:val="nil"/>
              <w:left w:val="nil"/>
              <w:bottom w:val="single" w:sz="4" w:space="0" w:color="auto"/>
              <w:right w:val="nil"/>
            </w:tcBorders>
            <w:noWrap/>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76" w:type="dxa"/>
            <w:gridSpan w:val="2"/>
            <w:tcBorders>
              <w:top w:val="nil"/>
              <w:left w:val="nil"/>
              <w:bottom w:val="single" w:sz="4" w:space="0" w:color="auto"/>
              <w:right w:val="single" w:sz="4" w:space="0" w:color="auto"/>
            </w:tcBorders>
            <w:noWrap/>
          </w:tcPr>
          <w:p w:rsidR="00E05874" w:rsidRPr="00A523E3"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53" w:type="dxa"/>
            <w:tcBorders>
              <w:top w:val="nil"/>
              <w:left w:val="single" w:sz="4" w:space="0" w:color="auto"/>
              <w:bottom w:val="single" w:sz="4" w:space="0" w:color="auto"/>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708" w:type="dxa"/>
            <w:tcBorders>
              <w:top w:val="nil"/>
              <w:left w:val="nil"/>
              <w:bottom w:val="single" w:sz="4" w:space="0" w:color="auto"/>
              <w:right w:val="nil"/>
            </w:tcBorders>
            <w:noWrap/>
            <w:vAlign w:val="center"/>
          </w:tcPr>
          <w:p w:rsidR="00E05874" w:rsidRPr="00A523E3" w:rsidRDefault="00E05874" w:rsidP="00DC3DDF">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Pr>
                <w:rFonts w:ascii="Times New Roman" w:eastAsiaTheme="minorEastAsia" w:hAnsi="Times New Roman" w:cs="Times New Roman"/>
                <w:bCs/>
                <w:sz w:val="18"/>
                <w:szCs w:val="18"/>
                <w:lang w:eastAsia="en-US"/>
              </w:rPr>
              <w:t>-</w:t>
            </w:r>
          </w:p>
        </w:tc>
        <w:tc>
          <w:tcPr>
            <w:tcW w:w="1326" w:type="dxa"/>
            <w:gridSpan w:val="2"/>
            <w:tcBorders>
              <w:top w:val="nil"/>
              <w:left w:val="nil"/>
              <w:bottom w:val="single" w:sz="4" w:space="0" w:color="auto"/>
              <w:right w:val="nil"/>
            </w:tcBorders>
            <w:shd w:val="clear" w:color="auto" w:fill="FFFFFF" w:themeFill="background1"/>
            <w:noWrap/>
          </w:tcPr>
          <w:p w:rsidR="00E05874" w:rsidRPr="00E05874" w:rsidRDefault="00E05874" w:rsidP="00E05874">
            <w:pPr>
              <w:tabs>
                <w:tab w:val="left" w:pos="176"/>
              </w:tabs>
              <w:spacing w:before="20" w:after="20"/>
              <w:ind w:left="176"/>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sz w:val="18"/>
                <w:szCs w:val="18"/>
                <w:lang w:eastAsia="en-US"/>
              </w:rPr>
            </w:pPr>
            <w:r w:rsidRPr="00E05874">
              <w:rPr>
                <w:rFonts w:ascii="Times New Roman" w:eastAsiaTheme="minorEastAsia" w:hAnsi="Times New Roman" w:cs="Times New Roman"/>
                <w:bCs/>
                <w:sz w:val="18"/>
                <w:szCs w:val="18"/>
                <w:lang w:eastAsia="en-US"/>
              </w:rPr>
              <w:t>-</w:t>
            </w:r>
          </w:p>
        </w:tc>
      </w:tr>
    </w:tbl>
    <w:p w:rsidR="00DC3DDF" w:rsidRPr="0034241E" w:rsidRDefault="00DC3DDF" w:rsidP="00DC3DDF">
      <w:pPr>
        <w:rPr>
          <w:sz w:val="18"/>
        </w:rPr>
      </w:pPr>
      <w:r>
        <w:rPr>
          <w:sz w:val="18"/>
        </w:rPr>
        <w:t>Data</w:t>
      </w:r>
      <w:r w:rsidRPr="0034241E">
        <w:rPr>
          <w:sz w:val="18"/>
        </w:rPr>
        <w:t xml:space="preserve"> weighted for 2013 Census data (both Waves) and attrition (Wave 2)</w:t>
      </w:r>
    </w:p>
    <w:p w:rsidR="00DC3DDF" w:rsidRDefault="00DC3DDF" w:rsidP="00DC3DDF">
      <w:pPr>
        <w:rPr>
          <w:sz w:val="18"/>
        </w:rPr>
      </w:pPr>
      <w:r w:rsidRPr="00286328">
        <w:rPr>
          <w:sz w:val="18"/>
        </w:rPr>
        <w:t>Baseline N</w:t>
      </w:r>
      <w:r>
        <w:rPr>
          <w:sz w:val="18"/>
        </w:rPr>
        <w:t xml:space="preserve"> </w:t>
      </w:r>
      <w:r w:rsidRPr="00286328">
        <w:rPr>
          <w:sz w:val="18"/>
        </w:rPr>
        <w:t>= 6,251</w:t>
      </w:r>
      <w:r>
        <w:rPr>
          <w:sz w:val="18"/>
        </w:rPr>
        <w:t>; Wave 2 N = 3,745</w:t>
      </w:r>
    </w:p>
    <w:p w:rsidR="00DC3DDF" w:rsidRDefault="00DC3DDF" w:rsidP="00DC3DDF"/>
    <w:p w:rsidR="00337D74" w:rsidRDefault="00337D74" w:rsidP="00370CEE"/>
    <w:p w:rsidR="00D8324A" w:rsidRDefault="00D8324A">
      <w:r>
        <w:br w:type="page"/>
      </w:r>
    </w:p>
    <w:p w:rsidR="00D8324A" w:rsidRDefault="00D8324A" w:rsidP="00D8324A">
      <w:pPr>
        <w:pStyle w:val="Heading3b"/>
        <w:numPr>
          <w:ilvl w:val="0"/>
          <w:numId w:val="0"/>
        </w:numPr>
        <w:spacing w:before="0" w:after="0"/>
        <w:jc w:val="both"/>
        <w:rPr>
          <w:rFonts w:ascii="Times New Roman" w:hAnsi="Times New Roman" w:cs="Times New Roman"/>
          <w:b/>
          <w:i w:val="0"/>
        </w:rPr>
      </w:pPr>
      <w:bookmarkStart w:id="276" w:name="_Toc420392632"/>
      <w:r w:rsidRPr="00BA54F7">
        <w:rPr>
          <w:rFonts w:ascii="Times New Roman" w:hAnsi="Times New Roman" w:cs="Times New Roman"/>
          <w:b/>
          <w:i w:val="0"/>
        </w:rPr>
        <w:lastRenderedPageBreak/>
        <w:t xml:space="preserve">Appendix </w:t>
      </w:r>
      <w:r w:rsidRPr="00BA54F7">
        <w:rPr>
          <w:rFonts w:ascii="Times New Roman" w:hAnsi="Times New Roman" w:cs="Times New Roman"/>
          <w:b/>
          <w:i w:val="0"/>
        </w:rPr>
        <w:fldChar w:fldCharType="begin"/>
      </w:r>
      <w:r w:rsidRPr="00BA54F7">
        <w:rPr>
          <w:rFonts w:ascii="Times New Roman" w:hAnsi="Times New Roman" w:cs="Times New Roman"/>
          <w:b/>
          <w:i w:val="0"/>
        </w:rPr>
        <w:instrText xml:space="preserve"> SEQ Appendix \* ARABIC </w:instrText>
      </w:r>
      <w:r w:rsidRPr="00BA54F7">
        <w:rPr>
          <w:rFonts w:ascii="Times New Roman" w:hAnsi="Times New Roman" w:cs="Times New Roman"/>
          <w:b/>
          <w:i w:val="0"/>
        </w:rPr>
        <w:fldChar w:fldCharType="separate"/>
      </w:r>
      <w:r w:rsidR="00B2175B">
        <w:rPr>
          <w:rFonts w:ascii="Times New Roman" w:hAnsi="Times New Roman" w:cs="Times New Roman"/>
          <w:b/>
          <w:i w:val="0"/>
          <w:noProof/>
        </w:rPr>
        <w:t>9</w:t>
      </w:r>
      <w:r w:rsidRPr="00BA54F7">
        <w:rPr>
          <w:rFonts w:ascii="Times New Roman" w:hAnsi="Times New Roman" w:cs="Times New Roman"/>
          <w:b/>
          <w:i w:val="0"/>
        </w:rPr>
        <w:fldChar w:fldCharType="end"/>
      </w:r>
      <w:r w:rsidRPr="00BA54F7">
        <w:rPr>
          <w:rFonts w:ascii="Times New Roman" w:hAnsi="Times New Roman" w:cs="Times New Roman"/>
          <w:b/>
          <w:i w:val="0"/>
        </w:rPr>
        <w:t xml:space="preserve">: </w:t>
      </w:r>
      <w:r w:rsidR="007F2FB4">
        <w:rPr>
          <w:rFonts w:ascii="Times New Roman" w:hAnsi="Times New Roman" w:cs="Times New Roman"/>
          <w:b/>
          <w:i w:val="0"/>
        </w:rPr>
        <w:t>B</w:t>
      </w:r>
      <w:r w:rsidR="00961354">
        <w:rPr>
          <w:rFonts w:ascii="Times New Roman" w:hAnsi="Times New Roman" w:cs="Times New Roman"/>
          <w:b/>
          <w:i w:val="0"/>
        </w:rPr>
        <w:t xml:space="preserve">ivariate </w:t>
      </w:r>
      <w:r w:rsidR="007F2FB4">
        <w:rPr>
          <w:rFonts w:ascii="Times New Roman" w:hAnsi="Times New Roman" w:cs="Times New Roman"/>
          <w:b/>
          <w:i w:val="0"/>
        </w:rPr>
        <w:t>associations</w:t>
      </w:r>
      <w:r>
        <w:rPr>
          <w:rFonts w:ascii="Times New Roman" w:hAnsi="Times New Roman" w:cs="Times New Roman"/>
          <w:b/>
          <w:i w:val="0"/>
        </w:rPr>
        <w:t xml:space="preserve"> for </w:t>
      </w:r>
      <w:r w:rsidR="00B41811">
        <w:rPr>
          <w:rFonts w:ascii="Times New Roman" w:hAnsi="Times New Roman" w:cs="Times New Roman"/>
          <w:b/>
          <w:i w:val="0"/>
        </w:rPr>
        <w:t>transition from non-problem/low-</w:t>
      </w:r>
      <w:r>
        <w:rPr>
          <w:rFonts w:ascii="Times New Roman" w:hAnsi="Times New Roman" w:cs="Times New Roman"/>
          <w:b/>
          <w:i w:val="0"/>
        </w:rPr>
        <w:t xml:space="preserve">risk gambler </w:t>
      </w:r>
      <w:r w:rsidR="007C56C7">
        <w:rPr>
          <w:rFonts w:ascii="Times New Roman" w:hAnsi="Times New Roman" w:cs="Times New Roman"/>
          <w:b/>
          <w:i w:val="0"/>
        </w:rPr>
        <w:t>in</w:t>
      </w:r>
      <w:r>
        <w:rPr>
          <w:rFonts w:ascii="Times New Roman" w:hAnsi="Times New Roman" w:cs="Times New Roman"/>
          <w:b/>
          <w:i w:val="0"/>
        </w:rPr>
        <w:t xml:space="preserve"> Wave 1 to moderate-risk/problem gambler </w:t>
      </w:r>
      <w:r w:rsidR="007C56C7">
        <w:rPr>
          <w:rFonts w:ascii="Times New Roman" w:hAnsi="Times New Roman" w:cs="Times New Roman"/>
          <w:b/>
          <w:i w:val="0"/>
        </w:rPr>
        <w:t>in</w:t>
      </w:r>
      <w:r>
        <w:rPr>
          <w:rFonts w:ascii="Times New Roman" w:hAnsi="Times New Roman" w:cs="Times New Roman"/>
          <w:b/>
          <w:i w:val="0"/>
        </w:rPr>
        <w:t xml:space="preserve"> Wave 2</w:t>
      </w:r>
      <w:bookmarkEnd w:id="276"/>
    </w:p>
    <w:p w:rsidR="00D8324A" w:rsidRPr="00BA54F7" w:rsidRDefault="00D8324A" w:rsidP="00D8324A">
      <w:pPr>
        <w:pStyle w:val="RepNormal"/>
      </w:pPr>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844"/>
        <w:gridCol w:w="1055"/>
        <w:gridCol w:w="992"/>
        <w:gridCol w:w="283"/>
        <w:gridCol w:w="1020"/>
      </w:tblGrid>
      <w:tr w:rsidR="00D8324A" w:rsidRPr="003F15C0" w:rsidTr="00F959A8">
        <w:trPr>
          <w:tblHeader/>
        </w:trPr>
        <w:tc>
          <w:tcPr>
            <w:tcW w:w="4305" w:type="dxa"/>
            <w:tcBorders>
              <w:top w:val="single" w:sz="4" w:space="0" w:color="auto"/>
              <w:bottom w:val="single" w:sz="4" w:space="0" w:color="auto"/>
            </w:tcBorders>
            <w:vAlign w:val="bottom"/>
          </w:tcPr>
          <w:p w:rsidR="00D8324A" w:rsidRPr="003F15C0" w:rsidRDefault="00543D6D" w:rsidP="00F17A34">
            <w:pPr>
              <w:spacing w:before="20"/>
              <w:jc w:val="both"/>
              <w:rPr>
                <w:b/>
                <w:sz w:val="16"/>
                <w:szCs w:val="16"/>
              </w:rPr>
            </w:pPr>
            <w:r w:rsidRPr="003F15C0">
              <w:rPr>
                <w:b/>
                <w:sz w:val="16"/>
                <w:szCs w:val="16"/>
              </w:rPr>
              <w:t>Variable</w:t>
            </w:r>
          </w:p>
        </w:tc>
        <w:tc>
          <w:tcPr>
            <w:tcW w:w="844" w:type="dxa"/>
            <w:tcBorders>
              <w:top w:val="single" w:sz="4" w:space="0" w:color="auto"/>
              <w:bottom w:val="single" w:sz="4" w:space="0" w:color="auto"/>
            </w:tcBorders>
            <w:vAlign w:val="center"/>
          </w:tcPr>
          <w:p w:rsidR="00D8324A" w:rsidRPr="003F15C0" w:rsidRDefault="00D8324A" w:rsidP="00232878">
            <w:pPr>
              <w:spacing w:before="20"/>
              <w:jc w:val="right"/>
              <w:rPr>
                <w:b/>
                <w:bCs/>
                <w:color w:val="000000"/>
                <w:sz w:val="16"/>
                <w:szCs w:val="16"/>
              </w:rPr>
            </w:pPr>
            <w:r w:rsidRPr="003F15C0">
              <w:rPr>
                <w:b/>
                <w:bCs/>
                <w:color w:val="000000"/>
                <w:sz w:val="16"/>
                <w:szCs w:val="16"/>
              </w:rPr>
              <w:t>%</w:t>
            </w:r>
          </w:p>
        </w:tc>
        <w:tc>
          <w:tcPr>
            <w:tcW w:w="1055" w:type="dxa"/>
            <w:tcBorders>
              <w:top w:val="single" w:sz="4" w:space="0" w:color="auto"/>
              <w:bottom w:val="single" w:sz="4" w:space="0" w:color="auto"/>
            </w:tcBorders>
            <w:vAlign w:val="center"/>
          </w:tcPr>
          <w:p w:rsidR="00D8324A" w:rsidRPr="003F15C0" w:rsidRDefault="00543D6D" w:rsidP="00232878">
            <w:pPr>
              <w:spacing w:before="20"/>
              <w:jc w:val="right"/>
              <w:rPr>
                <w:b/>
                <w:color w:val="000000"/>
                <w:sz w:val="16"/>
                <w:szCs w:val="16"/>
              </w:rPr>
            </w:pPr>
            <w:r w:rsidRPr="003F15C0">
              <w:rPr>
                <w:b/>
                <w:color w:val="000000"/>
                <w:sz w:val="16"/>
                <w:szCs w:val="16"/>
              </w:rPr>
              <w:t>Odds Ratio</w:t>
            </w:r>
          </w:p>
        </w:tc>
        <w:tc>
          <w:tcPr>
            <w:tcW w:w="1275" w:type="dxa"/>
            <w:gridSpan w:val="2"/>
            <w:tcBorders>
              <w:top w:val="single" w:sz="4" w:space="0" w:color="auto"/>
              <w:bottom w:val="single" w:sz="4" w:space="0" w:color="auto"/>
            </w:tcBorders>
            <w:vAlign w:val="center"/>
          </w:tcPr>
          <w:p w:rsidR="00D8324A" w:rsidRPr="003F15C0" w:rsidRDefault="009A56CE" w:rsidP="00232878">
            <w:pPr>
              <w:spacing w:before="20"/>
              <w:jc w:val="right"/>
              <w:rPr>
                <w:b/>
                <w:color w:val="000000"/>
                <w:sz w:val="16"/>
                <w:szCs w:val="16"/>
              </w:rPr>
            </w:pPr>
            <w:r w:rsidRPr="003F15C0">
              <w:rPr>
                <w:b/>
                <w:color w:val="000000"/>
                <w:sz w:val="16"/>
                <w:szCs w:val="16"/>
              </w:rPr>
              <w:t>(</w:t>
            </w:r>
            <w:r w:rsidR="00D8324A" w:rsidRPr="003F15C0">
              <w:rPr>
                <w:b/>
                <w:color w:val="000000"/>
                <w:sz w:val="16"/>
                <w:szCs w:val="16"/>
              </w:rPr>
              <w:t>95% CI</w:t>
            </w:r>
            <w:r w:rsidRPr="003F15C0">
              <w:rPr>
                <w:b/>
                <w:color w:val="000000"/>
                <w:sz w:val="16"/>
                <w:szCs w:val="16"/>
              </w:rPr>
              <w:t>)</w:t>
            </w:r>
          </w:p>
        </w:tc>
        <w:tc>
          <w:tcPr>
            <w:tcW w:w="1020" w:type="dxa"/>
            <w:tcBorders>
              <w:top w:val="single" w:sz="4" w:space="0" w:color="auto"/>
              <w:bottom w:val="single" w:sz="4" w:space="0" w:color="auto"/>
            </w:tcBorders>
            <w:vAlign w:val="center"/>
          </w:tcPr>
          <w:p w:rsidR="00D8324A" w:rsidRPr="003F15C0" w:rsidRDefault="00D8324A" w:rsidP="00232878">
            <w:pPr>
              <w:spacing w:before="20"/>
              <w:jc w:val="right"/>
              <w:rPr>
                <w:b/>
                <w:color w:val="000000"/>
                <w:sz w:val="16"/>
                <w:szCs w:val="16"/>
              </w:rPr>
            </w:pPr>
            <w:r w:rsidRPr="003F15C0">
              <w:rPr>
                <w:b/>
                <w:color w:val="000000"/>
                <w:sz w:val="16"/>
                <w:szCs w:val="16"/>
              </w:rPr>
              <w:t>p-value</w:t>
            </w:r>
          </w:p>
        </w:tc>
      </w:tr>
      <w:tr w:rsidR="00D8324A" w:rsidRPr="003F15C0" w:rsidTr="00F959A8">
        <w:tc>
          <w:tcPr>
            <w:tcW w:w="4305" w:type="dxa"/>
            <w:tcBorders>
              <w:top w:val="single" w:sz="4" w:space="0" w:color="auto"/>
            </w:tcBorders>
            <w:vAlign w:val="bottom"/>
          </w:tcPr>
          <w:p w:rsidR="00D8324A" w:rsidRPr="003F15C0" w:rsidRDefault="00D8324A" w:rsidP="00F17A34">
            <w:pPr>
              <w:spacing w:before="20"/>
              <w:jc w:val="both"/>
              <w:rPr>
                <w:b/>
                <w:sz w:val="16"/>
                <w:szCs w:val="16"/>
              </w:rPr>
            </w:pPr>
            <w:r w:rsidRPr="003F15C0">
              <w:rPr>
                <w:b/>
                <w:sz w:val="16"/>
                <w:szCs w:val="16"/>
              </w:rPr>
              <w:t xml:space="preserve">Age </w:t>
            </w:r>
            <w:r w:rsidR="00543D6D" w:rsidRPr="003F15C0">
              <w:rPr>
                <w:b/>
                <w:sz w:val="16"/>
                <w:szCs w:val="16"/>
              </w:rPr>
              <w:t>g</w:t>
            </w:r>
            <w:r w:rsidRPr="003F15C0">
              <w:rPr>
                <w:b/>
                <w:sz w:val="16"/>
                <w:szCs w:val="16"/>
              </w:rPr>
              <w:t>roup</w:t>
            </w:r>
            <w:r w:rsidR="00543D6D" w:rsidRPr="003F15C0">
              <w:rPr>
                <w:b/>
                <w:sz w:val="16"/>
                <w:szCs w:val="16"/>
              </w:rPr>
              <w:t xml:space="preserve"> (years)</w:t>
            </w:r>
          </w:p>
        </w:tc>
        <w:tc>
          <w:tcPr>
            <w:tcW w:w="844" w:type="dxa"/>
            <w:tcBorders>
              <w:top w:val="single" w:sz="4" w:space="0" w:color="auto"/>
            </w:tcBorders>
            <w:vAlign w:val="center"/>
          </w:tcPr>
          <w:p w:rsidR="00D8324A" w:rsidRPr="003F15C0" w:rsidRDefault="00D8324A" w:rsidP="00232878">
            <w:pPr>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232878">
            <w:pPr>
              <w:spacing w:before="20"/>
              <w:jc w:val="right"/>
              <w:rPr>
                <w:b/>
                <w:color w:val="000000"/>
                <w:sz w:val="16"/>
                <w:szCs w:val="16"/>
              </w:rPr>
            </w:pPr>
          </w:p>
        </w:tc>
        <w:tc>
          <w:tcPr>
            <w:tcW w:w="992" w:type="dxa"/>
            <w:tcBorders>
              <w:top w:val="single" w:sz="4" w:space="0" w:color="auto"/>
            </w:tcBorders>
            <w:vAlign w:val="center"/>
          </w:tcPr>
          <w:p w:rsidR="00D8324A" w:rsidRPr="003F15C0" w:rsidRDefault="00D8324A" w:rsidP="00232878">
            <w:pPr>
              <w:spacing w:before="20"/>
              <w:jc w:val="right"/>
              <w:rPr>
                <w:b/>
                <w:color w:val="000000"/>
                <w:sz w:val="16"/>
                <w:szCs w:val="16"/>
              </w:rPr>
            </w:pPr>
          </w:p>
        </w:tc>
        <w:tc>
          <w:tcPr>
            <w:tcW w:w="283" w:type="dxa"/>
            <w:tcBorders>
              <w:top w:val="single" w:sz="4" w:space="0" w:color="auto"/>
            </w:tcBorders>
            <w:vAlign w:val="center"/>
          </w:tcPr>
          <w:p w:rsidR="00D8324A" w:rsidRPr="003F15C0" w:rsidRDefault="00D8324A" w:rsidP="00232878">
            <w:pPr>
              <w:spacing w:before="20"/>
              <w:jc w:val="right"/>
              <w:rPr>
                <w:b/>
                <w:color w:val="000000"/>
                <w:sz w:val="16"/>
                <w:szCs w:val="16"/>
              </w:rPr>
            </w:pPr>
          </w:p>
        </w:tc>
        <w:tc>
          <w:tcPr>
            <w:tcW w:w="1020" w:type="dxa"/>
            <w:tcBorders>
              <w:top w:val="single" w:sz="4" w:space="0" w:color="auto"/>
            </w:tcBorders>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9B1415">
            <w:pPr>
              <w:spacing w:before="20"/>
              <w:ind w:left="176"/>
              <w:jc w:val="both"/>
              <w:rPr>
                <w:sz w:val="16"/>
                <w:szCs w:val="16"/>
              </w:rPr>
            </w:pPr>
            <w:r w:rsidRPr="003F15C0">
              <w:rPr>
                <w:sz w:val="16"/>
                <w:szCs w:val="16"/>
              </w:rPr>
              <w:t>18</w:t>
            </w:r>
            <w:r w:rsidR="00543D6D" w:rsidRPr="003F15C0">
              <w:rPr>
                <w:sz w:val="16"/>
                <w:szCs w:val="16"/>
              </w:rPr>
              <w:t xml:space="preserve"> </w:t>
            </w:r>
            <w:r w:rsidRPr="003F15C0">
              <w:rPr>
                <w:sz w:val="16"/>
                <w:szCs w:val="16"/>
              </w:rPr>
              <w:t>-</w:t>
            </w:r>
            <w:r w:rsidR="00543D6D" w:rsidRPr="003F15C0">
              <w:rPr>
                <w:sz w:val="16"/>
                <w:szCs w:val="16"/>
              </w:rPr>
              <w:t xml:space="preserve"> </w:t>
            </w:r>
            <w:r w:rsidRPr="003F15C0">
              <w:rPr>
                <w:sz w:val="16"/>
                <w:szCs w:val="16"/>
              </w:rPr>
              <w:t>24</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0.6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25 - 34</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3.2</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5.56</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1.30 - 23.80</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35 - 44</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1.6</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2.76</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0.66 - 11.55</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45 - 54</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1.8</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3.03</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0.68 - 13.42</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55 - 64</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1.4</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2.41</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0.49 - 11.80</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65+</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1.5</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2.51</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0.56 - 11.19</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0.27</w:t>
            </w:r>
          </w:p>
        </w:tc>
      </w:tr>
      <w:tr w:rsidR="00D8324A" w:rsidRPr="003F15C0" w:rsidTr="00F959A8">
        <w:tc>
          <w:tcPr>
            <w:tcW w:w="4305" w:type="dxa"/>
            <w:vAlign w:val="bottom"/>
          </w:tcPr>
          <w:p w:rsidR="00D8324A" w:rsidRPr="003F15C0" w:rsidRDefault="00543D6D" w:rsidP="00F17A34">
            <w:pPr>
              <w:spacing w:before="20"/>
              <w:jc w:val="both"/>
              <w:rPr>
                <w:b/>
                <w:sz w:val="16"/>
                <w:szCs w:val="16"/>
              </w:rPr>
            </w:pPr>
            <w:r w:rsidRPr="003F15C0">
              <w:rPr>
                <w:b/>
                <w:sz w:val="16"/>
                <w:szCs w:val="16"/>
              </w:rPr>
              <w:t>Gender</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Male</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2.1</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1.50</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0.78 - 2.86</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D8324A" w:rsidRPr="003F15C0" w:rsidTr="00F959A8">
        <w:tc>
          <w:tcPr>
            <w:tcW w:w="4305" w:type="dxa"/>
          </w:tcPr>
          <w:p w:rsidR="00D8324A" w:rsidRPr="003F15C0" w:rsidRDefault="00D8324A" w:rsidP="009B1415">
            <w:pPr>
              <w:spacing w:before="20"/>
              <w:ind w:left="176"/>
              <w:jc w:val="both"/>
              <w:rPr>
                <w:sz w:val="16"/>
                <w:szCs w:val="16"/>
              </w:rPr>
            </w:pPr>
            <w:r w:rsidRPr="003F15C0">
              <w:rPr>
                <w:sz w:val="16"/>
                <w:szCs w:val="16"/>
              </w:rPr>
              <w:t>Female</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r w:rsidRPr="003F15C0">
              <w:rPr>
                <w:color w:val="000000"/>
                <w:sz w:val="16"/>
                <w:szCs w:val="16"/>
              </w:rPr>
              <w:t>0.22</w:t>
            </w:r>
          </w:p>
        </w:tc>
      </w:tr>
      <w:tr w:rsidR="00D8324A" w:rsidRPr="003F15C0" w:rsidTr="00F959A8">
        <w:tc>
          <w:tcPr>
            <w:tcW w:w="4305" w:type="dxa"/>
            <w:vAlign w:val="bottom"/>
          </w:tcPr>
          <w:p w:rsidR="00D8324A" w:rsidRPr="003F15C0" w:rsidRDefault="00543D6D" w:rsidP="00F17A34">
            <w:pPr>
              <w:spacing w:before="20"/>
              <w:jc w:val="both"/>
              <w:rPr>
                <w:b/>
                <w:sz w:val="16"/>
                <w:szCs w:val="16"/>
              </w:rPr>
            </w:pPr>
            <w:r w:rsidRPr="003F15C0">
              <w:rPr>
                <w:b/>
                <w:sz w:val="16"/>
                <w:szCs w:val="16"/>
              </w:rPr>
              <w:t>Ethnic g</w:t>
            </w:r>
            <w:r w:rsidR="00D8324A" w:rsidRPr="003F15C0">
              <w:rPr>
                <w:b/>
                <w:sz w:val="16"/>
                <w:szCs w:val="16"/>
              </w:rPr>
              <w:t>roup</w:t>
            </w:r>
            <w:r w:rsidRPr="003F15C0">
              <w:rPr>
                <w:b/>
                <w:sz w:val="16"/>
                <w:szCs w:val="16"/>
              </w:rPr>
              <w:t xml:space="preserve"> (prioritised)</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tcPr>
          <w:p w:rsidR="00D8324A" w:rsidRPr="003F15C0" w:rsidRDefault="00D8324A" w:rsidP="00232878">
            <w:pPr>
              <w:keepNext/>
              <w:adjustRightInd w:val="0"/>
              <w:spacing w:before="20"/>
              <w:jc w:val="right"/>
              <w:rPr>
                <w:color w:val="000000"/>
                <w:sz w:val="16"/>
                <w:szCs w:val="16"/>
              </w:rPr>
            </w:pPr>
          </w:p>
        </w:tc>
        <w:tc>
          <w:tcPr>
            <w:tcW w:w="992" w:type="dxa"/>
          </w:tcPr>
          <w:p w:rsidR="00D8324A" w:rsidRPr="003F15C0" w:rsidRDefault="00D8324A" w:rsidP="00232878">
            <w:pPr>
              <w:keepNext/>
              <w:adjustRightInd w:val="0"/>
              <w:spacing w:before="20"/>
              <w:jc w:val="right"/>
              <w:rPr>
                <w:color w:val="000000"/>
                <w:sz w:val="16"/>
                <w:szCs w:val="16"/>
              </w:rPr>
            </w:pPr>
          </w:p>
        </w:tc>
        <w:tc>
          <w:tcPr>
            <w:tcW w:w="283" w:type="dxa"/>
          </w:tcPr>
          <w:p w:rsidR="00D8324A" w:rsidRPr="003F15C0" w:rsidRDefault="00D8324A" w:rsidP="00232878">
            <w:pPr>
              <w:keepNext/>
              <w:adjustRightInd w:val="0"/>
              <w:spacing w:before="20"/>
              <w:jc w:val="right"/>
              <w:rPr>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232878" w:rsidRPr="003F15C0" w:rsidTr="00F959A8">
        <w:trPr>
          <w:trHeight w:val="157"/>
        </w:trPr>
        <w:tc>
          <w:tcPr>
            <w:tcW w:w="4305" w:type="dxa"/>
          </w:tcPr>
          <w:p w:rsidR="00232878" w:rsidRPr="003F15C0" w:rsidRDefault="00232878" w:rsidP="009B1415">
            <w:pPr>
              <w:spacing w:before="20"/>
              <w:ind w:left="176"/>
              <w:jc w:val="both"/>
              <w:rPr>
                <w:sz w:val="16"/>
                <w:szCs w:val="16"/>
              </w:rPr>
            </w:pPr>
            <w:r w:rsidRPr="003F15C0">
              <w:rPr>
                <w:sz w:val="16"/>
                <w:szCs w:val="16"/>
              </w:rPr>
              <w:t>Māori</w:t>
            </w:r>
          </w:p>
        </w:tc>
        <w:tc>
          <w:tcPr>
            <w:tcW w:w="844" w:type="dxa"/>
          </w:tcPr>
          <w:p w:rsidR="00232878" w:rsidRPr="003F15C0" w:rsidRDefault="00232878" w:rsidP="00232878">
            <w:pPr>
              <w:spacing w:before="20"/>
              <w:ind w:left="176"/>
              <w:jc w:val="right"/>
              <w:rPr>
                <w:sz w:val="16"/>
                <w:szCs w:val="16"/>
              </w:rPr>
            </w:pPr>
            <w:r w:rsidRPr="003F15C0">
              <w:rPr>
                <w:sz w:val="16"/>
                <w:szCs w:val="16"/>
              </w:rPr>
              <w:t>3.8</w:t>
            </w:r>
          </w:p>
        </w:tc>
        <w:tc>
          <w:tcPr>
            <w:tcW w:w="1055" w:type="dxa"/>
          </w:tcPr>
          <w:p w:rsidR="00232878" w:rsidRPr="003F15C0" w:rsidRDefault="00232878" w:rsidP="00232878">
            <w:pPr>
              <w:spacing w:before="20"/>
              <w:ind w:left="176"/>
              <w:jc w:val="right"/>
              <w:rPr>
                <w:sz w:val="16"/>
                <w:szCs w:val="16"/>
              </w:rPr>
            </w:pPr>
            <w:r w:rsidRPr="003F15C0">
              <w:rPr>
                <w:sz w:val="16"/>
                <w:szCs w:val="16"/>
              </w:rPr>
              <w:t>3.73</w:t>
            </w:r>
          </w:p>
        </w:tc>
        <w:tc>
          <w:tcPr>
            <w:tcW w:w="1275" w:type="dxa"/>
            <w:gridSpan w:val="2"/>
          </w:tcPr>
          <w:p w:rsidR="00232878" w:rsidRPr="003F15C0" w:rsidRDefault="00FB75D9" w:rsidP="00232878">
            <w:pPr>
              <w:spacing w:before="20"/>
              <w:ind w:left="176"/>
              <w:jc w:val="right"/>
              <w:rPr>
                <w:sz w:val="16"/>
                <w:szCs w:val="16"/>
              </w:rPr>
            </w:pPr>
            <w:r w:rsidRPr="003F15C0">
              <w:rPr>
                <w:sz w:val="16"/>
                <w:szCs w:val="16"/>
              </w:rPr>
              <w:t>(</w:t>
            </w:r>
            <w:r w:rsidR="00232878" w:rsidRPr="003F15C0">
              <w:rPr>
                <w:sz w:val="16"/>
                <w:szCs w:val="16"/>
              </w:rPr>
              <w:t>1.59 - 8.75</w:t>
            </w:r>
            <w:r w:rsidRPr="003F15C0">
              <w:rPr>
                <w:sz w:val="16"/>
                <w:szCs w:val="16"/>
              </w:rPr>
              <w:t>)</w:t>
            </w:r>
          </w:p>
        </w:tc>
        <w:tc>
          <w:tcPr>
            <w:tcW w:w="1020" w:type="dxa"/>
            <w:vAlign w:val="center"/>
          </w:tcPr>
          <w:p w:rsidR="00232878" w:rsidRPr="003F15C0" w:rsidRDefault="00232878" w:rsidP="00232878">
            <w:pPr>
              <w:spacing w:before="20"/>
              <w:ind w:left="176"/>
              <w:jc w:val="right"/>
              <w:rPr>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Pacific</w:t>
            </w:r>
          </w:p>
        </w:tc>
        <w:tc>
          <w:tcPr>
            <w:tcW w:w="844" w:type="dxa"/>
          </w:tcPr>
          <w:p w:rsidR="00232878" w:rsidRPr="003F15C0" w:rsidRDefault="00232878" w:rsidP="00232878">
            <w:pPr>
              <w:spacing w:before="20"/>
              <w:ind w:left="176"/>
              <w:jc w:val="right"/>
              <w:rPr>
                <w:sz w:val="16"/>
                <w:szCs w:val="16"/>
              </w:rPr>
            </w:pPr>
            <w:r w:rsidRPr="003F15C0">
              <w:rPr>
                <w:sz w:val="16"/>
                <w:szCs w:val="16"/>
              </w:rPr>
              <w:t>7.0</w:t>
            </w:r>
          </w:p>
        </w:tc>
        <w:tc>
          <w:tcPr>
            <w:tcW w:w="1055" w:type="dxa"/>
          </w:tcPr>
          <w:p w:rsidR="00232878" w:rsidRPr="003F15C0" w:rsidRDefault="00232878" w:rsidP="00232878">
            <w:pPr>
              <w:spacing w:before="20"/>
              <w:ind w:left="176"/>
              <w:jc w:val="right"/>
              <w:rPr>
                <w:sz w:val="16"/>
                <w:szCs w:val="16"/>
              </w:rPr>
            </w:pPr>
            <w:r w:rsidRPr="003F15C0">
              <w:rPr>
                <w:sz w:val="16"/>
                <w:szCs w:val="16"/>
              </w:rPr>
              <w:t>7.09</w:t>
            </w:r>
          </w:p>
        </w:tc>
        <w:tc>
          <w:tcPr>
            <w:tcW w:w="1275" w:type="dxa"/>
            <w:gridSpan w:val="2"/>
          </w:tcPr>
          <w:p w:rsidR="00232878" w:rsidRPr="003F15C0" w:rsidRDefault="00FB75D9" w:rsidP="00232878">
            <w:pPr>
              <w:spacing w:before="20"/>
              <w:ind w:left="176"/>
              <w:jc w:val="right"/>
              <w:rPr>
                <w:sz w:val="16"/>
                <w:szCs w:val="16"/>
              </w:rPr>
            </w:pPr>
            <w:r w:rsidRPr="003F15C0">
              <w:rPr>
                <w:sz w:val="16"/>
                <w:szCs w:val="16"/>
              </w:rPr>
              <w:t>(</w:t>
            </w:r>
            <w:r w:rsidR="00232878" w:rsidRPr="003F15C0">
              <w:rPr>
                <w:sz w:val="16"/>
                <w:szCs w:val="16"/>
              </w:rPr>
              <w:t>3.41 - 14.74</w:t>
            </w:r>
            <w:r w:rsidRPr="003F15C0">
              <w:rPr>
                <w:sz w:val="16"/>
                <w:szCs w:val="16"/>
              </w:rPr>
              <w:t>)</w:t>
            </w:r>
          </w:p>
        </w:tc>
        <w:tc>
          <w:tcPr>
            <w:tcW w:w="1020" w:type="dxa"/>
            <w:vAlign w:val="center"/>
          </w:tcPr>
          <w:p w:rsidR="00232878" w:rsidRPr="003F15C0" w:rsidRDefault="00232878" w:rsidP="00232878">
            <w:pPr>
              <w:spacing w:before="20"/>
              <w:ind w:left="176"/>
              <w:jc w:val="right"/>
              <w:rPr>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Asian</w:t>
            </w:r>
          </w:p>
        </w:tc>
        <w:tc>
          <w:tcPr>
            <w:tcW w:w="844" w:type="dxa"/>
          </w:tcPr>
          <w:p w:rsidR="00232878" w:rsidRPr="003F15C0" w:rsidRDefault="00232878" w:rsidP="00232878">
            <w:pPr>
              <w:spacing w:before="20"/>
              <w:ind w:left="176"/>
              <w:jc w:val="right"/>
              <w:rPr>
                <w:sz w:val="16"/>
                <w:szCs w:val="16"/>
              </w:rPr>
            </w:pPr>
            <w:r w:rsidRPr="003F15C0">
              <w:rPr>
                <w:sz w:val="16"/>
                <w:szCs w:val="16"/>
              </w:rPr>
              <w:t>3.3</w:t>
            </w:r>
          </w:p>
        </w:tc>
        <w:tc>
          <w:tcPr>
            <w:tcW w:w="1055" w:type="dxa"/>
          </w:tcPr>
          <w:p w:rsidR="00232878" w:rsidRPr="003F15C0" w:rsidRDefault="00232878" w:rsidP="00232878">
            <w:pPr>
              <w:spacing w:before="20"/>
              <w:ind w:left="176"/>
              <w:jc w:val="right"/>
              <w:rPr>
                <w:sz w:val="16"/>
                <w:szCs w:val="16"/>
              </w:rPr>
            </w:pPr>
            <w:r w:rsidRPr="003F15C0">
              <w:rPr>
                <w:sz w:val="16"/>
                <w:szCs w:val="16"/>
              </w:rPr>
              <w:t>3.20</w:t>
            </w:r>
          </w:p>
        </w:tc>
        <w:tc>
          <w:tcPr>
            <w:tcW w:w="1275" w:type="dxa"/>
            <w:gridSpan w:val="2"/>
          </w:tcPr>
          <w:p w:rsidR="00232878" w:rsidRPr="003F15C0" w:rsidRDefault="00FB75D9" w:rsidP="00232878">
            <w:pPr>
              <w:spacing w:before="20"/>
              <w:ind w:left="176"/>
              <w:jc w:val="right"/>
              <w:rPr>
                <w:sz w:val="16"/>
                <w:szCs w:val="16"/>
              </w:rPr>
            </w:pPr>
            <w:r w:rsidRPr="003F15C0">
              <w:rPr>
                <w:sz w:val="16"/>
                <w:szCs w:val="16"/>
              </w:rPr>
              <w:t>(</w:t>
            </w:r>
            <w:r w:rsidR="00232878" w:rsidRPr="003F15C0">
              <w:rPr>
                <w:sz w:val="16"/>
                <w:szCs w:val="16"/>
              </w:rPr>
              <w:t>1.13 - 9.04</w:t>
            </w:r>
            <w:r w:rsidRPr="003F15C0">
              <w:rPr>
                <w:sz w:val="16"/>
                <w:szCs w:val="16"/>
              </w:rPr>
              <w:t>)</w:t>
            </w:r>
          </w:p>
        </w:tc>
        <w:tc>
          <w:tcPr>
            <w:tcW w:w="1020" w:type="dxa"/>
            <w:vAlign w:val="center"/>
          </w:tcPr>
          <w:p w:rsidR="00232878" w:rsidRPr="003F15C0" w:rsidRDefault="00232878" w:rsidP="00232878">
            <w:pPr>
              <w:spacing w:before="20"/>
              <w:ind w:left="176"/>
              <w:jc w:val="right"/>
              <w:rPr>
                <w:sz w:val="16"/>
                <w:szCs w:val="16"/>
              </w:rPr>
            </w:pPr>
          </w:p>
        </w:tc>
      </w:tr>
      <w:tr w:rsidR="00D8324A" w:rsidRPr="003F15C0" w:rsidTr="00F959A8">
        <w:tc>
          <w:tcPr>
            <w:tcW w:w="4305" w:type="dxa"/>
          </w:tcPr>
          <w:p w:rsidR="00D8324A" w:rsidRPr="003F15C0" w:rsidRDefault="00D8324A" w:rsidP="009B1415">
            <w:pPr>
              <w:spacing w:before="20"/>
              <w:ind w:left="176"/>
              <w:jc w:val="both"/>
              <w:rPr>
                <w:sz w:val="16"/>
                <w:szCs w:val="16"/>
              </w:rPr>
            </w:pPr>
            <w:r w:rsidRPr="003F15C0">
              <w:rPr>
                <w:sz w:val="16"/>
                <w:szCs w:val="16"/>
              </w:rPr>
              <w:t>European/Other</w:t>
            </w:r>
          </w:p>
        </w:tc>
        <w:tc>
          <w:tcPr>
            <w:tcW w:w="844" w:type="dxa"/>
          </w:tcPr>
          <w:p w:rsidR="00D8324A" w:rsidRPr="003F15C0" w:rsidRDefault="009A02F6" w:rsidP="00232878">
            <w:pPr>
              <w:spacing w:before="20"/>
              <w:ind w:left="176"/>
              <w:jc w:val="right"/>
              <w:rPr>
                <w:sz w:val="16"/>
                <w:szCs w:val="16"/>
              </w:rPr>
            </w:pPr>
            <w:r w:rsidRPr="003F15C0">
              <w:rPr>
                <w:sz w:val="16"/>
                <w:szCs w:val="16"/>
              </w:rPr>
              <w:t>1.1</w:t>
            </w:r>
          </w:p>
        </w:tc>
        <w:tc>
          <w:tcPr>
            <w:tcW w:w="1055" w:type="dxa"/>
            <w:vAlign w:val="center"/>
          </w:tcPr>
          <w:p w:rsidR="00D8324A" w:rsidRPr="003F15C0" w:rsidRDefault="00D8324A" w:rsidP="00232878">
            <w:pPr>
              <w:spacing w:before="20"/>
              <w:ind w:left="176"/>
              <w:jc w:val="right"/>
              <w:rPr>
                <w:sz w:val="16"/>
                <w:szCs w:val="16"/>
              </w:rPr>
            </w:pPr>
            <w:r w:rsidRPr="003F15C0">
              <w:rPr>
                <w:sz w:val="16"/>
                <w:szCs w:val="16"/>
              </w:rPr>
              <w:t>1.00</w:t>
            </w:r>
          </w:p>
        </w:tc>
        <w:tc>
          <w:tcPr>
            <w:tcW w:w="992" w:type="dxa"/>
            <w:vAlign w:val="center"/>
          </w:tcPr>
          <w:p w:rsidR="00D8324A" w:rsidRPr="003F15C0" w:rsidRDefault="00D8324A" w:rsidP="00232878">
            <w:pPr>
              <w:spacing w:before="20"/>
              <w:ind w:left="176"/>
              <w:jc w:val="right"/>
              <w:rPr>
                <w:sz w:val="16"/>
                <w:szCs w:val="16"/>
              </w:rPr>
            </w:pPr>
          </w:p>
        </w:tc>
        <w:tc>
          <w:tcPr>
            <w:tcW w:w="283" w:type="dxa"/>
            <w:vAlign w:val="center"/>
          </w:tcPr>
          <w:p w:rsidR="00D8324A" w:rsidRPr="003F15C0" w:rsidRDefault="00D8324A" w:rsidP="00232878">
            <w:pPr>
              <w:spacing w:before="20"/>
              <w:ind w:left="176"/>
              <w:jc w:val="right"/>
              <w:rPr>
                <w:sz w:val="16"/>
                <w:szCs w:val="16"/>
              </w:rPr>
            </w:pPr>
          </w:p>
        </w:tc>
        <w:tc>
          <w:tcPr>
            <w:tcW w:w="1020" w:type="dxa"/>
            <w:shd w:val="clear" w:color="auto" w:fill="D9D9D9" w:themeFill="background1" w:themeFillShade="D9"/>
            <w:vAlign w:val="center"/>
          </w:tcPr>
          <w:p w:rsidR="00D8324A" w:rsidRPr="003F15C0" w:rsidRDefault="00D8324A" w:rsidP="00232878">
            <w:pPr>
              <w:spacing w:before="20"/>
              <w:ind w:left="176"/>
              <w:jc w:val="right"/>
              <w:rPr>
                <w:sz w:val="16"/>
                <w:szCs w:val="16"/>
              </w:rPr>
            </w:pPr>
            <w:r w:rsidRPr="003F15C0">
              <w:rPr>
                <w:sz w:val="16"/>
                <w:szCs w:val="16"/>
              </w:rPr>
              <w:t>&lt;</w:t>
            </w:r>
            <w:r w:rsidR="0081083E" w:rsidRPr="003F15C0">
              <w:rPr>
                <w:sz w:val="16"/>
                <w:szCs w:val="16"/>
              </w:rPr>
              <w:t>0</w:t>
            </w:r>
            <w:r w:rsidRPr="003F15C0">
              <w:rPr>
                <w:sz w:val="16"/>
                <w:szCs w:val="16"/>
              </w:rPr>
              <w:t>.0001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Arrival in NZ</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9B1415">
            <w:pPr>
              <w:spacing w:before="20"/>
              <w:ind w:left="176"/>
              <w:jc w:val="both"/>
              <w:rPr>
                <w:sz w:val="16"/>
                <w:szCs w:val="16"/>
              </w:rPr>
            </w:pPr>
            <w:r w:rsidRPr="003F15C0">
              <w:rPr>
                <w:sz w:val="16"/>
                <w:szCs w:val="16"/>
              </w:rPr>
              <w:t xml:space="preserve">NZ </w:t>
            </w:r>
            <w:r w:rsidR="00543D6D" w:rsidRPr="003F15C0">
              <w:rPr>
                <w:sz w:val="16"/>
                <w:szCs w:val="16"/>
              </w:rPr>
              <w:t>b</w:t>
            </w:r>
            <w:r w:rsidRPr="003F15C0">
              <w:rPr>
                <w:sz w:val="16"/>
                <w:szCs w:val="16"/>
              </w:rPr>
              <w:t>orn</w:t>
            </w:r>
          </w:p>
        </w:tc>
        <w:tc>
          <w:tcPr>
            <w:tcW w:w="844" w:type="dxa"/>
          </w:tcPr>
          <w:p w:rsidR="00D8324A" w:rsidRPr="003F15C0" w:rsidRDefault="00D8324A" w:rsidP="00232878">
            <w:pPr>
              <w:adjustRightInd w:val="0"/>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before 2008</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2.9</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2.06</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1.06 - 4.02</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since 2008</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1.4</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1.01</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0.20 - 4.97</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0.10</w:t>
            </w:r>
          </w:p>
        </w:tc>
      </w:tr>
      <w:tr w:rsidR="00D8324A" w:rsidRPr="003F15C0" w:rsidTr="00F959A8">
        <w:tc>
          <w:tcPr>
            <w:tcW w:w="4305" w:type="dxa"/>
            <w:vAlign w:val="bottom"/>
          </w:tcPr>
          <w:p w:rsidR="00D8324A" w:rsidRPr="003F15C0" w:rsidRDefault="00543D6D" w:rsidP="00F17A34">
            <w:pPr>
              <w:spacing w:before="20"/>
              <w:jc w:val="both"/>
              <w:rPr>
                <w:b/>
                <w:sz w:val="16"/>
                <w:szCs w:val="16"/>
              </w:rPr>
            </w:pPr>
            <w:r w:rsidRPr="003F15C0">
              <w:rPr>
                <w:b/>
                <w:sz w:val="16"/>
                <w:szCs w:val="16"/>
              </w:rPr>
              <w:t>Country o</w:t>
            </w:r>
            <w:r w:rsidR="00C41FBE" w:rsidRPr="003F15C0">
              <w:rPr>
                <w:b/>
                <w:sz w:val="16"/>
                <w:szCs w:val="16"/>
              </w:rPr>
              <w:t>f b</w:t>
            </w:r>
            <w:r w:rsidR="00D8324A" w:rsidRPr="003F15C0">
              <w:rPr>
                <w:b/>
                <w:sz w:val="16"/>
                <w:szCs w:val="16"/>
              </w:rPr>
              <w:t>irth</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9B1415">
            <w:pPr>
              <w:spacing w:before="20"/>
              <w:ind w:left="176"/>
              <w:jc w:val="both"/>
              <w:rPr>
                <w:sz w:val="16"/>
                <w:szCs w:val="16"/>
              </w:rPr>
            </w:pPr>
            <w:r w:rsidRPr="003F15C0">
              <w:rPr>
                <w:sz w:val="16"/>
                <w:szCs w:val="16"/>
              </w:rPr>
              <w:t>NZ</w:t>
            </w:r>
          </w:p>
        </w:tc>
        <w:tc>
          <w:tcPr>
            <w:tcW w:w="844" w:type="dxa"/>
            <w:vAlign w:val="center"/>
          </w:tcPr>
          <w:p w:rsidR="00D8324A" w:rsidRPr="003F15C0" w:rsidRDefault="00D8324A" w:rsidP="00232878">
            <w:pPr>
              <w:adjustRightInd w:val="0"/>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adjustRightInd w:val="0"/>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adjustRightInd w:val="0"/>
              <w:spacing w:before="20"/>
              <w:jc w:val="right"/>
              <w:rPr>
                <w:color w:val="000000"/>
                <w:sz w:val="16"/>
                <w:szCs w:val="16"/>
              </w:rPr>
            </w:pPr>
          </w:p>
        </w:tc>
        <w:tc>
          <w:tcPr>
            <w:tcW w:w="283" w:type="dxa"/>
            <w:vAlign w:val="center"/>
          </w:tcPr>
          <w:p w:rsidR="00D8324A" w:rsidRPr="003F15C0" w:rsidRDefault="00D8324A" w:rsidP="00232878">
            <w:pPr>
              <w:adjustRightInd w:val="0"/>
              <w:spacing w:before="20"/>
              <w:jc w:val="right"/>
              <w:rPr>
                <w:color w:val="000000"/>
                <w:sz w:val="16"/>
                <w:szCs w:val="16"/>
              </w:rPr>
            </w:pPr>
          </w:p>
        </w:tc>
        <w:tc>
          <w:tcPr>
            <w:tcW w:w="1020" w:type="dxa"/>
            <w:vAlign w:val="center"/>
          </w:tcPr>
          <w:p w:rsidR="00D8324A" w:rsidRPr="003F15C0" w:rsidRDefault="00D8324A" w:rsidP="00232878">
            <w:pPr>
              <w:adjustRightInd w:val="0"/>
              <w:spacing w:before="20"/>
              <w:jc w:val="right"/>
              <w:rPr>
                <w:color w:val="000000"/>
                <w:sz w:val="16"/>
                <w:szCs w:val="16"/>
              </w:rPr>
            </w:pPr>
          </w:p>
        </w:tc>
      </w:tr>
      <w:tr w:rsidR="00232878" w:rsidRPr="003F15C0" w:rsidTr="00F959A8">
        <w:tc>
          <w:tcPr>
            <w:tcW w:w="4305" w:type="dxa"/>
          </w:tcPr>
          <w:p w:rsidR="00232878" w:rsidRPr="003F15C0" w:rsidRDefault="00232878" w:rsidP="009B1415">
            <w:pPr>
              <w:spacing w:before="20"/>
              <w:ind w:left="176"/>
              <w:jc w:val="both"/>
              <w:rPr>
                <w:sz w:val="16"/>
                <w:szCs w:val="16"/>
              </w:rPr>
            </w:pPr>
            <w:r w:rsidRPr="003F15C0">
              <w:rPr>
                <w:sz w:val="16"/>
                <w:szCs w:val="16"/>
              </w:rPr>
              <w:t>Other</w:t>
            </w:r>
          </w:p>
        </w:tc>
        <w:tc>
          <w:tcPr>
            <w:tcW w:w="844" w:type="dxa"/>
            <w:vAlign w:val="center"/>
          </w:tcPr>
          <w:p w:rsidR="00232878" w:rsidRPr="003F15C0" w:rsidRDefault="00232878" w:rsidP="00232878">
            <w:pPr>
              <w:adjustRightInd w:val="0"/>
              <w:spacing w:before="20"/>
              <w:jc w:val="right"/>
              <w:rPr>
                <w:color w:val="000000"/>
                <w:sz w:val="16"/>
                <w:szCs w:val="16"/>
              </w:rPr>
            </w:pPr>
            <w:r w:rsidRPr="003F15C0">
              <w:rPr>
                <w:color w:val="000000"/>
                <w:sz w:val="16"/>
                <w:szCs w:val="16"/>
              </w:rPr>
              <w:t>2.7</w:t>
            </w:r>
          </w:p>
        </w:tc>
        <w:tc>
          <w:tcPr>
            <w:tcW w:w="1055" w:type="dxa"/>
            <w:vAlign w:val="center"/>
          </w:tcPr>
          <w:p w:rsidR="00232878" w:rsidRPr="003F15C0" w:rsidRDefault="00232878" w:rsidP="00232878">
            <w:pPr>
              <w:adjustRightInd w:val="0"/>
              <w:spacing w:before="20"/>
              <w:jc w:val="right"/>
              <w:rPr>
                <w:color w:val="000000"/>
                <w:sz w:val="16"/>
                <w:szCs w:val="16"/>
              </w:rPr>
            </w:pPr>
            <w:r w:rsidRPr="003F15C0">
              <w:rPr>
                <w:color w:val="000000"/>
                <w:sz w:val="16"/>
                <w:szCs w:val="16"/>
              </w:rPr>
              <w:t>1.94</w:t>
            </w:r>
          </w:p>
        </w:tc>
        <w:tc>
          <w:tcPr>
            <w:tcW w:w="1275" w:type="dxa"/>
            <w:gridSpan w:val="2"/>
            <w:vAlign w:val="center"/>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1.01 - 3.74</w:t>
            </w:r>
            <w:r w:rsidRPr="003F15C0">
              <w:rPr>
                <w:color w:val="000000"/>
                <w:sz w:val="16"/>
                <w:szCs w:val="16"/>
              </w:rPr>
              <w:t>)</w:t>
            </w:r>
          </w:p>
        </w:tc>
        <w:tc>
          <w:tcPr>
            <w:tcW w:w="1020" w:type="dxa"/>
            <w:shd w:val="clear" w:color="auto" w:fill="D9D9D9" w:themeFill="background1" w:themeFillShade="D9"/>
            <w:vAlign w:val="center"/>
          </w:tcPr>
          <w:p w:rsidR="00232878" w:rsidRPr="003F15C0" w:rsidRDefault="00232878" w:rsidP="00232878">
            <w:pPr>
              <w:adjustRightInd w:val="0"/>
              <w:spacing w:before="20"/>
              <w:jc w:val="right"/>
              <w:rPr>
                <w:color w:val="000000"/>
                <w:sz w:val="16"/>
                <w:szCs w:val="16"/>
              </w:rPr>
            </w:pPr>
            <w:r w:rsidRPr="003F15C0">
              <w:rPr>
                <w:color w:val="000000"/>
                <w:sz w:val="16"/>
                <w:szCs w:val="16"/>
              </w:rPr>
              <w:t>0.05</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Religion</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tcPr>
          <w:p w:rsidR="00D8324A" w:rsidRPr="003F15C0" w:rsidRDefault="00D8324A" w:rsidP="00232878">
            <w:pPr>
              <w:adjustRightInd w:val="0"/>
              <w:spacing w:before="20"/>
              <w:jc w:val="right"/>
              <w:rPr>
                <w:color w:val="000000"/>
                <w:sz w:val="16"/>
                <w:szCs w:val="16"/>
              </w:rPr>
            </w:pPr>
          </w:p>
        </w:tc>
        <w:tc>
          <w:tcPr>
            <w:tcW w:w="992" w:type="dxa"/>
          </w:tcPr>
          <w:p w:rsidR="00D8324A" w:rsidRPr="003F15C0" w:rsidRDefault="00D8324A" w:rsidP="00232878">
            <w:pPr>
              <w:adjustRightInd w:val="0"/>
              <w:spacing w:before="20"/>
              <w:jc w:val="right"/>
              <w:rPr>
                <w:color w:val="000000"/>
                <w:sz w:val="16"/>
                <w:szCs w:val="16"/>
              </w:rPr>
            </w:pPr>
          </w:p>
        </w:tc>
        <w:tc>
          <w:tcPr>
            <w:tcW w:w="283" w:type="dxa"/>
          </w:tcPr>
          <w:p w:rsidR="00D8324A" w:rsidRPr="003F15C0" w:rsidRDefault="00D8324A" w:rsidP="00232878">
            <w:pPr>
              <w:adjustRightInd w:val="0"/>
              <w:spacing w:before="20"/>
              <w:jc w:val="right"/>
              <w:rPr>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3A0D09" w:rsidP="003A0D09">
            <w:pPr>
              <w:spacing w:before="20"/>
              <w:ind w:left="176"/>
              <w:jc w:val="both"/>
              <w:rPr>
                <w:sz w:val="16"/>
                <w:szCs w:val="16"/>
              </w:rPr>
            </w:pPr>
            <w:r w:rsidRPr="003F15C0">
              <w:rPr>
                <w:sz w:val="16"/>
                <w:szCs w:val="16"/>
              </w:rPr>
              <w:t>No r</w:t>
            </w:r>
            <w:r w:rsidR="00D8324A" w:rsidRPr="003F15C0">
              <w:rPr>
                <w:sz w:val="16"/>
                <w:szCs w:val="16"/>
              </w:rPr>
              <w:t>eligion</w:t>
            </w:r>
          </w:p>
        </w:tc>
        <w:tc>
          <w:tcPr>
            <w:tcW w:w="844" w:type="dxa"/>
          </w:tcPr>
          <w:p w:rsidR="00D8324A" w:rsidRPr="003F15C0" w:rsidRDefault="009A02F6" w:rsidP="00232878">
            <w:pPr>
              <w:adjustRightInd w:val="0"/>
              <w:spacing w:before="20"/>
              <w:jc w:val="right"/>
              <w:rPr>
                <w:color w:val="000000"/>
                <w:sz w:val="16"/>
                <w:szCs w:val="16"/>
              </w:rPr>
            </w:pPr>
            <w:r w:rsidRPr="003F15C0">
              <w:rPr>
                <w:color w:val="000000"/>
                <w:sz w:val="16"/>
                <w:szCs w:val="16"/>
              </w:rPr>
              <w:t>1.00</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Anglican</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1.9</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2.00</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0.71 - 5.67</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Catholic</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2.8</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2.94</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1.03 - 8.45</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Presbyterian</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1.6</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1.68</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0.56 - 4.99</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Other Christian</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2.00</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0.78 - 5.13</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Other religion</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3.3</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3.44</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1.11 - 10.62</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0.26</w:t>
            </w:r>
          </w:p>
        </w:tc>
      </w:tr>
      <w:tr w:rsidR="00D8324A" w:rsidRPr="003F15C0" w:rsidTr="00F959A8">
        <w:tc>
          <w:tcPr>
            <w:tcW w:w="4305" w:type="dxa"/>
            <w:vAlign w:val="bottom"/>
          </w:tcPr>
          <w:p w:rsidR="00D8324A" w:rsidRPr="003F15C0" w:rsidRDefault="00543D6D" w:rsidP="00F17A34">
            <w:pPr>
              <w:spacing w:before="20"/>
              <w:jc w:val="both"/>
              <w:rPr>
                <w:b/>
                <w:sz w:val="16"/>
                <w:szCs w:val="16"/>
              </w:rPr>
            </w:pPr>
            <w:r w:rsidRPr="003F15C0">
              <w:rPr>
                <w:b/>
                <w:sz w:val="16"/>
                <w:szCs w:val="16"/>
              </w:rPr>
              <w:t>Highest q</w:t>
            </w:r>
            <w:r w:rsidR="00D8324A" w:rsidRPr="003F15C0">
              <w:rPr>
                <w:b/>
                <w:sz w:val="16"/>
                <w:szCs w:val="16"/>
              </w:rPr>
              <w:t>ualification</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A0D09">
            <w:pPr>
              <w:spacing w:before="20"/>
              <w:ind w:left="176"/>
              <w:jc w:val="both"/>
              <w:rPr>
                <w:sz w:val="16"/>
                <w:szCs w:val="16"/>
              </w:rPr>
            </w:pPr>
            <w:r w:rsidRPr="003F15C0">
              <w:rPr>
                <w:sz w:val="16"/>
                <w:szCs w:val="16"/>
              </w:rPr>
              <w:t xml:space="preserve">No formal </w:t>
            </w:r>
            <w:r w:rsidR="00543D6D" w:rsidRPr="003F15C0">
              <w:rPr>
                <w:sz w:val="16"/>
                <w:szCs w:val="16"/>
              </w:rPr>
              <w:t>q</w:t>
            </w:r>
            <w:r w:rsidRPr="003F15C0">
              <w:rPr>
                <w:sz w:val="16"/>
                <w:szCs w:val="16"/>
              </w:rPr>
              <w:t>ual</w:t>
            </w:r>
            <w:r w:rsidR="00543D6D" w:rsidRPr="003F15C0">
              <w:rPr>
                <w:sz w:val="16"/>
                <w:szCs w:val="16"/>
              </w:rPr>
              <w:t>ification</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C41FBE" w:rsidP="003A0D09">
            <w:pPr>
              <w:spacing w:before="20"/>
              <w:ind w:left="176"/>
              <w:jc w:val="both"/>
              <w:rPr>
                <w:sz w:val="16"/>
                <w:szCs w:val="16"/>
              </w:rPr>
            </w:pPr>
            <w:r w:rsidRPr="003F15C0">
              <w:rPr>
                <w:sz w:val="16"/>
                <w:szCs w:val="16"/>
              </w:rPr>
              <w:t>Secondary s</w:t>
            </w:r>
            <w:r w:rsidR="00232878" w:rsidRPr="003F15C0">
              <w:rPr>
                <w:sz w:val="16"/>
                <w:szCs w:val="16"/>
              </w:rPr>
              <w:t>chool qualification</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2.0</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1.38</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0.49 - 3.88</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Vocational or Trade qualification</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2.7</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1.93</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0.76 - 4.88</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C41FBE" w:rsidP="003A0D09">
            <w:pPr>
              <w:spacing w:before="20"/>
              <w:ind w:left="176"/>
              <w:jc w:val="both"/>
              <w:rPr>
                <w:sz w:val="16"/>
                <w:szCs w:val="16"/>
              </w:rPr>
            </w:pPr>
            <w:r w:rsidRPr="003F15C0">
              <w:rPr>
                <w:sz w:val="16"/>
                <w:szCs w:val="16"/>
              </w:rPr>
              <w:t>University d</w:t>
            </w:r>
            <w:r w:rsidR="00232878" w:rsidRPr="003F15C0">
              <w:rPr>
                <w:sz w:val="16"/>
                <w:szCs w:val="16"/>
              </w:rPr>
              <w:t>egree or higher</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1.0</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0.70</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0.26 - 1.85</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0.11</w:t>
            </w:r>
          </w:p>
        </w:tc>
      </w:tr>
      <w:tr w:rsidR="00D8324A" w:rsidRPr="003F15C0" w:rsidTr="00F959A8">
        <w:tc>
          <w:tcPr>
            <w:tcW w:w="4305" w:type="dxa"/>
            <w:vAlign w:val="bottom"/>
          </w:tcPr>
          <w:p w:rsidR="00D8324A" w:rsidRPr="003F15C0" w:rsidRDefault="00543D6D" w:rsidP="00F17A34">
            <w:pPr>
              <w:spacing w:before="20"/>
              <w:jc w:val="both"/>
              <w:rPr>
                <w:b/>
                <w:sz w:val="16"/>
                <w:szCs w:val="16"/>
              </w:rPr>
            </w:pPr>
            <w:r w:rsidRPr="003F15C0">
              <w:rPr>
                <w:b/>
                <w:sz w:val="16"/>
                <w:szCs w:val="16"/>
              </w:rPr>
              <w:t>Labour f</w:t>
            </w:r>
            <w:r w:rsidR="00D8324A" w:rsidRPr="003F15C0">
              <w:rPr>
                <w:b/>
                <w:sz w:val="16"/>
                <w:szCs w:val="16"/>
              </w:rPr>
              <w:t xml:space="preserve">orce </w:t>
            </w:r>
            <w:r w:rsidRPr="003F15C0">
              <w:rPr>
                <w:b/>
                <w:sz w:val="16"/>
                <w:szCs w:val="16"/>
              </w:rPr>
              <w:t>s</w:t>
            </w:r>
            <w:r w:rsidR="00D8324A" w:rsidRPr="003F15C0">
              <w:rPr>
                <w:b/>
                <w:sz w:val="16"/>
                <w:szCs w:val="16"/>
              </w:rPr>
              <w:t>tatus</w:t>
            </w:r>
          </w:p>
        </w:tc>
        <w:tc>
          <w:tcPr>
            <w:tcW w:w="844" w:type="dxa"/>
            <w:vAlign w:val="center"/>
          </w:tcPr>
          <w:p w:rsidR="00D8324A" w:rsidRPr="003F15C0" w:rsidRDefault="00D8324A" w:rsidP="00232878">
            <w:pPr>
              <w:spacing w:before="20"/>
              <w:jc w:val="right"/>
              <w:rPr>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A0D09">
            <w:pPr>
              <w:spacing w:before="20"/>
              <w:ind w:left="176"/>
              <w:jc w:val="both"/>
              <w:rPr>
                <w:sz w:val="16"/>
                <w:szCs w:val="16"/>
              </w:rPr>
            </w:pPr>
            <w:r w:rsidRPr="003F15C0">
              <w:rPr>
                <w:sz w:val="16"/>
                <w:szCs w:val="16"/>
              </w:rPr>
              <w:t>Employed</w:t>
            </w:r>
          </w:p>
        </w:tc>
        <w:tc>
          <w:tcPr>
            <w:tcW w:w="844" w:type="dxa"/>
          </w:tcPr>
          <w:p w:rsidR="00D8324A" w:rsidRPr="003F15C0" w:rsidRDefault="00D8324A" w:rsidP="00232878">
            <w:pPr>
              <w:adjustRightInd w:val="0"/>
              <w:spacing w:before="20"/>
              <w:jc w:val="right"/>
              <w:rPr>
                <w:color w:val="000000"/>
                <w:sz w:val="16"/>
                <w:szCs w:val="16"/>
              </w:rPr>
            </w:pPr>
            <w:r w:rsidRPr="003F15C0">
              <w:rPr>
                <w:color w:val="000000"/>
                <w:sz w:val="16"/>
                <w:szCs w:val="16"/>
              </w:rPr>
              <w:t>1.9</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Unemployed</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1.3</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0.69</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0.32 - 1.52</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Student/Homemaker/Retired</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1.3</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0.65</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0.27 - 1.60</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0.50</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Household</w:t>
            </w:r>
            <w:r w:rsidR="00EE0D52" w:rsidRPr="003F15C0">
              <w:rPr>
                <w:b/>
                <w:sz w:val="16"/>
                <w:szCs w:val="16"/>
              </w:rPr>
              <w:t xml:space="preserve"> s</w:t>
            </w:r>
            <w:r w:rsidRPr="003F15C0">
              <w:rPr>
                <w:b/>
                <w:sz w:val="16"/>
                <w:szCs w:val="16"/>
              </w:rPr>
              <w:t>ize</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A0D09">
            <w:pPr>
              <w:spacing w:before="20"/>
              <w:ind w:left="176"/>
              <w:jc w:val="both"/>
              <w:rPr>
                <w:sz w:val="16"/>
                <w:szCs w:val="16"/>
              </w:rPr>
            </w:pPr>
            <w:r w:rsidRPr="003F15C0">
              <w:rPr>
                <w:sz w:val="16"/>
                <w:szCs w:val="16"/>
              </w:rPr>
              <w:t>1</w:t>
            </w:r>
          </w:p>
        </w:tc>
        <w:tc>
          <w:tcPr>
            <w:tcW w:w="844" w:type="dxa"/>
          </w:tcPr>
          <w:p w:rsidR="00D8324A" w:rsidRPr="003F15C0" w:rsidRDefault="00D8324A" w:rsidP="00232878">
            <w:pPr>
              <w:adjustRightInd w:val="0"/>
              <w:spacing w:before="20"/>
              <w:jc w:val="right"/>
              <w:rPr>
                <w:color w:val="000000"/>
                <w:sz w:val="16"/>
                <w:szCs w:val="16"/>
              </w:rPr>
            </w:pPr>
            <w:r w:rsidRPr="003F15C0">
              <w:rPr>
                <w:color w:val="000000"/>
                <w:sz w:val="16"/>
                <w:szCs w:val="16"/>
              </w:rPr>
              <w:t>1.2</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2</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1.6</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1.28</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0.43 - 3.78</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3</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2.1</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1.71</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0.49 - 5.99</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4</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2.0</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1.65</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0.53 - 5.16</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A0D09">
            <w:pPr>
              <w:spacing w:before="20"/>
              <w:ind w:left="176"/>
              <w:jc w:val="both"/>
              <w:rPr>
                <w:sz w:val="16"/>
                <w:szCs w:val="16"/>
              </w:rPr>
            </w:pPr>
            <w:r w:rsidRPr="003F15C0">
              <w:rPr>
                <w:sz w:val="16"/>
                <w:szCs w:val="16"/>
              </w:rPr>
              <w:t>5+</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1.7</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1.44</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0.46 - 4.50</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0.90</w:t>
            </w:r>
          </w:p>
        </w:tc>
      </w:tr>
      <w:tr w:rsidR="00D8324A" w:rsidRPr="003F15C0" w:rsidTr="00F959A8">
        <w:tc>
          <w:tcPr>
            <w:tcW w:w="4305" w:type="dxa"/>
            <w:vAlign w:val="bottom"/>
          </w:tcPr>
          <w:p w:rsidR="00D8324A" w:rsidRPr="003F15C0" w:rsidRDefault="00D8324A" w:rsidP="00F17A34">
            <w:pPr>
              <w:keepNext/>
              <w:spacing w:before="20"/>
              <w:jc w:val="both"/>
              <w:rPr>
                <w:b/>
                <w:sz w:val="16"/>
                <w:szCs w:val="16"/>
              </w:rPr>
            </w:pPr>
            <w:r w:rsidRPr="003F15C0">
              <w:rPr>
                <w:b/>
                <w:sz w:val="16"/>
                <w:szCs w:val="16"/>
              </w:rPr>
              <w:t>Personal income</w:t>
            </w:r>
          </w:p>
        </w:tc>
        <w:tc>
          <w:tcPr>
            <w:tcW w:w="844" w:type="dxa"/>
            <w:vAlign w:val="center"/>
          </w:tcPr>
          <w:p w:rsidR="00D8324A" w:rsidRPr="003F15C0" w:rsidRDefault="00D8324A" w:rsidP="00232878">
            <w:pPr>
              <w:keepNext/>
              <w:spacing w:before="20"/>
              <w:jc w:val="right"/>
              <w:rPr>
                <w:b/>
                <w:bCs/>
                <w:color w:val="000000"/>
                <w:sz w:val="16"/>
                <w:szCs w:val="16"/>
              </w:rPr>
            </w:pPr>
          </w:p>
        </w:tc>
        <w:tc>
          <w:tcPr>
            <w:tcW w:w="1055" w:type="dxa"/>
            <w:vAlign w:val="center"/>
          </w:tcPr>
          <w:p w:rsidR="00D8324A" w:rsidRPr="003F15C0" w:rsidRDefault="00D8324A" w:rsidP="00232878">
            <w:pPr>
              <w:keepNext/>
              <w:spacing w:before="20"/>
              <w:jc w:val="right"/>
              <w:rPr>
                <w:b/>
                <w:color w:val="000000"/>
                <w:sz w:val="16"/>
                <w:szCs w:val="16"/>
              </w:rPr>
            </w:pPr>
          </w:p>
        </w:tc>
        <w:tc>
          <w:tcPr>
            <w:tcW w:w="992" w:type="dxa"/>
            <w:vAlign w:val="center"/>
          </w:tcPr>
          <w:p w:rsidR="00D8324A" w:rsidRPr="003F15C0" w:rsidRDefault="00D8324A" w:rsidP="00232878">
            <w:pPr>
              <w:keepNext/>
              <w:spacing w:before="20"/>
              <w:jc w:val="right"/>
              <w:rPr>
                <w:b/>
                <w:color w:val="000000"/>
                <w:sz w:val="16"/>
                <w:szCs w:val="16"/>
              </w:rPr>
            </w:pPr>
          </w:p>
        </w:tc>
        <w:tc>
          <w:tcPr>
            <w:tcW w:w="283" w:type="dxa"/>
            <w:vAlign w:val="center"/>
          </w:tcPr>
          <w:p w:rsidR="00D8324A" w:rsidRPr="003F15C0" w:rsidRDefault="00D8324A" w:rsidP="00232878">
            <w:pPr>
              <w:keepNext/>
              <w:spacing w:before="20"/>
              <w:jc w:val="right"/>
              <w:rPr>
                <w:b/>
                <w:color w:val="000000"/>
                <w:sz w:val="16"/>
                <w:szCs w:val="16"/>
              </w:rPr>
            </w:pPr>
          </w:p>
        </w:tc>
        <w:tc>
          <w:tcPr>
            <w:tcW w:w="1020" w:type="dxa"/>
            <w:vAlign w:val="center"/>
          </w:tcPr>
          <w:p w:rsidR="00D8324A" w:rsidRPr="003F15C0" w:rsidRDefault="00D8324A" w:rsidP="00232878">
            <w:pPr>
              <w:keepNext/>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&lt;$20,000</w:t>
            </w:r>
          </w:p>
        </w:tc>
        <w:tc>
          <w:tcPr>
            <w:tcW w:w="844" w:type="dxa"/>
          </w:tcPr>
          <w:p w:rsidR="00D8324A" w:rsidRPr="003F15C0" w:rsidRDefault="00D8324A" w:rsidP="00232878">
            <w:pPr>
              <w:keepNext/>
              <w:adjustRightInd w:val="0"/>
              <w:spacing w:before="20"/>
              <w:jc w:val="right"/>
              <w:rPr>
                <w:color w:val="000000"/>
                <w:sz w:val="16"/>
                <w:szCs w:val="16"/>
              </w:rPr>
            </w:pPr>
            <w:r w:rsidRPr="003F15C0">
              <w:rPr>
                <w:color w:val="000000"/>
                <w:sz w:val="16"/>
                <w:szCs w:val="16"/>
              </w:rPr>
              <w:t>2.0</w:t>
            </w:r>
          </w:p>
        </w:tc>
        <w:tc>
          <w:tcPr>
            <w:tcW w:w="1055"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$20,001 - $40,000</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w:t>
            </w:r>
          </w:p>
        </w:tc>
        <w:tc>
          <w:tcPr>
            <w:tcW w:w="1055" w:type="dxa"/>
            <w:vAlign w:val="center"/>
          </w:tcPr>
          <w:p w:rsidR="00232878" w:rsidRPr="003F15C0" w:rsidRDefault="00232878" w:rsidP="00232878">
            <w:pPr>
              <w:keepNext/>
              <w:spacing w:before="20"/>
              <w:jc w:val="right"/>
              <w:rPr>
                <w:color w:val="000000"/>
                <w:sz w:val="16"/>
                <w:szCs w:val="16"/>
              </w:rPr>
            </w:pPr>
            <w:r w:rsidRPr="003F15C0">
              <w:rPr>
                <w:color w:val="000000"/>
                <w:sz w:val="16"/>
                <w:szCs w:val="16"/>
              </w:rPr>
              <w:t>0.96</w:t>
            </w:r>
          </w:p>
        </w:tc>
        <w:tc>
          <w:tcPr>
            <w:tcW w:w="1275" w:type="dxa"/>
            <w:gridSpan w:val="2"/>
            <w:vAlign w:val="center"/>
          </w:tcPr>
          <w:p w:rsidR="00232878" w:rsidRPr="003F15C0" w:rsidRDefault="00FB75D9" w:rsidP="00232878">
            <w:pPr>
              <w:keepNext/>
              <w:spacing w:before="20"/>
              <w:jc w:val="right"/>
              <w:rPr>
                <w:color w:val="000000"/>
                <w:sz w:val="16"/>
                <w:szCs w:val="16"/>
              </w:rPr>
            </w:pPr>
            <w:r w:rsidRPr="003F15C0">
              <w:rPr>
                <w:color w:val="000000"/>
                <w:sz w:val="16"/>
                <w:szCs w:val="16"/>
              </w:rPr>
              <w:t>(</w:t>
            </w:r>
            <w:r w:rsidR="00232878" w:rsidRPr="003F15C0">
              <w:rPr>
                <w:color w:val="000000"/>
                <w:sz w:val="16"/>
                <w:szCs w:val="16"/>
              </w:rPr>
              <w:t>0.42 - 2.23</w:t>
            </w:r>
            <w:r w:rsidRPr="003F15C0">
              <w:rPr>
                <w:color w:val="000000"/>
                <w:sz w:val="16"/>
                <w:szCs w:val="16"/>
              </w:rPr>
              <w:t>)</w:t>
            </w:r>
          </w:p>
        </w:tc>
        <w:tc>
          <w:tcPr>
            <w:tcW w:w="1020" w:type="dxa"/>
            <w:vAlign w:val="center"/>
          </w:tcPr>
          <w:p w:rsidR="00232878" w:rsidRPr="003F15C0" w:rsidRDefault="00232878" w:rsidP="00232878">
            <w:pPr>
              <w:keepNext/>
              <w:spacing w:before="20"/>
              <w:jc w:val="right"/>
              <w:rPr>
                <w:color w:val="000000"/>
                <w:sz w:val="16"/>
                <w:szCs w:val="16"/>
              </w:rPr>
            </w:pPr>
          </w:p>
        </w:tc>
      </w:tr>
      <w:tr w:rsidR="00232878" w:rsidRPr="003F15C0" w:rsidTr="00F959A8">
        <w:trPr>
          <w:trHeight w:val="131"/>
        </w:trPr>
        <w:tc>
          <w:tcPr>
            <w:tcW w:w="4305" w:type="dxa"/>
          </w:tcPr>
          <w:p w:rsidR="00232878" w:rsidRPr="003F15C0" w:rsidRDefault="00232878" w:rsidP="003B2B9F">
            <w:pPr>
              <w:spacing w:before="20"/>
              <w:ind w:left="176"/>
              <w:jc w:val="both"/>
              <w:rPr>
                <w:sz w:val="16"/>
                <w:szCs w:val="16"/>
              </w:rPr>
            </w:pPr>
            <w:r w:rsidRPr="003F15C0">
              <w:rPr>
                <w:sz w:val="16"/>
                <w:szCs w:val="16"/>
              </w:rPr>
              <w:t>$40,001 - $60,000</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2.5</w:t>
            </w:r>
          </w:p>
        </w:tc>
        <w:tc>
          <w:tcPr>
            <w:tcW w:w="1055" w:type="dxa"/>
            <w:vAlign w:val="center"/>
          </w:tcPr>
          <w:p w:rsidR="00232878" w:rsidRPr="003F15C0" w:rsidRDefault="00232878" w:rsidP="00232878">
            <w:pPr>
              <w:keepNext/>
              <w:spacing w:before="20"/>
              <w:jc w:val="right"/>
              <w:rPr>
                <w:color w:val="000000"/>
                <w:sz w:val="16"/>
                <w:szCs w:val="16"/>
              </w:rPr>
            </w:pPr>
            <w:r w:rsidRPr="003F15C0">
              <w:rPr>
                <w:color w:val="000000"/>
                <w:sz w:val="16"/>
                <w:szCs w:val="16"/>
              </w:rPr>
              <w:t>1.25</w:t>
            </w:r>
          </w:p>
        </w:tc>
        <w:tc>
          <w:tcPr>
            <w:tcW w:w="1275" w:type="dxa"/>
            <w:gridSpan w:val="2"/>
            <w:vAlign w:val="center"/>
          </w:tcPr>
          <w:p w:rsidR="00232878" w:rsidRPr="003F15C0" w:rsidRDefault="00FB75D9" w:rsidP="00232878">
            <w:pPr>
              <w:keepNext/>
              <w:spacing w:before="20"/>
              <w:jc w:val="right"/>
              <w:rPr>
                <w:color w:val="000000"/>
                <w:sz w:val="16"/>
                <w:szCs w:val="16"/>
              </w:rPr>
            </w:pPr>
            <w:r w:rsidRPr="003F15C0">
              <w:rPr>
                <w:color w:val="000000"/>
                <w:sz w:val="16"/>
                <w:szCs w:val="16"/>
              </w:rPr>
              <w:t>(</w:t>
            </w:r>
            <w:r w:rsidR="00232878" w:rsidRPr="003F15C0">
              <w:rPr>
                <w:color w:val="000000"/>
                <w:sz w:val="16"/>
                <w:szCs w:val="16"/>
              </w:rPr>
              <w:t>0.51 - 3.02</w:t>
            </w:r>
            <w:r w:rsidRPr="003F15C0">
              <w:rPr>
                <w:color w:val="000000"/>
                <w:sz w:val="16"/>
                <w:szCs w:val="16"/>
              </w:rPr>
              <w:t>)</w:t>
            </w:r>
          </w:p>
        </w:tc>
        <w:tc>
          <w:tcPr>
            <w:tcW w:w="1020" w:type="dxa"/>
            <w:vAlign w:val="center"/>
          </w:tcPr>
          <w:p w:rsidR="00232878" w:rsidRPr="003F15C0" w:rsidRDefault="00232878" w:rsidP="00232878">
            <w:pPr>
              <w:keepNext/>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$60,001 - $80,000</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0.7</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0.35</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0.08 - 1.51</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$80,001 - $100,000</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0.8</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0.37</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0.08 - 1.80</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&gt;$100,000</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0.6</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0.30</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0.04 - 2.29</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Borders>
              <w:bottom w:val="single" w:sz="4" w:space="0" w:color="auto"/>
            </w:tcBorders>
            <w:vAlign w:val="bottom"/>
          </w:tcPr>
          <w:p w:rsidR="00232878" w:rsidRPr="003F15C0" w:rsidRDefault="00232878" w:rsidP="003B2B9F">
            <w:pPr>
              <w:spacing w:before="20"/>
              <w:ind w:left="176"/>
              <w:jc w:val="both"/>
              <w:rPr>
                <w:sz w:val="16"/>
                <w:szCs w:val="16"/>
              </w:rPr>
            </w:pPr>
            <w:r w:rsidRPr="003F15C0">
              <w:rPr>
                <w:sz w:val="16"/>
                <w:szCs w:val="16"/>
              </w:rPr>
              <w:t>Not reported</w:t>
            </w:r>
          </w:p>
        </w:tc>
        <w:tc>
          <w:tcPr>
            <w:tcW w:w="844" w:type="dxa"/>
            <w:tcBorders>
              <w:bottom w:val="single" w:sz="4" w:space="0" w:color="auto"/>
            </w:tcBorders>
            <w:vAlign w:val="center"/>
          </w:tcPr>
          <w:p w:rsidR="00232878" w:rsidRPr="003F15C0" w:rsidRDefault="00232878" w:rsidP="00232878">
            <w:pPr>
              <w:spacing w:before="20"/>
              <w:jc w:val="right"/>
              <w:rPr>
                <w:bCs/>
                <w:color w:val="000000"/>
                <w:sz w:val="16"/>
                <w:szCs w:val="16"/>
              </w:rPr>
            </w:pPr>
            <w:r w:rsidRPr="003F15C0">
              <w:rPr>
                <w:bCs/>
                <w:color w:val="000000"/>
                <w:sz w:val="16"/>
                <w:szCs w:val="16"/>
              </w:rPr>
              <w:t>0.9</w:t>
            </w:r>
          </w:p>
        </w:tc>
        <w:tc>
          <w:tcPr>
            <w:tcW w:w="1055" w:type="dxa"/>
            <w:tcBorders>
              <w:bottom w:val="single" w:sz="4" w:space="0" w:color="auto"/>
            </w:tcBorders>
            <w:vAlign w:val="center"/>
          </w:tcPr>
          <w:p w:rsidR="00232878" w:rsidRPr="003F15C0" w:rsidRDefault="00232878" w:rsidP="00232878">
            <w:pPr>
              <w:spacing w:before="20"/>
              <w:jc w:val="right"/>
              <w:rPr>
                <w:bCs/>
                <w:color w:val="000000"/>
                <w:sz w:val="16"/>
                <w:szCs w:val="16"/>
              </w:rPr>
            </w:pPr>
            <w:r w:rsidRPr="003F15C0">
              <w:rPr>
                <w:bCs/>
                <w:color w:val="000000"/>
                <w:sz w:val="16"/>
                <w:szCs w:val="16"/>
              </w:rPr>
              <w:t>0.42</w:t>
            </w:r>
          </w:p>
        </w:tc>
        <w:tc>
          <w:tcPr>
            <w:tcW w:w="1275" w:type="dxa"/>
            <w:gridSpan w:val="2"/>
            <w:tcBorders>
              <w:bottom w:val="single" w:sz="4" w:space="0" w:color="auto"/>
            </w:tcBorders>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0.05 - 3.24</w:t>
            </w:r>
            <w:r w:rsidRPr="003F15C0">
              <w:rPr>
                <w:color w:val="000000"/>
                <w:sz w:val="16"/>
                <w:szCs w:val="16"/>
              </w:rPr>
              <w:t>)</w:t>
            </w:r>
          </w:p>
        </w:tc>
        <w:tc>
          <w:tcPr>
            <w:tcW w:w="1020" w:type="dxa"/>
            <w:tcBorders>
              <w:bottom w:val="single" w:sz="4" w:space="0" w:color="auto"/>
            </w:tcBorders>
            <w:vAlign w:val="center"/>
          </w:tcPr>
          <w:p w:rsidR="00232878" w:rsidRPr="003F15C0" w:rsidRDefault="00232878" w:rsidP="00232878">
            <w:pPr>
              <w:spacing w:before="20"/>
              <w:jc w:val="right"/>
              <w:rPr>
                <w:color w:val="000000"/>
                <w:sz w:val="16"/>
                <w:szCs w:val="16"/>
              </w:rPr>
            </w:pPr>
            <w:r w:rsidRPr="003F15C0">
              <w:rPr>
                <w:color w:val="000000"/>
                <w:sz w:val="16"/>
                <w:szCs w:val="16"/>
              </w:rPr>
              <w:t>0.42</w:t>
            </w:r>
          </w:p>
        </w:tc>
      </w:tr>
      <w:tr w:rsidR="00D8324A" w:rsidRPr="003F15C0" w:rsidTr="00F959A8">
        <w:tc>
          <w:tcPr>
            <w:tcW w:w="4305" w:type="dxa"/>
            <w:tcBorders>
              <w:top w:val="single" w:sz="4" w:space="0" w:color="auto"/>
            </w:tcBorders>
            <w:vAlign w:val="bottom"/>
          </w:tcPr>
          <w:p w:rsidR="00D8324A" w:rsidRPr="003F15C0" w:rsidRDefault="00D8324A" w:rsidP="003F15C0">
            <w:pPr>
              <w:keepNext/>
              <w:spacing w:before="20"/>
              <w:jc w:val="both"/>
              <w:rPr>
                <w:b/>
                <w:sz w:val="16"/>
                <w:szCs w:val="16"/>
              </w:rPr>
            </w:pPr>
            <w:r w:rsidRPr="003F15C0">
              <w:rPr>
                <w:b/>
                <w:sz w:val="16"/>
                <w:szCs w:val="16"/>
              </w:rPr>
              <w:lastRenderedPageBreak/>
              <w:t>Household income</w:t>
            </w:r>
          </w:p>
        </w:tc>
        <w:tc>
          <w:tcPr>
            <w:tcW w:w="844" w:type="dxa"/>
            <w:tcBorders>
              <w:top w:val="single" w:sz="4" w:space="0" w:color="auto"/>
            </w:tcBorders>
            <w:vAlign w:val="center"/>
          </w:tcPr>
          <w:p w:rsidR="00D8324A" w:rsidRPr="003F15C0" w:rsidRDefault="00D8324A" w:rsidP="003F15C0">
            <w:pPr>
              <w:keepNext/>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992"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283"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1020"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r>
      <w:tr w:rsidR="00D8324A" w:rsidRPr="003F15C0" w:rsidTr="00F959A8">
        <w:tc>
          <w:tcPr>
            <w:tcW w:w="4305" w:type="dxa"/>
          </w:tcPr>
          <w:p w:rsidR="00D8324A" w:rsidRPr="003F15C0" w:rsidRDefault="00D8324A" w:rsidP="003F15C0">
            <w:pPr>
              <w:keepNext/>
              <w:spacing w:before="20"/>
              <w:ind w:left="176"/>
              <w:jc w:val="both"/>
              <w:rPr>
                <w:sz w:val="16"/>
                <w:szCs w:val="16"/>
              </w:rPr>
            </w:pPr>
            <w:r w:rsidRPr="003F15C0">
              <w:rPr>
                <w:sz w:val="16"/>
                <w:szCs w:val="16"/>
              </w:rPr>
              <w:t>&lt;$20,000</w:t>
            </w:r>
          </w:p>
        </w:tc>
        <w:tc>
          <w:tcPr>
            <w:tcW w:w="844" w:type="dxa"/>
          </w:tcPr>
          <w:p w:rsidR="00D8324A" w:rsidRPr="003F15C0" w:rsidRDefault="009A02F6" w:rsidP="003F15C0">
            <w:pPr>
              <w:keepNext/>
              <w:adjustRightInd w:val="0"/>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3F15C0">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3F15C0">
            <w:pPr>
              <w:keepNext/>
              <w:spacing w:before="20"/>
              <w:jc w:val="right"/>
              <w:rPr>
                <w:color w:val="000000"/>
                <w:sz w:val="16"/>
                <w:szCs w:val="16"/>
              </w:rPr>
            </w:pPr>
          </w:p>
        </w:tc>
        <w:tc>
          <w:tcPr>
            <w:tcW w:w="283" w:type="dxa"/>
            <w:vAlign w:val="center"/>
          </w:tcPr>
          <w:p w:rsidR="00D8324A" w:rsidRPr="003F15C0" w:rsidRDefault="00D8324A" w:rsidP="003F15C0">
            <w:pPr>
              <w:keepNext/>
              <w:spacing w:before="20"/>
              <w:jc w:val="right"/>
              <w:rPr>
                <w:color w:val="000000"/>
                <w:sz w:val="16"/>
                <w:szCs w:val="16"/>
              </w:rPr>
            </w:pPr>
          </w:p>
        </w:tc>
        <w:tc>
          <w:tcPr>
            <w:tcW w:w="1020" w:type="dxa"/>
            <w:vAlign w:val="center"/>
          </w:tcPr>
          <w:p w:rsidR="00D8324A" w:rsidRPr="003F15C0" w:rsidRDefault="00D8324A" w:rsidP="003F15C0">
            <w:pPr>
              <w:keepNext/>
              <w:spacing w:before="20"/>
              <w:jc w:val="right"/>
              <w:rPr>
                <w:color w:val="000000"/>
                <w:sz w:val="16"/>
                <w:szCs w:val="16"/>
              </w:rPr>
            </w:pPr>
          </w:p>
        </w:tc>
      </w:tr>
      <w:tr w:rsidR="00232878" w:rsidRPr="003F15C0" w:rsidTr="00F959A8">
        <w:tc>
          <w:tcPr>
            <w:tcW w:w="4305" w:type="dxa"/>
          </w:tcPr>
          <w:p w:rsidR="00232878" w:rsidRPr="003F15C0" w:rsidRDefault="00232878" w:rsidP="003F15C0">
            <w:pPr>
              <w:keepNext/>
              <w:spacing w:before="20"/>
              <w:ind w:left="176"/>
              <w:jc w:val="both"/>
              <w:rPr>
                <w:sz w:val="16"/>
                <w:szCs w:val="16"/>
              </w:rPr>
            </w:pPr>
            <w:r w:rsidRPr="003F15C0">
              <w:rPr>
                <w:sz w:val="16"/>
                <w:szCs w:val="16"/>
              </w:rPr>
              <w:t>$20,001 - $40,000</w:t>
            </w:r>
          </w:p>
        </w:tc>
        <w:tc>
          <w:tcPr>
            <w:tcW w:w="844" w:type="dxa"/>
          </w:tcPr>
          <w:p w:rsidR="00232878" w:rsidRPr="003F15C0" w:rsidRDefault="00232878" w:rsidP="003F15C0">
            <w:pPr>
              <w:keepNext/>
              <w:adjustRightInd w:val="0"/>
              <w:spacing w:before="20"/>
              <w:jc w:val="right"/>
              <w:rPr>
                <w:color w:val="000000"/>
                <w:sz w:val="16"/>
                <w:szCs w:val="16"/>
              </w:rPr>
            </w:pPr>
            <w:r w:rsidRPr="003F15C0">
              <w:rPr>
                <w:color w:val="000000"/>
                <w:sz w:val="16"/>
                <w:szCs w:val="16"/>
              </w:rPr>
              <w:t>1.8</w:t>
            </w:r>
          </w:p>
        </w:tc>
        <w:tc>
          <w:tcPr>
            <w:tcW w:w="1055" w:type="dxa"/>
            <w:vAlign w:val="center"/>
          </w:tcPr>
          <w:p w:rsidR="00232878" w:rsidRPr="003F15C0" w:rsidRDefault="00232878" w:rsidP="003F15C0">
            <w:pPr>
              <w:keepNext/>
              <w:spacing w:before="20"/>
              <w:jc w:val="right"/>
              <w:rPr>
                <w:color w:val="000000"/>
                <w:sz w:val="16"/>
                <w:szCs w:val="16"/>
              </w:rPr>
            </w:pPr>
            <w:r w:rsidRPr="003F15C0">
              <w:rPr>
                <w:color w:val="000000"/>
                <w:sz w:val="16"/>
                <w:szCs w:val="16"/>
              </w:rPr>
              <w:t>1.41</w:t>
            </w:r>
          </w:p>
        </w:tc>
        <w:tc>
          <w:tcPr>
            <w:tcW w:w="1275" w:type="dxa"/>
            <w:gridSpan w:val="2"/>
            <w:vAlign w:val="center"/>
          </w:tcPr>
          <w:p w:rsidR="00232878" w:rsidRPr="003F15C0" w:rsidRDefault="00FB75D9" w:rsidP="003F15C0">
            <w:pPr>
              <w:keepNext/>
              <w:spacing w:before="20"/>
              <w:jc w:val="right"/>
              <w:rPr>
                <w:color w:val="000000"/>
                <w:sz w:val="16"/>
                <w:szCs w:val="16"/>
              </w:rPr>
            </w:pPr>
            <w:r w:rsidRPr="003F15C0">
              <w:rPr>
                <w:color w:val="000000"/>
                <w:sz w:val="16"/>
                <w:szCs w:val="16"/>
              </w:rPr>
              <w:t>(</w:t>
            </w:r>
            <w:r w:rsidR="00232878" w:rsidRPr="003F15C0">
              <w:rPr>
                <w:color w:val="000000"/>
                <w:sz w:val="16"/>
                <w:szCs w:val="16"/>
              </w:rPr>
              <w:t>0.49 - 4.07</w:t>
            </w:r>
            <w:r w:rsidR="00CE5145" w:rsidRPr="003F15C0">
              <w:rPr>
                <w:color w:val="000000"/>
                <w:sz w:val="16"/>
                <w:szCs w:val="16"/>
              </w:rPr>
              <w:t>)</w:t>
            </w:r>
          </w:p>
        </w:tc>
        <w:tc>
          <w:tcPr>
            <w:tcW w:w="1020" w:type="dxa"/>
            <w:vAlign w:val="center"/>
          </w:tcPr>
          <w:p w:rsidR="00232878" w:rsidRPr="003F15C0" w:rsidRDefault="00232878" w:rsidP="003F15C0">
            <w:pPr>
              <w:keepNext/>
              <w:spacing w:before="20"/>
              <w:jc w:val="right"/>
              <w:rPr>
                <w:color w:val="000000"/>
                <w:sz w:val="16"/>
                <w:szCs w:val="16"/>
              </w:rPr>
            </w:pPr>
          </w:p>
        </w:tc>
      </w:tr>
      <w:tr w:rsidR="00232878" w:rsidRPr="003F15C0" w:rsidTr="00F959A8">
        <w:tc>
          <w:tcPr>
            <w:tcW w:w="4305" w:type="dxa"/>
          </w:tcPr>
          <w:p w:rsidR="00232878" w:rsidRPr="003F15C0" w:rsidRDefault="00232878" w:rsidP="003F15C0">
            <w:pPr>
              <w:keepNext/>
              <w:spacing w:before="20"/>
              <w:ind w:left="176"/>
              <w:jc w:val="both"/>
              <w:rPr>
                <w:sz w:val="16"/>
                <w:szCs w:val="16"/>
              </w:rPr>
            </w:pPr>
            <w:r w:rsidRPr="003F15C0">
              <w:rPr>
                <w:sz w:val="16"/>
                <w:szCs w:val="16"/>
              </w:rPr>
              <w:t>$40,001 - $60,000</w:t>
            </w:r>
          </w:p>
        </w:tc>
        <w:tc>
          <w:tcPr>
            <w:tcW w:w="844" w:type="dxa"/>
          </w:tcPr>
          <w:p w:rsidR="00232878" w:rsidRPr="003F15C0" w:rsidRDefault="00232878" w:rsidP="003F15C0">
            <w:pPr>
              <w:keepNext/>
              <w:adjustRightInd w:val="0"/>
              <w:spacing w:before="20"/>
              <w:jc w:val="right"/>
              <w:rPr>
                <w:color w:val="000000"/>
                <w:sz w:val="16"/>
                <w:szCs w:val="16"/>
              </w:rPr>
            </w:pPr>
            <w:r w:rsidRPr="003F15C0">
              <w:rPr>
                <w:color w:val="000000"/>
                <w:sz w:val="16"/>
                <w:szCs w:val="16"/>
              </w:rPr>
              <w:t>3.4</w:t>
            </w:r>
          </w:p>
        </w:tc>
        <w:tc>
          <w:tcPr>
            <w:tcW w:w="1055" w:type="dxa"/>
            <w:vAlign w:val="center"/>
          </w:tcPr>
          <w:p w:rsidR="00232878" w:rsidRPr="003F15C0" w:rsidRDefault="00232878" w:rsidP="003F15C0">
            <w:pPr>
              <w:keepNext/>
              <w:spacing w:before="20"/>
              <w:jc w:val="right"/>
              <w:rPr>
                <w:color w:val="000000"/>
                <w:sz w:val="16"/>
                <w:szCs w:val="16"/>
              </w:rPr>
            </w:pPr>
            <w:r w:rsidRPr="003F15C0">
              <w:rPr>
                <w:color w:val="000000"/>
                <w:sz w:val="16"/>
                <w:szCs w:val="16"/>
              </w:rPr>
              <w:t>2.70</w:t>
            </w:r>
          </w:p>
        </w:tc>
        <w:tc>
          <w:tcPr>
            <w:tcW w:w="1275" w:type="dxa"/>
            <w:gridSpan w:val="2"/>
            <w:vAlign w:val="center"/>
          </w:tcPr>
          <w:p w:rsidR="00232878" w:rsidRPr="003F15C0" w:rsidRDefault="00FB75D9" w:rsidP="003F15C0">
            <w:pPr>
              <w:keepNext/>
              <w:spacing w:before="20"/>
              <w:jc w:val="right"/>
              <w:rPr>
                <w:color w:val="000000"/>
                <w:sz w:val="16"/>
                <w:szCs w:val="16"/>
              </w:rPr>
            </w:pPr>
            <w:r w:rsidRPr="003F15C0">
              <w:rPr>
                <w:color w:val="000000"/>
                <w:sz w:val="16"/>
                <w:szCs w:val="16"/>
              </w:rPr>
              <w:t>(</w:t>
            </w:r>
            <w:r w:rsidR="00232878" w:rsidRPr="003F15C0">
              <w:rPr>
                <w:color w:val="000000"/>
                <w:sz w:val="16"/>
                <w:szCs w:val="16"/>
              </w:rPr>
              <w:t>1.00 - 7.30</w:t>
            </w:r>
            <w:r w:rsidR="00CE5145" w:rsidRPr="003F15C0">
              <w:rPr>
                <w:color w:val="000000"/>
                <w:sz w:val="16"/>
                <w:szCs w:val="16"/>
              </w:rPr>
              <w:t>)</w:t>
            </w:r>
          </w:p>
        </w:tc>
        <w:tc>
          <w:tcPr>
            <w:tcW w:w="1020" w:type="dxa"/>
            <w:vAlign w:val="center"/>
          </w:tcPr>
          <w:p w:rsidR="00232878" w:rsidRPr="003F15C0" w:rsidRDefault="00232878" w:rsidP="003F15C0">
            <w:pPr>
              <w:keepNext/>
              <w:spacing w:before="20"/>
              <w:jc w:val="right"/>
              <w:rPr>
                <w:color w:val="000000"/>
                <w:sz w:val="16"/>
                <w:szCs w:val="16"/>
              </w:rPr>
            </w:pPr>
          </w:p>
        </w:tc>
      </w:tr>
      <w:tr w:rsidR="00232878" w:rsidRPr="003F15C0" w:rsidTr="00F959A8">
        <w:tc>
          <w:tcPr>
            <w:tcW w:w="4305" w:type="dxa"/>
          </w:tcPr>
          <w:p w:rsidR="00232878" w:rsidRPr="003F15C0" w:rsidRDefault="00232878" w:rsidP="003F15C0">
            <w:pPr>
              <w:keepNext/>
              <w:spacing w:before="20"/>
              <w:ind w:left="176"/>
              <w:jc w:val="both"/>
              <w:rPr>
                <w:sz w:val="16"/>
                <w:szCs w:val="16"/>
              </w:rPr>
            </w:pPr>
            <w:r w:rsidRPr="003F15C0">
              <w:rPr>
                <w:sz w:val="16"/>
                <w:szCs w:val="16"/>
              </w:rPr>
              <w:t>$60,001 - $80,000</w:t>
            </w:r>
          </w:p>
        </w:tc>
        <w:tc>
          <w:tcPr>
            <w:tcW w:w="844" w:type="dxa"/>
          </w:tcPr>
          <w:p w:rsidR="00232878" w:rsidRPr="003F15C0" w:rsidRDefault="00232878" w:rsidP="003F15C0">
            <w:pPr>
              <w:keepNext/>
              <w:adjustRightInd w:val="0"/>
              <w:spacing w:before="20"/>
              <w:jc w:val="right"/>
              <w:rPr>
                <w:color w:val="000000"/>
                <w:sz w:val="16"/>
                <w:szCs w:val="16"/>
              </w:rPr>
            </w:pPr>
            <w:r w:rsidRPr="003F15C0">
              <w:rPr>
                <w:color w:val="000000"/>
                <w:sz w:val="16"/>
                <w:szCs w:val="16"/>
              </w:rPr>
              <w:t>4.0</w:t>
            </w:r>
          </w:p>
        </w:tc>
        <w:tc>
          <w:tcPr>
            <w:tcW w:w="1055" w:type="dxa"/>
            <w:vAlign w:val="center"/>
          </w:tcPr>
          <w:p w:rsidR="00232878" w:rsidRPr="003F15C0" w:rsidRDefault="00232878" w:rsidP="003F15C0">
            <w:pPr>
              <w:keepNext/>
              <w:spacing w:before="20"/>
              <w:jc w:val="right"/>
              <w:rPr>
                <w:color w:val="000000"/>
                <w:sz w:val="16"/>
                <w:szCs w:val="16"/>
              </w:rPr>
            </w:pPr>
            <w:r w:rsidRPr="003F15C0">
              <w:rPr>
                <w:color w:val="000000"/>
                <w:sz w:val="16"/>
                <w:szCs w:val="16"/>
              </w:rPr>
              <w:t>3.27</w:t>
            </w:r>
          </w:p>
        </w:tc>
        <w:tc>
          <w:tcPr>
            <w:tcW w:w="1275" w:type="dxa"/>
            <w:gridSpan w:val="2"/>
            <w:vAlign w:val="center"/>
          </w:tcPr>
          <w:p w:rsidR="00232878" w:rsidRPr="003F15C0" w:rsidRDefault="00FB75D9" w:rsidP="003F15C0">
            <w:pPr>
              <w:keepNext/>
              <w:spacing w:before="20"/>
              <w:jc w:val="right"/>
              <w:rPr>
                <w:color w:val="000000"/>
                <w:sz w:val="16"/>
                <w:szCs w:val="16"/>
              </w:rPr>
            </w:pPr>
            <w:r w:rsidRPr="003F15C0">
              <w:rPr>
                <w:color w:val="000000"/>
                <w:sz w:val="16"/>
                <w:szCs w:val="16"/>
              </w:rPr>
              <w:t>(</w:t>
            </w:r>
            <w:r w:rsidR="00232878" w:rsidRPr="003F15C0">
              <w:rPr>
                <w:color w:val="000000"/>
                <w:sz w:val="16"/>
                <w:szCs w:val="16"/>
              </w:rPr>
              <w:t>1.20 - 8.95</w:t>
            </w:r>
            <w:r w:rsidR="00CE5145" w:rsidRPr="003F15C0">
              <w:rPr>
                <w:color w:val="000000"/>
                <w:sz w:val="16"/>
                <w:szCs w:val="16"/>
              </w:rPr>
              <w:t>)</w:t>
            </w:r>
          </w:p>
        </w:tc>
        <w:tc>
          <w:tcPr>
            <w:tcW w:w="1020" w:type="dxa"/>
            <w:vAlign w:val="center"/>
          </w:tcPr>
          <w:p w:rsidR="00232878" w:rsidRPr="003F15C0" w:rsidRDefault="00232878" w:rsidP="003F15C0">
            <w:pPr>
              <w:keepNext/>
              <w:spacing w:before="20"/>
              <w:jc w:val="right"/>
              <w:rPr>
                <w:color w:val="000000"/>
                <w:sz w:val="16"/>
                <w:szCs w:val="16"/>
              </w:rPr>
            </w:pPr>
          </w:p>
        </w:tc>
      </w:tr>
      <w:tr w:rsidR="00232878" w:rsidRPr="003F15C0" w:rsidTr="00F959A8">
        <w:tc>
          <w:tcPr>
            <w:tcW w:w="4305" w:type="dxa"/>
          </w:tcPr>
          <w:p w:rsidR="00232878" w:rsidRPr="003F15C0" w:rsidRDefault="00232878" w:rsidP="003F15C0">
            <w:pPr>
              <w:keepNext/>
              <w:spacing w:before="20"/>
              <w:ind w:left="176"/>
              <w:jc w:val="both"/>
              <w:rPr>
                <w:sz w:val="16"/>
                <w:szCs w:val="16"/>
              </w:rPr>
            </w:pPr>
            <w:r w:rsidRPr="003F15C0">
              <w:rPr>
                <w:sz w:val="16"/>
                <w:szCs w:val="16"/>
              </w:rPr>
              <w:t>$80,001 - $100,000</w:t>
            </w:r>
          </w:p>
        </w:tc>
        <w:tc>
          <w:tcPr>
            <w:tcW w:w="844" w:type="dxa"/>
          </w:tcPr>
          <w:p w:rsidR="00232878" w:rsidRPr="003F15C0" w:rsidRDefault="00232878" w:rsidP="003F15C0">
            <w:pPr>
              <w:keepNext/>
              <w:adjustRightInd w:val="0"/>
              <w:spacing w:before="20"/>
              <w:jc w:val="right"/>
              <w:rPr>
                <w:color w:val="000000"/>
                <w:sz w:val="16"/>
                <w:szCs w:val="16"/>
              </w:rPr>
            </w:pPr>
            <w:r w:rsidRPr="003F15C0">
              <w:rPr>
                <w:color w:val="000000"/>
                <w:sz w:val="16"/>
                <w:szCs w:val="16"/>
              </w:rPr>
              <w:t>1.2</w:t>
            </w:r>
          </w:p>
        </w:tc>
        <w:tc>
          <w:tcPr>
            <w:tcW w:w="1055" w:type="dxa"/>
            <w:vAlign w:val="center"/>
          </w:tcPr>
          <w:p w:rsidR="00232878" w:rsidRPr="003F15C0" w:rsidRDefault="00232878" w:rsidP="003F15C0">
            <w:pPr>
              <w:keepNext/>
              <w:spacing w:before="20"/>
              <w:jc w:val="right"/>
              <w:rPr>
                <w:color w:val="000000"/>
                <w:sz w:val="16"/>
                <w:szCs w:val="16"/>
              </w:rPr>
            </w:pPr>
            <w:r w:rsidRPr="003F15C0">
              <w:rPr>
                <w:color w:val="000000"/>
                <w:sz w:val="16"/>
                <w:szCs w:val="16"/>
              </w:rPr>
              <w:t>0.92</w:t>
            </w:r>
          </w:p>
        </w:tc>
        <w:tc>
          <w:tcPr>
            <w:tcW w:w="1275" w:type="dxa"/>
            <w:gridSpan w:val="2"/>
            <w:vAlign w:val="center"/>
          </w:tcPr>
          <w:p w:rsidR="00232878" w:rsidRPr="003F15C0" w:rsidRDefault="00FB75D9" w:rsidP="003F15C0">
            <w:pPr>
              <w:keepNext/>
              <w:spacing w:before="20"/>
              <w:jc w:val="right"/>
              <w:rPr>
                <w:color w:val="000000"/>
                <w:sz w:val="16"/>
                <w:szCs w:val="16"/>
              </w:rPr>
            </w:pPr>
            <w:r w:rsidRPr="003F15C0">
              <w:rPr>
                <w:color w:val="000000"/>
                <w:sz w:val="16"/>
                <w:szCs w:val="16"/>
              </w:rPr>
              <w:t>(</w:t>
            </w:r>
            <w:r w:rsidR="00232878" w:rsidRPr="003F15C0">
              <w:rPr>
                <w:color w:val="000000"/>
                <w:sz w:val="16"/>
                <w:szCs w:val="16"/>
              </w:rPr>
              <w:t>0.25 - 3.47</w:t>
            </w:r>
            <w:r w:rsidR="00CE5145" w:rsidRPr="003F15C0">
              <w:rPr>
                <w:color w:val="000000"/>
                <w:sz w:val="16"/>
                <w:szCs w:val="16"/>
              </w:rPr>
              <w:t>)</w:t>
            </w:r>
          </w:p>
        </w:tc>
        <w:tc>
          <w:tcPr>
            <w:tcW w:w="1020" w:type="dxa"/>
            <w:vAlign w:val="center"/>
          </w:tcPr>
          <w:p w:rsidR="00232878" w:rsidRPr="003F15C0" w:rsidRDefault="00232878" w:rsidP="003F15C0">
            <w:pPr>
              <w:keepNext/>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&gt;$100,000</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0.5</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0.37</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0.10 - 1.35</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vAlign w:val="bottom"/>
          </w:tcPr>
          <w:p w:rsidR="00232878" w:rsidRPr="003F15C0" w:rsidRDefault="00232878" w:rsidP="003B2B9F">
            <w:pPr>
              <w:spacing w:before="20"/>
              <w:ind w:left="176"/>
              <w:jc w:val="both"/>
              <w:rPr>
                <w:sz w:val="16"/>
                <w:szCs w:val="16"/>
              </w:rPr>
            </w:pPr>
            <w:r w:rsidRPr="003F15C0">
              <w:rPr>
                <w:sz w:val="16"/>
                <w:szCs w:val="16"/>
              </w:rPr>
              <w:t>Not reported</w:t>
            </w:r>
          </w:p>
        </w:tc>
        <w:tc>
          <w:tcPr>
            <w:tcW w:w="844" w:type="dxa"/>
            <w:vAlign w:val="center"/>
          </w:tcPr>
          <w:p w:rsidR="00232878" w:rsidRPr="003F15C0" w:rsidRDefault="00232878" w:rsidP="00232878">
            <w:pPr>
              <w:spacing w:before="20"/>
              <w:jc w:val="right"/>
              <w:rPr>
                <w:bCs/>
                <w:color w:val="000000"/>
                <w:sz w:val="16"/>
                <w:szCs w:val="16"/>
              </w:rPr>
            </w:pPr>
            <w:r w:rsidRPr="003F15C0">
              <w:rPr>
                <w:bCs/>
                <w:color w:val="000000"/>
                <w:sz w:val="16"/>
                <w:szCs w:val="16"/>
              </w:rPr>
              <w:t>1.3</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1.02</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0.25 - 4.15</w:t>
            </w:r>
            <w:r w:rsidR="00CE5145" w:rsidRPr="003F15C0">
              <w:rPr>
                <w:color w:val="000000"/>
                <w:sz w:val="16"/>
                <w:szCs w:val="16"/>
              </w:rPr>
              <w:t>)</w:t>
            </w:r>
          </w:p>
        </w:tc>
        <w:tc>
          <w:tcPr>
            <w:tcW w:w="1020" w:type="dxa"/>
            <w:shd w:val="clear" w:color="auto" w:fill="D9D9D9" w:themeFill="background1" w:themeFillShade="D9"/>
            <w:vAlign w:val="center"/>
          </w:tcPr>
          <w:p w:rsidR="00232878" w:rsidRPr="003F15C0" w:rsidRDefault="00232878"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EE0D52" w:rsidP="00F17A34">
            <w:pPr>
              <w:spacing w:before="20"/>
              <w:jc w:val="both"/>
              <w:rPr>
                <w:b/>
                <w:sz w:val="16"/>
                <w:szCs w:val="16"/>
              </w:rPr>
            </w:pPr>
            <w:r w:rsidRPr="003F15C0">
              <w:rPr>
                <w:b/>
                <w:sz w:val="16"/>
                <w:szCs w:val="16"/>
              </w:rPr>
              <w:t>Area of residence</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Auckland</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2.4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Wellington</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1.5</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0.63</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0.18 - 2.23</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Christchurch</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0.8</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0.32</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0.09 - 1.19</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Rest of NZ</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1.6</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0.66</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0.32 - 1.35</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0.34</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N</w:t>
            </w:r>
            <w:r w:rsidR="00EE0D52" w:rsidRPr="003F15C0">
              <w:rPr>
                <w:b/>
                <w:sz w:val="16"/>
                <w:szCs w:val="16"/>
              </w:rPr>
              <w:t xml:space="preserve">ew </w:t>
            </w:r>
            <w:r w:rsidRPr="003F15C0">
              <w:rPr>
                <w:b/>
                <w:sz w:val="16"/>
                <w:szCs w:val="16"/>
              </w:rPr>
              <w:t>Z</w:t>
            </w:r>
            <w:r w:rsidR="00EE0D52" w:rsidRPr="003F15C0">
              <w:rPr>
                <w:b/>
                <w:sz w:val="16"/>
                <w:szCs w:val="16"/>
              </w:rPr>
              <w:t xml:space="preserve">ealand </w:t>
            </w:r>
            <w:r w:rsidR="00280A64" w:rsidRPr="003F15C0">
              <w:rPr>
                <w:b/>
                <w:sz w:val="16"/>
                <w:szCs w:val="16"/>
              </w:rPr>
              <w:t xml:space="preserve">Individual </w:t>
            </w:r>
            <w:r w:rsidRPr="003F15C0">
              <w:rPr>
                <w:b/>
                <w:sz w:val="16"/>
                <w:szCs w:val="16"/>
              </w:rPr>
              <w:t>D</w:t>
            </w:r>
            <w:r w:rsidR="00EE0D52" w:rsidRPr="003F15C0">
              <w:rPr>
                <w:b/>
                <w:sz w:val="16"/>
                <w:szCs w:val="16"/>
              </w:rPr>
              <w:t xml:space="preserve">eprivation </w:t>
            </w:r>
            <w:r w:rsidRPr="003F15C0">
              <w:rPr>
                <w:b/>
                <w:sz w:val="16"/>
                <w:szCs w:val="16"/>
              </w:rPr>
              <w:t>I</w:t>
            </w:r>
            <w:r w:rsidR="00EE0D52" w:rsidRPr="003F15C0">
              <w:rPr>
                <w:b/>
                <w:sz w:val="16"/>
                <w:szCs w:val="16"/>
              </w:rPr>
              <w:t>ndex</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0</w:t>
            </w:r>
          </w:p>
        </w:tc>
        <w:tc>
          <w:tcPr>
            <w:tcW w:w="844" w:type="dxa"/>
          </w:tcPr>
          <w:p w:rsidR="00D8324A" w:rsidRPr="003F15C0" w:rsidRDefault="009A02F6" w:rsidP="00232878">
            <w:pPr>
              <w:adjustRightInd w:val="0"/>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1</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2.5</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2.00</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0.84 - 4.75</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highlight w:val="yellow"/>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2</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2.6</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2.04</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0.79 - 5.30</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highlight w:val="yellow"/>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3</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1.9</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1.54</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0.39 - 6.05</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highlight w:val="yellow"/>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4</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1.9</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1.48</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0.45 - 4.88</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highlight w:val="yellow"/>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5+</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2.3</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1.82</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0.59 - 5.63</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highlight w:val="yellow"/>
              </w:rPr>
            </w:pPr>
            <w:r w:rsidRPr="003F15C0">
              <w:rPr>
                <w:color w:val="000000"/>
                <w:sz w:val="16"/>
                <w:szCs w:val="16"/>
              </w:rPr>
              <w:t>0.54</w:t>
            </w:r>
          </w:p>
        </w:tc>
      </w:tr>
      <w:tr w:rsidR="00EE0D52" w:rsidRPr="003F15C0" w:rsidTr="00F959A8">
        <w:tc>
          <w:tcPr>
            <w:tcW w:w="4305" w:type="dxa"/>
            <w:vAlign w:val="center"/>
          </w:tcPr>
          <w:p w:rsidR="00EE0D52" w:rsidRPr="003F15C0" w:rsidRDefault="00EE0D52" w:rsidP="00F17A34">
            <w:pPr>
              <w:spacing w:before="20"/>
              <w:rPr>
                <w:rFonts w:eastAsiaTheme="minorEastAsia"/>
                <w:b/>
                <w:sz w:val="16"/>
                <w:szCs w:val="16"/>
                <w:lang w:eastAsia="en-US"/>
              </w:rPr>
            </w:pPr>
            <w:r w:rsidRPr="003F15C0">
              <w:rPr>
                <w:rFonts w:eastAsiaTheme="minorEastAsia"/>
                <w:b/>
                <w:sz w:val="16"/>
                <w:szCs w:val="16"/>
                <w:lang w:eastAsia="en-US"/>
              </w:rPr>
              <w:t>Number of gambling activities participated in</w:t>
            </w:r>
          </w:p>
        </w:tc>
        <w:tc>
          <w:tcPr>
            <w:tcW w:w="844" w:type="dxa"/>
            <w:vAlign w:val="center"/>
          </w:tcPr>
          <w:p w:rsidR="00EE0D52" w:rsidRPr="003F15C0" w:rsidRDefault="00EE0D52" w:rsidP="00232878">
            <w:pPr>
              <w:spacing w:before="20"/>
              <w:jc w:val="right"/>
              <w:rPr>
                <w:b/>
                <w:bCs/>
                <w:color w:val="000000"/>
                <w:sz w:val="16"/>
                <w:szCs w:val="16"/>
              </w:rPr>
            </w:pPr>
          </w:p>
        </w:tc>
        <w:tc>
          <w:tcPr>
            <w:tcW w:w="1055" w:type="dxa"/>
            <w:vAlign w:val="center"/>
          </w:tcPr>
          <w:p w:rsidR="00EE0D52" w:rsidRPr="003F15C0" w:rsidRDefault="00EE0D52" w:rsidP="00232878">
            <w:pPr>
              <w:spacing w:before="20"/>
              <w:jc w:val="right"/>
              <w:rPr>
                <w:b/>
                <w:color w:val="000000"/>
                <w:sz w:val="16"/>
                <w:szCs w:val="16"/>
              </w:rPr>
            </w:pPr>
          </w:p>
        </w:tc>
        <w:tc>
          <w:tcPr>
            <w:tcW w:w="992" w:type="dxa"/>
            <w:vAlign w:val="center"/>
          </w:tcPr>
          <w:p w:rsidR="00EE0D52" w:rsidRPr="003F15C0" w:rsidRDefault="00EE0D52" w:rsidP="00232878">
            <w:pPr>
              <w:spacing w:before="20"/>
              <w:jc w:val="right"/>
              <w:rPr>
                <w:b/>
                <w:color w:val="000000"/>
                <w:sz w:val="16"/>
                <w:szCs w:val="16"/>
              </w:rPr>
            </w:pPr>
          </w:p>
        </w:tc>
        <w:tc>
          <w:tcPr>
            <w:tcW w:w="283" w:type="dxa"/>
            <w:vAlign w:val="center"/>
          </w:tcPr>
          <w:p w:rsidR="00EE0D52" w:rsidRPr="003F15C0" w:rsidRDefault="00EE0D52" w:rsidP="00232878">
            <w:pPr>
              <w:spacing w:before="20"/>
              <w:jc w:val="right"/>
              <w:rPr>
                <w:b/>
                <w:color w:val="000000"/>
                <w:sz w:val="16"/>
                <w:szCs w:val="16"/>
              </w:rPr>
            </w:pPr>
          </w:p>
        </w:tc>
        <w:tc>
          <w:tcPr>
            <w:tcW w:w="1020" w:type="dxa"/>
            <w:vAlign w:val="center"/>
          </w:tcPr>
          <w:p w:rsidR="00EE0D52" w:rsidRPr="003F15C0" w:rsidRDefault="00EE0D52"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1</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1.1</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2</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1.4</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1.26</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0.40 - 3.95</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3</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2.00</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1.79</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0.60 - 5.33</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4-6</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1.7</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1.49</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0.53 - 4.17</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7-9</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4.9</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4.59</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1.34 - 15.67</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10+</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15.3</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16.02</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1.67 - 153.66</w:t>
            </w:r>
            <w:r w:rsidR="00CE5145" w:rsidRPr="003F15C0">
              <w:rPr>
                <w:color w:val="000000"/>
                <w:sz w:val="16"/>
                <w:szCs w:val="16"/>
              </w:rPr>
              <w:t>)</w:t>
            </w:r>
          </w:p>
        </w:tc>
        <w:tc>
          <w:tcPr>
            <w:tcW w:w="1020" w:type="dxa"/>
            <w:shd w:val="clear" w:color="auto" w:fill="D9D9D9" w:themeFill="background1" w:themeFillShade="D9"/>
            <w:vAlign w:val="center"/>
          </w:tcPr>
          <w:p w:rsidR="00232878" w:rsidRPr="003F15C0" w:rsidRDefault="00232878" w:rsidP="00232878">
            <w:pPr>
              <w:spacing w:before="20"/>
              <w:jc w:val="right"/>
              <w:rPr>
                <w:color w:val="000000"/>
                <w:sz w:val="16"/>
                <w:szCs w:val="16"/>
              </w:rPr>
            </w:pPr>
            <w:r w:rsidRPr="003F15C0">
              <w:rPr>
                <w:color w:val="000000"/>
                <w:sz w:val="16"/>
                <w:szCs w:val="16"/>
              </w:rPr>
              <w:t>0.05</w:t>
            </w:r>
          </w:p>
        </w:tc>
      </w:tr>
      <w:tr w:rsidR="00D8324A" w:rsidRPr="003F15C0" w:rsidTr="00F959A8">
        <w:tc>
          <w:tcPr>
            <w:tcW w:w="4305" w:type="dxa"/>
            <w:vAlign w:val="bottom"/>
          </w:tcPr>
          <w:p w:rsidR="00D8324A" w:rsidRPr="003F15C0" w:rsidRDefault="00EE0D52" w:rsidP="00F17A34">
            <w:pPr>
              <w:spacing w:before="20"/>
              <w:jc w:val="both"/>
              <w:rPr>
                <w:b/>
                <w:sz w:val="16"/>
                <w:szCs w:val="16"/>
              </w:rPr>
            </w:pPr>
            <w:r w:rsidRPr="003F15C0">
              <w:rPr>
                <w:b/>
                <w:sz w:val="16"/>
                <w:szCs w:val="16"/>
              </w:rPr>
              <w:t>P</w:t>
            </w:r>
            <w:r w:rsidR="00D8324A" w:rsidRPr="003F15C0">
              <w:rPr>
                <w:b/>
                <w:sz w:val="16"/>
                <w:szCs w:val="16"/>
              </w:rPr>
              <w:t>attern</w:t>
            </w:r>
            <w:r w:rsidRPr="003F15C0">
              <w:rPr>
                <w:b/>
                <w:sz w:val="16"/>
                <w:szCs w:val="16"/>
              </w:rPr>
              <w:t xml:space="preserve"> of participation</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Infrequent</w:t>
            </w:r>
            <w:r w:rsidR="00EE0D52" w:rsidRPr="003F15C0">
              <w:rPr>
                <w:sz w:val="16"/>
                <w:szCs w:val="16"/>
              </w:rPr>
              <w:t xml:space="preserve"> gambler</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Regular non-continuous gambler</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1.4</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0.91</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0.42 - 2.00</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Regular continuous gambler</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4.1</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2.72</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1.22 - 6.11</w:t>
            </w:r>
            <w:r w:rsidR="00CE5145" w:rsidRPr="003F15C0">
              <w:rPr>
                <w:color w:val="000000"/>
                <w:sz w:val="16"/>
                <w:szCs w:val="16"/>
              </w:rPr>
              <w:t>)</w:t>
            </w:r>
          </w:p>
        </w:tc>
        <w:tc>
          <w:tcPr>
            <w:tcW w:w="1020" w:type="dxa"/>
            <w:shd w:val="clear" w:color="auto" w:fill="D9D9D9" w:themeFill="background1" w:themeFillShade="D9"/>
            <w:vAlign w:val="center"/>
          </w:tcPr>
          <w:p w:rsidR="00232878" w:rsidRPr="003F15C0" w:rsidRDefault="00232878" w:rsidP="00232878">
            <w:pPr>
              <w:spacing w:before="20"/>
              <w:jc w:val="right"/>
              <w:rPr>
                <w:color w:val="000000"/>
                <w:sz w:val="16"/>
                <w:szCs w:val="16"/>
              </w:rPr>
            </w:pPr>
            <w:r w:rsidRPr="003F15C0">
              <w:rPr>
                <w:color w:val="000000"/>
                <w:sz w:val="16"/>
                <w:szCs w:val="16"/>
              </w:rPr>
              <w:t>0.03</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Gambling frequency</w:t>
            </w:r>
          </w:p>
        </w:tc>
        <w:tc>
          <w:tcPr>
            <w:tcW w:w="844" w:type="dxa"/>
            <w:vAlign w:val="center"/>
          </w:tcPr>
          <w:p w:rsidR="00D8324A" w:rsidRPr="003F15C0" w:rsidRDefault="00D8324A" w:rsidP="00232878">
            <w:pPr>
              <w:spacing w:before="20"/>
              <w:jc w:val="right"/>
              <w:rPr>
                <w:bCs/>
                <w:color w:val="000000"/>
                <w:sz w:val="16"/>
                <w:szCs w:val="16"/>
              </w:rPr>
            </w:pPr>
          </w:p>
        </w:tc>
        <w:tc>
          <w:tcPr>
            <w:tcW w:w="1055" w:type="dxa"/>
          </w:tcPr>
          <w:p w:rsidR="00D8324A" w:rsidRPr="003F15C0" w:rsidRDefault="00D8324A" w:rsidP="00232878">
            <w:pPr>
              <w:adjustRightInd w:val="0"/>
              <w:spacing w:before="20"/>
              <w:jc w:val="right"/>
              <w:rPr>
                <w:color w:val="000000"/>
                <w:sz w:val="16"/>
                <w:szCs w:val="16"/>
              </w:rPr>
            </w:pPr>
          </w:p>
        </w:tc>
        <w:tc>
          <w:tcPr>
            <w:tcW w:w="992" w:type="dxa"/>
          </w:tcPr>
          <w:p w:rsidR="00D8324A" w:rsidRPr="003F15C0" w:rsidRDefault="00D8324A" w:rsidP="00232878">
            <w:pPr>
              <w:adjustRightInd w:val="0"/>
              <w:spacing w:before="20"/>
              <w:jc w:val="right"/>
              <w:rPr>
                <w:color w:val="000000"/>
                <w:sz w:val="16"/>
                <w:szCs w:val="16"/>
              </w:rPr>
            </w:pPr>
          </w:p>
        </w:tc>
        <w:tc>
          <w:tcPr>
            <w:tcW w:w="283" w:type="dxa"/>
          </w:tcPr>
          <w:p w:rsidR="00D8324A" w:rsidRPr="003F15C0" w:rsidRDefault="00D8324A" w:rsidP="00232878">
            <w:pPr>
              <w:adjustRightInd w:val="0"/>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At least weekly</w:t>
            </w:r>
          </w:p>
        </w:tc>
        <w:tc>
          <w:tcPr>
            <w:tcW w:w="844"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2.2</w:t>
            </w:r>
          </w:p>
        </w:tc>
        <w:tc>
          <w:tcPr>
            <w:tcW w:w="1055" w:type="dxa"/>
          </w:tcPr>
          <w:p w:rsidR="00232878" w:rsidRPr="003F15C0" w:rsidRDefault="00232878" w:rsidP="00232878">
            <w:pPr>
              <w:adjustRightInd w:val="0"/>
              <w:spacing w:before="20"/>
              <w:jc w:val="right"/>
              <w:rPr>
                <w:color w:val="000000"/>
                <w:sz w:val="16"/>
                <w:szCs w:val="16"/>
              </w:rPr>
            </w:pPr>
            <w:r w:rsidRPr="003F15C0">
              <w:rPr>
                <w:color w:val="000000"/>
                <w:sz w:val="16"/>
                <w:szCs w:val="16"/>
              </w:rPr>
              <w:t>2.38</w:t>
            </w:r>
          </w:p>
        </w:tc>
        <w:tc>
          <w:tcPr>
            <w:tcW w:w="1275" w:type="dxa"/>
            <w:gridSpan w:val="2"/>
          </w:tcPr>
          <w:p w:rsidR="00232878" w:rsidRPr="003F15C0" w:rsidRDefault="00FB75D9" w:rsidP="00232878">
            <w:pPr>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0.96 - 5.88</w:t>
            </w:r>
            <w:r w:rsidR="00CE5145"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At least monthly</w:t>
            </w:r>
          </w:p>
        </w:tc>
        <w:tc>
          <w:tcPr>
            <w:tcW w:w="844"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2.3</w:t>
            </w:r>
          </w:p>
        </w:tc>
        <w:tc>
          <w:tcPr>
            <w:tcW w:w="1055" w:type="dxa"/>
          </w:tcPr>
          <w:p w:rsidR="00232878" w:rsidRPr="003F15C0" w:rsidRDefault="00232878" w:rsidP="00232878">
            <w:pPr>
              <w:keepNext/>
              <w:adjustRightInd w:val="0"/>
              <w:spacing w:before="20"/>
              <w:jc w:val="right"/>
              <w:rPr>
                <w:color w:val="000000"/>
                <w:sz w:val="16"/>
                <w:szCs w:val="16"/>
              </w:rPr>
            </w:pPr>
            <w:r w:rsidRPr="003F15C0">
              <w:rPr>
                <w:color w:val="000000"/>
                <w:sz w:val="16"/>
                <w:szCs w:val="16"/>
              </w:rPr>
              <w:t>2.43</w:t>
            </w:r>
          </w:p>
        </w:tc>
        <w:tc>
          <w:tcPr>
            <w:tcW w:w="1275" w:type="dxa"/>
            <w:gridSpan w:val="2"/>
          </w:tcPr>
          <w:p w:rsidR="00232878" w:rsidRPr="003F15C0" w:rsidRDefault="00FB75D9" w:rsidP="00232878">
            <w:pPr>
              <w:keepNext/>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0.92 - 6.44</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p>
        </w:tc>
      </w:tr>
      <w:tr w:rsidR="00D8324A" w:rsidRPr="003F15C0" w:rsidTr="00F959A8">
        <w:tc>
          <w:tcPr>
            <w:tcW w:w="4305" w:type="dxa"/>
          </w:tcPr>
          <w:p w:rsidR="00D8324A" w:rsidRPr="003F15C0" w:rsidRDefault="00EE0D52" w:rsidP="003B2B9F">
            <w:pPr>
              <w:spacing w:before="20"/>
              <w:ind w:left="176"/>
              <w:jc w:val="both"/>
              <w:rPr>
                <w:sz w:val="16"/>
                <w:szCs w:val="16"/>
              </w:rPr>
            </w:pPr>
            <w:r w:rsidRPr="003F15C0">
              <w:rPr>
                <w:sz w:val="16"/>
                <w:szCs w:val="16"/>
              </w:rPr>
              <w:t>At least once in past year</w:t>
            </w:r>
          </w:p>
        </w:tc>
        <w:tc>
          <w:tcPr>
            <w:tcW w:w="844" w:type="dxa"/>
          </w:tcPr>
          <w:p w:rsidR="00D8324A" w:rsidRPr="003F15C0" w:rsidRDefault="009A02F6" w:rsidP="00232878">
            <w:pPr>
              <w:adjustRightInd w:val="0"/>
              <w:spacing w:before="20"/>
              <w:jc w:val="right"/>
              <w:rPr>
                <w:color w:val="000000"/>
                <w:sz w:val="16"/>
                <w:szCs w:val="16"/>
              </w:rPr>
            </w:pPr>
            <w:r w:rsidRPr="003F15C0">
              <w:rPr>
                <w:color w:val="000000"/>
                <w:sz w:val="16"/>
                <w:szCs w:val="16"/>
              </w:rPr>
              <w:t>1.0</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r w:rsidRPr="003F15C0">
              <w:rPr>
                <w:color w:val="000000"/>
                <w:sz w:val="16"/>
                <w:szCs w:val="16"/>
              </w:rPr>
              <w:t>0.14</w:t>
            </w:r>
          </w:p>
        </w:tc>
      </w:tr>
      <w:tr w:rsidR="00D8324A" w:rsidRPr="003F15C0" w:rsidTr="00F959A8">
        <w:tc>
          <w:tcPr>
            <w:tcW w:w="4305" w:type="dxa"/>
            <w:vAlign w:val="bottom"/>
          </w:tcPr>
          <w:p w:rsidR="00D8324A" w:rsidRPr="003F15C0" w:rsidRDefault="00EE0D52" w:rsidP="00F17A34">
            <w:pPr>
              <w:keepNext/>
              <w:keepLines/>
              <w:spacing w:before="20"/>
              <w:jc w:val="both"/>
              <w:rPr>
                <w:b/>
                <w:sz w:val="16"/>
                <w:szCs w:val="16"/>
              </w:rPr>
            </w:pPr>
            <w:r w:rsidRPr="003F15C0">
              <w:rPr>
                <w:rFonts w:eastAsiaTheme="minorEastAsia"/>
                <w:b/>
                <w:sz w:val="16"/>
                <w:szCs w:val="16"/>
                <w:lang w:eastAsia="en-US"/>
              </w:rPr>
              <w:t>Typical monthly gambling expenditure</w:t>
            </w:r>
          </w:p>
        </w:tc>
        <w:tc>
          <w:tcPr>
            <w:tcW w:w="844" w:type="dxa"/>
            <w:vAlign w:val="center"/>
          </w:tcPr>
          <w:p w:rsidR="00D8324A" w:rsidRPr="003F15C0" w:rsidRDefault="00D8324A" w:rsidP="00232878">
            <w:pPr>
              <w:keepNext/>
              <w:keepLines/>
              <w:spacing w:before="20"/>
              <w:jc w:val="right"/>
              <w:rPr>
                <w:b/>
                <w:bCs/>
                <w:color w:val="000000"/>
                <w:sz w:val="16"/>
                <w:szCs w:val="16"/>
              </w:rPr>
            </w:pPr>
          </w:p>
        </w:tc>
        <w:tc>
          <w:tcPr>
            <w:tcW w:w="1055" w:type="dxa"/>
            <w:vAlign w:val="center"/>
          </w:tcPr>
          <w:p w:rsidR="00D8324A" w:rsidRPr="003F15C0" w:rsidRDefault="00D8324A" w:rsidP="00232878">
            <w:pPr>
              <w:keepNext/>
              <w:keepLines/>
              <w:spacing w:before="20"/>
              <w:jc w:val="right"/>
              <w:rPr>
                <w:b/>
                <w:color w:val="000000"/>
                <w:sz w:val="16"/>
                <w:szCs w:val="16"/>
              </w:rPr>
            </w:pPr>
          </w:p>
        </w:tc>
        <w:tc>
          <w:tcPr>
            <w:tcW w:w="992" w:type="dxa"/>
            <w:vAlign w:val="center"/>
          </w:tcPr>
          <w:p w:rsidR="00D8324A" w:rsidRPr="003F15C0" w:rsidRDefault="00D8324A" w:rsidP="00232878">
            <w:pPr>
              <w:keepNext/>
              <w:keepLines/>
              <w:spacing w:before="20"/>
              <w:jc w:val="right"/>
              <w:rPr>
                <w:b/>
                <w:color w:val="000000"/>
                <w:sz w:val="16"/>
                <w:szCs w:val="16"/>
              </w:rPr>
            </w:pPr>
          </w:p>
        </w:tc>
        <w:tc>
          <w:tcPr>
            <w:tcW w:w="283" w:type="dxa"/>
            <w:vAlign w:val="center"/>
          </w:tcPr>
          <w:p w:rsidR="00D8324A" w:rsidRPr="003F15C0" w:rsidRDefault="00D8324A" w:rsidP="00232878">
            <w:pPr>
              <w:keepNext/>
              <w:keepLines/>
              <w:spacing w:before="20"/>
              <w:jc w:val="right"/>
              <w:rPr>
                <w:b/>
                <w:color w:val="000000"/>
                <w:sz w:val="16"/>
                <w:szCs w:val="16"/>
              </w:rPr>
            </w:pPr>
          </w:p>
        </w:tc>
        <w:tc>
          <w:tcPr>
            <w:tcW w:w="1020" w:type="dxa"/>
            <w:vAlign w:val="center"/>
          </w:tcPr>
          <w:p w:rsidR="00D8324A" w:rsidRPr="003F15C0" w:rsidRDefault="00D8324A" w:rsidP="00232878">
            <w:pPr>
              <w:keepNext/>
              <w:keepLines/>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$1</w:t>
            </w:r>
            <w:r w:rsidR="00EE0D52" w:rsidRPr="003F15C0">
              <w:rPr>
                <w:sz w:val="16"/>
                <w:szCs w:val="16"/>
              </w:rPr>
              <w:t xml:space="preserve"> </w:t>
            </w:r>
            <w:r w:rsidRPr="003F15C0">
              <w:rPr>
                <w:sz w:val="16"/>
                <w:szCs w:val="16"/>
              </w:rPr>
              <w:t>-</w:t>
            </w:r>
            <w:r w:rsidR="00EE0D52" w:rsidRPr="003F15C0">
              <w:rPr>
                <w:sz w:val="16"/>
                <w:szCs w:val="16"/>
              </w:rPr>
              <w:t xml:space="preserve"> </w:t>
            </w:r>
            <w:r w:rsidRPr="003F15C0">
              <w:rPr>
                <w:sz w:val="16"/>
                <w:szCs w:val="16"/>
              </w:rPr>
              <w:t>$10</w:t>
            </w:r>
          </w:p>
        </w:tc>
        <w:tc>
          <w:tcPr>
            <w:tcW w:w="844" w:type="dxa"/>
          </w:tcPr>
          <w:p w:rsidR="00D8324A" w:rsidRPr="003F15C0" w:rsidRDefault="009A02F6" w:rsidP="00232878">
            <w:pPr>
              <w:keepNext/>
              <w:keepLines/>
              <w:adjustRightInd w:val="0"/>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keepNext/>
              <w:keepLines/>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keepNext/>
              <w:keepLines/>
              <w:spacing w:before="20"/>
              <w:jc w:val="right"/>
              <w:rPr>
                <w:color w:val="000000"/>
                <w:sz w:val="16"/>
                <w:szCs w:val="16"/>
              </w:rPr>
            </w:pPr>
          </w:p>
        </w:tc>
        <w:tc>
          <w:tcPr>
            <w:tcW w:w="283" w:type="dxa"/>
            <w:vAlign w:val="center"/>
          </w:tcPr>
          <w:p w:rsidR="00D8324A" w:rsidRPr="003F15C0" w:rsidRDefault="00D8324A" w:rsidP="00232878">
            <w:pPr>
              <w:keepNext/>
              <w:keepLines/>
              <w:spacing w:before="20"/>
              <w:jc w:val="right"/>
              <w:rPr>
                <w:color w:val="000000"/>
                <w:sz w:val="16"/>
                <w:szCs w:val="16"/>
              </w:rPr>
            </w:pPr>
          </w:p>
        </w:tc>
        <w:tc>
          <w:tcPr>
            <w:tcW w:w="1020" w:type="dxa"/>
            <w:vAlign w:val="center"/>
          </w:tcPr>
          <w:p w:rsidR="00D8324A" w:rsidRPr="003F15C0" w:rsidRDefault="00D8324A"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$11 - $20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0.5</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0.35</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0.09 - 1.31</w:t>
            </w:r>
            <w:r w:rsidRPr="003F15C0">
              <w:rPr>
                <w:color w:val="000000"/>
                <w:sz w:val="16"/>
                <w:szCs w:val="16"/>
              </w:rPr>
              <w:t>)</w:t>
            </w:r>
          </w:p>
        </w:tc>
        <w:tc>
          <w:tcPr>
            <w:tcW w:w="1020" w:type="dxa"/>
            <w:vAlign w:val="center"/>
          </w:tcPr>
          <w:p w:rsidR="00232878" w:rsidRPr="003F15C0" w:rsidRDefault="00232878"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$21 - $30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0.3</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0.22</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0.05 - 1.07</w:t>
            </w:r>
            <w:r w:rsidRPr="003F15C0">
              <w:rPr>
                <w:color w:val="000000"/>
                <w:sz w:val="16"/>
                <w:szCs w:val="16"/>
              </w:rPr>
              <w:t>)</w:t>
            </w:r>
          </w:p>
        </w:tc>
        <w:tc>
          <w:tcPr>
            <w:tcW w:w="1020" w:type="dxa"/>
            <w:vAlign w:val="center"/>
          </w:tcPr>
          <w:p w:rsidR="00232878" w:rsidRPr="003F15C0" w:rsidRDefault="00232878"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$31 - $50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0.8</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0.57</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0.15 - 2.17</w:t>
            </w:r>
            <w:r w:rsidRPr="003F15C0">
              <w:rPr>
                <w:color w:val="000000"/>
                <w:sz w:val="16"/>
                <w:szCs w:val="16"/>
              </w:rPr>
              <w:t>)</w:t>
            </w:r>
          </w:p>
        </w:tc>
        <w:tc>
          <w:tcPr>
            <w:tcW w:w="1020" w:type="dxa"/>
            <w:vAlign w:val="center"/>
          </w:tcPr>
          <w:p w:rsidR="00232878" w:rsidRPr="003F15C0" w:rsidRDefault="00232878"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$51 - $100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2.9</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2.30</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0.71 - 7.46</w:t>
            </w:r>
            <w:r w:rsidRPr="003F15C0">
              <w:rPr>
                <w:color w:val="000000"/>
                <w:sz w:val="16"/>
                <w:szCs w:val="16"/>
              </w:rPr>
              <w:t>)</w:t>
            </w:r>
          </w:p>
        </w:tc>
        <w:tc>
          <w:tcPr>
            <w:tcW w:w="1020" w:type="dxa"/>
            <w:vAlign w:val="center"/>
          </w:tcPr>
          <w:p w:rsidR="00232878" w:rsidRPr="003F15C0" w:rsidRDefault="00232878"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$101 - $500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5.1</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4.08</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1.26 - 13.15</w:t>
            </w:r>
            <w:r w:rsidRPr="003F15C0">
              <w:rPr>
                <w:color w:val="000000"/>
                <w:sz w:val="16"/>
                <w:szCs w:val="16"/>
              </w:rPr>
              <w:t>)</w:t>
            </w:r>
          </w:p>
        </w:tc>
        <w:tc>
          <w:tcPr>
            <w:tcW w:w="1020" w:type="dxa"/>
            <w:vAlign w:val="center"/>
          </w:tcPr>
          <w:p w:rsidR="00232878" w:rsidRPr="003F15C0" w:rsidRDefault="00232878" w:rsidP="00232878">
            <w:pPr>
              <w:keepNext/>
              <w:keepLines/>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&gt;$500</w:t>
            </w:r>
          </w:p>
        </w:tc>
        <w:tc>
          <w:tcPr>
            <w:tcW w:w="844"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2.4</w:t>
            </w:r>
          </w:p>
        </w:tc>
        <w:tc>
          <w:tcPr>
            <w:tcW w:w="1055" w:type="dxa"/>
          </w:tcPr>
          <w:p w:rsidR="00232878" w:rsidRPr="003F15C0" w:rsidRDefault="00232878" w:rsidP="00232878">
            <w:pPr>
              <w:keepNext/>
              <w:keepLines/>
              <w:adjustRightInd w:val="0"/>
              <w:spacing w:before="20"/>
              <w:jc w:val="right"/>
              <w:rPr>
                <w:color w:val="000000"/>
                <w:sz w:val="16"/>
                <w:szCs w:val="16"/>
              </w:rPr>
            </w:pPr>
            <w:r w:rsidRPr="003F15C0">
              <w:rPr>
                <w:color w:val="000000"/>
                <w:sz w:val="16"/>
                <w:szCs w:val="16"/>
              </w:rPr>
              <w:t>1.84</w:t>
            </w:r>
          </w:p>
        </w:tc>
        <w:tc>
          <w:tcPr>
            <w:tcW w:w="1275" w:type="dxa"/>
            <w:gridSpan w:val="2"/>
          </w:tcPr>
          <w:p w:rsidR="00232878" w:rsidRPr="003F15C0" w:rsidRDefault="00FB75D9" w:rsidP="00232878">
            <w:pPr>
              <w:keepNext/>
              <w:keepLines/>
              <w:adjustRightInd w:val="0"/>
              <w:spacing w:before="20"/>
              <w:jc w:val="right"/>
              <w:rPr>
                <w:color w:val="000000"/>
                <w:sz w:val="16"/>
                <w:szCs w:val="16"/>
              </w:rPr>
            </w:pPr>
            <w:r w:rsidRPr="003F15C0">
              <w:rPr>
                <w:color w:val="000000"/>
                <w:sz w:val="16"/>
                <w:szCs w:val="16"/>
              </w:rPr>
              <w:t>(</w:t>
            </w:r>
            <w:r w:rsidR="00232878" w:rsidRPr="003F15C0">
              <w:rPr>
                <w:color w:val="000000"/>
                <w:sz w:val="16"/>
                <w:szCs w:val="16"/>
              </w:rPr>
              <w:t>0.36 - 9.31</w:t>
            </w:r>
            <w:r w:rsidRPr="003F15C0">
              <w:rPr>
                <w:color w:val="000000"/>
                <w:sz w:val="16"/>
                <w:szCs w:val="16"/>
              </w:rPr>
              <w:t>)</w:t>
            </w:r>
          </w:p>
        </w:tc>
        <w:tc>
          <w:tcPr>
            <w:tcW w:w="1020" w:type="dxa"/>
            <w:shd w:val="clear" w:color="auto" w:fill="D9D9D9" w:themeFill="background1" w:themeFillShade="D9"/>
            <w:vAlign w:val="center"/>
          </w:tcPr>
          <w:p w:rsidR="00232878" w:rsidRPr="003F15C0" w:rsidRDefault="00232878" w:rsidP="00232878">
            <w:pPr>
              <w:keepNext/>
              <w:keepLines/>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Cards </w:t>
            </w:r>
            <w:r w:rsidR="00EE0D52" w:rsidRPr="003F15C0">
              <w:rPr>
                <w:b/>
                <w:sz w:val="16"/>
                <w:szCs w:val="16"/>
              </w:rPr>
              <w:t>games</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1.7</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0.96</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0.32 - 2.91</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0.94</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Bet</w:t>
            </w:r>
            <w:r w:rsidR="00EE0D52" w:rsidRPr="003F15C0">
              <w:rPr>
                <w:b/>
                <w:sz w:val="16"/>
                <w:szCs w:val="16"/>
              </w:rPr>
              <w:t>s</w:t>
            </w:r>
            <w:r w:rsidRPr="003F15C0">
              <w:rPr>
                <w:b/>
                <w:sz w:val="16"/>
                <w:szCs w:val="16"/>
              </w:rPr>
              <w:t xml:space="preserve"> with friends</w:t>
            </w:r>
            <w:r w:rsidR="00EE0D52" w:rsidRPr="003F15C0">
              <w:rPr>
                <w:b/>
                <w:sz w:val="16"/>
                <w:szCs w:val="16"/>
              </w:rPr>
              <w:t>/workmates</w:t>
            </w:r>
            <w:r w:rsidRPr="003F15C0">
              <w:rPr>
                <w:b/>
                <w:sz w:val="16"/>
                <w:szCs w:val="16"/>
              </w:rPr>
              <w:t xml:space="preserve"> </w:t>
            </w:r>
            <w:r w:rsidR="00EE0D52" w:rsidRPr="003F15C0">
              <w:rPr>
                <w:b/>
                <w:sz w:val="16"/>
                <w:szCs w:val="16"/>
              </w:rPr>
              <w:t>-</w:t>
            </w:r>
            <w:r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w:t>
            </w:r>
            <w:r w:rsidR="00D8324A" w:rsidRPr="003F15C0">
              <w:rPr>
                <w:color w:val="000000"/>
                <w:sz w:val="16"/>
                <w:szCs w:val="16"/>
              </w:rPr>
              <w:t>8</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1.5</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0.83</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0.36 - 1.95</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0.67</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Text </w:t>
            </w:r>
            <w:r w:rsidR="00EE0D52" w:rsidRPr="003F15C0">
              <w:rPr>
                <w:b/>
                <w:sz w:val="16"/>
                <w:szCs w:val="16"/>
              </w:rPr>
              <w:t xml:space="preserve">game or </w:t>
            </w:r>
            <w:r w:rsidRPr="003F15C0">
              <w:rPr>
                <w:b/>
                <w:sz w:val="16"/>
                <w:szCs w:val="16"/>
              </w:rPr>
              <w:t>competition</w:t>
            </w:r>
            <w:r w:rsidR="00EE0D52" w:rsidRPr="003F15C0">
              <w:rPr>
                <w:b/>
                <w:sz w:val="16"/>
                <w:szCs w:val="16"/>
              </w:rPr>
              <w:t xml:space="preserve"> -</w:t>
            </w:r>
            <w:r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1.8</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1.0</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0.55</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0.13 - 2.37</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0.42</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Raffle/lottery</w:t>
            </w:r>
            <w:r w:rsidR="00EE0D52" w:rsidRPr="003F15C0">
              <w:rPr>
                <w:b/>
                <w:sz w:val="16"/>
                <w:szCs w:val="16"/>
              </w:rPr>
              <w:t xml:space="preserve"> (NZ/overseas) </w:t>
            </w:r>
            <w:r w:rsidRPr="003F15C0">
              <w:rPr>
                <w:b/>
                <w:sz w:val="16"/>
                <w:szCs w:val="16"/>
              </w:rPr>
              <w:t>-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2.1</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1.5</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0.71</w:t>
            </w:r>
          </w:p>
        </w:tc>
        <w:tc>
          <w:tcPr>
            <w:tcW w:w="1275" w:type="dxa"/>
            <w:gridSpan w:val="2"/>
            <w:vAlign w:val="center"/>
          </w:tcPr>
          <w:p w:rsidR="00232878" w:rsidRPr="003F15C0" w:rsidRDefault="00FB75D9"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0.36 - 1.39</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0.32</w:t>
            </w:r>
          </w:p>
        </w:tc>
      </w:tr>
      <w:tr w:rsidR="00D8324A" w:rsidRPr="003F15C0" w:rsidTr="00F959A8">
        <w:tc>
          <w:tcPr>
            <w:tcW w:w="4305" w:type="dxa"/>
            <w:vAlign w:val="bottom"/>
          </w:tcPr>
          <w:p w:rsidR="00D8324A" w:rsidRPr="003F15C0" w:rsidRDefault="00D8324A" w:rsidP="0081083E">
            <w:pPr>
              <w:keepNext/>
              <w:spacing w:before="20"/>
              <w:jc w:val="both"/>
              <w:rPr>
                <w:b/>
                <w:sz w:val="16"/>
                <w:szCs w:val="16"/>
              </w:rPr>
            </w:pPr>
            <w:r w:rsidRPr="003F15C0">
              <w:rPr>
                <w:b/>
                <w:sz w:val="16"/>
                <w:szCs w:val="16"/>
              </w:rPr>
              <w:t>Lotto - annual</w:t>
            </w:r>
          </w:p>
        </w:tc>
        <w:tc>
          <w:tcPr>
            <w:tcW w:w="844" w:type="dxa"/>
            <w:vAlign w:val="center"/>
          </w:tcPr>
          <w:p w:rsidR="00D8324A" w:rsidRPr="003F15C0" w:rsidRDefault="00D8324A" w:rsidP="0081083E">
            <w:pPr>
              <w:keepNext/>
              <w:spacing w:before="20"/>
              <w:jc w:val="right"/>
              <w:rPr>
                <w:b/>
                <w:bCs/>
                <w:color w:val="000000"/>
                <w:sz w:val="16"/>
                <w:szCs w:val="16"/>
              </w:rPr>
            </w:pPr>
          </w:p>
        </w:tc>
        <w:tc>
          <w:tcPr>
            <w:tcW w:w="1055" w:type="dxa"/>
            <w:vAlign w:val="center"/>
          </w:tcPr>
          <w:p w:rsidR="00D8324A" w:rsidRPr="003F15C0" w:rsidRDefault="00D8324A" w:rsidP="0081083E">
            <w:pPr>
              <w:keepNext/>
              <w:spacing w:before="20"/>
              <w:jc w:val="right"/>
              <w:rPr>
                <w:color w:val="000000"/>
                <w:sz w:val="16"/>
                <w:szCs w:val="16"/>
              </w:rPr>
            </w:pPr>
          </w:p>
        </w:tc>
        <w:tc>
          <w:tcPr>
            <w:tcW w:w="992" w:type="dxa"/>
            <w:vAlign w:val="center"/>
          </w:tcPr>
          <w:p w:rsidR="00D8324A" w:rsidRPr="003F15C0" w:rsidRDefault="00D8324A" w:rsidP="0081083E">
            <w:pPr>
              <w:keepNext/>
              <w:spacing w:before="20"/>
              <w:jc w:val="right"/>
              <w:rPr>
                <w:color w:val="000000"/>
                <w:sz w:val="16"/>
                <w:szCs w:val="16"/>
              </w:rPr>
            </w:pPr>
          </w:p>
        </w:tc>
        <w:tc>
          <w:tcPr>
            <w:tcW w:w="283" w:type="dxa"/>
            <w:vAlign w:val="center"/>
          </w:tcPr>
          <w:p w:rsidR="00D8324A" w:rsidRPr="003F15C0" w:rsidRDefault="00D8324A" w:rsidP="0081083E">
            <w:pPr>
              <w:keepNext/>
              <w:spacing w:before="20"/>
              <w:jc w:val="right"/>
              <w:rPr>
                <w:color w:val="000000"/>
                <w:sz w:val="16"/>
                <w:szCs w:val="16"/>
              </w:rPr>
            </w:pPr>
          </w:p>
        </w:tc>
        <w:tc>
          <w:tcPr>
            <w:tcW w:w="1020" w:type="dxa"/>
            <w:vAlign w:val="center"/>
          </w:tcPr>
          <w:p w:rsidR="00D8324A" w:rsidRPr="003F15C0" w:rsidRDefault="00D8324A" w:rsidP="0081083E">
            <w:pPr>
              <w:keepNext/>
              <w:spacing w:before="20"/>
              <w:jc w:val="right"/>
              <w:rPr>
                <w:color w:val="000000"/>
                <w:sz w:val="16"/>
                <w:szCs w:val="16"/>
              </w:rPr>
            </w:pPr>
          </w:p>
        </w:tc>
      </w:tr>
      <w:tr w:rsidR="00D8324A" w:rsidRPr="003F15C0" w:rsidTr="00F959A8">
        <w:tc>
          <w:tcPr>
            <w:tcW w:w="4305" w:type="dxa"/>
          </w:tcPr>
          <w:p w:rsidR="00D8324A" w:rsidRPr="003F15C0" w:rsidRDefault="00D8324A" w:rsidP="0081083E">
            <w:pPr>
              <w:keepNext/>
              <w:spacing w:before="20"/>
              <w:ind w:left="176"/>
              <w:jc w:val="both"/>
              <w:rPr>
                <w:sz w:val="16"/>
                <w:szCs w:val="16"/>
              </w:rPr>
            </w:pPr>
            <w:r w:rsidRPr="003F15C0">
              <w:rPr>
                <w:sz w:val="16"/>
                <w:szCs w:val="16"/>
              </w:rPr>
              <w:t>No</w:t>
            </w:r>
          </w:p>
        </w:tc>
        <w:tc>
          <w:tcPr>
            <w:tcW w:w="844" w:type="dxa"/>
            <w:vAlign w:val="center"/>
          </w:tcPr>
          <w:p w:rsidR="00D8324A" w:rsidRPr="003F15C0" w:rsidRDefault="009A02F6" w:rsidP="0081083E">
            <w:pPr>
              <w:keepNext/>
              <w:spacing w:before="20"/>
              <w:jc w:val="right"/>
              <w:rPr>
                <w:color w:val="000000"/>
                <w:sz w:val="16"/>
                <w:szCs w:val="16"/>
              </w:rPr>
            </w:pPr>
            <w:r w:rsidRPr="003F15C0">
              <w:rPr>
                <w:color w:val="000000"/>
                <w:sz w:val="16"/>
                <w:szCs w:val="16"/>
              </w:rPr>
              <w:t>2.3</w:t>
            </w:r>
          </w:p>
        </w:tc>
        <w:tc>
          <w:tcPr>
            <w:tcW w:w="1055" w:type="dxa"/>
            <w:vAlign w:val="center"/>
          </w:tcPr>
          <w:p w:rsidR="00D8324A" w:rsidRPr="003F15C0" w:rsidRDefault="00D8324A" w:rsidP="0081083E">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81083E">
            <w:pPr>
              <w:keepNext/>
              <w:spacing w:before="20"/>
              <w:jc w:val="right"/>
              <w:rPr>
                <w:color w:val="000000"/>
                <w:sz w:val="16"/>
                <w:szCs w:val="16"/>
              </w:rPr>
            </w:pPr>
          </w:p>
        </w:tc>
        <w:tc>
          <w:tcPr>
            <w:tcW w:w="283" w:type="dxa"/>
            <w:vAlign w:val="center"/>
          </w:tcPr>
          <w:p w:rsidR="00D8324A" w:rsidRPr="003F15C0" w:rsidRDefault="00D8324A" w:rsidP="0081083E">
            <w:pPr>
              <w:keepNext/>
              <w:spacing w:before="20"/>
              <w:jc w:val="right"/>
              <w:rPr>
                <w:color w:val="000000"/>
                <w:sz w:val="16"/>
                <w:szCs w:val="16"/>
              </w:rPr>
            </w:pPr>
          </w:p>
        </w:tc>
        <w:tc>
          <w:tcPr>
            <w:tcW w:w="1020" w:type="dxa"/>
            <w:vAlign w:val="center"/>
          </w:tcPr>
          <w:p w:rsidR="00D8324A" w:rsidRPr="003F15C0" w:rsidRDefault="00D8324A" w:rsidP="0081083E">
            <w:pPr>
              <w:keepNext/>
              <w:spacing w:before="20"/>
              <w:jc w:val="right"/>
              <w:rPr>
                <w:color w:val="000000"/>
                <w:sz w:val="16"/>
                <w:szCs w:val="16"/>
              </w:rPr>
            </w:pPr>
          </w:p>
        </w:tc>
      </w:tr>
      <w:tr w:rsidR="00232878" w:rsidRPr="003F15C0" w:rsidTr="00F959A8">
        <w:tc>
          <w:tcPr>
            <w:tcW w:w="4305" w:type="dxa"/>
          </w:tcPr>
          <w:p w:rsidR="00232878" w:rsidRPr="003F15C0" w:rsidRDefault="00232878" w:rsidP="0081083E">
            <w:pPr>
              <w:keepNext/>
              <w:spacing w:before="20"/>
              <w:ind w:left="176"/>
              <w:jc w:val="both"/>
              <w:rPr>
                <w:sz w:val="16"/>
                <w:szCs w:val="16"/>
              </w:rPr>
            </w:pPr>
            <w:r w:rsidRPr="003F15C0">
              <w:rPr>
                <w:sz w:val="16"/>
                <w:szCs w:val="16"/>
              </w:rPr>
              <w:t>Yes</w:t>
            </w:r>
          </w:p>
        </w:tc>
        <w:tc>
          <w:tcPr>
            <w:tcW w:w="844" w:type="dxa"/>
            <w:vAlign w:val="center"/>
          </w:tcPr>
          <w:p w:rsidR="00232878" w:rsidRPr="003F15C0" w:rsidRDefault="00232878" w:rsidP="0081083E">
            <w:pPr>
              <w:keepNext/>
              <w:spacing w:before="20"/>
              <w:jc w:val="right"/>
              <w:rPr>
                <w:color w:val="000000"/>
                <w:sz w:val="16"/>
                <w:szCs w:val="16"/>
              </w:rPr>
            </w:pPr>
            <w:r w:rsidRPr="003F15C0">
              <w:rPr>
                <w:color w:val="000000"/>
                <w:sz w:val="16"/>
                <w:szCs w:val="16"/>
              </w:rPr>
              <w:t>1.6</w:t>
            </w:r>
          </w:p>
        </w:tc>
        <w:tc>
          <w:tcPr>
            <w:tcW w:w="1055" w:type="dxa"/>
            <w:vAlign w:val="center"/>
          </w:tcPr>
          <w:p w:rsidR="00232878" w:rsidRPr="003F15C0" w:rsidRDefault="00232878" w:rsidP="0081083E">
            <w:pPr>
              <w:keepNext/>
              <w:spacing w:before="20"/>
              <w:jc w:val="right"/>
              <w:rPr>
                <w:color w:val="000000"/>
                <w:sz w:val="16"/>
                <w:szCs w:val="16"/>
              </w:rPr>
            </w:pPr>
            <w:r w:rsidRPr="003F15C0">
              <w:rPr>
                <w:color w:val="000000"/>
                <w:sz w:val="16"/>
                <w:szCs w:val="16"/>
              </w:rPr>
              <w:t>0.70</w:t>
            </w:r>
          </w:p>
        </w:tc>
        <w:tc>
          <w:tcPr>
            <w:tcW w:w="1275" w:type="dxa"/>
            <w:gridSpan w:val="2"/>
            <w:vAlign w:val="center"/>
          </w:tcPr>
          <w:p w:rsidR="00232878" w:rsidRPr="003F15C0" w:rsidRDefault="00CE5145" w:rsidP="0081083E">
            <w:pPr>
              <w:keepNext/>
              <w:spacing w:before="20"/>
              <w:jc w:val="right"/>
              <w:rPr>
                <w:color w:val="000000"/>
                <w:sz w:val="16"/>
                <w:szCs w:val="16"/>
              </w:rPr>
            </w:pPr>
            <w:r w:rsidRPr="003F15C0">
              <w:rPr>
                <w:color w:val="000000"/>
                <w:sz w:val="16"/>
                <w:szCs w:val="16"/>
              </w:rPr>
              <w:t>(</w:t>
            </w:r>
            <w:r w:rsidR="00232878" w:rsidRPr="003F15C0">
              <w:rPr>
                <w:color w:val="000000"/>
                <w:sz w:val="16"/>
                <w:szCs w:val="16"/>
              </w:rPr>
              <w:t>0.28 - 1.71</w:t>
            </w:r>
            <w:r w:rsidRPr="003F15C0">
              <w:rPr>
                <w:color w:val="000000"/>
                <w:sz w:val="16"/>
                <w:szCs w:val="16"/>
              </w:rPr>
              <w:t>)</w:t>
            </w:r>
          </w:p>
        </w:tc>
        <w:tc>
          <w:tcPr>
            <w:tcW w:w="1020" w:type="dxa"/>
            <w:vAlign w:val="center"/>
          </w:tcPr>
          <w:p w:rsidR="00232878" w:rsidRPr="003F15C0" w:rsidRDefault="00232878" w:rsidP="0081083E">
            <w:pPr>
              <w:keepNext/>
              <w:spacing w:before="20"/>
              <w:jc w:val="right"/>
              <w:rPr>
                <w:color w:val="000000"/>
                <w:sz w:val="16"/>
                <w:szCs w:val="16"/>
              </w:rPr>
            </w:pPr>
            <w:r w:rsidRPr="003F15C0">
              <w:rPr>
                <w:color w:val="000000"/>
                <w:sz w:val="16"/>
                <w:szCs w:val="16"/>
              </w:rPr>
              <w:t>0.43</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Keno overall</w:t>
            </w:r>
            <w:r w:rsidR="00EE0D52" w:rsidRPr="003F15C0">
              <w:rPr>
                <w:b/>
                <w:sz w:val="16"/>
                <w:szCs w:val="16"/>
              </w:rPr>
              <w:t xml:space="preserve"> </w:t>
            </w:r>
            <w:r w:rsidRPr="003F15C0">
              <w:rPr>
                <w:b/>
                <w:sz w:val="16"/>
                <w:szCs w:val="16"/>
              </w:rPr>
              <w:t>-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Borders>
              <w:bottom w:val="single" w:sz="4" w:space="0" w:color="auto"/>
            </w:tcBorders>
          </w:tcPr>
          <w:p w:rsidR="00232878" w:rsidRPr="003F15C0" w:rsidRDefault="00232878" w:rsidP="003B2B9F">
            <w:pPr>
              <w:spacing w:before="20"/>
              <w:ind w:left="176"/>
              <w:jc w:val="both"/>
              <w:rPr>
                <w:sz w:val="16"/>
                <w:szCs w:val="16"/>
              </w:rPr>
            </w:pPr>
            <w:r w:rsidRPr="003F15C0">
              <w:rPr>
                <w:sz w:val="16"/>
                <w:szCs w:val="16"/>
              </w:rPr>
              <w:t>Yes</w:t>
            </w:r>
          </w:p>
        </w:tc>
        <w:tc>
          <w:tcPr>
            <w:tcW w:w="844" w:type="dxa"/>
            <w:tcBorders>
              <w:bottom w:val="single" w:sz="4" w:space="0" w:color="auto"/>
            </w:tcBorders>
            <w:vAlign w:val="center"/>
          </w:tcPr>
          <w:p w:rsidR="00232878" w:rsidRPr="003F15C0" w:rsidRDefault="00232878" w:rsidP="00232878">
            <w:pPr>
              <w:spacing w:before="20"/>
              <w:jc w:val="right"/>
              <w:rPr>
                <w:color w:val="000000"/>
                <w:sz w:val="16"/>
                <w:szCs w:val="16"/>
              </w:rPr>
            </w:pPr>
            <w:r w:rsidRPr="003F15C0">
              <w:rPr>
                <w:color w:val="000000"/>
                <w:sz w:val="16"/>
                <w:szCs w:val="16"/>
              </w:rPr>
              <w:t>2.7</w:t>
            </w:r>
          </w:p>
        </w:tc>
        <w:tc>
          <w:tcPr>
            <w:tcW w:w="1055" w:type="dxa"/>
            <w:tcBorders>
              <w:bottom w:val="single" w:sz="4" w:space="0" w:color="auto"/>
            </w:tcBorders>
            <w:vAlign w:val="center"/>
          </w:tcPr>
          <w:p w:rsidR="00232878" w:rsidRPr="003F15C0" w:rsidRDefault="00232878" w:rsidP="00232878">
            <w:pPr>
              <w:spacing w:before="20"/>
              <w:jc w:val="right"/>
              <w:rPr>
                <w:color w:val="000000"/>
                <w:sz w:val="16"/>
                <w:szCs w:val="16"/>
              </w:rPr>
            </w:pPr>
            <w:r w:rsidRPr="003F15C0">
              <w:rPr>
                <w:color w:val="000000"/>
                <w:sz w:val="16"/>
                <w:szCs w:val="16"/>
              </w:rPr>
              <w:t>1.61</w:t>
            </w:r>
          </w:p>
        </w:tc>
        <w:tc>
          <w:tcPr>
            <w:tcW w:w="1275" w:type="dxa"/>
            <w:gridSpan w:val="2"/>
            <w:tcBorders>
              <w:bottom w:val="single" w:sz="4" w:space="0" w:color="auto"/>
            </w:tcBorders>
            <w:vAlign w:val="center"/>
          </w:tcPr>
          <w:p w:rsidR="00232878" w:rsidRPr="003F15C0" w:rsidRDefault="00CE5145"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0.63 - 4.12</w:t>
            </w:r>
            <w:r w:rsidRPr="003F15C0">
              <w:rPr>
                <w:color w:val="000000"/>
                <w:sz w:val="16"/>
                <w:szCs w:val="16"/>
              </w:rPr>
              <w:t>)</w:t>
            </w:r>
          </w:p>
        </w:tc>
        <w:tc>
          <w:tcPr>
            <w:tcW w:w="1020" w:type="dxa"/>
            <w:tcBorders>
              <w:bottom w:val="single" w:sz="4" w:space="0" w:color="auto"/>
            </w:tcBorders>
            <w:vAlign w:val="center"/>
          </w:tcPr>
          <w:p w:rsidR="00232878" w:rsidRPr="003F15C0" w:rsidRDefault="00232878" w:rsidP="00232878">
            <w:pPr>
              <w:spacing w:before="20"/>
              <w:jc w:val="right"/>
              <w:rPr>
                <w:color w:val="000000"/>
                <w:sz w:val="16"/>
                <w:szCs w:val="16"/>
              </w:rPr>
            </w:pPr>
            <w:r w:rsidRPr="003F15C0">
              <w:rPr>
                <w:color w:val="000000"/>
                <w:sz w:val="16"/>
                <w:szCs w:val="16"/>
              </w:rPr>
              <w:t>0.32</w:t>
            </w:r>
          </w:p>
        </w:tc>
      </w:tr>
      <w:tr w:rsidR="00D8324A" w:rsidRPr="003F15C0" w:rsidTr="00F959A8">
        <w:tc>
          <w:tcPr>
            <w:tcW w:w="4305" w:type="dxa"/>
            <w:tcBorders>
              <w:top w:val="single" w:sz="4" w:space="0" w:color="auto"/>
            </w:tcBorders>
            <w:vAlign w:val="bottom"/>
          </w:tcPr>
          <w:p w:rsidR="00D8324A" w:rsidRPr="003F15C0" w:rsidRDefault="00D8324A" w:rsidP="00F17A34">
            <w:pPr>
              <w:spacing w:before="20"/>
              <w:jc w:val="both"/>
              <w:rPr>
                <w:b/>
                <w:sz w:val="16"/>
                <w:szCs w:val="16"/>
              </w:rPr>
            </w:pPr>
            <w:r w:rsidRPr="003F15C0">
              <w:rPr>
                <w:b/>
                <w:sz w:val="16"/>
                <w:szCs w:val="16"/>
              </w:rPr>
              <w:lastRenderedPageBreak/>
              <w:t xml:space="preserve">Instant </w:t>
            </w:r>
            <w:r w:rsidR="00EE0D52" w:rsidRPr="003F15C0">
              <w:rPr>
                <w:b/>
                <w:sz w:val="16"/>
                <w:szCs w:val="16"/>
              </w:rPr>
              <w:t xml:space="preserve">Kiwi/other scratch tickets </w:t>
            </w:r>
            <w:r w:rsidRPr="003F15C0">
              <w:rPr>
                <w:b/>
                <w:sz w:val="16"/>
                <w:szCs w:val="16"/>
              </w:rPr>
              <w:t>- annual</w:t>
            </w:r>
          </w:p>
        </w:tc>
        <w:tc>
          <w:tcPr>
            <w:tcW w:w="844" w:type="dxa"/>
            <w:tcBorders>
              <w:top w:val="single" w:sz="4" w:space="0" w:color="auto"/>
            </w:tcBorders>
            <w:vAlign w:val="center"/>
          </w:tcPr>
          <w:p w:rsidR="00D8324A" w:rsidRPr="003F15C0" w:rsidRDefault="00D8324A" w:rsidP="00232878">
            <w:pPr>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232878">
            <w:pPr>
              <w:spacing w:before="20"/>
              <w:jc w:val="right"/>
              <w:rPr>
                <w:color w:val="000000"/>
                <w:sz w:val="16"/>
                <w:szCs w:val="16"/>
              </w:rPr>
            </w:pPr>
          </w:p>
        </w:tc>
        <w:tc>
          <w:tcPr>
            <w:tcW w:w="992" w:type="dxa"/>
            <w:tcBorders>
              <w:top w:val="single" w:sz="4" w:space="0" w:color="auto"/>
            </w:tcBorders>
            <w:vAlign w:val="center"/>
          </w:tcPr>
          <w:p w:rsidR="00D8324A" w:rsidRPr="003F15C0" w:rsidRDefault="00D8324A" w:rsidP="00232878">
            <w:pPr>
              <w:spacing w:before="20"/>
              <w:jc w:val="right"/>
              <w:rPr>
                <w:color w:val="000000"/>
                <w:sz w:val="16"/>
                <w:szCs w:val="16"/>
              </w:rPr>
            </w:pPr>
          </w:p>
        </w:tc>
        <w:tc>
          <w:tcPr>
            <w:tcW w:w="283" w:type="dxa"/>
            <w:tcBorders>
              <w:top w:val="single" w:sz="4" w:space="0" w:color="auto"/>
            </w:tcBorders>
            <w:vAlign w:val="center"/>
          </w:tcPr>
          <w:p w:rsidR="00D8324A" w:rsidRPr="003F15C0" w:rsidRDefault="00D8324A" w:rsidP="00232878">
            <w:pPr>
              <w:spacing w:before="20"/>
              <w:jc w:val="right"/>
              <w:rPr>
                <w:color w:val="000000"/>
                <w:sz w:val="16"/>
                <w:szCs w:val="16"/>
              </w:rPr>
            </w:pPr>
          </w:p>
        </w:tc>
        <w:tc>
          <w:tcPr>
            <w:tcW w:w="1020" w:type="dxa"/>
            <w:tcBorders>
              <w:top w:val="single" w:sz="4" w:space="0" w:color="auto"/>
            </w:tcBorders>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1.8</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1.12</w:t>
            </w:r>
          </w:p>
        </w:tc>
        <w:tc>
          <w:tcPr>
            <w:tcW w:w="1275" w:type="dxa"/>
            <w:gridSpan w:val="2"/>
            <w:vAlign w:val="center"/>
          </w:tcPr>
          <w:p w:rsidR="00232878" w:rsidRPr="003F15C0" w:rsidRDefault="00CE5145"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0.57 - 2.17</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0.75</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Housie</w:t>
            </w:r>
            <w:r w:rsidR="00EE0D52" w:rsidRPr="003F15C0">
              <w:rPr>
                <w:b/>
                <w:sz w:val="16"/>
                <w:szCs w:val="16"/>
              </w:rPr>
              <w:t xml:space="preserve"> or bingo</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3.7</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2.22</w:t>
            </w:r>
          </w:p>
        </w:tc>
        <w:tc>
          <w:tcPr>
            <w:tcW w:w="1275" w:type="dxa"/>
            <w:gridSpan w:val="2"/>
            <w:vAlign w:val="center"/>
          </w:tcPr>
          <w:p w:rsidR="00232878" w:rsidRPr="003F15C0" w:rsidRDefault="00CE5145"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0.58 - 8.46</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0.24</w:t>
            </w:r>
          </w:p>
        </w:tc>
      </w:tr>
      <w:tr w:rsidR="00D8324A" w:rsidRPr="003F15C0" w:rsidTr="00F959A8">
        <w:tc>
          <w:tcPr>
            <w:tcW w:w="4305" w:type="dxa"/>
            <w:vAlign w:val="bottom"/>
          </w:tcPr>
          <w:p w:rsidR="00D8324A" w:rsidRPr="003F15C0" w:rsidRDefault="00EE0D52" w:rsidP="00F17A34">
            <w:pPr>
              <w:spacing w:before="20"/>
              <w:jc w:val="both"/>
              <w:rPr>
                <w:b/>
                <w:sz w:val="16"/>
                <w:szCs w:val="16"/>
              </w:rPr>
            </w:pPr>
            <w:r w:rsidRPr="003F15C0">
              <w:rPr>
                <w:b/>
                <w:sz w:val="16"/>
                <w:szCs w:val="16"/>
              </w:rPr>
              <w:t>Horse/dog race betting</w:t>
            </w:r>
            <w:r w:rsidR="00D8324A"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2.0</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1.19</w:t>
            </w:r>
          </w:p>
        </w:tc>
        <w:tc>
          <w:tcPr>
            <w:tcW w:w="1275" w:type="dxa"/>
            <w:gridSpan w:val="2"/>
            <w:vAlign w:val="center"/>
          </w:tcPr>
          <w:p w:rsidR="00232878" w:rsidRPr="003F15C0" w:rsidRDefault="00CE5145"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0.34 - 4.21</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0.78</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Sports </w:t>
            </w:r>
            <w:r w:rsidR="004E4C68" w:rsidRPr="003F15C0">
              <w:rPr>
                <w:b/>
                <w:sz w:val="16"/>
                <w:szCs w:val="16"/>
              </w:rPr>
              <w:t>betting</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2878" w:rsidRPr="003F15C0" w:rsidTr="00F959A8">
        <w:tc>
          <w:tcPr>
            <w:tcW w:w="4305" w:type="dxa"/>
          </w:tcPr>
          <w:p w:rsidR="00232878" w:rsidRPr="003F15C0" w:rsidRDefault="00232878" w:rsidP="003B2B9F">
            <w:pPr>
              <w:spacing w:before="20"/>
              <w:ind w:left="176"/>
              <w:jc w:val="both"/>
              <w:rPr>
                <w:sz w:val="16"/>
                <w:szCs w:val="16"/>
              </w:rPr>
            </w:pPr>
            <w:r w:rsidRPr="003F15C0">
              <w:rPr>
                <w:sz w:val="16"/>
                <w:szCs w:val="16"/>
              </w:rPr>
              <w:t>Yes</w:t>
            </w:r>
          </w:p>
        </w:tc>
        <w:tc>
          <w:tcPr>
            <w:tcW w:w="844" w:type="dxa"/>
            <w:vAlign w:val="center"/>
          </w:tcPr>
          <w:p w:rsidR="00232878" w:rsidRPr="003F15C0" w:rsidRDefault="00232878" w:rsidP="00232878">
            <w:pPr>
              <w:spacing w:before="20"/>
              <w:jc w:val="right"/>
              <w:rPr>
                <w:color w:val="000000"/>
                <w:sz w:val="16"/>
                <w:szCs w:val="16"/>
              </w:rPr>
            </w:pPr>
            <w:r w:rsidRPr="003F15C0">
              <w:rPr>
                <w:color w:val="000000"/>
                <w:sz w:val="16"/>
                <w:szCs w:val="16"/>
              </w:rPr>
              <w:t>1.9</w:t>
            </w:r>
          </w:p>
        </w:tc>
        <w:tc>
          <w:tcPr>
            <w:tcW w:w="1055" w:type="dxa"/>
            <w:vAlign w:val="center"/>
          </w:tcPr>
          <w:p w:rsidR="00232878" w:rsidRPr="003F15C0" w:rsidRDefault="00232878" w:rsidP="00232878">
            <w:pPr>
              <w:spacing w:before="20"/>
              <w:jc w:val="right"/>
              <w:rPr>
                <w:color w:val="000000"/>
                <w:sz w:val="16"/>
                <w:szCs w:val="16"/>
              </w:rPr>
            </w:pPr>
            <w:r w:rsidRPr="003F15C0">
              <w:rPr>
                <w:color w:val="000000"/>
                <w:sz w:val="16"/>
                <w:szCs w:val="16"/>
              </w:rPr>
              <w:t>1.10</w:t>
            </w:r>
          </w:p>
        </w:tc>
        <w:tc>
          <w:tcPr>
            <w:tcW w:w="1275" w:type="dxa"/>
            <w:gridSpan w:val="2"/>
            <w:vAlign w:val="center"/>
          </w:tcPr>
          <w:p w:rsidR="00232878" w:rsidRPr="003F15C0" w:rsidRDefault="00CE5145" w:rsidP="00232878">
            <w:pPr>
              <w:spacing w:before="20"/>
              <w:jc w:val="right"/>
              <w:rPr>
                <w:color w:val="000000"/>
                <w:sz w:val="16"/>
                <w:szCs w:val="16"/>
              </w:rPr>
            </w:pPr>
            <w:r w:rsidRPr="003F15C0">
              <w:rPr>
                <w:color w:val="000000"/>
                <w:sz w:val="16"/>
                <w:szCs w:val="16"/>
              </w:rPr>
              <w:t>(</w:t>
            </w:r>
            <w:r w:rsidR="00232878" w:rsidRPr="003F15C0">
              <w:rPr>
                <w:color w:val="000000"/>
                <w:sz w:val="16"/>
                <w:szCs w:val="16"/>
              </w:rPr>
              <w:t>0.24 - 5.02</w:t>
            </w:r>
            <w:r w:rsidRPr="003F15C0">
              <w:rPr>
                <w:color w:val="000000"/>
                <w:sz w:val="16"/>
                <w:szCs w:val="16"/>
              </w:rPr>
              <w:t>)</w:t>
            </w:r>
          </w:p>
        </w:tc>
        <w:tc>
          <w:tcPr>
            <w:tcW w:w="1020" w:type="dxa"/>
            <w:vAlign w:val="center"/>
          </w:tcPr>
          <w:p w:rsidR="00232878" w:rsidRPr="003F15C0" w:rsidRDefault="00232878" w:rsidP="00232878">
            <w:pPr>
              <w:spacing w:before="20"/>
              <w:jc w:val="right"/>
              <w:rPr>
                <w:color w:val="000000"/>
                <w:sz w:val="16"/>
                <w:szCs w:val="16"/>
              </w:rPr>
            </w:pPr>
            <w:r w:rsidRPr="003F15C0">
              <w:rPr>
                <w:color w:val="000000"/>
                <w:sz w:val="16"/>
                <w:szCs w:val="16"/>
              </w:rPr>
              <w:t>0.90</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Casino </w:t>
            </w:r>
            <w:r w:rsidR="004E4C68" w:rsidRPr="003F15C0">
              <w:rPr>
                <w:b/>
                <w:sz w:val="16"/>
                <w:szCs w:val="16"/>
              </w:rPr>
              <w:t>table games or EGMs (</w:t>
            </w:r>
            <w:r w:rsidRPr="003F15C0">
              <w:rPr>
                <w:b/>
                <w:sz w:val="16"/>
                <w:szCs w:val="16"/>
              </w:rPr>
              <w:t>overseas</w:t>
            </w:r>
            <w:r w:rsidR="004E4C68" w:rsidRPr="003F15C0">
              <w:rPr>
                <w:b/>
                <w:sz w:val="16"/>
                <w:szCs w:val="16"/>
              </w:rPr>
              <w:t>)</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1.5</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7.2</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5.18</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1.75 - 15.34</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0.00</w:t>
            </w:r>
            <w:r w:rsidR="00660808">
              <w:rPr>
                <w:color w:val="000000"/>
                <w:sz w:val="16"/>
                <w:szCs w:val="16"/>
              </w:rPr>
              <w:t>3</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Casino </w:t>
            </w:r>
            <w:r w:rsidR="004E4C68" w:rsidRPr="003F15C0">
              <w:rPr>
                <w:b/>
                <w:sz w:val="16"/>
                <w:szCs w:val="16"/>
              </w:rPr>
              <w:t>table games or EGMs (</w:t>
            </w:r>
            <w:r w:rsidRPr="003F15C0">
              <w:rPr>
                <w:b/>
                <w:sz w:val="16"/>
                <w:szCs w:val="16"/>
              </w:rPr>
              <w:t>NZ</w:t>
            </w:r>
            <w:r w:rsidR="004E4C68" w:rsidRPr="003F15C0">
              <w:rPr>
                <w:b/>
                <w:sz w:val="16"/>
                <w:szCs w:val="16"/>
              </w:rPr>
              <w:t>)</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1.2</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6.3</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5.74</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2.82 - 11.67</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Casino table</w:t>
            </w:r>
            <w:r w:rsidR="004E4C68" w:rsidRPr="003F15C0">
              <w:rPr>
                <w:b/>
                <w:sz w:val="16"/>
                <w:szCs w:val="16"/>
              </w:rPr>
              <w:t xml:space="preserve"> games (NZ)</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1.5</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6.2</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4.31</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1.36 - 13.60</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Casino EGM</w:t>
            </w:r>
            <w:r w:rsidR="004E4C68" w:rsidRPr="003F15C0">
              <w:rPr>
                <w:b/>
                <w:sz w:val="16"/>
                <w:szCs w:val="16"/>
              </w:rPr>
              <w:t>s (NZ)</w:t>
            </w:r>
            <w:r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5.5</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4.41</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2.14 - 9.08</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 xml:space="preserve">Pub </w:t>
            </w:r>
            <w:r w:rsidR="00D8324A" w:rsidRPr="003F15C0">
              <w:rPr>
                <w:b/>
                <w:sz w:val="16"/>
                <w:szCs w:val="16"/>
              </w:rPr>
              <w:t>EGM</w:t>
            </w:r>
            <w:r w:rsidRPr="003F15C0">
              <w:rPr>
                <w:b/>
                <w:sz w:val="16"/>
                <w:szCs w:val="16"/>
              </w:rPr>
              <w:t>s</w:t>
            </w:r>
            <w:r w:rsidR="00D8324A" w:rsidRPr="003F15C0">
              <w:rPr>
                <w:b/>
                <w:sz w:val="16"/>
                <w:szCs w:val="16"/>
              </w:rPr>
              <w:t xml:space="preserve"> -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3.7</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2.64</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1.28 - 5.42</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0.01</w:t>
            </w: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 xml:space="preserve">Club </w:t>
            </w:r>
            <w:r w:rsidR="00D8324A" w:rsidRPr="003F15C0">
              <w:rPr>
                <w:b/>
                <w:sz w:val="16"/>
                <w:szCs w:val="16"/>
              </w:rPr>
              <w:t>EGM</w:t>
            </w:r>
            <w:r w:rsidRPr="003F15C0">
              <w:rPr>
                <w:b/>
                <w:sz w:val="16"/>
                <w:szCs w:val="16"/>
              </w:rPr>
              <w:t xml:space="preserve"> -</w:t>
            </w:r>
            <w:r w:rsidR="00D8324A"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7.7</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6.39</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3.00 - 13.60</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EGM</w:t>
            </w:r>
            <w:r w:rsidR="004E4C68" w:rsidRPr="003F15C0">
              <w:rPr>
                <w:b/>
                <w:sz w:val="16"/>
                <w:szCs w:val="16"/>
              </w:rPr>
              <w:t>s</w:t>
            </w:r>
            <w:r w:rsidRPr="003F15C0">
              <w:rPr>
                <w:b/>
                <w:sz w:val="16"/>
                <w:szCs w:val="16"/>
              </w:rPr>
              <w:t xml:space="preserve"> overall </w:t>
            </w:r>
            <w:r w:rsidR="004E4C68" w:rsidRPr="003F15C0">
              <w:rPr>
                <w:b/>
                <w:sz w:val="16"/>
                <w:szCs w:val="16"/>
              </w:rPr>
              <w:t>-</w:t>
            </w:r>
            <w:r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1.2</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3.5</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2.85</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1.46 - 5.57</w:t>
            </w:r>
            <w:r w:rsidRPr="003F15C0">
              <w:rPr>
                <w:color w:val="000000"/>
                <w:sz w:val="16"/>
                <w:szCs w:val="16"/>
              </w:rPr>
              <w:t>)</w:t>
            </w:r>
          </w:p>
        </w:tc>
        <w:tc>
          <w:tcPr>
            <w:tcW w:w="1020" w:type="dxa"/>
            <w:shd w:val="clear" w:color="auto" w:fill="D9D9D9" w:themeFill="background1" w:themeFillShade="D9"/>
            <w:vAlign w:val="center"/>
          </w:tcPr>
          <w:p w:rsidR="00236184" w:rsidRPr="003F15C0" w:rsidRDefault="00236184" w:rsidP="00232878">
            <w:pPr>
              <w:spacing w:before="20"/>
              <w:jc w:val="right"/>
              <w:rPr>
                <w:color w:val="000000"/>
                <w:sz w:val="16"/>
                <w:szCs w:val="16"/>
              </w:rPr>
            </w:pPr>
            <w:r w:rsidRPr="003F15C0">
              <w:rPr>
                <w:color w:val="000000"/>
                <w:sz w:val="16"/>
                <w:szCs w:val="16"/>
              </w:rPr>
              <w:t>0.00</w:t>
            </w:r>
            <w:r w:rsidR="00660808">
              <w:rPr>
                <w:color w:val="000000"/>
                <w:sz w:val="16"/>
                <w:szCs w:val="16"/>
              </w:rPr>
              <w:t>2</w:t>
            </w: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Short-</w:t>
            </w:r>
            <w:r w:rsidR="00D8324A" w:rsidRPr="003F15C0">
              <w:rPr>
                <w:b/>
                <w:sz w:val="16"/>
                <w:szCs w:val="16"/>
              </w:rPr>
              <w:t xml:space="preserve">term </w:t>
            </w:r>
            <w:r w:rsidRPr="003F15C0">
              <w:rPr>
                <w:b/>
                <w:sz w:val="16"/>
                <w:szCs w:val="16"/>
              </w:rPr>
              <w:t xml:space="preserve">speculative </w:t>
            </w:r>
            <w:r w:rsidR="00D8324A" w:rsidRPr="003F15C0">
              <w:rPr>
                <w:b/>
                <w:sz w:val="16"/>
                <w:szCs w:val="16"/>
              </w:rPr>
              <w:t>investment</w:t>
            </w:r>
            <w:r w:rsidRPr="003F15C0">
              <w:rPr>
                <w:b/>
                <w:sz w:val="16"/>
                <w:szCs w:val="16"/>
              </w:rPr>
              <w:t>s</w:t>
            </w:r>
            <w:r w:rsidR="00D8324A" w:rsidRPr="003F15C0">
              <w:rPr>
                <w:b/>
                <w:sz w:val="16"/>
                <w:szCs w:val="16"/>
              </w:rPr>
              <w:t xml:space="preserve"> </w:t>
            </w:r>
            <w:r w:rsidRPr="003F15C0">
              <w:rPr>
                <w:b/>
                <w:sz w:val="16"/>
                <w:szCs w:val="16"/>
              </w:rPr>
              <w:t>-</w:t>
            </w:r>
            <w:r w:rsidR="00D8324A"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1.8</w:t>
            </w:r>
          </w:p>
        </w:tc>
        <w:tc>
          <w:tcPr>
            <w:tcW w:w="1055" w:type="dxa"/>
            <w:vAlign w:val="center"/>
          </w:tcPr>
          <w:p w:rsidR="00D8324A" w:rsidRPr="003F15C0" w:rsidRDefault="009A02F6"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0.</w:t>
            </w:r>
            <w:r w:rsidR="00D8324A" w:rsidRPr="003F15C0">
              <w:rPr>
                <w:color w:val="000000"/>
                <w:sz w:val="16"/>
                <w:szCs w:val="16"/>
              </w:rPr>
              <w:t>0</w:t>
            </w:r>
          </w:p>
        </w:tc>
        <w:tc>
          <w:tcPr>
            <w:tcW w:w="1055" w:type="dxa"/>
            <w:vAlign w:val="center"/>
          </w:tcPr>
          <w:p w:rsidR="00D8324A" w:rsidRPr="003F15C0" w:rsidRDefault="009A02F6"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Overseas i</w:t>
            </w:r>
            <w:r w:rsidR="00D8324A" w:rsidRPr="003F15C0">
              <w:rPr>
                <w:b/>
                <w:sz w:val="16"/>
                <w:szCs w:val="16"/>
              </w:rPr>
              <w:t xml:space="preserve">nternet </w:t>
            </w:r>
            <w:r w:rsidRPr="003F15C0">
              <w:rPr>
                <w:b/>
                <w:sz w:val="16"/>
                <w:szCs w:val="16"/>
              </w:rPr>
              <w:t>gambling -</w:t>
            </w:r>
            <w:r w:rsidR="00D8324A" w:rsidRPr="003F15C0">
              <w:rPr>
                <w:b/>
                <w:sz w:val="16"/>
                <w:szCs w:val="16"/>
              </w:rPr>
              <w:t xml:space="preserve"> annual</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6.9</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4.26</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0.83 - 22.02</w:t>
            </w:r>
            <w:r w:rsidRPr="003F15C0">
              <w:rPr>
                <w:color w:val="000000"/>
                <w:sz w:val="16"/>
                <w:szCs w:val="16"/>
              </w:rPr>
              <w:t>)</w:t>
            </w:r>
          </w:p>
        </w:tc>
        <w:tc>
          <w:tcPr>
            <w:tcW w:w="1020" w:type="dxa"/>
            <w:vAlign w:val="center"/>
          </w:tcPr>
          <w:p w:rsidR="00236184" w:rsidRPr="003F15C0" w:rsidRDefault="00236184" w:rsidP="00232878">
            <w:pPr>
              <w:spacing w:before="20"/>
              <w:jc w:val="right"/>
              <w:rPr>
                <w:color w:val="000000"/>
                <w:sz w:val="16"/>
                <w:szCs w:val="16"/>
              </w:rPr>
            </w:pPr>
            <w:r w:rsidRPr="003F15C0">
              <w:rPr>
                <w:color w:val="000000"/>
                <w:sz w:val="16"/>
                <w:szCs w:val="16"/>
              </w:rPr>
              <w:t>0.08</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Card</w:t>
            </w:r>
            <w:r w:rsidR="004E4C68" w:rsidRPr="003F15C0">
              <w:rPr>
                <w:b/>
                <w:sz w:val="16"/>
                <w:szCs w:val="16"/>
              </w:rPr>
              <w:t xml:space="preserve"> game</w:t>
            </w:r>
            <w:r w:rsidRPr="003F15C0">
              <w:rPr>
                <w:b/>
                <w:sz w:val="16"/>
                <w:szCs w:val="16"/>
              </w:rPr>
              <w:t>s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4.6</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2.79</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0.73 - 10.63</w:t>
            </w:r>
            <w:r w:rsidRPr="003F15C0">
              <w:rPr>
                <w:color w:val="000000"/>
                <w:sz w:val="16"/>
                <w:szCs w:val="16"/>
              </w:rPr>
              <w:t>)</w:t>
            </w:r>
          </w:p>
        </w:tc>
        <w:tc>
          <w:tcPr>
            <w:tcW w:w="1020" w:type="dxa"/>
            <w:vAlign w:val="center"/>
          </w:tcPr>
          <w:p w:rsidR="00236184" w:rsidRPr="003F15C0" w:rsidRDefault="00236184" w:rsidP="00232878">
            <w:pPr>
              <w:spacing w:before="20"/>
              <w:jc w:val="right"/>
              <w:rPr>
                <w:color w:val="000000"/>
                <w:sz w:val="16"/>
                <w:szCs w:val="16"/>
              </w:rPr>
            </w:pPr>
            <w:r w:rsidRPr="003F15C0">
              <w:rPr>
                <w:color w:val="000000"/>
                <w:sz w:val="16"/>
                <w:szCs w:val="16"/>
              </w:rPr>
              <w:t>0.13</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Bet</w:t>
            </w:r>
            <w:r w:rsidR="004E4C68" w:rsidRPr="003F15C0">
              <w:rPr>
                <w:b/>
                <w:sz w:val="16"/>
                <w:szCs w:val="16"/>
              </w:rPr>
              <w:t>s</w:t>
            </w:r>
            <w:r w:rsidRPr="003F15C0">
              <w:rPr>
                <w:b/>
                <w:sz w:val="16"/>
                <w:szCs w:val="16"/>
              </w:rPr>
              <w:t xml:space="preserve"> with friends</w:t>
            </w:r>
            <w:r w:rsidR="004E4C68" w:rsidRPr="003F15C0">
              <w:rPr>
                <w:b/>
                <w:sz w:val="16"/>
                <w:szCs w:val="16"/>
              </w:rPr>
              <w:t>/workmates</w:t>
            </w:r>
            <w:r w:rsidRPr="003F15C0">
              <w:rPr>
                <w:b/>
                <w:sz w:val="16"/>
                <w:szCs w:val="16"/>
              </w:rPr>
              <w:t xml:space="preserve"> </w:t>
            </w:r>
            <w:r w:rsidR="004E4C68" w:rsidRPr="003F15C0">
              <w:rPr>
                <w:b/>
                <w:sz w:val="16"/>
                <w:szCs w:val="16"/>
              </w:rPr>
              <w:t>-</w:t>
            </w:r>
            <w:r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3.2</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1.88</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0.43 - 8.16</w:t>
            </w:r>
            <w:r w:rsidRPr="003F15C0">
              <w:rPr>
                <w:color w:val="000000"/>
                <w:sz w:val="16"/>
                <w:szCs w:val="16"/>
              </w:rPr>
              <w:t>)</w:t>
            </w:r>
          </w:p>
        </w:tc>
        <w:tc>
          <w:tcPr>
            <w:tcW w:w="1020" w:type="dxa"/>
            <w:vAlign w:val="center"/>
          </w:tcPr>
          <w:p w:rsidR="00236184" w:rsidRPr="003F15C0" w:rsidRDefault="00236184" w:rsidP="00232878">
            <w:pPr>
              <w:spacing w:before="20"/>
              <w:jc w:val="right"/>
              <w:rPr>
                <w:color w:val="000000"/>
                <w:sz w:val="16"/>
                <w:szCs w:val="16"/>
              </w:rPr>
            </w:pPr>
            <w:r w:rsidRPr="003F15C0">
              <w:rPr>
                <w:color w:val="000000"/>
                <w:sz w:val="16"/>
                <w:szCs w:val="16"/>
              </w:rPr>
              <w:t>0.40</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Text </w:t>
            </w:r>
            <w:r w:rsidR="004E4C68" w:rsidRPr="003F15C0">
              <w:rPr>
                <w:b/>
                <w:sz w:val="16"/>
                <w:szCs w:val="16"/>
              </w:rPr>
              <w:t xml:space="preserve">game or </w:t>
            </w:r>
            <w:r w:rsidRPr="003F15C0">
              <w:rPr>
                <w:b/>
                <w:sz w:val="16"/>
                <w:szCs w:val="16"/>
              </w:rPr>
              <w:t>competition</w:t>
            </w:r>
            <w:r w:rsidR="004E4C68" w:rsidRPr="003F15C0">
              <w:rPr>
                <w:b/>
                <w:sz w:val="16"/>
                <w:szCs w:val="16"/>
              </w:rPr>
              <w:t xml:space="preserve"> -</w:t>
            </w:r>
            <w:r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236184" w:rsidRPr="003F15C0" w:rsidTr="00F959A8">
        <w:tc>
          <w:tcPr>
            <w:tcW w:w="4305" w:type="dxa"/>
          </w:tcPr>
          <w:p w:rsidR="00236184" w:rsidRPr="003F15C0" w:rsidRDefault="00236184" w:rsidP="003B2B9F">
            <w:pPr>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spacing w:before="20"/>
              <w:jc w:val="right"/>
              <w:rPr>
                <w:color w:val="000000"/>
                <w:sz w:val="16"/>
                <w:szCs w:val="16"/>
              </w:rPr>
            </w:pPr>
            <w:r w:rsidRPr="003F15C0">
              <w:rPr>
                <w:color w:val="000000"/>
                <w:sz w:val="16"/>
                <w:szCs w:val="16"/>
              </w:rPr>
              <w:t>4.4</w:t>
            </w:r>
          </w:p>
        </w:tc>
        <w:tc>
          <w:tcPr>
            <w:tcW w:w="1055" w:type="dxa"/>
            <w:vAlign w:val="center"/>
          </w:tcPr>
          <w:p w:rsidR="00236184" w:rsidRPr="003F15C0" w:rsidRDefault="00236184" w:rsidP="00232878">
            <w:pPr>
              <w:spacing w:before="20"/>
              <w:jc w:val="right"/>
              <w:rPr>
                <w:color w:val="000000"/>
                <w:sz w:val="16"/>
                <w:szCs w:val="16"/>
              </w:rPr>
            </w:pPr>
            <w:r w:rsidRPr="003F15C0">
              <w:rPr>
                <w:color w:val="000000"/>
                <w:sz w:val="16"/>
                <w:szCs w:val="16"/>
              </w:rPr>
              <w:t>2.66</w:t>
            </w:r>
          </w:p>
        </w:tc>
        <w:tc>
          <w:tcPr>
            <w:tcW w:w="1275" w:type="dxa"/>
            <w:gridSpan w:val="2"/>
            <w:vAlign w:val="center"/>
          </w:tcPr>
          <w:p w:rsidR="00236184" w:rsidRPr="003F15C0" w:rsidRDefault="00CE5145" w:rsidP="00236184">
            <w:pPr>
              <w:spacing w:before="20"/>
              <w:jc w:val="right"/>
              <w:rPr>
                <w:color w:val="000000"/>
                <w:sz w:val="16"/>
                <w:szCs w:val="16"/>
              </w:rPr>
            </w:pPr>
            <w:r w:rsidRPr="003F15C0">
              <w:rPr>
                <w:color w:val="000000"/>
                <w:sz w:val="16"/>
                <w:szCs w:val="16"/>
              </w:rPr>
              <w:t>(</w:t>
            </w:r>
            <w:r w:rsidR="00236184" w:rsidRPr="003F15C0">
              <w:rPr>
                <w:color w:val="000000"/>
                <w:sz w:val="16"/>
                <w:szCs w:val="16"/>
              </w:rPr>
              <w:t>0.56 - 12.66</w:t>
            </w:r>
            <w:r w:rsidRPr="003F15C0">
              <w:rPr>
                <w:color w:val="000000"/>
                <w:sz w:val="16"/>
                <w:szCs w:val="16"/>
              </w:rPr>
              <w:t>)</w:t>
            </w:r>
          </w:p>
        </w:tc>
        <w:tc>
          <w:tcPr>
            <w:tcW w:w="1020" w:type="dxa"/>
            <w:vAlign w:val="center"/>
          </w:tcPr>
          <w:p w:rsidR="00236184" w:rsidRPr="003F15C0" w:rsidRDefault="00236184" w:rsidP="00232878">
            <w:pPr>
              <w:spacing w:before="20"/>
              <w:jc w:val="right"/>
              <w:rPr>
                <w:color w:val="000000"/>
                <w:sz w:val="16"/>
                <w:szCs w:val="16"/>
              </w:rPr>
            </w:pPr>
            <w:r w:rsidRPr="003F15C0">
              <w:rPr>
                <w:color w:val="000000"/>
                <w:sz w:val="16"/>
                <w:szCs w:val="16"/>
              </w:rPr>
              <w:t>0.22</w:t>
            </w:r>
          </w:p>
        </w:tc>
      </w:tr>
      <w:tr w:rsidR="00D8324A" w:rsidRPr="003F15C0" w:rsidTr="00F959A8">
        <w:tc>
          <w:tcPr>
            <w:tcW w:w="4305" w:type="dxa"/>
            <w:vAlign w:val="bottom"/>
          </w:tcPr>
          <w:p w:rsidR="00D8324A" w:rsidRPr="003F15C0" w:rsidRDefault="00D8324A" w:rsidP="003B2B9F">
            <w:pPr>
              <w:keepNext/>
              <w:spacing w:before="20"/>
              <w:jc w:val="both"/>
              <w:rPr>
                <w:b/>
                <w:sz w:val="16"/>
                <w:szCs w:val="16"/>
              </w:rPr>
            </w:pPr>
            <w:r w:rsidRPr="003F15C0">
              <w:rPr>
                <w:b/>
                <w:sz w:val="16"/>
                <w:szCs w:val="16"/>
              </w:rPr>
              <w:t xml:space="preserve">Raffle/lottery </w:t>
            </w:r>
            <w:r w:rsidR="004E4C68" w:rsidRPr="003F15C0">
              <w:rPr>
                <w:b/>
                <w:sz w:val="16"/>
                <w:szCs w:val="16"/>
              </w:rPr>
              <w:t xml:space="preserve">(NZ/overseas) </w:t>
            </w:r>
            <w:r w:rsidRPr="003F15C0">
              <w:rPr>
                <w:b/>
                <w:sz w:val="16"/>
                <w:szCs w:val="16"/>
              </w:rPr>
              <w:t>- monthly</w:t>
            </w:r>
          </w:p>
        </w:tc>
        <w:tc>
          <w:tcPr>
            <w:tcW w:w="844" w:type="dxa"/>
            <w:vAlign w:val="center"/>
          </w:tcPr>
          <w:p w:rsidR="00D8324A" w:rsidRPr="003F15C0" w:rsidRDefault="00D8324A" w:rsidP="00232878">
            <w:pPr>
              <w:keepNext/>
              <w:spacing w:before="20"/>
              <w:jc w:val="right"/>
              <w:rPr>
                <w:b/>
                <w:bCs/>
                <w:color w:val="000000"/>
                <w:sz w:val="16"/>
                <w:szCs w:val="16"/>
              </w:rPr>
            </w:pPr>
          </w:p>
        </w:tc>
        <w:tc>
          <w:tcPr>
            <w:tcW w:w="1055" w:type="dxa"/>
            <w:vAlign w:val="center"/>
          </w:tcPr>
          <w:p w:rsidR="00D8324A" w:rsidRPr="003F15C0" w:rsidRDefault="00D8324A" w:rsidP="00232878">
            <w:pPr>
              <w:keepNext/>
              <w:spacing w:before="20"/>
              <w:jc w:val="right"/>
              <w:rPr>
                <w:color w:val="000000"/>
                <w:sz w:val="16"/>
                <w:szCs w:val="16"/>
              </w:rPr>
            </w:pP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D8324A" w:rsidRPr="003F15C0" w:rsidTr="00F959A8">
        <w:tc>
          <w:tcPr>
            <w:tcW w:w="4305" w:type="dxa"/>
          </w:tcPr>
          <w:p w:rsidR="00D8324A" w:rsidRPr="003F15C0" w:rsidRDefault="00D8324A" w:rsidP="003B2B9F">
            <w:pPr>
              <w:keepNext/>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keepNext/>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236184" w:rsidRPr="003F15C0" w:rsidTr="00F959A8">
        <w:tc>
          <w:tcPr>
            <w:tcW w:w="4305" w:type="dxa"/>
          </w:tcPr>
          <w:p w:rsidR="00236184" w:rsidRPr="003F15C0" w:rsidRDefault="00236184" w:rsidP="003B2B9F">
            <w:pPr>
              <w:keepNext/>
              <w:spacing w:before="20"/>
              <w:ind w:left="176"/>
              <w:jc w:val="both"/>
              <w:rPr>
                <w:sz w:val="16"/>
                <w:szCs w:val="16"/>
              </w:rPr>
            </w:pPr>
            <w:r w:rsidRPr="003F15C0">
              <w:rPr>
                <w:sz w:val="16"/>
                <w:szCs w:val="16"/>
              </w:rPr>
              <w:t>Yes</w:t>
            </w:r>
          </w:p>
        </w:tc>
        <w:tc>
          <w:tcPr>
            <w:tcW w:w="844" w:type="dxa"/>
            <w:vAlign w:val="center"/>
          </w:tcPr>
          <w:p w:rsidR="00236184" w:rsidRPr="003F15C0" w:rsidRDefault="00236184" w:rsidP="00232878">
            <w:pPr>
              <w:keepNext/>
              <w:spacing w:before="20"/>
              <w:jc w:val="right"/>
              <w:rPr>
                <w:color w:val="000000"/>
                <w:sz w:val="16"/>
                <w:szCs w:val="16"/>
              </w:rPr>
            </w:pPr>
            <w:r w:rsidRPr="003F15C0">
              <w:rPr>
                <w:color w:val="000000"/>
                <w:sz w:val="16"/>
                <w:szCs w:val="16"/>
              </w:rPr>
              <w:t>2.1</w:t>
            </w:r>
          </w:p>
        </w:tc>
        <w:tc>
          <w:tcPr>
            <w:tcW w:w="1055" w:type="dxa"/>
            <w:vAlign w:val="center"/>
          </w:tcPr>
          <w:p w:rsidR="00236184" w:rsidRPr="003F15C0" w:rsidRDefault="00236184" w:rsidP="00232878">
            <w:pPr>
              <w:keepNext/>
              <w:spacing w:before="20"/>
              <w:jc w:val="right"/>
              <w:rPr>
                <w:color w:val="000000"/>
                <w:sz w:val="16"/>
                <w:szCs w:val="16"/>
              </w:rPr>
            </w:pPr>
            <w:r w:rsidRPr="003F15C0">
              <w:rPr>
                <w:color w:val="000000"/>
                <w:sz w:val="16"/>
                <w:szCs w:val="16"/>
              </w:rPr>
              <w:t>1.30</w:t>
            </w:r>
          </w:p>
        </w:tc>
        <w:tc>
          <w:tcPr>
            <w:tcW w:w="1275" w:type="dxa"/>
            <w:gridSpan w:val="2"/>
            <w:vAlign w:val="center"/>
          </w:tcPr>
          <w:p w:rsidR="00236184" w:rsidRPr="003F15C0" w:rsidRDefault="00CE5145" w:rsidP="00FB75D9">
            <w:pPr>
              <w:keepNext/>
              <w:spacing w:before="20"/>
              <w:jc w:val="right"/>
              <w:rPr>
                <w:color w:val="000000"/>
                <w:sz w:val="16"/>
                <w:szCs w:val="16"/>
              </w:rPr>
            </w:pPr>
            <w:r w:rsidRPr="003F15C0">
              <w:rPr>
                <w:color w:val="000000"/>
                <w:sz w:val="16"/>
                <w:szCs w:val="16"/>
              </w:rPr>
              <w:t>(</w:t>
            </w:r>
            <w:r w:rsidR="00236184" w:rsidRPr="003F15C0">
              <w:rPr>
                <w:color w:val="000000"/>
                <w:sz w:val="16"/>
                <w:szCs w:val="16"/>
              </w:rPr>
              <w:t>0.59</w:t>
            </w:r>
            <w:r w:rsidR="00FB75D9" w:rsidRPr="003F15C0">
              <w:rPr>
                <w:color w:val="000000"/>
                <w:sz w:val="16"/>
                <w:szCs w:val="16"/>
              </w:rPr>
              <w:t xml:space="preserve"> - </w:t>
            </w:r>
            <w:r w:rsidR="00236184" w:rsidRPr="003F15C0">
              <w:rPr>
                <w:color w:val="000000"/>
                <w:sz w:val="16"/>
                <w:szCs w:val="16"/>
              </w:rPr>
              <w:t>2.83</w:t>
            </w:r>
            <w:r w:rsidRPr="003F15C0">
              <w:rPr>
                <w:color w:val="000000"/>
                <w:sz w:val="16"/>
                <w:szCs w:val="16"/>
              </w:rPr>
              <w:t>)</w:t>
            </w:r>
          </w:p>
        </w:tc>
        <w:tc>
          <w:tcPr>
            <w:tcW w:w="1020" w:type="dxa"/>
            <w:vAlign w:val="center"/>
          </w:tcPr>
          <w:p w:rsidR="00236184" w:rsidRPr="003F15C0" w:rsidRDefault="00236184" w:rsidP="00232878">
            <w:pPr>
              <w:keepNext/>
              <w:spacing w:before="20"/>
              <w:jc w:val="right"/>
              <w:rPr>
                <w:color w:val="000000"/>
                <w:sz w:val="16"/>
                <w:szCs w:val="16"/>
              </w:rPr>
            </w:pPr>
            <w:r w:rsidRPr="003F15C0">
              <w:rPr>
                <w:color w:val="000000"/>
                <w:sz w:val="16"/>
                <w:szCs w:val="16"/>
              </w:rPr>
              <w:t>0.51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Lotto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1.48</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0.75 - 2.92</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0.26</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Keno - monthly</w:t>
            </w:r>
          </w:p>
        </w:tc>
        <w:tc>
          <w:tcPr>
            <w:tcW w:w="844" w:type="dxa"/>
            <w:vAlign w:val="center"/>
          </w:tcPr>
          <w:p w:rsidR="00D8324A" w:rsidRPr="003F15C0" w:rsidRDefault="00D8324A" w:rsidP="00232878">
            <w:pPr>
              <w:spacing w:before="20"/>
              <w:jc w:val="right"/>
              <w:rPr>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2.2</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1.28</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0.37 - 4.43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0.70</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Instant </w:t>
            </w:r>
            <w:r w:rsidR="004E4C68" w:rsidRPr="003F15C0">
              <w:rPr>
                <w:b/>
                <w:sz w:val="16"/>
                <w:szCs w:val="16"/>
              </w:rPr>
              <w:t xml:space="preserve">Kiwi/other scratch tickets </w:t>
            </w:r>
            <w:r w:rsidRPr="003F15C0">
              <w:rPr>
                <w:b/>
                <w:sz w:val="16"/>
                <w:szCs w:val="16"/>
              </w:rPr>
              <w:t>-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1.5</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Borders>
              <w:bottom w:val="single" w:sz="4" w:space="0" w:color="auto"/>
            </w:tcBorders>
          </w:tcPr>
          <w:p w:rsidR="00FB75D9" w:rsidRPr="003F15C0" w:rsidRDefault="00FB75D9" w:rsidP="003B2B9F">
            <w:pPr>
              <w:spacing w:before="20"/>
              <w:ind w:left="176"/>
              <w:jc w:val="both"/>
              <w:rPr>
                <w:sz w:val="16"/>
                <w:szCs w:val="16"/>
              </w:rPr>
            </w:pPr>
            <w:r w:rsidRPr="003F15C0">
              <w:rPr>
                <w:sz w:val="16"/>
                <w:szCs w:val="16"/>
              </w:rPr>
              <w:t>Yes</w:t>
            </w:r>
          </w:p>
        </w:tc>
        <w:tc>
          <w:tcPr>
            <w:tcW w:w="844" w:type="dxa"/>
            <w:tcBorders>
              <w:bottom w:val="single" w:sz="4" w:space="0" w:color="auto"/>
            </w:tcBorders>
            <w:vAlign w:val="center"/>
          </w:tcPr>
          <w:p w:rsidR="00FB75D9" w:rsidRPr="003F15C0" w:rsidRDefault="00FB75D9" w:rsidP="00232878">
            <w:pPr>
              <w:spacing w:before="20"/>
              <w:jc w:val="right"/>
              <w:rPr>
                <w:color w:val="000000"/>
                <w:sz w:val="16"/>
                <w:szCs w:val="16"/>
              </w:rPr>
            </w:pPr>
            <w:r w:rsidRPr="003F15C0">
              <w:rPr>
                <w:color w:val="000000"/>
                <w:sz w:val="16"/>
                <w:szCs w:val="16"/>
              </w:rPr>
              <w:t>3.0</w:t>
            </w:r>
          </w:p>
        </w:tc>
        <w:tc>
          <w:tcPr>
            <w:tcW w:w="1055" w:type="dxa"/>
            <w:tcBorders>
              <w:bottom w:val="single" w:sz="4" w:space="0" w:color="auto"/>
            </w:tcBorders>
            <w:vAlign w:val="center"/>
          </w:tcPr>
          <w:p w:rsidR="00FB75D9" w:rsidRPr="003F15C0" w:rsidRDefault="00FB75D9" w:rsidP="00232878">
            <w:pPr>
              <w:spacing w:before="20"/>
              <w:jc w:val="right"/>
              <w:rPr>
                <w:color w:val="000000"/>
                <w:sz w:val="16"/>
                <w:szCs w:val="16"/>
              </w:rPr>
            </w:pPr>
            <w:r w:rsidRPr="003F15C0">
              <w:rPr>
                <w:color w:val="000000"/>
                <w:sz w:val="16"/>
                <w:szCs w:val="16"/>
              </w:rPr>
              <w:t>2.08</w:t>
            </w:r>
          </w:p>
        </w:tc>
        <w:tc>
          <w:tcPr>
            <w:tcW w:w="1275" w:type="dxa"/>
            <w:gridSpan w:val="2"/>
            <w:tcBorders>
              <w:bottom w:val="single" w:sz="4" w:space="0" w:color="auto"/>
            </w:tcBorders>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1.01 - 4.31</w:t>
            </w:r>
            <w:r w:rsidRPr="003F15C0">
              <w:rPr>
                <w:color w:val="000000"/>
                <w:sz w:val="16"/>
                <w:szCs w:val="16"/>
              </w:rPr>
              <w:t>)</w:t>
            </w:r>
          </w:p>
        </w:tc>
        <w:tc>
          <w:tcPr>
            <w:tcW w:w="1020" w:type="dxa"/>
            <w:tcBorders>
              <w:bottom w:val="single" w:sz="4" w:space="0" w:color="auto"/>
            </w:tcBorders>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0.05</w:t>
            </w:r>
          </w:p>
        </w:tc>
      </w:tr>
      <w:tr w:rsidR="00D8324A" w:rsidRPr="003F15C0" w:rsidTr="00F959A8">
        <w:tc>
          <w:tcPr>
            <w:tcW w:w="4305" w:type="dxa"/>
            <w:tcBorders>
              <w:top w:val="single" w:sz="4" w:space="0" w:color="auto"/>
            </w:tcBorders>
            <w:vAlign w:val="bottom"/>
          </w:tcPr>
          <w:p w:rsidR="00D8324A" w:rsidRPr="003F15C0" w:rsidRDefault="00D8324A" w:rsidP="003F15C0">
            <w:pPr>
              <w:keepNext/>
              <w:spacing w:before="20"/>
              <w:jc w:val="both"/>
              <w:rPr>
                <w:b/>
                <w:sz w:val="16"/>
                <w:szCs w:val="16"/>
              </w:rPr>
            </w:pPr>
            <w:r w:rsidRPr="003F15C0">
              <w:rPr>
                <w:b/>
                <w:sz w:val="16"/>
                <w:szCs w:val="16"/>
              </w:rPr>
              <w:lastRenderedPageBreak/>
              <w:t>Housie</w:t>
            </w:r>
            <w:r w:rsidR="004E4C68" w:rsidRPr="003F15C0">
              <w:rPr>
                <w:b/>
                <w:sz w:val="16"/>
                <w:szCs w:val="16"/>
              </w:rPr>
              <w:t xml:space="preserve"> or bingo</w:t>
            </w:r>
            <w:r w:rsidRPr="003F15C0">
              <w:rPr>
                <w:b/>
                <w:sz w:val="16"/>
                <w:szCs w:val="16"/>
              </w:rPr>
              <w:t xml:space="preserve"> - monthly</w:t>
            </w:r>
          </w:p>
        </w:tc>
        <w:tc>
          <w:tcPr>
            <w:tcW w:w="844" w:type="dxa"/>
            <w:tcBorders>
              <w:top w:val="single" w:sz="4" w:space="0" w:color="auto"/>
            </w:tcBorders>
            <w:vAlign w:val="center"/>
          </w:tcPr>
          <w:p w:rsidR="00D8324A" w:rsidRPr="003F15C0" w:rsidRDefault="00D8324A" w:rsidP="003F15C0">
            <w:pPr>
              <w:keepNext/>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3F15C0">
            <w:pPr>
              <w:keepNext/>
              <w:spacing w:before="20"/>
              <w:jc w:val="right"/>
              <w:rPr>
                <w:color w:val="000000"/>
                <w:sz w:val="16"/>
                <w:szCs w:val="16"/>
              </w:rPr>
            </w:pPr>
          </w:p>
        </w:tc>
        <w:tc>
          <w:tcPr>
            <w:tcW w:w="992" w:type="dxa"/>
            <w:tcBorders>
              <w:top w:val="single" w:sz="4" w:space="0" w:color="auto"/>
            </w:tcBorders>
            <w:vAlign w:val="center"/>
          </w:tcPr>
          <w:p w:rsidR="00D8324A" w:rsidRPr="003F15C0" w:rsidRDefault="00D8324A" w:rsidP="003F15C0">
            <w:pPr>
              <w:keepNext/>
              <w:spacing w:before="20"/>
              <w:jc w:val="right"/>
              <w:rPr>
                <w:color w:val="000000"/>
                <w:sz w:val="16"/>
                <w:szCs w:val="16"/>
              </w:rPr>
            </w:pPr>
          </w:p>
        </w:tc>
        <w:tc>
          <w:tcPr>
            <w:tcW w:w="283" w:type="dxa"/>
            <w:tcBorders>
              <w:top w:val="single" w:sz="4" w:space="0" w:color="auto"/>
            </w:tcBorders>
            <w:vAlign w:val="center"/>
          </w:tcPr>
          <w:p w:rsidR="00D8324A" w:rsidRPr="003F15C0" w:rsidRDefault="00D8324A" w:rsidP="003F15C0">
            <w:pPr>
              <w:keepNext/>
              <w:spacing w:before="20"/>
              <w:jc w:val="right"/>
              <w:rPr>
                <w:color w:val="000000"/>
                <w:sz w:val="16"/>
                <w:szCs w:val="16"/>
              </w:rPr>
            </w:pPr>
          </w:p>
        </w:tc>
        <w:tc>
          <w:tcPr>
            <w:tcW w:w="1020" w:type="dxa"/>
            <w:tcBorders>
              <w:top w:val="single" w:sz="4" w:space="0" w:color="auto"/>
            </w:tcBorders>
            <w:vAlign w:val="center"/>
          </w:tcPr>
          <w:p w:rsidR="00D8324A" w:rsidRPr="003F15C0" w:rsidRDefault="00D8324A" w:rsidP="003F15C0">
            <w:pPr>
              <w:keepNext/>
              <w:spacing w:before="20"/>
              <w:jc w:val="right"/>
              <w:rPr>
                <w:color w:val="000000"/>
                <w:sz w:val="16"/>
                <w:szCs w:val="16"/>
              </w:rPr>
            </w:pPr>
          </w:p>
        </w:tc>
      </w:tr>
      <w:tr w:rsidR="00D8324A" w:rsidRPr="003F15C0" w:rsidTr="00F959A8">
        <w:tc>
          <w:tcPr>
            <w:tcW w:w="4305" w:type="dxa"/>
          </w:tcPr>
          <w:p w:rsidR="00D8324A" w:rsidRPr="003F15C0" w:rsidRDefault="00D8324A" w:rsidP="003F15C0">
            <w:pPr>
              <w:keepNext/>
              <w:spacing w:before="20"/>
              <w:ind w:left="176"/>
              <w:jc w:val="both"/>
              <w:rPr>
                <w:sz w:val="16"/>
                <w:szCs w:val="16"/>
              </w:rPr>
            </w:pPr>
            <w:r w:rsidRPr="003F15C0">
              <w:rPr>
                <w:sz w:val="16"/>
                <w:szCs w:val="16"/>
              </w:rPr>
              <w:t>No</w:t>
            </w:r>
          </w:p>
        </w:tc>
        <w:tc>
          <w:tcPr>
            <w:tcW w:w="844" w:type="dxa"/>
            <w:vAlign w:val="center"/>
          </w:tcPr>
          <w:p w:rsidR="00D8324A" w:rsidRPr="003F15C0" w:rsidRDefault="00D8324A" w:rsidP="003F15C0">
            <w:pPr>
              <w:keepNext/>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4E4C68" w:rsidP="003F15C0">
            <w:pPr>
              <w:keepNext/>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3F15C0">
            <w:pPr>
              <w:keepNext/>
              <w:spacing w:before="20"/>
              <w:jc w:val="right"/>
              <w:rPr>
                <w:color w:val="000000"/>
                <w:sz w:val="16"/>
                <w:szCs w:val="16"/>
              </w:rPr>
            </w:pPr>
          </w:p>
        </w:tc>
        <w:tc>
          <w:tcPr>
            <w:tcW w:w="283" w:type="dxa"/>
            <w:vAlign w:val="center"/>
          </w:tcPr>
          <w:p w:rsidR="00D8324A" w:rsidRPr="003F15C0" w:rsidRDefault="00D8324A" w:rsidP="003F15C0">
            <w:pPr>
              <w:keepNext/>
              <w:spacing w:before="20"/>
              <w:jc w:val="right"/>
              <w:rPr>
                <w:color w:val="000000"/>
                <w:sz w:val="16"/>
                <w:szCs w:val="16"/>
              </w:rPr>
            </w:pPr>
          </w:p>
        </w:tc>
        <w:tc>
          <w:tcPr>
            <w:tcW w:w="1020" w:type="dxa"/>
            <w:vAlign w:val="center"/>
          </w:tcPr>
          <w:p w:rsidR="00D8324A" w:rsidRPr="003F15C0" w:rsidRDefault="00D8324A" w:rsidP="003F15C0">
            <w:pPr>
              <w:keepNext/>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D8324A" w:rsidP="00232878">
            <w:pPr>
              <w:spacing w:before="20"/>
              <w:jc w:val="right"/>
              <w:rPr>
                <w:color w:val="000000"/>
                <w:sz w:val="16"/>
                <w:szCs w:val="16"/>
                <w:highlight w:val="yellow"/>
              </w:rPr>
            </w:pPr>
            <w:r w:rsidRPr="003F15C0">
              <w:rPr>
                <w:color w:val="000000"/>
                <w:sz w:val="16"/>
                <w:szCs w:val="16"/>
              </w:rPr>
              <w:t>0.0</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Horse/dog race betting</w:t>
            </w:r>
            <w:r w:rsidR="00D8324A"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1.8</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0.0</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Sports </w:t>
            </w:r>
            <w:r w:rsidR="004E4C68" w:rsidRPr="003F15C0">
              <w:rPr>
                <w:b/>
                <w:sz w:val="16"/>
                <w:szCs w:val="16"/>
              </w:rPr>
              <w:t>betting</w:t>
            </w:r>
            <w:r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2.0</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1.18</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0.16 - 8.99</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0.87</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Casino </w:t>
            </w:r>
            <w:r w:rsidR="004E4C68" w:rsidRPr="003F15C0">
              <w:rPr>
                <w:b/>
                <w:sz w:val="16"/>
                <w:szCs w:val="16"/>
              </w:rPr>
              <w:t>table games or EGMs (</w:t>
            </w:r>
            <w:r w:rsidRPr="003F15C0">
              <w:rPr>
                <w:b/>
                <w:sz w:val="16"/>
                <w:szCs w:val="16"/>
              </w:rPr>
              <w:t>overseas</w:t>
            </w:r>
            <w:r w:rsidR="004E4C68" w:rsidRPr="003F15C0">
              <w:rPr>
                <w:b/>
                <w:sz w:val="16"/>
                <w:szCs w:val="16"/>
              </w:rPr>
              <w:t>)</w:t>
            </w:r>
            <w:r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9A02F6" w:rsidP="00232878">
            <w:pPr>
              <w:spacing w:before="20"/>
              <w:jc w:val="right"/>
              <w:rPr>
                <w:color w:val="000000"/>
                <w:sz w:val="16"/>
                <w:szCs w:val="16"/>
                <w:highlight w:val="yellow"/>
              </w:rPr>
            </w:pPr>
            <w:r w:rsidRPr="003F15C0">
              <w:rPr>
                <w:color w:val="000000"/>
                <w:sz w:val="16"/>
                <w:szCs w:val="16"/>
              </w:rPr>
              <w:t>0.</w:t>
            </w:r>
            <w:r w:rsidR="00D8324A" w:rsidRPr="003F15C0">
              <w:rPr>
                <w:color w:val="000000"/>
                <w:sz w:val="16"/>
                <w:szCs w:val="16"/>
              </w:rPr>
              <w:t>0</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D8324A" w:rsidP="00F17A34">
            <w:pPr>
              <w:keepNext/>
              <w:spacing w:before="20"/>
              <w:jc w:val="both"/>
              <w:rPr>
                <w:b/>
                <w:sz w:val="16"/>
                <w:szCs w:val="16"/>
              </w:rPr>
            </w:pPr>
            <w:r w:rsidRPr="003F15C0">
              <w:rPr>
                <w:b/>
                <w:sz w:val="16"/>
                <w:szCs w:val="16"/>
              </w:rPr>
              <w:t xml:space="preserve">Casino </w:t>
            </w:r>
            <w:r w:rsidR="004E4C68" w:rsidRPr="003F15C0">
              <w:rPr>
                <w:b/>
                <w:sz w:val="16"/>
                <w:szCs w:val="16"/>
              </w:rPr>
              <w:t>table games or EGMs (</w:t>
            </w:r>
            <w:r w:rsidRPr="003F15C0">
              <w:rPr>
                <w:b/>
                <w:sz w:val="16"/>
                <w:szCs w:val="16"/>
              </w:rPr>
              <w:t>NZ</w:t>
            </w:r>
            <w:r w:rsidR="004E4C68" w:rsidRPr="003F15C0">
              <w:rPr>
                <w:b/>
                <w:sz w:val="16"/>
                <w:szCs w:val="16"/>
              </w:rPr>
              <w:t>)</w:t>
            </w:r>
            <w:r w:rsidRPr="003F15C0">
              <w:rPr>
                <w:b/>
                <w:sz w:val="16"/>
                <w:szCs w:val="16"/>
              </w:rPr>
              <w:t xml:space="preserve"> - monthly</w:t>
            </w:r>
          </w:p>
        </w:tc>
        <w:tc>
          <w:tcPr>
            <w:tcW w:w="844" w:type="dxa"/>
            <w:vAlign w:val="center"/>
          </w:tcPr>
          <w:p w:rsidR="00D8324A" w:rsidRPr="003F15C0" w:rsidRDefault="00D8324A" w:rsidP="00232878">
            <w:pPr>
              <w:keepNext/>
              <w:spacing w:before="20"/>
              <w:jc w:val="right"/>
              <w:rPr>
                <w:b/>
                <w:bCs/>
                <w:color w:val="000000"/>
                <w:sz w:val="16"/>
                <w:szCs w:val="16"/>
              </w:rPr>
            </w:pPr>
          </w:p>
        </w:tc>
        <w:tc>
          <w:tcPr>
            <w:tcW w:w="1055" w:type="dxa"/>
            <w:vAlign w:val="center"/>
          </w:tcPr>
          <w:p w:rsidR="00D8324A" w:rsidRPr="003F15C0" w:rsidRDefault="00D8324A" w:rsidP="00232878">
            <w:pPr>
              <w:keepNext/>
              <w:spacing w:before="20"/>
              <w:jc w:val="right"/>
              <w:rPr>
                <w:b/>
                <w:color w:val="000000"/>
                <w:sz w:val="16"/>
                <w:szCs w:val="16"/>
              </w:rPr>
            </w:pPr>
          </w:p>
        </w:tc>
        <w:tc>
          <w:tcPr>
            <w:tcW w:w="992" w:type="dxa"/>
            <w:vAlign w:val="center"/>
          </w:tcPr>
          <w:p w:rsidR="00D8324A" w:rsidRPr="003F15C0" w:rsidRDefault="00D8324A" w:rsidP="00232878">
            <w:pPr>
              <w:keepNext/>
              <w:spacing w:before="20"/>
              <w:jc w:val="right"/>
              <w:rPr>
                <w:b/>
                <w:color w:val="000000"/>
                <w:sz w:val="16"/>
                <w:szCs w:val="16"/>
              </w:rPr>
            </w:pPr>
          </w:p>
        </w:tc>
        <w:tc>
          <w:tcPr>
            <w:tcW w:w="283" w:type="dxa"/>
            <w:vAlign w:val="center"/>
          </w:tcPr>
          <w:p w:rsidR="00D8324A" w:rsidRPr="003F15C0" w:rsidRDefault="00D8324A" w:rsidP="00232878">
            <w:pPr>
              <w:keepNext/>
              <w:spacing w:before="20"/>
              <w:jc w:val="right"/>
              <w:rPr>
                <w:b/>
                <w:color w:val="000000"/>
                <w:sz w:val="16"/>
                <w:szCs w:val="16"/>
              </w:rPr>
            </w:pPr>
          </w:p>
        </w:tc>
        <w:tc>
          <w:tcPr>
            <w:tcW w:w="1020" w:type="dxa"/>
            <w:vAlign w:val="center"/>
          </w:tcPr>
          <w:p w:rsidR="00D8324A" w:rsidRPr="003F15C0" w:rsidRDefault="00D8324A" w:rsidP="00232878">
            <w:pPr>
              <w:keepNext/>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4.9</w:t>
            </w:r>
          </w:p>
        </w:tc>
        <w:tc>
          <w:tcPr>
            <w:tcW w:w="1055"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2.99</w:t>
            </w:r>
          </w:p>
        </w:tc>
        <w:tc>
          <w:tcPr>
            <w:tcW w:w="1275" w:type="dxa"/>
            <w:gridSpan w:val="2"/>
            <w:vAlign w:val="center"/>
          </w:tcPr>
          <w:p w:rsidR="00FB75D9" w:rsidRPr="003F15C0" w:rsidRDefault="00CE5145" w:rsidP="00FB75D9">
            <w:pPr>
              <w:keepNext/>
              <w:spacing w:before="20"/>
              <w:jc w:val="right"/>
              <w:rPr>
                <w:color w:val="000000"/>
                <w:sz w:val="16"/>
                <w:szCs w:val="16"/>
              </w:rPr>
            </w:pPr>
            <w:r w:rsidRPr="003F15C0">
              <w:rPr>
                <w:color w:val="000000"/>
                <w:sz w:val="16"/>
                <w:szCs w:val="16"/>
              </w:rPr>
              <w:t>(</w:t>
            </w:r>
            <w:r w:rsidR="00FB75D9" w:rsidRPr="003F15C0">
              <w:rPr>
                <w:color w:val="000000"/>
                <w:sz w:val="16"/>
                <w:szCs w:val="16"/>
              </w:rPr>
              <w:t>0.64 - 14.03</w:t>
            </w:r>
            <w:r w:rsidRPr="003F15C0">
              <w:rPr>
                <w:color w:val="000000"/>
                <w:sz w:val="16"/>
                <w:szCs w:val="16"/>
              </w:rPr>
              <w:t>)</w:t>
            </w:r>
          </w:p>
        </w:tc>
        <w:tc>
          <w:tcPr>
            <w:tcW w:w="1020"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0.16</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Casino table</w:t>
            </w:r>
            <w:r w:rsidR="004E4C68" w:rsidRPr="003F15C0">
              <w:rPr>
                <w:b/>
                <w:sz w:val="16"/>
                <w:szCs w:val="16"/>
              </w:rPr>
              <w:t xml:space="preserve"> games (NZ)</w:t>
            </w:r>
            <w:r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0.</w:t>
            </w:r>
            <w:r w:rsidR="00D8324A" w:rsidRPr="003F15C0">
              <w:rPr>
                <w:color w:val="000000"/>
                <w:sz w:val="16"/>
                <w:szCs w:val="16"/>
              </w:rPr>
              <w:t>0</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Casino EGM</w:t>
            </w:r>
            <w:r w:rsidR="004E4C68" w:rsidRPr="003F15C0">
              <w:rPr>
                <w:b/>
                <w:sz w:val="16"/>
                <w:szCs w:val="16"/>
              </w:rPr>
              <w:t>s (NZ)</w:t>
            </w:r>
            <w:r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15.9</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11.47</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2.41 - 54.50</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0.00</w:t>
            </w:r>
            <w:r w:rsidR="00660808">
              <w:rPr>
                <w:color w:val="000000"/>
                <w:sz w:val="16"/>
                <w:szCs w:val="16"/>
              </w:rPr>
              <w:t>2</w:t>
            </w: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 xml:space="preserve">Pub </w:t>
            </w:r>
            <w:r w:rsidR="00D8324A" w:rsidRPr="003F15C0">
              <w:rPr>
                <w:b/>
                <w:sz w:val="16"/>
                <w:szCs w:val="16"/>
              </w:rPr>
              <w:t>EGM</w:t>
            </w:r>
            <w:r w:rsidRPr="003F15C0">
              <w:rPr>
                <w:b/>
                <w:sz w:val="16"/>
                <w:szCs w:val="16"/>
              </w:rPr>
              <w:t>s</w:t>
            </w:r>
            <w:r w:rsidR="00D8324A" w:rsidRPr="003F15C0">
              <w:rPr>
                <w:b/>
                <w:sz w:val="16"/>
                <w:szCs w:val="16"/>
              </w:rPr>
              <w:t xml:space="preserve"> -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1.5</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8.5</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6.10</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2.46 - 15.16</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 xml:space="preserve">Club </w:t>
            </w:r>
            <w:r w:rsidR="00D8324A" w:rsidRPr="003F15C0">
              <w:rPr>
                <w:b/>
                <w:sz w:val="16"/>
                <w:szCs w:val="16"/>
              </w:rPr>
              <w:t>EGM</w:t>
            </w:r>
            <w:r w:rsidRPr="003F15C0">
              <w:rPr>
                <w:b/>
                <w:sz w:val="16"/>
                <w:szCs w:val="16"/>
              </w:rPr>
              <w:t>s -</w:t>
            </w:r>
            <w:r w:rsidR="00D8324A"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17.1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14.13</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5.13 - 38.88</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EGM</w:t>
            </w:r>
            <w:r w:rsidR="004E4C68" w:rsidRPr="003F15C0">
              <w:rPr>
                <w:b/>
                <w:sz w:val="16"/>
                <w:szCs w:val="16"/>
              </w:rPr>
              <w:t>s</w:t>
            </w:r>
            <w:r w:rsidRPr="003F15C0">
              <w:rPr>
                <w:b/>
                <w:sz w:val="16"/>
                <w:szCs w:val="16"/>
              </w:rPr>
              <w:t xml:space="preserve"> overall </w:t>
            </w:r>
            <w:r w:rsidR="004E4C68" w:rsidRPr="003F15C0">
              <w:rPr>
                <w:b/>
                <w:sz w:val="16"/>
                <w:szCs w:val="16"/>
              </w:rPr>
              <w:t>-</w:t>
            </w:r>
            <w:r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9.8</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8.15</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3.79 - 17.50</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Short</w:t>
            </w:r>
            <w:r w:rsidR="004E4C68" w:rsidRPr="003F15C0">
              <w:rPr>
                <w:b/>
                <w:sz w:val="16"/>
                <w:szCs w:val="16"/>
              </w:rPr>
              <w:t>-</w:t>
            </w:r>
            <w:r w:rsidRPr="003F15C0">
              <w:rPr>
                <w:b/>
                <w:sz w:val="16"/>
                <w:szCs w:val="16"/>
              </w:rPr>
              <w:t xml:space="preserve">term </w:t>
            </w:r>
            <w:r w:rsidR="004E4C68" w:rsidRPr="003F15C0">
              <w:rPr>
                <w:b/>
                <w:sz w:val="16"/>
                <w:szCs w:val="16"/>
              </w:rPr>
              <w:t xml:space="preserve">speculative </w:t>
            </w:r>
            <w:r w:rsidRPr="003F15C0">
              <w:rPr>
                <w:b/>
                <w:sz w:val="16"/>
                <w:szCs w:val="16"/>
              </w:rPr>
              <w:t>investment</w:t>
            </w:r>
            <w:r w:rsidR="004E4C68" w:rsidRPr="003F15C0">
              <w:rPr>
                <w:b/>
                <w:sz w:val="16"/>
                <w:szCs w:val="16"/>
              </w:rPr>
              <w:t>s</w:t>
            </w:r>
            <w:r w:rsidRPr="003F15C0">
              <w:rPr>
                <w:b/>
                <w:sz w:val="16"/>
                <w:szCs w:val="16"/>
              </w:rPr>
              <w:t xml:space="preserve"> </w:t>
            </w:r>
            <w:r w:rsidR="004E4C68" w:rsidRPr="003F15C0">
              <w:rPr>
                <w:b/>
                <w:sz w:val="16"/>
                <w:szCs w:val="16"/>
              </w:rPr>
              <w:t>-</w:t>
            </w:r>
            <w:r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Yes</w:t>
            </w:r>
          </w:p>
        </w:tc>
        <w:tc>
          <w:tcPr>
            <w:tcW w:w="844" w:type="dxa"/>
            <w:vAlign w:val="center"/>
          </w:tcPr>
          <w:p w:rsidR="00D8324A" w:rsidRPr="003F15C0" w:rsidRDefault="009A02F6" w:rsidP="00232878">
            <w:pPr>
              <w:spacing w:before="20"/>
              <w:jc w:val="right"/>
              <w:rPr>
                <w:color w:val="000000"/>
                <w:sz w:val="16"/>
                <w:szCs w:val="16"/>
              </w:rPr>
            </w:pPr>
            <w:r w:rsidRPr="003F15C0">
              <w:rPr>
                <w:color w:val="000000"/>
                <w:sz w:val="16"/>
                <w:szCs w:val="16"/>
              </w:rPr>
              <w:t>0.</w:t>
            </w:r>
            <w:r w:rsidR="00D8324A" w:rsidRPr="003F15C0">
              <w:rPr>
                <w:color w:val="000000"/>
                <w:sz w:val="16"/>
                <w:szCs w:val="16"/>
              </w:rPr>
              <w:t>0</w:t>
            </w:r>
          </w:p>
        </w:tc>
        <w:tc>
          <w:tcPr>
            <w:tcW w:w="1055" w:type="dxa"/>
            <w:vAlign w:val="center"/>
          </w:tcPr>
          <w:p w:rsidR="00D8324A" w:rsidRPr="003F15C0" w:rsidRDefault="004E4C68" w:rsidP="00232878">
            <w:pPr>
              <w:spacing w:before="20"/>
              <w:jc w:val="right"/>
              <w:rPr>
                <w:color w:val="000000"/>
                <w:sz w:val="16"/>
                <w:szCs w:val="16"/>
              </w:rPr>
            </w:pPr>
            <w:r w:rsidRPr="003F15C0">
              <w:rPr>
                <w:color w:val="000000"/>
                <w:sz w:val="16"/>
                <w:szCs w:val="16"/>
              </w:rPr>
              <w:t>-</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vAlign w:val="bottom"/>
          </w:tcPr>
          <w:p w:rsidR="00D8324A" w:rsidRPr="003F15C0" w:rsidRDefault="004E4C68" w:rsidP="00F17A34">
            <w:pPr>
              <w:spacing w:before="20"/>
              <w:jc w:val="both"/>
              <w:rPr>
                <w:b/>
                <w:sz w:val="16"/>
                <w:szCs w:val="16"/>
              </w:rPr>
            </w:pPr>
            <w:r w:rsidRPr="003F15C0">
              <w:rPr>
                <w:b/>
                <w:sz w:val="16"/>
                <w:szCs w:val="16"/>
              </w:rPr>
              <w:t>Overseas i</w:t>
            </w:r>
            <w:r w:rsidR="00D8324A" w:rsidRPr="003F15C0">
              <w:rPr>
                <w:b/>
                <w:sz w:val="16"/>
                <w:szCs w:val="16"/>
              </w:rPr>
              <w:t>nternet</w:t>
            </w:r>
            <w:r w:rsidRPr="003F15C0">
              <w:rPr>
                <w:b/>
                <w:sz w:val="16"/>
                <w:szCs w:val="16"/>
              </w:rPr>
              <w:t xml:space="preserve"> gambling</w:t>
            </w:r>
            <w:r w:rsidR="00D8324A" w:rsidRPr="003F15C0">
              <w:rPr>
                <w:b/>
                <w:sz w:val="16"/>
                <w:szCs w:val="16"/>
              </w:rPr>
              <w:t xml:space="preserve"> </w:t>
            </w:r>
            <w:r w:rsidRPr="003F15C0">
              <w:rPr>
                <w:b/>
                <w:sz w:val="16"/>
                <w:szCs w:val="16"/>
              </w:rPr>
              <w:t>-</w:t>
            </w:r>
            <w:r w:rsidR="00D8324A" w:rsidRPr="003F15C0">
              <w:rPr>
                <w:b/>
                <w:sz w:val="16"/>
                <w:szCs w:val="16"/>
              </w:rPr>
              <w:t xml:space="preserve"> monthly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10.8</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6.95</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0.75 - 64.48</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0.09</w:t>
            </w:r>
          </w:p>
        </w:tc>
      </w:tr>
      <w:tr w:rsidR="009673D8" w:rsidRPr="003F15C0" w:rsidTr="00F959A8">
        <w:tc>
          <w:tcPr>
            <w:tcW w:w="5149" w:type="dxa"/>
            <w:gridSpan w:val="2"/>
            <w:vAlign w:val="bottom"/>
          </w:tcPr>
          <w:p w:rsidR="009673D8" w:rsidRPr="003F15C0" w:rsidRDefault="009673D8" w:rsidP="00F17A34">
            <w:pPr>
              <w:spacing w:before="20"/>
              <w:rPr>
                <w:b/>
                <w:bCs/>
                <w:color w:val="000000"/>
                <w:sz w:val="16"/>
                <w:szCs w:val="16"/>
              </w:rPr>
            </w:pPr>
            <w:r w:rsidRPr="003F15C0">
              <w:rPr>
                <w:b/>
                <w:bCs/>
                <w:color w:val="000000"/>
                <w:sz w:val="16"/>
                <w:szCs w:val="16"/>
              </w:rPr>
              <w:t>Time spent playing EGMs in an average day (casino)</w:t>
            </w:r>
          </w:p>
        </w:tc>
        <w:tc>
          <w:tcPr>
            <w:tcW w:w="1055" w:type="dxa"/>
            <w:vAlign w:val="center"/>
          </w:tcPr>
          <w:p w:rsidR="009673D8" w:rsidRPr="003F15C0" w:rsidRDefault="009673D8" w:rsidP="00F17A34">
            <w:pPr>
              <w:spacing w:before="20"/>
              <w:jc w:val="center"/>
              <w:rPr>
                <w:b/>
                <w:color w:val="000000"/>
                <w:sz w:val="16"/>
                <w:szCs w:val="16"/>
              </w:rPr>
            </w:pPr>
          </w:p>
        </w:tc>
        <w:tc>
          <w:tcPr>
            <w:tcW w:w="992" w:type="dxa"/>
            <w:vAlign w:val="center"/>
          </w:tcPr>
          <w:p w:rsidR="009673D8" w:rsidRPr="003F15C0" w:rsidRDefault="009673D8" w:rsidP="00F17A34">
            <w:pPr>
              <w:spacing w:before="20"/>
              <w:jc w:val="center"/>
              <w:rPr>
                <w:b/>
                <w:color w:val="000000"/>
                <w:sz w:val="16"/>
                <w:szCs w:val="16"/>
                <w:highlight w:val="yellow"/>
              </w:rPr>
            </w:pPr>
          </w:p>
        </w:tc>
        <w:tc>
          <w:tcPr>
            <w:tcW w:w="283" w:type="dxa"/>
            <w:vAlign w:val="center"/>
          </w:tcPr>
          <w:p w:rsidR="009673D8" w:rsidRPr="003F15C0" w:rsidRDefault="009673D8" w:rsidP="00F17A34">
            <w:pPr>
              <w:spacing w:before="20"/>
              <w:jc w:val="center"/>
              <w:rPr>
                <w:b/>
                <w:color w:val="000000"/>
                <w:sz w:val="16"/>
                <w:szCs w:val="16"/>
                <w:highlight w:val="yellow"/>
              </w:rPr>
            </w:pPr>
          </w:p>
        </w:tc>
        <w:tc>
          <w:tcPr>
            <w:tcW w:w="1020" w:type="dxa"/>
            <w:vAlign w:val="center"/>
          </w:tcPr>
          <w:p w:rsidR="009673D8" w:rsidRPr="003F15C0" w:rsidRDefault="009673D8" w:rsidP="00F17A34">
            <w:pPr>
              <w:spacing w:before="20"/>
              <w:jc w:val="center"/>
              <w:rPr>
                <w:b/>
                <w:color w:val="000000"/>
                <w:sz w:val="16"/>
                <w:szCs w:val="16"/>
                <w:highlight w:val="yellow"/>
              </w:rPr>
            </w:pPr>
          </w:p>
        </w:tc>
      </w:tr>
      <w:tr w:rsidR="00D8324A" w:rsidRPr="003F15C0" w:rsidTr="00F959A8">
        <w:tc>
          <w:tcPr>
            <w:tcW w:w="4305" w:type="dxa"/>
          </w:tcPr>
          <w:p w:rsidR="00D8324A" w:rsidRPr="003F15C0" w:rsidRDefault="009673D8" w:rsidP="003B2B9F">
            <w:pPr>
              <w:spacing w:before="20"/>
              <w:ind w:left="176"/>
              <w:jc w:val="both"/>
              <w:rPr>
                <w:sz w:val="16"/>
                <w:szCs w:val="16"/>
              </w:rPr>
            </w:pPr>
            <w:r w:rsidRPr="003F15C0">
              <w:rPr>
                <w:sz w:val="16"/>
                <w:szCs w:val="16"/>
              </w:rPr>
              <w:t>No t</w:t>
            </w:r>
            <w:r w:rsidR="00D8324A" w:rsidRPr="003F15C0">
              <w:rPr>
                <w:sz w:val="16"/>
                <w:szCs w:val="16"/>
              </w:rPr>
              <w:t>ime</w:t>
            </w:r>
          </w:p>
        </w:tc>
        <w:tc>
          <w:tcPr>
            <w:tcW w:w="844" w:type="dxa"/>
          </w:tcPr>
          <w:p w:rsidR="00D8324A" w:rsidRPr="003F15C0" w:rsidRDefault="00D8324A" w:rsidP="00232878">
            <w:pPr>
              <w:adjustRightInd w:val="0"/>
              <w:spacing w:before="20"/>
              <w:jc w:val="right"/>
              <w:rPr>
                <w:color w:val="000000"/>
                <w:sz w:val="16"/>
                <w:szCs w:val="16"/>
              </w:rPr>
            </w:pPr>
            <w:r w:rsidRPr="003F15C0">
              <w:rPr>
                <w:color w:val="000000"/>
                <w:sz w:val="16"/>
                <w:szCs w:val="16"/>
              </w:rPr>
              <w:t>1.3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highlight w:val="yellow"/>
              </w:rPr>
            </w:pPr>
          </w:p>
        </w:tc>
        <w:tc>
          <w:tcPr>
            <w:tcW w:w="283" w:type="dxa"/>
            <w:vAlign w:val="center"/>
          </w:tcPr>
          <w:p w:rsidR="00D8324A" w:rsidRPr="003F15C0" w:rsidRDefault="00D8324A" w:rsidP="00232878">
            <w:pPr>
              <w:spacing w:before="20"/>
              <w:jc w:val="right"/>
              <w:rPr>
                <w:color w:val="000000"/>
                <w:sz w:val="16"/>
                <w:szCs w:val="16"/>
                <w:highlight w:val="yellow"/>
              </w:rPr>
            </w:pPr>
          </w:p>
        </w:tc>
        <w:tc>
          <w:tcPr>
            <w:tcW w:w="1020" w:type="dxa"/>
            <w:vAlign w:val="center"/>
          </w:tcPr>
          <w:p w:rsidR="00D8324A" w:rsidRPr="003F15C0" w:rsidRDefault="00D8324A"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Up to 15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2.2</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1.66</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0.22 - 12.65</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16 to 30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5.1</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4.03</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1.02 - 15.94</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31 to 60 minutes</w:t>
            </w:r>
          </w:p>
        </w:tc>
        <w:tc>
          <w:tcPr>
            <w:tcW w:w="844"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7.8</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6.33</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1.90 - 21.03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&gt;60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7.4</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6.00</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2.23 - 16.10</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highlight w:val="yellow"/>
              </w:rPr>
            </w:pPr>
            <w:r w:rsidRPr="003F15C0">
              <w:rPr>
                <w:color w:val="000000"/>
                <w:sz w:val="16"/>
                <w:szCs w:val="16"/>
              </w:rPr>
              <w:t>0.0003</w:t>
            </w:r>
          </w:p>
        </w:tc>
      </w:tr>
      <w:tr w:rsidR="009673D8" w:rsidRPr="003F15C0" w:rsidTr="00F959A8">
        <w:tc>
          <w:tcPr>
            <w:tcW w:w="4305" w:type="dxa"/>
            <w:vAlign w:val="bottom"/>
          </w:tcPr>
          <w:p w:rsidR="009673D8" w:rsidRPr="003F15C0" w:rsidRDefault="009673D8" w:rsidP="003B2B9F">
            <w:pPr>
              <w:keepNext/>
              <w:spacing w:before="20"/>
              <w:rPr>
                <w:b/>
                <w:bCs/>
                <w:color w:val="000000"/>
                <w:sz w:val="16"/>
                <w:szCs w:val="16"/>
              </w:rPr>
            </w:pPr>
            <w:r w:rsidRPr="003F15C0">
              <w:rPr>
                <w:b/>
                <w:bCs/>
                <w:color w:val="000000"/>
                <w:sz w:val="16"/>
                <w:szCs w:val="16"/>
              </w:rPr>
              <w:t>Time spent playing EGMs in an average day (pub)</w:t>
            </w:r>
          </w:p>
        </w:tc>
        <w:tc>
          <w:tcPr>
            <w:tcW w:w="844" w:type="dxa"/>
            <w:vAlign w:val="center"/>
          </w:tcPr>
          <w:p w:rsidR="009673D8" w:rsidRPr="003F15C0" w:rsidRDefault="009673D8" w:rsidP="00232878">
            <w:pPr>
              <w:keepNext/>
              <w:spacing w:before="20"/>
              <w:jc w:val="right"/>
              <w:rPr>
                <w:b/>
                <w:bCs/>
                <w:color w:val="000000"/>
                <w:sz w:val="16"/>
                <w:szCs w:val="16"/>
              </w:rPr>
            </w:pPr>
          </w:p>
        </w:tc>
        <w:tc>
          <w:tcPr>
            <w:tcW w:w="1055" w:type="dxa"/>
            <w:vAlign w:val="center"/>
          </w:tcPr>
          <w:p w:rsidR="009673D8" w:rsidRPr="003F15C0" w:rsidRDefault="009673D8" w:rsidP="00232878">
            <w:pPr>
              <w:keepNext/>
              <w:spacing w:before="20"/>
              <w:jc w:val="right"/>
              <w:rPr>
                <w:b/>
                <w:color w:val="000000"/>
                <w:sz w:val="16"/>
                <w:szCs w:val="16"/>
              </w:rPr>
            </w:pPr>
          </w:p>
        </w:tc>
        <w:tc>
          <w:tcPr>
            <w:tcW w:w="992" w:type="dxa"/>
            <w:vAlign w:val="center"/>
          </w:tcPr>
          <w:p w:rsidR="009673D8" w:rsidRPr="003F15C0" w:rsidRDefault="009673D8" w:rsidP="00232878">
            <w:pPr>
              <w:keepNext/>
              <w:spacing w:before="20"/>
              <w:jc w:val="right"/>
              <w:rPr>
                <w:b/>
                <w:color w:val="000000"/>
                <w:sz w:val="16"/>
                <w:szCs w:val="16"/>
                <w:highlight w:val="yellow"/>
              </w:rPr>
            </w:pPr>
          </w:p>
        </w:tc>
        <w:tc>
          <w:tcPr>
            <w:tcW w:w="283" w:type="dxa"/>
            <w:vAlign w:val="center"/>
          </w:tcPr>
          <w:p w:rsidR="009673D8" w:rsidRPr="003F15C0" w:rsidRDefault="009673D8" w:rsidP="00232878">
            <w:pPr>
              <w:keepNext/>
              <w:spacing w:before="20"/>
              <w:jc w:val="right"/>
              <w:rPr>
                <w:b/>
                <w:color w:val="000000"/>
                <w:sz w:val="16"/>
                <w:szCs w:val="16"/>
                <w:highlight w:val="yellow"/>
              </w:rPr>
            </w:pPr>
          </w:p>
        </w:tc>
        <w:tc>
          <w:tcPr>
            <w:tcW w:w="1020" w:type="dxa"/>
            <w:vAlign w:val="center"/>
          </w:tcPr>
          <w:p w:rsidR="009673D8" w:rsidRPr="003F15C0" w:rsidRDefault="009673D8" w:rsidP="00232878">
            <w:pPr>
              <w:keepNext/>
              <w:spacing w:before="20"/>
              <w:jc w:val="right"/>
              <w:rPr>
                <w:b/>
                <w:color w:val="000000"/>
                <w:sz w:val="16"/>
                <w:szCs w:val="16"/>
                <w:highlight w:val="yellow"/>
              </w:rPr>
            </w:pPr>
          </w:p>
        </w:tc>
      </w:tr>
      <w:tr w:rsidR="009673D8" w:rsidRPr="003F15C0" w:rsidTr="00F959A8">
        <w:tc>
          <w:tcPr>
            <w:tcW w:w="4305" w:type="dxa"/>
          </w:tcPr>
          <w:p w:rsidR="009673D8" w:rsidRPr="003F15C0" w:rsidRDefault="009673D8" w:rsidP="003B2B9F">
            <w:pPr>
              <w:keepNext/>
              <w:spacing w:before="20"/>
              <w:ind w:left="176"/>
              <w:jc w:val="both"/>
              <w:rPr>
                <w:sz w:val="16"/>
                <w:szCs w:val="16"/>
              </w:rPr>
            </w:pPr>
            <w:r w:rsidRPr="003F15C0">
              <w:rPr>
                <w:sz w:val="16"/>
                <w:szCs w:val="16"/>
              </w:rPr>
              <w:t>No time</w:t>
            </w:r>
          </w:p>
        </w:tc>
        <w:tc>
          <w:tcPr>
            <w:tcW w:w="844" w:type="dxa"/>
          </w:tcPr>
          <w:p w:rsidR="009673D8" w:rsidRPr="003F15C0" w:rsidRDefault="009673D8" w:rsidP="00232878">
            <w:pPr>
              <w:keepNext/>
              <w:adjustRightInd w:val="0"/>
              <w:spacing w:before="20"/>
              <w:jc w:val="right"/>
              <w:rPr>
                <w:color w:val="000000"/>
                <w:sz w:val="16"/>
                <w:szCs w:val="16"/>
              </w:rPr>
            </w:pPr>
            <w:r w:rsidRPr="003F15C0">
              <w:rPr>
                <w:color w:val="000000"/>
                <w:sz w:val="16"/>
                <w:szCs w:val="16"/>
              </w:rPr>
              <w:t>1.4</w:t>
            </w:r>
          </w:p>
        </w:tc>
        <w:tc>
          <w:tcPr>
            <w:tcW w:w="1055" w:type="dxa"/>
            <w:vAlign w:val="center"/>
          </w:tcPr>
          <w:p w:rsidR="009673D8" w:rsidRPr="003F15C0" w:rsidRDefault="009673D8" w:rsidP="00232878">
            <w:pPr>
              <w:keepNext/>
              <w:spacing w:before="20"/>
              <w:jc w:val="right"/>
              <w:rPr>
                <w:color w:val="000000"/>
                <w:sz w:val="16"/>
                <w:szCs w:val="16"/>
              </w:rPr>
            </w:pPr>
            <w:r w:rsidRPr="003F15C0">
              <w:rPr>
                <w:color w:val="000000"/>
                <w:sz w:val="16"/>
                <w:szCs w:val="16"/>
              </w:rPr>
              <w:t>1.00</w:t>
            </w:r>
          </w:p>
        </w:tc>
        <w:tc>
          <w:tcPr>
            <w:tcW w:w="992" w:type="dxa"/>
            <w:vAlign w:val="center"/>
          </w:tcPr>
          <w:p w:rsidR="009673D8" w:rsidRPr="003F15C0" w:rsidRDefault="009673D8" w:rsidP="00232878">
            <w:pPr>
              <w:keepNext/>
              <w:spacing w:before="20"/>
              <w:jc w:val="right"/>
              <w:rPr>
                <w:color w:val="000000"/>
                <w:sz w:val="16"/>
                <w:szCs w:val="16"/>
                <w:highlight w:val="yellow"/>
              </w:rPr>
            </w:pPr>
          </w:p>
        </w:tc>
        <w:tc>
          <w:tcPr>
            <w:tcW w:w="283" w:type="dxa"/>
            <w:vAlign w:val="center"/>
          </w:tcPr>
          <w:p w:rsidR="009673D8" w:rsidRPr="003F15C0" w:rsidRDefault="009673D8" w:rsidP="00232878">
            <w:pPr>
              <w:keepNext/>
              <w:spacing w:before="20"/>
              <w:jc w:val="right"/>
              <w:rPr>
                <w:color w:val="000000"/>
                <w:sz w:val="16"/>
                <w:szCs w:val="16"/>
                <w:highlight w:val="yellow"/>
              </w:rPr>
            </w:pPr>
          </w:p>
        </w:tc>
        <w:tc>
          <w:tcPr>
            <w:tcW w:w="1020" w:type="dxa"/>
            <w:vAlign w:val="center"/>
          </w:tcPr>
          <w:p w:rsidR="009673D8" w:rsidRPr="003F15C0" w:rsidRDefault="009673D8" w:rsidP="00232878">
            <w:pPr>
              <w:keepNext/>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keepNext/>
              <w:spacing w:before="20"/>
              <w:ind w:left="176"/>
              <w:jc w:val="both"/>
              <w:rPr>
                <w:sz w:val="16"/>
                <w:szCs w:val="16"/>
              </w:rPr>
            </w:pPr>
            <w:r w:rsidRPr="003F15C0">
              <w:rPr>
                <w:sz w:val="16"/>
                <w:szCs w:val="16"/>
              </w:rPr>
              <w:t>Up to 15 minutes</w:t>
            </w:r>
          </w:p>
        </w:tc>
        <w:tc>
          <w:tcPr>
            <w:tcW w:w="844"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1.0</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0.70</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0.09 - 5.27</w:t>
            </w:r>
            <w:r w:rsidRPr="003F15C0">
              <w:rPr>
                <w:color w:val="000000"/>
                <w:sz w:val="16"/>
                <w:szCs w:val="16"/>
              </w:rPr>
              <w:t>)</w:t>
            </w:r>
          </w:p>
        </w:tc>
        <w:tc>
          <w:tcPr>
            <w:tcW w:w="1020" w:type="dxa"/>
            <w:vAlign w:val="center"/>
          </w:tcPr>
          <w:p w:rsidR="00FB75D9" w:rsidRPr="003F15C0" w:rsidRDefault="00FB75D9" w:rsidP="00232878">
            <w:pPr>
              <w:keepNext/>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16 to 30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1.6</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1.15</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0.28 - 4.70</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31 to 60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11.3</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8.89</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3.39 - 23.31</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&gt;60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5.9</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4.39</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1.34 - 14.41</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highlight w:val="yellow"/>
              </w:rPr>
            </w:pPr>
            <w:r w:rsidRPr="003F15C0">
              <w:rPr>
                <w:color w:val="000000"/>
                <w:sz w:val="16"/>
                <w:szCs w:val="16"/>
              </w:rPr>
              <w:t>&lt;0.0001</w:t>
            </w:r>
          </w:p>
        </w:tc>
      </w:tr>
      <w:tr w:rsidR="00D8324A" w:rsidRPr="003F15C0" w:rsidTr="00F959A8">
        <w:tc>
          <w:tcPr>
            <w:tcW w:w="4305" w:type="dxa"/>
            <w:vAlign w:val="bottom"/>
          </w:tcPr>
          <w:p w:rsidR="00D8324A" w:rsidRPr="003F15C0" w:rsidRDefault="00F17A34" w:rsidP="00F17A34">
            <w:pPr>
              <w:spacing w:before="20"/>
              <w:jc w:val="both"/>
              <w:rPr>
                <w:b/>
                <w:sz w:val="16"/>
                <w:szCs w:val="16"/>
              </w:rPr>
            </w:pPr>
            <w:r w:rsidRPr="003F15C0">
              <w:rPr>
                <w:b/>
                <w:bCs/>
                <w:color w:val="000000"/>
                <w:sz w:val="16"/>
                <w:szCs w:val="16"/>
              </w:rPr>
              <w:t>Time spent playing EGMs in an average day (club)</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highlight w:val="yellow"/>
              </w:rPr>
            </w:pPr>
          </w:p>
        </w:tc>
        <w:tc>
          <w:tcPr>
            <w:tcW w:w="283" w:type="dxa"/>
            <w:vAlign w:val="center"/>
          </w:tcPr>
          <w:p w:rsidR="00D8324A" w:rsidRPr="003F15C0" w:rsidRDefault="00D8324A" w:rsidP="00232878">
            <w:pPr>
              <w:spacing w:before="20"/>
              <w:jc w:val="right"/>
              <w:rPr>
                <w:b/>
                <w:color w:val="000000"/>
                <w:sz w:val="16"/>
                <w:szCs w:val="16"/>
                <w:highlight w:val="yellow"/>
              </w:rPr>
            </w:pPr>
          </w:p>
        </w:tc>
        <w:tc>
          <w:tcPr>
            <w:tcW w:w="1020" w:type="dxa"/>
            <w:vAlign w:val="center"/>
          </w:tcPr>
          <w:p w:rsidR="00D8324A" w:rsidRPr="003F15C0" w:rsidRDefault="00D8324A" w:rsidP="00232878">
            <w:pPr>
              <w:spacing w:before="20"/>
              <w:jc w:val="right"/>
              <w:rPr>
                <w:b/>
                <w:color w:val="000000"/>
                <w:sz w:val="16"/>
                <w:szCs w:val="16"/>
                <w:highlight w:val="yellow"/>
              </w:rPr>
            </w:pPr>
          </w:p>
        </w:tc>
      </w:tr>
      <w:tr w:rsidR="00F17A34" w:rsidRPr="003F15C0" w:rsidTr="00F959A8">
        <w:tc>
          <w:tcPr>
            <w:tcW w:w="4305" w:type="dxa"/>
          </w:tcPr>
          <w:p w:rsidR="00F17A34" w:rsidRPr="003F15C0" w:rsidRDefault="00F17A34" w:rsidP="003B2B9F">
            <w:pPr>
              <w:spacing w:before="20"/>
              <w:ind w:left="176"/>
              <w:jc w:val="both"/>
              <w:rPr>
                <w:sz w:val="16"/>
                <w:szCs w:val="16"/>
              </w:rPr>
            </w:pPr>
            <w:r w:rsidRPr="003F15C0">
              <w:rPr>
                <w:sz w:val="16"/>
                <w:szCs w:val="16"/>
              </w:rPr>
              <w:t>No time</w:t>
            </w:r>
          </w:p>
        </w:tc>
        <w:tc>
          <w:tcPr>
            <w:tcW w:w="844" w:type="dxa"/>
          </w:tcPr>
          <w:p w:rsidR="00F17A34" w:rsidRPr="003F15C0" w:rsidRDefault="009A02F6" w:rsidP="00232878">
            <w:pPr>
              <w:adjustRightInd w:val="0"/>
              <w:spacing w:before="20"/>
              <w:jc w:val="right"/>
              <w:rPr>
                <w:color w:val="000000"/>
                <w:sz w:val="16"/>
                <w:szCs w:val="16"/>
              </w:rPr>
            </w:pPr>
            <w:r w:rsidRPr="003F15C0">
              <w:rPr>
                <w:color w:val="000000"/>
                <w:sz w:val="16"/>
                <w:szCs w:val="16"/>
              </w:rPr>
              <w:t>1.3</w:t>
            </w:r>
          </w:p>
        </w:tc>
        <w:tc>
          <w:tcPr>
            <w:tcW w:w="1055" w:type="dxa"/>
            <w:vAlign w:val="center"/>
          </w:tcPr>
          <w:p w:rsidR="00F17A34" w:rsidRPr="003F15C0" w:rsidRDefault="00F17A34" w:rsidP="00232878">
            <w:pPr>
              <w:spacing w:before="20"/>
              <w:jc w:val="right"/>
              <w:rPr>
                <w:color w:val="000000"/>
                <w:sz w:val="16"/>
                <w:szCs w:val="16"/>
              </w:rPr>
            </w:pPr>
            <w:r w:rsidRPr="003F15C0">
              <w:rPr>
                <w:color w:val="000000"/>
                <w:sz w:val="16"/>
                <w:szCs w:val="16"/>
              </w:rPr>
              <w:t>1.00</w:t>
            </w:r>
          </w:p>
        </w:tc>
        <w:tc>
          <w:tcPr>
            <w:tcW w:w="992" w:type="dxa"/>
            <w:vAlign w:val="center"/>
          </w:tcPr>
          <w:p w:rsidR="00F17A34" w:rsidRPr="003F15C0" w:rsidRDefault="00F17A34" w:rsidP="00232878">
            <w:pPr>
              <w:spacing w:before="20"/>
              <w:jc w:val="right"/>
              <w:rPr>
                <w:color w:val="000000"/>
                <w:sz w:val="16"/>
                <w:szCs w:val="16"/>
                <w:highlight w:val="yellow"/>
              </w:rPr>
            </w:pPr>
          </w:p>
        </w:tc>
        <w:tc>
          <w:tcPr>
            <w:tcW w:w="283" w:type="dxa"/>
            <w:vAlign w:val="center"/>
          </w:tcPr>
          <w:p w:rsidR="00F17A34" w:rsidRPr="003F15C0" w:rsidRDefault="00F17A34" w:rsidP="00232878">
            <w:pPr>
              <w:spacing w:before="20"/>
              <w:jc w:val="right"/>
              <w:rPr>
                <w:color w:val="000000"/>
                <w:sz w:val="16"/>
                <w:szCs w:val="16"/>
                <w:highlight w:val="yellow"/>
              </w:rPr>
            </w:pPr>
          </w:p>
        </w:tc>
        <w:tc>
          <w:tcPr>
            <w:tcW w:w="1020" w:type="dxa"/>
            <w:vAlign w:val="center"/>
          </w:tcPr>
          <w:p w:rsidR="00F17A34" w:rsidRPr="003F15C0" w:rsidRDefault="00F17A34"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Up to 15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2.8</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2.25</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0.29 - 17.13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16 to 30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10.2</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8.75</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3.10 - 24.73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31 to 60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10.3</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8.77</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2.80 - 27.46</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&gt;60 minutes</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3.7</w:t>
            </w:r>
          </w:p>
        </w:tc>
        <w:tc>
          <w:tcPr>
            <w:tcW w:w="1055" w:type="dxa"/>
          </w:tcPr>
          <w:p w:rsidR="00FB75D9" w:rsidRPr="003F15C0" w:rsidRDefault="00FB75D9" w:rsidP="00232878">
            <w:pPr>
              <w:adjustRightInd w:val="0"/>
              <w:spacing w:before="20"/>
              <w:jc w:val="right"/>
              <w:rPr>
                <w:color w:val="000000"/>
                <w:sz w:val="16"/>
                <w:szCs w:val="16"/>
              </w:rPr>
            </w:pPr>
            <w:r w:rsidRPr="003F15C0">
              <w:rPr>
                <w:color w:val="000000"/>
                <w:sz w:val="16"/>
                <w:szCs w:val="16"/>
              </w:rPr>
              <w:t>2.91</w:t>
            </w:r>
          </w:p>
        </w:tc>
        <w:tc>
          <w:tcPr>
            <w:tcW w:w="1275" w:type="dxa"/>
            <w:gridSpan w:val="2"/>
          </w:tcPr>
          <w:p w:rsidR="00FB75D9" w:rsidRPr="003F15C0" w:rsidRDefault="00CE5145" w:rsidP="00FB75D9">
            <w:pPr>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0.37 - 23.08</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highlight w:val="yellow"/>
              </w:rPr>
            </w:pPr>
            <w:r w:rsidRPr="003F15C0">
              <w:rPr>
                <w:color w:val="000000"/>
                <w:sz w:val="16"/>
                <w:szCs w:val="16"/>
              </w:rPr>
              <w:t>&lt;0.0001</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bCs/>
                <w:color w:val="000000"/>
                <w:sz w:val="16"/>
                <w:szCs w:val="16"/>
              </w:rPr>
              <w:t>Who spent time with on most enjoyed activity</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highlight w:val="yellow"/>
              </w:rPr>
            </w:pPr>
          </w:p>
        </w:tc>
        <w:tc>
          <w:tcPr>
            <w:tcW w:w="283" w:type="dxa"/>
            <w:vAlign w:val="center"/>
          </w:tcPr>
          <w:p w:rsidR="00D8324A" w:rsidRPr="003F15C0" w:rsidRDefault="00D8324A" w:rsidP="00232878">
            <w:pPr>
              <w:spacing w:before="20"/>
              <w:jc w:val="right"/>
              <w:rPr>
                <w:b/>
                <w:color w:val="000000"/>
                <w:sz w:val="16"/>
                <w:szCs w:val="16"/>
                <w:highlight w:val="yellow"/>
              </w:rPr>
            </w:pPr>
          </w:p>
        </w:tc>
        <w:tc>
          <w:tcPr>
            <w:tcW w:w="1020" w:type="dxa"/>
            <w:vAlign w:val="center"/>
          </w:tcPr>
          <w:p w:rsidR="00D8324A" w:rsidRPr="003F15C0" w:rsidRDefault="00D8324A" w:rsidP="00232878">
            <w:pPr>
              <w:spacing w:before="20"/>
              <w:jc w:val="right"/>
              <w:rPr>
                <w:b/>
                <w:color w:val="000000"/>
                <w:sz w:val="16"/>
                <w:szCs w:val="16"/>
                <w:highlight w:val="yellow"/>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Alone</w:t>
            </w:r>
          </w:p>
        </w:tc>
        <w:tc>
          <w:tcPr>
            <w:tcW w:w="844" w:type="dxa"/>
          </w:tcPr>
          <w:p w:rsidR="00D8324A" w:rsidRPr="003F15C0" w:rsidRDefault="00D8324A" w:rsidP="00232878">
            <w:pPr>
              <w:adjustRightInd w:val="0"/>
              <w:spacing w:before="20"/>
              <w:jc w:val="right"/>
              <w:rPr>
                <w:color w:val="000000"/>
                <w:sz w:val="16"/>
                <w:szCs w:val="16"/>
              </w:rPr>
            </w:pPr>
            <w:r w:rsidRPr="003F15C0">
              <w:rPr>
                <w:color w:val="000000"/>
                <w:sz w:val="16"/>
                <w:szCs w:val="16"/>
              </w:rPr>
              <w:t>3.1</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highlight w:val="yellow"/>
              </w:rPr>
            </w:pPr>
          </w:p>
        </w:tc>
        <w:tc>
          <w:tcPr>
            <w:tcW w:w="283" w:type="dxa"/>
            <w:vAlign w:val="center"/>
          </w:tcPr>
          <w:p w:rsidR="00D8324A" w:rsidRPr="003F15C0" w:rsidRDefault="00D8324A" w:rsidP="00232878">
            <w:pPr>
              <w:spacing w:before="20"/>
              <w:jc w:val="right"/>
              <w:rPr>
                <w:color w:val="000000"/>
                <w:sz w:val="16"/>
                <w:szCs w:val="16"/>
                <w:highlight w:val="yellow"/>
              </w:rPr>
            </w:pPr>
          </w:p>
        </w:tc>
        <w:tc>
          <w:tcPr>
            <w:tcW w:w="1020" w:type="dxa"/>
            <w:vAlign w:val="center"/>
          </w:tcPr>
          <w:p w:rsidR="00D8324A" w:rsidRPr="003F15C0" w:rsidRDefault="00D8324A"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With one person</w:t>
            </w:r>
          </w:p>
        </w:tc>
        <w:tc>
          <w:tcPr>
            <w:tcW w:w="844"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0.9</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0.27</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0.09 - 0.85</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With several people/a group</w:t>
            </w:r>
          </w:p>
        </w:tc>
        <w:tc>
          <w:tcPr>
            <w:tcW w:w="844" w:type="dxa"/>
          </w:tcPr>
          <w:p w:rsidR="00FB75D9" w:rsidRPr="003F15C0" w:rsidRDefault="00FB75D9" w:rsidP="00232878">
            <w:pPr>
              <w:adjustRightInd w:val="0"/>
              <w:spacing w:before="20"/>
              <w:jc w:val="right"/>
              <w:rPr>
                <w:color w:val="000000"/>
                <w:sz w:val="16"/>
                <w:szCs w:val="16"/>
              </w:rPr>
            </w:pPr>
            <w:r w:rsidRPr="003F15C0">
              <w:rPr>
                <w:color w:val="000000"/>
                <w:sz w:val="16"/>
                <w:szCs w:val="16"/>
              </w:rPr>
              <w:t>1.00</w:t>
            </w:r>
          </w:p>
        </w:tc>
        <w:tc>
          <w:tcPr>
            <w:tcW w:w="1055" w:type="dxa"/>
          </w:tcPr>
          <w:p w:rsidR="00FB75D9" w:rsidRPr="003F15C0" w:rsidRDefault="00FB75D9" w:rsidP="00232878">
            <w:pPr>
              <w:keepNext/>
              <w:adjustRightInd w:val="0"/>
              <w:spacing w:before="20"/>
              <w:jc w:val="right"/>
              <w:rPr>
                <w:color w:val="000000"/>
                <w:sz w:val="16"/>
                <w:szCs w:val="16"/>
              </w:rPr>
            </w:pPr>
            <w:r w:rsidRPr="003F15C0">
              <w:rPr>
                <w:color w:val="000000"/>
                <w:sz w:val="16"/>
                <w:szCs w:val="16"/>
              </w:rPr>
              <w:t>0.31</w:t>
            </w:r>
          </w:p>
        </w:tc>
        <w:tc>
          <w:tcPr>
            <w:tcW w:w="1275" w:type="dxa"/>
            <w:gridSpan w:val="2"/>
          </w:tcPr>
          <w:p w:rsidR="00FB75D9" w:rsidRPr="003F15C0" w:rsidRDefault="00CE5145" w:rsidP="00FB75D9">
            <w:pPr>
              <w:keepNext/>
              <w:adjustRightInd w:val="0"/>
              <w:spacing w:before="20"/>
              <w:jc w:val="right"/>
              <w:rPr>
                <w:color w:val="000000"/>
                <w:sz w:val="16"/>
                <w:szCs w:val="16"/>
              </w:rPr>
            </w:pPr>
            <w:r w:rsidRPr="003F15C0">
              <w:rPr>
                <w:color w:val="000000"/>
                <w:sz w:val="16"/>
                <w:szCs w:val="16"/>
              </w:rPr>
              <w:t>(</w:t>
            </w:r>
            <w:r w:rsidR="00FB75D9" w:rsidRPr="003F15C0">
              <w:rPr>
                <w:color w:val="000000"/>
                <w:sz w:val="16"/>
                <w:szCs w:val="16"/>
              </w:rPr>
              <w:t>0.13 - 0.73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highlight w:val="yellow"/>
              </w:rPr>
            </w:pPr>
          </w:p>
        </w:tc>
      </w:tr>
      <w:tr w:rsidR="00FB75D9" w:rsidRPr="003F15C0" w:rsidTr="00F959A8">
        <w:tc>
          <w:tcPr>
            <w:tcW w:w="4305" w:type="dxa"/>
            <w:tcBorders>
              <w:bottom w:val="single" w:sz="4" w:space="0" w:color="auto"/>
            </w:tcBorders>
            <w:vAlign w:val="bottom"/>
          </w:tcPr>
          <w:p w:rsidR="00FB75D9" w:rsidRPr="003F15C0" w:rsidRDefault="00FB75D9" w:rsidP="003B2B9F">
            <w:pPr>
              <w:spacing w:before="20"/>
              <w:ind w:left="176"/>
              <w:jc w:val="both"/>
              <w:rPr>
                <w:sz w:val="16"/>
                <w:szCs w:val="16"/>
              </w:rPr>
            </w:pPr>
            <w:r w:rsidRPr="003F15C0">
              <w:rPr>
                <w:sz w:val="16"/>
                <w:szCs w:val="16"/>
              </w:rPr>
              <w:t>Not reported</w:t>
            </w:r>
          </w:p>
        </w:tc>
        <w:tc>
          <w:tcPr>
            <w:tcW w:w="844" w:type="dxa"/>
            <w:tcBorders>
              <w:bottom w:val="single" w:sz="4" w:space="0" w:color="auto"/>
            </w:tcBorders>
            <w:vAlign w:val="center"/>
          </w:tcPr>
          <w:p w:rsidR="00FB75D9" w:rsidRPr="003F15C0" w:rsidRDefault="00FB75D9" w:rsidP="00232878">
            <w:pPr>
              <w:spacing w:before="20"/>
              <w:jc w:val="right"/>
              <w:rPr>
                <w:bCs/>
                <w:color w:val="000000"/>
                <w:sz w:val="16"/>
                <w:szCs w:val="16"/>
              </w:rPr>
            </w:pPr>
            <w:r w:rsidRPr="003F15C0">
              <w:rPr>
                <w:bCs/>
                <w:color w:val="000000"/>
                <w:sz w:val="16"/>
                <w:szCs w:val="16"/>
              </w:rPr>
              <w:t>0.7</w:t>
            </w:r>
          </w:p>
        </w:tc>
        <w:tc>
          <w:tcPr>
            <w:tcW w:w="1055" w:type="dxa"/>
            <w:tcBorders>
              <w:bottom w:val="single" w:sz="4" w:space="0" w:color="auto"/>
            </w:tcBorders>
            <w:vAlign w:val="center"/>
          </w:tcPr>
          <w:p w:rsidR="00FB75D9" w:rsidRPr="003F15C0" w:rsidRDefault="00FB75D9" w:rsidP="00232878">
            <w:pPr>
              <w:spacing w:before="20"/>
              <w:jc w:val="right"/>
              <w:rPr>
                <w:color w:val="000000"/>
                <w:sz w:val="16"/>
                <w:szCs w:val="16"/>
              </w:rPr>
            </w:pPr>
            <w:r w:rsidRPr="003F15C0">
              <w:rPr>
                <w:color w:val="000000"/>
                <w:sz w:val="16"/>
                <w:szCs w:val="16"/>
              </w:rPr>
              <w:t>0.22</w:t>
            </w:r>
          </w:p>
        </w:tc>
        <w:tc>
          <w:tcPr>
            <w:tcW w:w="1275" w:type="dxa"/>
            <w:gridSpan w:val="2"/>
            <w:tcBorders>
              <w:bottom w:val="single" w:sz="4" w:space="0" w:color="auto"/>
            </w:tcBorders>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0.07 - 0.73</w:t>
            </w:r>
            <w:r w:rsidRPr="003F15C0">
              <w:rPr>
                <w:color w:val="000000"/>
                <w:sz w:val="16"/>
                <w:szCs w:val="16"/>
              </w:rPr>
              <w:t>)</w:t>
            </w:r>
          </w:p>
        </w:tc>
        <w:tc>
          <w:tcPr>
            <w:tcW w:w="1020" w:type="dxa"/>
            <w:tcBorders>
              <w:bottom w:val="single" w:sz="4" w:space="0" w:color="auto"/>
            </w:tcBorders>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0.003</w:t>
            </w:r>
          </w:p>
        </w:tc>
      </w:tr>
      <w:tr w:rsidR="00D8324A" w:rsidRPr="003F15C0" w:rsidTr="00F959A8">
        <w:tc>
          <w:tcPr>
            <w:tcW w:w="4305" w:type="dxa"/>
            <w:tcBorders>
              <w:top w:val="single" w:sz="4" w:space="0" w:color="auto"/>
            </w:tcBorders>
            <w:vAlign w:val="bottom"/>
          </w:tcPr>
          <w:p w:rsidR="00D8324A" w:rsidRPr="003F15C0" w:rsidRDefault="00D8324A" w:rsidP="003F15C0">
            <w:pPr>
              <w:keepNext/>
              <w:spacing w:before="20"/>
              <w:jc w:val="both"/>
              <w:rPr>
                <w:b/>
                <w:sz w:val="16"/>
                <w:szCs w:val="16"/>
              </w:rPr>
            </w:pPr>
            <w:r w:rsidRPr="003F15C0">
              <w:rPr>
                <w:b/>
                <w:bCs/>
                <w:color w:val="000000"/>
                <w:sz w:val="16"/>
                <w:szCs w:val="16"/>
              </w:rPr>
              <w:lastRenderedPageBreak/>
              <w:t>Know people with gambling problems</w:t>
            </w:r>
          </w:p>
        </w:tc>
        <w:tc>
          <w:tcPr>
            <w:tcW w:w="844" w:type="dxa"/>
            <w:tcBorders>
              <w:top w:val="single" w:sz="4" w:space="0" w:color="auto"/>
            </w:tcBorders>
            <w:vAlign w:val="center"/>
          </w:tcPr>
          <w:p w:rsidR="00D8324A" w:rsidRPr="003F15C0" w:rsidRDefault="00D8324A" w:rsidP="003F15C0">
            <w:pPr>
              <w:keepNext/>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992"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283"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1020"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r>
      <w:tr w:rsidR="00D8324A" w:rsidRPr="003F15C0" w:rsidTr="00F959A8">
        <w:tc>
          <w:tcPr>
            <w:tcW w:w="4305" w:type="dxa"/>
          </w:tcPr>
          <w:p w:rsidR="00D8324A" w:rsidRPr="003F15C0" w:rsidRDefault="00D8324A" w:rsidP="003F15C0">
            <w:pPr>
              <w:keepNext/>
              <w:spacing w:before="20"/>
              <w:ind w:left="176"/>
              <w:jc w:val="both"/>
              <w:rPr>
                <w:sz w:val="16"/>
                <w:szCs w:val="16"/>
              </w:rPr>
            </w:pPr>
            <w:r w:rsidRPr="003F15C0">
              <w:rPr>
                <w:sz w:val="16"/>
                <w:szCs w:val="16"/>
              </w:rPr>
              <w:t>No</w:t>
            </w:r>
          </w:p>
        </w:tc>
        <w:tc>
          <w:tcPr>
            <w:tcW w:w="844" w:type="dxa"/>
            <w:vAlign w:val="center"/>
          </w:tcPr>
          <w:p w:rsidR="00D8324A" w:rsidRPr="003F15C0" w:rsidRDefault="00A50DB2" w:rsidP="003F15C0">
            <w:pPr>
              <w:keepNext/>
              <w:spacing w:before="20"/>
              <w:jc w:val="right"/>
              <w:rPr>
                <w:color w:val="000000"/>
                <w:sz w:val="16"/>
                <w:szCs w:val="16"/>
              </w:rPr>
            </w:pPr>
            <w:r w:rsidRPr="003F15C0">
              <w:rPr>
                <w:color w:val="000000"/>
                <w:sz w:val="16"/>
                <w:szCs w:val="16"/>
              </w:rPr>
              <w:t>1.</w:t>
            </w:r>
            <w:r w:rsidR="00D8324A" w:rsidRPr="003F15C0">
              <w:rPr>
                <w:color w:val="000000"/>
                <w:sz w:val="16"/>
                <w:szCs w:val="16"/>
              </w:rPr>
              <w:t>5</w:t>
            </w:r>
          </w:p>
        </w:tc>
        <w:tc>
          <w:tcPr>
            <w:tcW w:w="1055" w:type="dxa"/>
            <w:vAlign w:val="center"/>
          </w:tcPr>
          <w:p w:rsidR="00D8324A" w:rsidRPr="003F15C0" w:rsidRDefault="00D8324A" w:rsidP="003F15C0">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3F15C0">
            <w:pPr>
              <w:keepNext/>
              <w:spacing w:before="20"/>
              <w:jc w:val="right"/>
              <w:rPr>
                <w:color w:val="000000"/>
                <w:sz w:val="16"/>
                <w:szCs w:val="16"/>
              </w:rPr>
            </w:pPr>
          </w:p>
        </w:tc>
        <w:tc>
          <w:tcPr>
            <w:tcW w:w="283" w:type="dxa"/>
            <w:vAlign w:val="center"/>
          </w:tcPr>
          <w:p w:rsidR="00D8324A" w:rsidRPr="003F15C0" w:rsidRDefault="00D8324A" w:rsidP="003F15C0">
            <w:pPr>
              <w:keepNext/>
              <w:spacing w:before="20"/>
              <w:jc w:val="right"/>
              <w:rPr>
                <w:color w:val="000000"/>
                <w:sz w:val="16"/>
                <w:szCs w:val="16"/>
              </w:rPr>
            </w:pPr>
          </w:p>
        </w:tc>
        <w:tc>
          <w:tcPr>
            <w:tcW w:w="1020" w:type="dxa"/>
            <w:vAlign w:val="center"/>
          </w:tcPr>
          <w:p w:rsidR="00D8324A" w:rsidRPr="003F15C0" w:rsidRDefault="00D8324A" w:rsidP="003F15C0">
            <w:pPr>
              <w:keepNext/>
              <w:spacing w:before="20"/>
              <w:jc w:val="right"/>
              <w:rPr>
                <w:color w:val="000000"/>
                <w:sz w:val="16"/>
                <w:szCs w:val="16"/>
              </w:rPr>
            </w:pPr>
          </w:p>
        </w:tc>
      </w:tr>
      <w:tr w:rsidR="00FB75D9" w:rsidRPr="003F15C0" w:rsidTr="00F959A8">
        <w:tc>
          <w:tcPr>
            <w:tcW w:w="4305" w:type="dxa"/>
          </w:tcPr>
          <w:p w:rsidR="00FB75D9" w:rsidRPr="003F15C0" w:rsidRDefault="00FB75D9" w:rsidP="003F15C0">
            <w:pPr>
              <w:keepNext/>
              <w:spacing w:before="20"/>
              <w:ind w:left="176"/>
              <w:jc w:val="both"/>
              <w:rPr>
                <w:sz w:val="16"/>
                <w:szCs w:val="16"/>
              </w:rPr>
            </w:pPr>
            <w:r w:rsidRPr="003F15C0">
              <w:rPr>
                <w:sz w:val="16"/>
                <w:szCs w:val="16"/>
              </w:rPr>
              <w:t>Yes</w:t>
            </w:r>
          </w:p>
        </w:tc>
        <w:tc>
          <w:tcPr>
            <w:tcW w:w="844" w:type="dxa"/>
            <w:vAlign w:val="center"/>
          </w:tcPr>
          <w:p w:rsidR="00FB75D9" w:rsidRPr="003F15C0" w:rsidRDefault="00FB75D9" w:rsidP="003F15C0">
            <w:pPr>
              <w:keepNext/>
              <w:spacing w:before="20"/>
              <w:jc w:val="right"/>
              <w:rPr>
                <w:color w:val="000000"/>
                <w:sz w:val="16"/>
                <w:szCs w:val="16"/>
              </w:rPr>
            </w:pPr>
            <w:r w:rsidRPr="003F15C0">
              <w:rPr>
                <w:color w:val="000000"/>
                <w:sz w:val="16"/>
                <w:szCs w:val="16"/>
              </w:rPr>
              <w:t>2.2</w:t>
            </w:r>
          </w:p>
        </w:tc>
        <w:tc>
          <w:tcPr>
            <w:tcW w:w="1055" w:type="dxa"/>
            <w:vAlign w:val="center"/>
          </w:tcPr>
          <w:p w:rsidR="00FB75D9" w:rsidRPr="003F15C0" w:rsidRDefault="00FB75D9" w:rsidP="003F15C0">
            <w:pPr>
              <w:keepNext/>
              <w:spacing w:before="20"/>
              <w:jc w:val="right"/>
              <w:rPr>
                <w:color w:val="000000"/>
                <w:sz w:val="16"/>
                <w:szCs w:val="16"/>
              </w:rPr>
            </w:pPr>
            <w:r w:rsidRPr="003F15C0">
              <w:rPr>
                <w:color w:val="000000"/>
                <w:sz w:val="16"/>
                <w:szCs w:val="16"/>
              </w:rPr>
              <w:t>1.53</w:t>
            </w:r>
          </w:p>
        </w:tc>
        <w:tc>
          <w:tcPr>
            <w:tcW w:w="1275" w:type="dxa"/>
            <w:gridSpan w:val="2"/>
            <w:vAlign w:val="center"/>
          </w:tcPr>
          <w:p w:rsidR="00FB75D9" w:rsidRPr="003F15C0" w:rsidRDefault="00CE5145" w:rsidP="003F15C0">
            <w:pPr>
              <w:keepNext/>
              <w:spacing w:before="20"/>
              <w:jc w:val="right"/>
              <w:rPr>
                <w:color w:val="000000"/>
                <w:sz w:val="16"/>
                <w:szCs w:val="16"/>
              </w:rPr>
            </w:pPr>
            <w:r w:rsidRPr="003F15C0">
              <w:rPr>
                <w:color w:val="000000"/>
                <w:sz w:val="16"/>
                <w:szCs w:val="16"/>
              </w:rPr>
              <w:t>(</w:t>
            </w:r>
            <w:r w:rsidR="00FB75D9" w:rsidRPr="003F15C0">
              <w:rPr>
                <w:color w:val="000000"/>
                <w:sz w:val="16"/>
                <w:szCs w:val="16"/>
              </w:rPr>
              <w:t>0.79 - 2.99</w:t>
            </w:r>
            <w:r w:rsidRPr="003F15C0">
              <w:rPr>
                <w:color w:val="000000"/>
                <w:sz w:val="16"/>
                <w:szCs w:val="16"/>
              </w:rPr>
              <w:t>)</w:t>
            </w:r>
          </w:p>
        </w:tc>
        <w:tc>
          <w:tcPr>
            <w:tcW w:w="1020" w:type="dxa"/>
            <w:vAlign w:val="center"/>
          </w:tcPr>
          <w:p w:rsidR="00FB75D9" w:rsidRPr="003F15C0" w:rsidRDefault="00FB75D9" w:rsidP="003F15C0">
            <w:pPr>
              <w:keepNext/>
              <w:spacing w:before="20"/>
              <w:jc w:val="right"/>
              <w:rPr>
                <w:color w:val="000000"/>
                <w:sz w:val="16"/>
                <w:szCs w:val="16"/>
              </w:rPr>
            </w:pPr>
            <w:r w:rsidRPr="003F15C0">
              <w:rPr>
                <w:color w:val="000000"/>
                <w:sz w:val="16"/>
                <w:szCs w:val="16"/>
              </w:rPr>
              <w:t>0.21</w:t>
            </w:r>
          </w:p>
        </w:tc>
      </w:tr>
      <w:tr w:rsidR="00F17A34" w:rsidRPr="003F15C0" w:rsidTr="00F959A8">
        <w:tc>
          <w:tcPr>
            <w:tcW w:w="5149" w:type="dxa"/>
            <w:gridSpan w:val="2"/>
            <w:vAlign w:val="bottom"/>
          </w:tcPr>
          <w:p w:rsidR="00F17A34" w:rsidRPr="003F15C0" w:rsidRDefault="00F17A34" w:rsidP="00F17A34">
            <w:pPr>
              <w:spacing w:before="20"/>
              <w:rPr>
                <w:b/>
                <w:bCs/>
                <w:color w:val="000000"/>
                <w:sz w:val="16"/>
                <w:szCs w:val="16"/>
              </w:rPr>
            </w:pPr>
            <w:r w:rsidRPr="003F15C0">
              <w:rPr>
                <w:b/>
                <w:bCs/>
                <w:color w:val="000000"/>
                <w:sz w:val="16"/>
                <w:szCs w:val="16"/>
              </w:rPr>
              <w:t>Methods - Setting a dollar figure before leaving home</w:t>
            </w:r>
          </w:p>
        </w:tc>
        <w:tc>
          <w:tcPr>
            <w:tcW w:w="1055" w:type="dxa"/>
            <w:vAlign w:val="center"/>
          </w:tcPr>
          <w:p w:rsidR="00F17A34" w:rsidRPr="003F15C0" w:rsidRDefault="00F17A34" w:rsidP="00F17A34">
            <w:pPr>
              <w:spacing w:before="20"/>
              <w:jc w:val="center"/>
              <w:rPr>
                <w:color w:val="000000"/>
                <w:sz w:val="16"/>
                <w:szCs w:val="16"/>
              </w:rPr>
            </w:pPr>
          </w:p>
        </w:tc>
        <w:tc>
          <w:tcPr>
            <w:tcW w:w="992" w:type="dxa"/>
            <w:vAlign w:val="center"/>
          </w:tcPr>
          <w:p w:rsidR="00F17A34" w:rsidRPr="003F15C0" w:rsidRDefault="00F17A34" w:rsidP="00F17A34">
            <w:pPr>
              <w:spacing w:before="20"/>
              <w:jc w:val="center"/>
              <w:rPr>
                <w:color w:val="000000"/>
                <w:sz w:val="16"/>
                <w:szCs w:val="16"/>
              </w:rPr>
            </w:pPr>
          </w:p>
        </w:tc>
        <w:tc>
          <w:tcPr>
            <w:tcW w:w="283" w:type="dxa"/>
            <w:vAlign w:val="center"/>
          </w:tcPr>
          <w:p w:rsidR="00F17A34" w:rsidRPr="003F15C0" w:rsidRDefault="00F17A34" w:rsidP="00F17A34">
            <w:pPr>
              <w:spacing w:before="20"/>
              <w:jc w:val="center"/>
              <w:rPr>
                <w:color w:val="000000"/>
                <w:sz w:val="16"/>
                <w:szCs w:val="16"/>
              </w:rPr>
            </w:pPr>
          </w:p>
        </w:tc>
        <w:tc>
          <w:tcPr>
            <w:tcW w:w="1020" w:type="dxa"/>
            <w:vAlign w:val="center"/>
          </w:tcPr>
          <w:p w:rsidR="00F17A34" w:rsidRPr="003F15C0" w:rsidRDefault="00F17A34" w:rsidP="00F17A34">
            <w:pPr>
              <w:spacing w:before="20"/>
              <w:jc w:val="center"/>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1.2</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3.6</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3.02</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1.54 - 5.94</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0.00</w:t>
            </w:r>
            <w:r w:rsidR="00660808">
              <w:rPr>
                <w:color w:val="000000"/>
                <w:sz w:val="16"/>
                <w:szCs w:val="16"/>
              </w:rPr>
              <w:t>1</w:t>
            </w:r>
          </w:p>
        </w:tc>
      </w:tr>
      <w:tr w:rsidR="00F17A34" w:rsidRPr="003F15C0" w:rsidTr="00F959A8">
        <w:tc>
          <w:tcPr>
            <w:tcW w:w="5149" w:type="dxa"/>
            <w:gridSpan w:val="2"/>
            <w:vAlign w:val="bottom"/>
          </w:tcPr>
          <w:p w:rsidR="00F17A34" w:rsidRPr="003F15C0" w:rsidRDefault="00F17A34" w:rsidP="00F17A34">
            <w:pPr>
              <w:spacing w:before="20"/>
              <w:rPr>
                <w:b/>
                <w:bCs/>
                <w:color w:val="000000"/>
                <w:sz w:val="16"/>
                <w:szCs w:val="16"/>
              </w:rPr>
            </w:pPr>
            <w:r w:rsidRPr="003F15C0">
              <w:rPr>
                <w:b/>
                <w:bCs/>
                <w:color w:val="000000"/>
                <w:sz w:val="16"/>
                <w:szCs w:val="16"/>
              </w:rPr>
              <w:t>Methods - Getting someone you trust to manage the money</w:t>
            </w:r>
          </w:p>
        </w:tc>
        <w:tc>
          <w:tcPr>
            <w:tcW w:w="1055" w:type="dxa"/>
            <w:vAlign w:val="center"/>
          </w:tcPr>
          <w:p w:rsidR="00F17A34" w:rsidRPr="003F15C0" w:rsidRDefault="00F17A34" w:rsidP="00F17A34">
            <w:pPr>
              <w:spacing w:before="20"/>
              <w:jc w:val="center"/>
              <w:rPr>
                <w:color w:val="000000"/>
                <w:sz w:val="16"/>
                <w:szCs w:val="16"/>
              </w:rPr>
            </w:pPr>
          </w:p>
        </w:tc>
        <w:tc>
          <w:tcPr>
            <w:tcW w:w="992" w:type="dxa"/>
            <w:vAlign w:val="center"/>
          </w:tcPr>
          <w:p w:rsidR="00F17A34" w:rsidRPr="003F15C0" w:rsidRDefault="00F17A34" w:rsidP="00F17A34">
            <w:pPr>
              <w:spacing w:before="20"/>
              <w:jc w:val="center"/>
              <w:rPr>
                <w:color w:val="000000"/>
                <w:sz w:val="16"/>
                <w:szCs w:val="16"/>
              </w:rPr>
            </w:pPr>
          </w:p>
        </w:tc>
        <w:tc>
          <w:tcPr>
            <w:tcW w:w="283" w:type="dxa"/>
            <w:vAlign w:val="center"/>
          </w:tcPr>
          <w:p w:rsidR="00F17A34" w:rsidRPr="003F15C0" w:rsidRDefault="00F17A34" w:rsidP="00F17A34">
            <w:pPr>
              <w:spacing w:before="20"/>
              <w:jc w:val="center"/>
              <w:rPr>
                <w:color w:val="000000"/>
                <w:sz w:val="16"/>
                <w:szCs w:val="16"/>
              </w:rPr>
            </w:pPr>
          </w:p>
        </w:tc>
        <w:tc>
          <w:tcPr>
            <w:tcW w:w="1020" w:type="dxa"/>
            <w:vAlign w:val="center"/>
          </w:tcPr>
          <w:p w:rsidR="00F17A34" w:rsidRPr="003F15C0" w:rsidRDefault="00F17A34" w:rsidP="00F17A34">
            <w:pPr>
              <w:spacing w:before="20"/>
              <w:jc w:val="center"/>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9.6</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6.20</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0.79 - 48.91</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0.08</w:t>
            </w:r>
          </w:p>
        </w:tc>
      </w:tr>
      <w:tr w:rsidR="00F17A34" w:rsidRPr="003F15C0" w:rsidTr="00F959A8">
        <w:tc>
          <w:tcPr>
            <w:tcW w:w="6204" w:type="dxa"/>
            <w:gridSpan w:val="3"/>
            <w:vAlign w:val="bottom"/>
          </w:tcPr>
          <w:p w:rsidR="00F17A34" w:rsidRPr="003F15C0" w:rsidRDefault="00F17A34" w:rsidP="00F17A34">
            <w:pPr>
              <w:spacing w:before="20"/>
              <w:rPr>
                <w:color w:val="000000"/>
                <w:sz w:val="16"/>
                <w:szCs w:val="16"/>
              </w:rPr>
            </w:pPr>
            <w:r w:rsidRPr="003F15C0">
              <w:rPr>
                <w:b/>
                <w:bCs/>
                <w:color w:val="000000"/>
                <w:sz w:val="16"/>
                <w:szCs w:val="16"/>
              </w:rPr>
              <w:t>Methods - Separating money for betting from other money and stopping</w:t>
            </w:r>
          </w:p>
        </w:tc>
        <w:tc>
          <w:tcPr>
            <w:tcW w:w="992" w:type="dxa"/>
            <w:vAlign w:val="center"/>
          </w:tcPr>
          <w:p w:rsidR="00F17A34" w:rsidRPr="003F15C0" w:rsidRDefault="00F17A34" w:rsidP="00F17A34">
            <w:pPr>
              <w:spacing w:before="20"/>
              <w:jc w:val="center"/>
              <w:rPr>
                <w:color w:val="000000"/>
                <w:sz w:val="16"/>
                <w:szCs w:val="16"/>
              </w:rPr>
            </w:pPr>
          </w:p>
        </w:tc>
        <w:tc>
          <w:tcPr>
            <w:tcW w:w="283" w:type="dxa"/>
            <w:vAlign w:val="center"/>
          </w:tcPr>
          <w:p w:rsidR="00F17A34" w:rsidRPr="003F15C0" w:rsidRDefault="00F17A34" w:rsidP="00F17A34">
            <w:pPr>
              <w:spacing w:before="20"/>
              <w:jc w:val="center"/>
              <w:rPr>
                <w:color w:val="000000"/>
                <w:sz w:val="16"/>
                <w:szCs w:val="16"/>
              </w:rPr>
            </w:pPr>
          </w:p>
        </w:tc>
        <w:tc>
          <w:tcPr>
            <w:tcW w:w="1020" w:type="dxa"/>
            <w:vAlign w:val="center"/>
          </w:tcPr>
          <w:p w:rsidR="00F17A34" w:rsidRPr="003F15C0" w:rsidRDefault="00F17A34" w:rsidP="00F17A34">
            <w:pPr>
              <w:spacing w:before="20"/>
              <w:jc w:val="center"/>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3.0</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1.80</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0.52 - 6.18</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0.35</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bCs/>
                <w:color w:val="000000"/>
                <w:sz w:val="16"/>
                <w:szCs w:val="16"/>
              </w:rPr>
              <w:t>Methods - Leaving ATM and credit cards at home</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3.8</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2.25</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0.51 - 10.00</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0.29</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bCs/>
                <w:color w:val="000000"/>
                <w:sz w:val="16"/>
                <w:szCs w:val="16"/>
              </w:rPr>
              <w:t>Methods - Setting a time limit</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2.6</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1.53</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0.41 - 5.76</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0.53</w:t>
            </w:r>
          </w:p>
        </w:tc>
      </w:tr>
      <w:tr w:rsidR="00F17A34" w:rsidRPr="003F15C0" w:rsidTr="00F959A8">
        <w:tc>
          <w:tcPr>
            <w:tcW w:w="5149" w:type="dxa"/>
            <w:gridSpan w:val="2"/>
            <w:vAlign w:val="bottom"/>
          </w:tcPr>
          <w:p w:rsidR="00F17A34" w:rsidRPr="003F15C0" w:rsidRDefault="00F17A34" w:rsidP="00F17A34">
            <w:pPr>
              <w:spacing w:before="20"/>
              <w:rPr>
                <w:b/>
                <w:bCs/>
                <w:color w:val="000000"/>
                <w:sz w:val="16"/>
                <w:szCs w:val="16"/>
              </w:rPr>
            </w:pPr>
            <w:r w:rsidRPr="003F15C0">
              <w:rPr>
                <w:b/>
                <w:bCs/>
                <w:color w:val="000000"/>
                <w:sz w:val="16"/>
                <w:szCs w:val="16"/>
              </w:rPr>
              <w:t>Methods - Avoiding places that have betting or gambling</w:t>
            </w:r>
          </w:p>
        </w:tc>
        <w:tc>
          <w:tcPr>
            <w:tcW w:w="1055" w:type="dxa"/>
            <w:vAlign w:val="center"/>
          </w:tcPr>
          <w:p w:rsidR="00F17A34" w:rsidRPr="003F15C0" w:rsidRDefault="00F17A34" w:rsidP="00F17A34">
            <w:pPr>
              <w:spacing w:before="20"/>
              <w:jc w:val="center"/>
              <w:rPr>
                <w:color w:val="000000"/>
                <w:sz w:val="16"/>
                <w:szCs w:val="16"/>
              </w:rPr>
            </w:pPr>
          </w:p>
        </w:tc>
        <w:tc>
          <w:tcPr>
            <w:tcW w:w="992" w:type="dxa"/>
            <w:vAlign w:val="center"/>
          </w:tcPr>
          <w:p w:rsidR="00F17A34" w:rsidRPr="003F15C0" w:rsidRDefault="00F17A34" w:rsidP="00F17A34">
            <w:pPr>
              <w:spacing w:before="20"/>
              <w:jc w:val="center"/>
              <w:rPr>
                <w:color w:val="000000"/>
                <w:sz w:val="16"/>
                <w:szCs w:val="16"/>
              </w:rPr>
            </w:pPr>
          </w:p>
        </w:tc>
        <w:tc>
          <w:tcPr>
            <w:tcW w:w="283" w:type="dxa"/>
            <w:vAlign w:val="center"/>
          </w:tcPr>
          <w:p w:rsidR="00F17A34" w:rsidRPr="003F15C0" w:rsidRDefault="00F17A34" w:rsidP="00F17A34">
            <w:pPr>
              <w:spacing w:before="20"/>
              <w:jc w:val="center"/>
              <w:rPr>
                <w:color w:val="000000"/>
                <w:sz w:val="16"/>
                <w:szCs w:val="16"/>
              </w:rPr>
            </w:pPr>
          </w:p>
        </w:tc>
        <w:tc>
          <w:tcPr>
            <w:tcW w:w="1020" w:type="dxa"/>
            <w:vAlign w:val="center"/>
          </w:tcPr>
          <w:p w:rsidR="00F17A34" w:rsidRPr="003F15C0" w:rsidRDefault="00F17A34" w:rsidP="00F17A34">
            <w:pPr>
              <w:spacing w:before="20"/>
              <w:jc w:val="center"/>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w:t>
            </w:r>
            <w:r w:rsidR="00A50DB2" w:rsidRPr="003F15C0">
              <w:rPr>
                <w:color w:val="000000"/>
                <w:sz w:val="16"/>
                <w:szCs w:val="16"/>
              </w:rPr>
              <w:t>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7.8</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5.21</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1.76 - 15.47</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0.00</w:t>
            </w:r>
            <w:r w:rsidR="00660808">
              <w:rPr>
                <w:color w:val="000000"/>
                <w:sz w:val="16"/>
                <w:szCs w:val="16"/>
              </w:rPr>
              <w:t>3</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 xml:space="preserve">Sought help </w:t>
            </w:r>
            <w:r w:rsidR="003E1E3A" w:rsidRPr="003E1E3A">
              <w:rPr>
                <w:b/>
                <w:sz w:val="16"/>
                <w:szCs w:val="16"/>
              </w:rPr>
              <w:t xml:space="preserve">(from formal and informal sources) </w:t>
            </w:r>
            <w:r w:rsidRPr="003F15C0">
              <w:rPr>
                <w:b/>
                <w:sz w:val="16"/>
                <w:szCs w:val="16"/>
              </w:rPr>
              <w:t>in last year</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b/>
                <w:color w:val="000000"/>
                <w:sz w:val="16"/>
                <w:szCs w:val="16"/>
              </w:rPr>
            </w:pPr>
          </w:p>
        </w:tc>
        <w:tc>
          <w:tcPr>
            <w:tcW w:w="992" w:type="dxa"/>
            <w:vAlign w:val="center"/>
          </w:tcPr>
          <w:p w:rsidR="00D8324A" w:rsidRPr="003F15C0" w:rsidRDefault="00D8324A" w:rsidP="00232878">
            <w:pPr>
              <w:spacing w:before="20"/>
              <w:jc w:val="right"/>
              <w:rPr>
                <w:b/>
                <w:color w:val="000000"/>
                <w:sz w:val="16"/>
                <w:szCs w:val="16"/>
              </w:rPr>
            </w:pPr>
          </w:p>
        </w:tc>
        <w:tc>
          <w:tcPr>
            <w:tcW w:w="283" w:type="dxa"/>
            <w:vAlign w:val="center"/>
          </w:tcPr>
          <w:p w:rsidR="00D8324A" w:rsidRPr="003F15C0" w:rsidRDefault="00D8324A" w:rsidP="00232878">
            <w:pPr>
              <w:spacing w:before="20"/>
              <w:jc w:val="right"/>
              <w:rPr>
                <w:b/>
                <w:color w:val="000000"/>
                <w:sz w:val="16"/>
                <w:szCs w:val="16"/>
              </w:rPr>
            </w:pPr>
          </w:p>
        </w:tc>
        <w:tc>
          <w:tcPr>
            <w:tcW w:w="1020" w:type="dxa"/>
            <w:vAlign w:val="center"/>
          </w:tcPr>
          <w:p w:rsidR="00D8324A" w:rsidRPr="003F15C0" w:rsidRDefault="00D8324A" w:rsidP="00232878">
            <w:pPr>
              <w:spacing w:before="20"/>
              <w:jc w:val="right"/>
              <w:rPr>
                <w:b/>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31.1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25.95</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1.59 - 423.46</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spacing w:before="20"/>
              <w:jc w:val="right"/>
              <w:rPr>
                <w:color w:val="000000"/>
                <w:sz w:val="16"/>
                <w:szCs w:val="16"/>
              </w:rPr>
            </w:pPr>
            <w:r w:rsidRPr="003F15C0">
              <w:rPr>
                <w:color w:val="000000"/>
                <w:sz w:val="16"/>
                <w:szCs w:val="16"/>
              </w:rPr>
              <w:t>0.02</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N</w:t>
            </w:r>
            <w:r w:rsidR="00F17A34" w:rsidRPr="003F15C0">
              <w:rPr>
                <w:b/>
                <w:sz w:val="16"/>
                <w:szCs w:val="16"/>
              </w:rPr>
              <w:t>umber of significant</w:t>
            </w:r>
            <w:r w:rsidRPr="003F15C0">
              <w:rPr>
                <w:b/>
                <w:sz w:val="16"/>
                <w:szCs w:val="16"/>
              </w:rPr>
              <w:t xml:space="preserve"> life events</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0</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0.7</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1</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1.8</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2.66</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0.98 - 7.23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2</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2.99</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1.01 - 8.87</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3</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3.11</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0.89 - 10.87</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4</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3.3</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4.90</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1.23 - 19.54</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5+</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1.7</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2.41</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0.62 - 9.45</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0.26</w:t>
            </w:r>
          </w:p>
        </w:tc>
      </w:tr>
      <w:tr w:rsidR="00D8324A" w:rsidRPr="003F15C0" w:rsidTr="00F959A8">
        <w:tc>
          <w:tcPr>
            <w:tcW w:w="4305" w:type="dxa"/>
            <w:vAlign w:val="bottom"/>
          </w:tcPr>
          <w:p w:rsidR="00D8324A" w:rsidRPr="003F15C0" w:rsidRDefault="00225B20" w:rsidP="00F17A34">
            <w:pPr>
              <w:spacing w:before="20"/>
              <w:jc w:val="both"/>
              <w:rPr>
                <w:b/>
                <w:sz w:val="16"/>
                <w:szCs w:val="16"/>
              </w:rPr>
            </w:pPr>
            <w:r w:rsidRPr="003F15C0">
              <w:rPr>
                <w:b/>
                <w:sz w:val="16"/>
                <w:szCs w:val="16"/>
              </w:rPr>
              <w:t>Quality of life (</w:t>
            </w:r>
            <w:r w:rsidR="00D8324A" w:rsidRPr="003F15C0">
              <w:rPr>
                <w:b/>
                <w:sz w:val="16"/>
                <w:szCs w:val="16"/>
              </w:rPr>
              <w:t>WHOQoL</w:t>
            </w:r>
            <w:r w:rsidRPr="003F15C0">
              <w:rPr>
                <w:b/>
                <w:sz w:val="16"/>
                <w:szCs w:val="16"/>
              </w:rPr>
              <w:t>-8)</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Below median ( Score 0 - 24)</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2.4</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1.66</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0.83 - 3.36</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Median score (Score 25)</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0.6</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0.44</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0.08 - 2.27</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Above median (</w:t>
            </w:r>
            <w:r w:rsidR="00225B20" w:rsidRPr="003F15C0">
              <w:rPr>
                <w:sz w:val="16"/>
                <w:szCs w:val="16"/>
              </w:rPr>
              <w:t xml:space="preserve">Score </w:t>
            </w:r>
            <w:r w:rsidRPr="003F15C0">
              <w:rPr>
                <w:sz w:val="16"/>
                <w:szCs w:val="16"/>
              </w:rPr>
              <w:t>26</w:t>
            </w:r>
            <w:r w:rsidR="00225B20" w:rsidRPr="003F15C0">
              <w:rPr>
                <w:sz w:val="16"/>
                <w:szCs w:val="16"/>
              </w:rPr>
              <w:t xml:space="preserve"> </w:t>
            </w:r>
            <w:r w:rsidRPr="003F15C0">
              <w:rPr>
                <w:sz w:val="16"/>
                <w:szCs w:val="16"/>
              </w:rPr>
              <w:t>-</w:t>
            </w:r>
            <w:r w:rsidR="00225B20" w:rsidRPr="003F15C0">
              <w:rPr>
                <w:sz w:val="16"/>
                <w:szCs w:val="16"/>
              </w:rPr>
              <w:t xml:space="preserve"> </w:t>
            </w:r>
            <w:r w:rsidRPr="003F15C0">
              <w:rPr>
                <w:sz w:val="16"/>
                <w:szCs w:val="16"/>
              </w:rPr>
              <w:t>32)</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r w:rsidRPr="003F15C0">
              <w:rPr>
                <w:color w:val="000000"/>
                <w:sz w:val="16"/>
                <w:szCs w:val="16"/>
              </w:rPr>
              <w:t>0.13</w:t>
            </w:r>
          </w:p>
        </w:tc>
      </w:tr>
      <w:tr w:rsidR="00D8324A" w:rsidRPr="003F15C0" w:rsidTr="00F959A8">
        <w:tc>
          <w:tcPr>
            <w:tcW w:w="4305" w:type="dxa"/>
            <w:vAlign w:val="bottom"/>
          </w:tcPr>
          <w:p w:rsidR="00D8324A" w:rsidRPr="003F15C0" w:rsidRDefault="00225B20" w:rsidP="003B2B9F">
            <w:pPr>
              <w:keepNext/>
              <w:spacing w:before="20"/>
              <w:jc w:val="both"/>
              <w:rPr>
                <w:b/>
                <w:sz w:val="16"/>
                <w:szCs w:val="16"/>
              </w:rPr>
            </w:pPr>
            <w:r w:rsidRPr="003F15C0">
              <w:rPr>
                <w:b/>
                <w:sz w:val="16"/>
                <w:szCs w:val="16"/>
              </w:rPr>
              <w:t>Psychological distress (</w:t>
            </w:r>
            <w:r w:rsidR="00D8324A" w:rsidRPr="003F15C0">
              <w:rPr>
                <w:b/>
                <w:sz w:val="16"/>
                <w:szCs w:val="16"/>
              </w:rPr>
              <w:t>K</w:t>
            </w:r>
            <w:r w:rsidRPr="003F15C0">
              <w:rPr>
                <w:b/>
                <w:sz w:val="16"/>
                <w:szCs w:val="16"/>
              </w:rPr>
              <w:t>essler</w:t>
            </w:r>
            <w:r w:rsidR="00D8324A" w:rsidRPr="003F15C0">
              <w:rPr>
                <w:b/>
                <w:sz w:val="16"/>
                <w:szCs w:val="16"/>
              </w:rPr>
              <w:t>-10</w:t>
            </w:r>
            <w:r w:rsidRPr="003F15C0">
              <w:rPr>
                <w:b/>
                <w:sz w:val="16"/>
                <w:szCs w:val="16"/>
              </w:rPr>
              <w:t>)</w:t>
            </w:r>
          </w:p>
        </w:tc>
        <w:tc>
          <w:tcPr>
            <w:tcW w:w="844" w:type="dxa"/>
            <w:vAlign w:val="center"/>
          </w:tcPr>
          <w:p w:rsidR="00D8324A" w:rsidRPr="003F15C0" w:rsidRDefault="00D8324A" w:rsidP="00232878">
            <w:pPr>
              <w:keepNext/>
              <w:spacing w:before="20"/>
              <w:jc w:val="right"/>
              <w:rPr>
                <w:b/>
                <w:bCs/>
                <w:color w:val="000000"/>
                <w:sz w:val="16"/>
                <w:szCs w:val="16"/>
              </w:rPr>
            </w:pPr>
          </w:p>
        </w:tc>
        <w:tc>
          <w:tcPr>
            <w:tcW w:w="1055" w:type="dxa"/>
            <w:vAlign w:val="center"/>
          </w:tcPr>
          <w:p w:rsidR="00D8324A" w:rsidRPr="003F15C0" w:rsidRDefault="00D8324A" w:rsidP="00232878">
            <w:pPr>
              <w:keepNext/>
              <w:spacing w:before="20"/>
              <w:jc w:val="right"/>
              <w:rPr>
                <w:color w:val="000000"/>
                <w:sz w:val="16"/>
                <w:szCs w:val="16"/>
              </w:rPr>
            </w:pP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D8324A" w:rsidRPr="003F15C0" w:rsidTr="00F959A8">
        <w:tc>
          <w:tcPr>
            <w:tcW w:w="4305" w:type="dxa"/>
          </w:tcPr>
          <w:p w:rsidR="00D8324A" w:rsidRPr="003F15C0" w:rsidRDefault="00225B20" w:rsidP="003B2B9F">
            <w:pPr>
              <w:keepNext/>
              <w:spacing w:before="20"/>
              <w:ind w:left="176"/>
              <w:jc w:val="both"/>
              <w:rPr>
                <w:sz w:val="16"/>
                <w:szCs w:val="16"/>
              </w:rPr>
            </w:pPr>
            <w:r w:rsidRPr="003F15C0">
              <w:rPr>
                <w:sz w:val="16"/>
                <w:szCs w:val="16"/>
              </w:rPr>
              <w:t xml:space="preserve">Score </w:t>
            </w:r>
            <w:r w:rsidR="00D8324A" w:rsidRPr="003F15C0">
              <w:rPr>
                <w:sz w:val="16"/>
                <w:szCs w:val="16"/>
              </w:rPr>
              <w:t>0</w:t>
            </w:r>
            <w:r w:rsidRPr="003F15C0">
              <w:rPr>
                <w:sz w:val="16"/>
                <w:szCs w:val="16"/>
              </w:rPr>
              <w:t xml:space="preserve"> </w:t>
            </w:r>
            <w:r w:rsidR="00D8324A" w:rsidRPr="003F15C0">
              <w:rPr>
                <w:sz w:val="16"/>
                <w:szCs w:val="16"/>
              </w:rPr>
              <w:t>-</w:t>
            </w:r>
            <w:r w:rsidRPr="003F15C0">
              <w:rPr>
                <w:sz w:val="16"/>
                <w:szCs w:val="16"/>
              </w:rPr>
              <w:t xml:space="preserve"> </w:t>
            </w:r>
            <w:r w:rsidR="00D8324A" w:rsidRPr="003F15C0">
              <w:rPr>
                <w:sz w:val="16"/>
                <w:szCs w:val="16"/>
              </w:rPr>
              <w:t>5</w:t>
            </w:r>
          </w:p>
        </w:tc>
        <w:tc>
          <w:tcPr>
            <w:tcW w:w="844"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w:t>
            </w:r>
            <w:r w:rsidR="00A50DB2" w:rsidRPr="003F15C0">
              <w:rPr>
                <w:color w:val="000000"/>
                <w:sz w:val="16"/>
                <w:szCs w:val="16"/>
              </w:rPr>
              <w:t>3</w:t>
            </w:r>
          </w:p>
        </w:tc>
        <w:tc>
          <w:tcPr>
            <w:tcW w:w="1055" w:type="dxa"/>
            <w:vAlign w:val="center"/>
          </w:tcPr>
          <w:p w:rsidR="00D8324A" w:rsidRPr="003F15C0" w:rsidRDefault="00D8324A" w:rsidP="00232878">
            <w:pPr>
              <w:keepNext/>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FB75D9" w:rsidRPr="003F15C0" w:rsidTr="00F959A8">
        <w:tc>
          <w:tcPr>
            <w:tcW w:w="4305" w:type="dxa"/>
          </w:tcPr>
          <w:p w:rsidR="00FB75D9" w:rsidRPr="003F15C0" w:rsidRDefault="00FB75D9" w:rsidP="003B2B9F">
            <w:pPr>
              <w:keepNext/>
              <w:spacing w:before="20"/>
              <w:ind w:left="176"/>
              <w:jc w:val="both"/>
              <w:rPr>
                <w:sz w:val="16"/>
                <w:szCs w:val="16"/>
              </w:rPr>
            </w:pPr>
            <w:r w:rsidRPr="003F15C0">
              <w:rPr>
                <w:sz w:val="16"/>
                <w:szCs w:val="16"/>
              </w:rPr>
              <w:t>Score 6 - 11</w:t>
            </w:r>
          </w:p>
        </w:tc>
        <w:tc>
          <w:tcPr>
            <w:tcW w:w="844"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2.5</w:t>
            </w:r>
          </w:p>
        </w:tc>
        <w:tc>
          <w:tcPr>
            <w:tcW w:w="1055"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1.97</w:t>
            </w:r>
          </w:p>
        </w:tc>
        <w:tc>
          <w:tcPr>
            <w:tcW w:w="1275" w:type="dxa"/>
            <w:gridSpan w:val="2"/>
            <w:vAlign w:val="center"/>
          </w:tcPr>
          <w:p w:rsidR="00FB75D9" w:rsidRPr="003F15C0" w:rsidRDefault="00CE5145" w:rsidP="00FB75D9">
            <w:pPr>
              <w:keepNext/>
              <w:spacing w:before="20"/>
              <w:jc w:val="right"/>
              <w:rPr>
                <w:color w:val="000000"/>
                <w:sz w:val="16"/>
                <w:szCs w:val="16"/>
              </w:rPr>
            </w:pPr>
            <w:r w:rsidRPr="003F15C0">
              <w:rPr>
                <w:color w:val="000000"/>
                <w:sz w:val="16"/>
                <w:szCs w:val="16"/>
              </w:rPr>
              <w:t>(</w:t>
            </w:r>
            <w:r w:rsidR="00FB75D9" w:rsidRPr="003F15C0">
              <w:rPr>
                <w:color w:val="000000"/>
                <w:sz w:val="16"/>
                <w:szCs w:val="16"/>
              </w:rPr>
              <w:t>0.82 - 4.75</w:t>
            </w:r>
            <w:r w:rsidRPr="003F15C0">
              <w:rPr>
                <w:color w:val="000000"/>
                <w:sz w:val="16"/>
                <w:szCs w:val="16"/>
              </w:rPr>
              <w:t>)</w:t>
            </w:r>
          </w:p>
        </w:tc>
        <w:tc>
          <w:tcPr>
            <w:tcW w:w="1020" w:type="dxa"/>
            <w:vAlign w:val="center"/>
          </w:tcPr>
          <w:p w:rsidR="00FB75D9" w:rsidRPr="003F15C0" w:rsidRDefault="00FB75D9" w:rsidP="00232878">
            <w:pPr>
              <w:keepNext/>
              <w:spacing w:before="20"/>
              <w:jc w:val="right"/>
              <w:rPr>
                <w:color w:val="000000"/>
                <w:sz w:val="16"/>
                <w:szCs w:val="16"/>
              </w:rPr>
            </w:pPr>
          </w:p>
        </w:tc>
      </w:tr>
      <w:tr w:rsidR="00FB75D9" w:rsidRPr="003F15C0" w:rsidTr="00F959A8">
        <w:tc>
          <w:tcPr>
            <w:tcW w:w="4305" w:type="dxa"/>
          </w:tcPr>
          <w:p w:rsidR="00FB75D9" w:rsidRPr="003F15C0" w:rsidRDefault="00FB75D9" w:rsidP="003B2B9F">
            <w:pPr>
              <w:keepNext/>
              <w:spacing w:before="20"/>
              <w:ind w:left="176"/>
              <w:jc w:val="both"/>
              <w:rPr>
                <w:sz w:val="16"/>
                <w:szCs w:val="16"/>
              </w:rPr>
            </w:pPr>
            <w:r w:rsidRPr="003F15C0">
              <w:rPr>
                <w:sz w:val="16"/>
                <w:szCs w:val="16"/>
              </w:rPr>
              <w:t>Score 12 - 19</w:t>
            </w:r>
          </w:p>
        </w:tc>
        <w:tc>
          <w:tcPr>
            <w:tcW w:w="844"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6.2</w:t>
            </w:r>
          </w:p>
        </w:tc>
        <w:tc>
          <w:tcPr>
            <w:tcW w:w="1055"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5.10</w:t>
            </w:r>
          </w:p>
        </w:tc>
        <w:tc>
          <w:tcPr>
            <w:tcW w:w="1275" w:type="dxa"/>
            <w:gridSpan w:val="2"/>
            <w:vAlign w:val="center"/>
          </w:tcPr>
          <w:p w:rsidR="00FB75D9" w:rsidRPr="003F15C0" w:rsidRDefault="00CE5145" w:rsidP="00FB75D9">
            <w:pPr>
              <w:keepNext/>
              <w:spacing w:before="20"/>
              <w:jc w:val="right"/>
              <w:rPr>
                <w:color w:val="000000"/>
                <w:sz w:val="16"/>
                <w:szCs w:val="16"/>
              </w:rPr>
            </w:pPr>
            <w:r w:rsidRPr="003F15C0">
              <w:rPr>
                <w:color w:val="000000"/>
                <w:sz w:val="16"/>
                <w:szCs w:val="16"/>
              </w:rPr>
              <w:t>(</w:t>
            </w:r>
            <w:r w:rsidR="00FB75D9" w:rsidRPr="003F15C0">
              <w:rPr>
                <w:color w:val="000000"/>
                <w:sz w:val="16"/>
                <w:szCs w:val="16"/>
              </w:rPr>
              <w:t>2.02 - 12.87</w:t>
            </w:r>
            <w:r w:rsidRPr="003F15C0">
              <w:rPr>
                <w:color w:val="000000"/>
                <w:sz w:val="16"/>
                <w:szCs w:val="16"/>
              </w:rPr>
              <w:t>)</w:t>
            </w:r>
          </w:p>
        </w:tc>
        <w:tc>
          <w:tcPr>
            <w:tcW w:w="1020" w:type="dxa"/>
            <w:vAlign w:val="center"/>
          </w:tcPr>
          <w:p w:rsidR="00FB75D9" w:rsidRPr="003F15C0" w:rsidRDefault="00FB75D9" w:rsidP="00232878">
            <w:pPr>
              <w:keepNext/>
              <w:spacing w:before="20"/>
              <w:jc w:val="right"/>
              <w:rPr>
                <w:color w:val="000000"/>
                <w:sz w:val="16"/>
                <w:szCs w:val="16"/>
              </w:rPr>
            </w:pPr>
          </w:p>
        </w:tc>
      </w:tr>
      <w:tr w:rsidR="00FB75D9" w:rsidRPr="003F15C0" w:rsidTr="00F959A8">
        <w:tc>
          <w:tcPr>
            <w:tcW w:w="4305" w:type="dxa"/>
          </w:tcPr>
          <w:p w:rsidR="00FB75D9" w:rsidRPr="003F15C0" w:rsidRDefault="00FB75D9" w:rsidP="003B2B9F">
            <w:pPr>
              <w:keepNext/>
              <w:spacing w:before="20"/>
              <w:ind w:left="176"/>
              <w:jc w:val="both"/>
              <w:rPr>
                <w:sz w:val="16"/>
                <w:szCs w:val="16"/>
              </w:rPr>
            </w:pPr>
            <w:r w:rsidRPr="003F15C0">
              <w:rPr>
                <w:sz w:val="16"/>
                <w:szCs w:val="16"/>
              </w:rPr>
              <w:t>Score 20 - 40</w:t>
            </w:r>
          </w:p>
        </w:tc>
        <w:tc>
          <w:tcPr>
            <w:tcW w:w="844"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2.5</w:t>
            </w:r>
          </w:p>
        </w:tc>
        <w:tc>
          <w:tcPr>
            <w:tcW w:w="1055"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1.99</w:t>
            </w:r>
          </w:p>
        </w:tc>
        <w:tc>
          <w:tcPr>
            <w:tcW w:w="1275" w:type="dxa"/>
            <w:gridSpan w:val="2"/>
            <w:vAlign w:val="center"/>
          </w:tcPr>
          <w:p w:rsidR="00FB75D9" w:rsidRPr="003F15C0" w:rsidRDefault="00CE5145" w:rsidP="00FB75D9">
            <w:pPr>
              <w:keepNext/>
              <w:spacing w:before="20"/>
              <w:jc w:val="right"/>
              <w:rPr>
                <w:color w:val="000000"/>
                <w:sz w:val="16"/>
                <w:szCs w:val="16"/>
              </w:rPr>
            </w:pPr>
            <w:r w:rsidRPr="003F15C0">
              <w:rPr>
                <w:color w:val="000000"/>
                <w:sz w:val="16"/>
                <w:szCs w:val="16"/>
              </w:rPr>
              <w:t>(</w:t>
            </w:r>
            <w:r w:rsidR="00FB75D9" w:rsidRPr="003F15C0">
              <w:rPr>
                <w:color w:val="000000"/>
                <w:sz w:val="16"/>
                <w:szCs w:val="16"/>
              </w:rPr>
              <w:t>0.53 - 7.51</w:t>
            </w:r>
            <w:r w:rsidRPr="003F15C0">
              <w:rPr>
                <w:color w:val="000000"/>
                <w:sz w:val="16"/>
                <w:szCs w:val="16"/>
              </w:rPr>
              <w:t>)</w:t>
            </w:r>
          </w:p>
        </w:tc>
        <w:tc>
          <w:tcPr>
            <w:tcW w:w="1020" w:type="dxa"/>
            <w:shd w:val="clear" w:color="auto" w:fill="D9D9D9" w:themeFill="background1" w:themeFillShade="D9"/>
            <w:vAlign w:val="center"/>
          </w:tcPr>
          <w:p w:rsidR="00FB75D9" w:rsidRPr="003F15C0" w:rsidRDefault="00FB75D9" w:rsidP="00232878">
            <w:pPr>
              <w:keepNext/>
              <w:spacing w:before="20"/>
              <w:jc w:val="right"/>
              <w:rPr>
                <w:color w:val="000000"/>
                <w:sz w:val="16"/>
                <w:szCs w:val="16"/>
              </w:rPr>
            </w:pPr>
            <w:r w:rsidRPr="003F15C0">
              <w:rPr>
                <w:color w:val="000000"/>
                <w:sz w:val="16"/>
                <w:szCs w:val="16"/>
              </w:rPr>
              <w:t>0.00</w:t>
            </w:r>
            <w:r w:rsidR="00660808">
              <w:rPr>
                <w:color w:val="000000"/>
                <w:sz w:val="16"/>
                <w:szCs w:val="16"/>
              </w:rPr>
              <w:t>5</w:t>
            </w:r>
          </w:p>
        </w:tc>
      </w:tr>
      <w:tr w:rsidR="00D8324A" w:rsidRPr="003F15C0" w:rsidTr="00F959A8">
        <w:tc>
          <w:tcPr>
            <w:tcW w:w="4305" w:type="dxa"/>
            <w:vAlign w:val="bottom"/>
          </w:tcPr>
          <w:p w:rsidR="00D8324A" w:rsidRPr="003F15C0" w:rsidRDefault="00225B20" w:rsidP="00225B20">
            <w:pPr>
              <w:spacing w:before="20"/>
              <w:jc w:val="both"/>
              <w:rPr>
                <w:b/>
                <w:sz w:val="16"/>
                <w:szCs w:val="16"/>
              </w:rPr>
            </w:pPr>
            <w:r w:rsidRPr="003F15C0">
              <w:rPr>
                <w:b/>
                <w:sz w:val="16"/>
                <w:szCs w:val="16"/>
              </w:rPr>
              <w:t>Hazardous alcohol consumption (</w:t>
            </w:r>
            <w:r w:rsidR="00D8324A" w:rsidRPr="003F15C0">
              <w:rPr>
                <w:b/>
                <w:sz w:val="16"/>
                <w:szCs w:val="16"/>
              </w:rPr>
              <w:t>AUDIT-C</w:t>
            </w:r>
            <w:r w:rsidRPr="003F15C0">
              <w:rPr>
                <w:b/>
                <w:sz w:val="16"/>
                <w:szCs w:val="16"/>
              </w:rPr>
              <w:t>)</w:t>
            </w:r>
            <w:r w:rsidR="00D8324A" w:rsidRPr="003F15C0">
              <w:rPr>
                <w:b/>
                <w:sz w:val="16"/>
                <w:szCs w:val="16"/>
              </w:rPr>
              <w:t xml:space="preserve"> </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2.0</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1.3</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0.67</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0.33 - 1.36</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0.27</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Does not use drugs</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3.3</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1.5</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0.45</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0.18 - 1.08</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0.07</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sz w:val="16"/>
                <w:szCs w:val="16"/>
              </w:rPr>
              <w:t>Cannabis</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1.</w:t>
            </w:r>
            <w:r w:rsidR="00D8324A" w:rsidRPr="003F15C0">
              <w:rPr>
                <w:color w:val="000000"/>
                <w:sz w:val="16"/>
                <w:szCs w:val="16"/>
              </w:rPr>
              <w:t>6</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3.0</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1.93</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0.72 - 5.21</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r w:rsidRPr="003F15C0">
              <w:rPr>
                <w:color w:val="000000"/>
                <w:sz w:val="16"/>
                <w:szCs w:val="16"/>
              </w:rPr>
              <w:t>0.19</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bCs/>
                <w:color w:val="000000"/>
                <w:sz w:val="16"/>
                <w:szCs w:val="16"/>
              </w:rPr>
              <w:t>Ever smoked tobacco</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1.9</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1.31</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0.66 - 2.56</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r w:rsidRPr="003F15C0">
              <w:rPr>
                <w:color w:val="000000"/>
                <w:sz w:val="16"/>
                <w:szCs w:val="16"/>
              </w:rPr>
              <w:t>0.44</w:t>
            </w:r>
          </w:p>
        </w:tc>
      </w:tr>
      <w:tr w:rsidR="00D8324A" w:rsidRPr="003F15C0" w:rsidTr="00F959A8">
        <w:tc>
          <w:tcPr>
            <w:tcW w:w="4305" w:type="dxa"/>
            <w:vAlign w:val="bottom"/>
          </w:tcPr>
          <w:p w:rsidR="00D8324A" w:rsidRPr="003F15C0" w:rsidRDefault="00D8324A" w:rsidP="00225B20">
            <w:pPr>
              <w:keepNext/>
              <w:spacing w:before="20"/>
              <w:jc w:val="both"/>
              <w:rPr>
                <w:b/>
                <w:sz w:val="16"/>
                <w:szCs w:val="16"/>
              </w:rPr>
            </w:pPr>
            <w:r w:rsidRPr="003F15C0">
              <w:rPr>
                <w:b/>
                <w:bCs/>
                <w:color w:val="000000"/>
                <w:sz w:val="16"/>
                <w:szCs w:val="16"/>
              </w:rPr>
              <w:t>Ever smoked more than 100 cigarettes in lifetime</w:t>
            </w:r>
          </w:p>
        </w:tc>
        <w:tc>
          <w:tcPr>
            <w:tcW w:w="844" w:type="dxa"/>
            <w:vAlign w:val="center"/>
          </w:tcPr>
          <w:p w:rsidR="00D8324A" w:rsidRPr="003F15C0" w:rsidRDefault="00D8324A" w:rsidP="00232878">
            <w:pPr>
              <w:keepNext/>
              <w:spacing w:before="20"/>
              <w:jc w:val="right"/>
              <w:rPr>
                <w:b/>
                <w:bCs/>
                <w:color w:val="000000"/>
                <w:sz w:val="16"/>
                <w:szCs w:val="16"/>
              </w:rPr>
            </w:pPr>
          </w:p>
        </w:tc>
        <w:tc>
          <w:tcPr>
            <w:tcW w:w="1055" w:type="dxa"/>
            <w:vAlign w:val="center"/>
          </w:tcPr>
          <w:p w:rsidR="00D8324A" w:rsidRPr="003F15C0" w:rsidRDefault="00D8324A" w:rsidP="00232878">
            <w:pPr>
              <w:keepNext/>
              <w:spacing w:before="20"/>
              <w:jc w:val="right"/>
              <w:rPr>
                <w:color w:val="000000"/>
                <w:sz w:val="16"/>
                <w:szCs w:val="16"/>
              </w:rPr>
            </w:pPr>
          </w:p>
        </w:tc>
        <w:tc>
          <w:tcPr>
            <w:tcW w:w="992" w:type="dxa"/>
            <w:vAlign w:val="center"/>
          </w:tcPr>
          <w:p w:rsidR="00D8324A" w:rsidRPr="003F15C0" w:rsidRDefault="00D8324A" w:rsidP="00232878">
            <w:pPr>
              <w:keepNext/>
              <w:spacing w:before="20"/>
              <w:jc w:val="right"/>
              <w:rPr>
                <w:color w:val="000000"/>
                <w:sz w:val="16"/>
                <w:szCs w:val="16"/>
              </w:rPr>
            </w:pPr>
          </w:p>
        </w:tc>
        <w:tc>
          <w:tcPr>
            <w:tcW w:w="283" w:type="dxa"/>
            <w:vAlign w:val="center"/>
          </w:tcPr>
          <w:p w:rsidR="00D8324A" w:rsidRPr="003F15C0" w:rsidRDefault="00D8324A" w:rsidP="00232878">
            <w:pPr>
              <w:keepNext/>
              <w:spacing w:before="20"/>
              <w:jc w:val="right"/>
              <w:rPr>
                <w:color w:val="000000"/>
                <w:sz w:val="16"/>
                <w:szCs w:val="16"/>
              </w:rPr>
            </w:pPr>
          </w:p>
        </w:tc>
        <w:tc>
          <w:tcPr>
            <w:tcW w:w="1020" w:type="dxa"/>
            <w:vAlign w:val="center"/>
          </w:tcPr>
          <w:p w:rsidR="00D8324A" w:rsidRPr="003F15C0" w:rsidRDefault="00D8324A" w:rsidP="00232878">
            <w:pPr>
              <w:keepNext/>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2.1</w:t>
            </w:r>
          </w:p>
        </w:tc>
        <w:tc>
          <w:tcPr>
            <w:tcW w:w="1055" w:type="dxa"/>
            <w:vAlign w:val="center"/>
          </w:tcPr>
          <w:p w:rsidR="00FB75D9" w:rsidRPr="003F15C0" w:rsidRDefault="00FB75D9" w:rsidP="00232878">
            <w:pPr>
              <w:keepNext/>
              <w:spacing w:before="20"/>
              <w:jc w:val="right"/>
              <w:rPr>
                <w:color w:val="000000"/>
                <w:sz w:val="16"/>
                <w:szCs w:val="16"/>
              </w:rPr>
            </w:pPr>
            <w:r w:rsidRPr="003F15C0">
              <w:rPr>
                <w:color w:val="000000"/>
                <w:sz w:val="16"/>
                <w:szCs w:val="16"/>
              </w:rPr>
              <w:t>1.53</w:t>
            </w:r>
          </w:p>
        </w:tc>
        <w:tc>
          <w:tcPr>
            <w:tcW w:w="1275" w:type="dxa"/>
            <w:gridSpan w:val="2"/>
            <w:vAlign w:val="center"/>
          </w:tcPr>
          <w:p w:rsidR="00FB75D9" w:rsidRPr="003F15C0" w:rsidRDefault="00CE5145" w:rsidP="00FB75D9">
            <w:pPr>
              <w:keepNext/>
              <w:spacing w:before="20"/>
              <w:jc w:val="right"/>
              <w:rPr>
                <w:color w:val="000000"/>
                <w:sz w:val="16"/>
                <w:szCs w:val="16"/>
              </w:rPr>
            </w:pPr>
            <w:r w:rsidRPr="003F15C0">
              <w:rPr>
                <w:color w:val="000000"/>
                <w:sz w:val="16"/>
                <w:szCs w:val="16"/>
              </w:rPr>
              <w:t>(</w:t>
            </w:r>
            <w:r w:rsidR="00FB75D9" w:rsidRPr="003F15C0">
              <w:rPr>
                <w:color w:val="000000"/>
                <w:sz w:val="16"/>
                <w:szCs w:val="16"/>
              </w:rPr>
              <w:t>0.80 - 2.95</w:t>
            </w:r>
            <w:r w:rsidRPr="003F15C0">
              <w:rPr>
                <w:color w:val="000000"/>
                <w:sz w:val="16"/>
                <w:szCs w:val="16"/>
              </w:rPr>
              <w:t>)</w:t>
            </w:r>
          </w:p>
        </w:tc>
        <w:tc>
          <w:tcPr>
            <w:tcW w:w="1020" w:type="dxa"/>
            <w:vAlign w:val="center"/>
          </w:tcPr>
          <w:p w:rsidR="00FB75D9" w:rsidRPr="003F15C0" w:rsidRDefault="00FB75D9" w:rsidP="00232878">
            <w:pPr>
              <w:keepNext/>
              <w:spacing w:before="20"/>
              <w:jc w:val="right"/>
              <w:rPr>
                <w:color w:val="000000"/>
                <w:sz w:val="16"/>
                <w:szCs w:val="16"/>
              </w:rPr>
            </w:pPr>
          </w:p>
        </w:tc>
      </w:tr>
      <w:tr w:rsidR="00D8324A" w:rsidRPr="003F15C0" w:rsidTr="00F959A8">
        <w:tc>
          <w:tcPr>
            <w:tcW w:w="4305" w:type="dxa"/>
          </w:tcPr>
          <w:p w:rsidR="00D8324A" w:rsidRPr="003F15C0" w:rsidRDefault="00D8324A" w:rsidP="003B2B9F">
            <w:pPr>
              <w:spacing w:before="20"/>
              <w:ind w:left="176"/>
              <w:jc w:val="both"/>
              <w:rPr>
                <w:sz w:val="16"/>
                <w:szCs w:val="16"/>
              </w:rPr>
            </w:pPr>
            <w:r w:rsidRPr="003F15C0">
              <w:rPr>
                <w:sz w:val="16"/>
                <w:szCs w:val="16"/>
              </w:rPr>
              <w:t>No</w:t>
            </w:r>
          </w:p>
        </w:tc>
        <w:tc>
          <w:tcPr>
            <w:tcW w:w="844" w:type="dxa"/>
            <w:vAlign w:val="center"/>
          </w:tcPr>
          <w:p w:rsidR="00D8324A" w:rsidRPr="003F15C0" w:rsidRDefault="00A50DB2" w:rsidP="00232878">
            <w:pPr>
              <w:spacing w:before="20"/>
              <w:jc w:val="right"/>
              <w:rPr>
                <w:color w:val="000000"/>
                <w:sz w:val="16"/>
                <w:szCs w:val="16"/>
              </w:rPr>
            </w:pPr>
            <w:r w:rsidRPr="003F15C0">
              <w:rPr>
                <w:color w:val="000000"/>
                <w:sz w:val="16"/>
                <w:szCs w:val="16"/>
              </w:rPr>
              <w:t>1.4</w:t>
            </w:r>
          </w:p>
        </w:tc>
        <w:tc>
          <w:tcPr>
            <w:tcW w:w="1055" w:type="dxa"/>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r w:rsidRPr="003F15C0">
              <w:rPr>
                <w:color w:val="000000"/>
                <w:sz w:val="16"/>
                <w:szCs w:val="16"/>
              </w:rPr>
              <w:t>0.20</w:t>
            </w:r>
          </w:p>
        </w:tc>
      </w:tr>
      <w:tr w:rsidR="00D8324A" w:rsidRPr="003F15C0" w:rsidTr="00F959A8">
        <w:tc>
          <w:tcPr>
            <w:tcW w:w="4305" w:type="dxa"/>
            <w:vAlign w:val="bottom"/>
          </w:tcPr>
          <w:p w:rsidR="00D8324A" w:rsidRPr="003F15C0" w:rsidRDefault="00D8324A" w:rsidP="00F17A34">
            <w:pPr>
              <w:spacing w:before="20"/>
              <w:jc w:val="both"/>
              <w:rPr>
                <w:b/>
                <w:sz w:val="16"/>
                <w:szCs w:val="16"/>
              </w:rPr>
            </w:pPr>
            <w:r w:rsidRPr="003F15C0">
              <w:rPr>
                <w:b/>
                <w:bCs/>
                <w:color w:val="000000"/>
                <w:sz w:val="16"/>
                <w:szCs w:val="16"/>
              </w:rPr>
              <w:t>Ever smoked daily for a period of time</w:t>
            </w:r>
          </w:p>
        </w:tc>
        <w:tc>
          <w:tcPr>
            <w:tcW w:w="844" w:type="dxa"/>
            <w:vAlign w:val="center"/>
          </w:tcPr>
          <w:p w:rsidR="00D8324A" w:rsidRPr="003F15C0" w:rsidRDefault="00D8324A" w:rsidP="00232878">
            <w:pPr>
              <w:spacing w:before="20"/>
              <w:jc w:val="right"/>
              <w:rPr>
                <w:b/>
                <w:bCs/>
                <w:color w:val="000000"/>
                <w:sz w:val="16"/>
                <w:szCs w:val="16"/>
              </w:rPr>
            </w:pPr>
          </w:p>
        </w:tc>
        <w:tc>
          <w:tcPr>
            <w:tcW w:w="1055" w:type="dxa"/>
            <w:vAlign w:val="center"/>
          </w:tcPr>
          <w:p w:rsidR="00D8324A" w:rsidRPr="003F15C0" w:rsidRDefault="00D8324A" w:rsidP="00232878">
            <w:pPr>
              <w:spacing w:before="20"/>
              <w:jc w:val="right"/>
              <w:rPr>
                <w:color w:val="000000"/>
                <w:sz w:val="16"/>
                <w:szCs w:val="16"/>
              </w:rPr>
            </w:pPr>
          </w:p>
        </w:tc>
        <w:tc>
          <w:tcPr>
            <w:tcW w:w="992" w:type="dxa"/>
            <w:vAlign w:val="center"/>
          </w:tcPr>
          <w:p w:rsidR="00D8324A" w:rsidRPr="003F15C0" w:rsidRDefault="00D8324A" w:rsidP="00232878">
            <w:pPr>
              <w:spacing w:before="20"/>
              <w:jc w:val="right"/>
              <w:rPr>
                <w:color w:val="000000"/>
                <w:sz w:val="16"/>
                <w:szCs w:val="16"/>
              </w:rPr>
            </w:pPr>
          </w:p>
        </w:tc>
        <w:tc>
          <w:tcPr>
            <w:tcW w:w="283" w:type="dxa"/>
            <w:vAlign w:val="center"/>
          </w:tcPr>
          <w:p w:rsidR="00D8324A" w:rsidRPr="003F15C0" w:rsidRDefault="00D8324A" w:rsidP="00232878">
            <w:pPr>
              <w:spacing w:before="20"/>
              <w:jc w:val="right"/>
              <w:rPr>
                <w:color w:val="000000"/>
                <w:sz w:val="16"/>
                <w:szCs w:val="16"/>
              </w:rPr>
            </w:pPr>
          </w:p>
        </w:tc>
        <w:tc>
          <w:tcPr>
            <w:tcW w:w="1020" w:type="dxa"/>
            <w:vAlign w:val="center"/>
          </w:tcPr>
          <w:p w:rsidR="00D8324A" w:rsidRPr="003F15C0" w:rsidRDefault="00D8324A" w:rsidP="00232878">
            <w:pPr>
              <w:spacing w:before="20"/>
              <w:jc w:val="right"/>
              <w:rPr>
                <w:color w:val="000000"/>
                <w:sz w:val="16"/>
                <w:szCs w:val="16"/>
              </w:rPr>
            </w:pPr>
          </w:p>
        </w:tc>
      </w:tr>
      <w:tr w:rsidR="00FB75D9" w:rsidRPr="003F15C0" w:rsidTr="00F959A8">
        <w:tc>
          <w:tcPr>
            <w:tcW w:w="4305" w:type="dxa"/>
          </w:tcPr>
          <w:p w:rsidR="00FB75D9" w:rsidRPr="003F15C0" w:rsidRDefault="00FB75D9" w:rsidP="003B2B9F">
            <w:pPr>
              <w:spacing w:before="20"/>
              <w:ind w:left="176"/>
              <w:jc w:val="both"/>
              <w:rPr>
                <w:sz w:val="16"/>
                <w:szCs w:val="16"/>
              </w:rPr>
            </w:pPr>
            <w:r w:rsidRPr="003F15C0">
              <w:rPr>
                <w:sz w:val="16"/>
                <w:szCs w:val="16"/>
              </w:rPr>
              <w:t>Yes</w:t>
            </w:r>
          </w:p>
        </w:tc>
        <w:tc>
          <w:tcPr>
            <w:tcW w:w="844" w:type="dxa"/>
            <w:vAlign w:val="center"/>
          </w:tcPr>
          <w:p w:rsidR="00FB75D9" w:rsidRPr="003F15C0" w:rsidRDefault="00FB75D9" w:rsidP="00232878">
            <w:pPr>
              <w:spacing w:before="20"/>
              <w:jc w:val="right"/>
              <w:rPr>
                <w:color w:val="000000"/>
                <w:sz w:val="16"/>
                <w:szCs w:val="16"/>
              </w:rPr>
            </w:pPr>
            <w:r w:rsidRPr="003F15C0">
              <w:rPr>
                <w:color w:val="000000"/>
                <w:sz w:val="16"/>
                <w:szCs w:val="16"/>
              </w:rPr>
              <w:t>2.1</w:t>
            </w:r>
          </w:p>
        </w:tc>
        <w:tc>
          <w:tcPr>
            <w:tcW w:w="1055" w:type="dxa"/>
            <w:vAlign w:val="center"/>
          </w:tcPr>
          <w:p w:rsidR="00FB75D9" w:rsidRPr="003F15C0" w:rsidRDefault="00FB75D9" w:rsidP="00232878">
            <w:pPr>
              <w:spacing w:before="20"/>
              <w:jc w:val="right"/>
              <w:rPr>
                <w:color w:val="000000"/>
                <w:sz w:val="16"/>
                <w:szCs w:val="16"/>
              </w:rPr>
            </w:pPr>
            <w:r w:rsidRPr="003F15C0">
              <w:rPr>
                <w:color w:val="000000"/>
                <w:sz w:val="16"/>
                <w:szCs w:val="16"/>
              </w:rPr>
              <w:t>1.52</w:t>
            </w:r>
          </w:p>
        </w:tc>
        <w:tc>
          <w:tcPr>
            <w:tcW w:w="1275" w:type="dxa"/>
            <w:gridSpan w:val="2"/>
            <w:vAlign w:val="center"/>
          </w:tcPr>
          <w:p w:rsidR="00FB75D9" w:rsidRPr="003F15C0" w:rsidRDefault="00CE5145" w:rsidP="00FB75D9">
            <w:pPr>
              <w:spacing w:before="20"/>
              <w:jc w:val="right"/>
              <w:rPr>
                <w:color w:val="000000"/>
                <w:sz w:val="16"/>
                <w:szCs w:val="16"/>
              </w:rPr>
            </w:pPr>
            <w:r w:rsidRPr="003F15C0">
              <w:rPr>
                <w:color w:val="000000"/>
                <w:sz w:val="16"/>
                <w:szCs w:val="16"/>
              </w:rPr>
              <w:t>(</w:t>
            </w:r>
            <w:r w:rsidR="00FB75D9" w:rsidRPr="003F15C0">
              <w:rPr>
                <w:color w:val="000000"/>
                <w:sz w:val="16"/>
                <w:szCs w:val="16"/>
              </w:rPr>
              <w:t>0.79 - 2.93</w:t>
            </w:r>
            <w:r w:rsidRPr="003F15C0">
              <w:rPr>
                <w:color w:val="000000"/>
                <w:sz w:val="16"/>
                <w:szCs w:val="16"/>
              </w:rPr>
              <w:t>)</w:t>
            </w:r>
          </w:p>
        </w:tc>
        <w:tc>
          <w:tcPr>
            <w:tcW w:w="1020" w:type="dxa"/>
            <w:vAlign w:val="center"/>
          </w:tcPr>
          <w:p w:rsidR="00FB75D9" w:rsidRPr="003F15C0" w:rsidRDefault="00FB75D9" w:rsidP="00232878">
            <w:pPr>
              <w:spacing w:before="20"/>
              <w:jc w:val="right"/>
              <w:rPr>
                <w:color w:val="000000"/>
                <w:sz w:val="16"/>
                <w:szCs w:val="16"/>
              </w:rPr>
            </w:pPr>
          </w:p>
        </w:tc>
      </w:tr>
      <w:tr w:rsidR="00D8324A" w:rsidRPr="003F15C0" w:rsidTr="00F959A8">
        <w:tc>
          <w:tcPr>
            <w:tcW w:w="4305" w:type="dxa"/>
            <w:tcBorders>
              <w:bottom w:val="single" w:sz="4" w:space="0" w:color="auto"/>
            </w:tcBorders>
          </w:tcPr>
          <w:p w:rsidR="00D8324A" w:rsidRPr="003F15C0" w:rsidRDefault="00D8324A" w:rsidP="003B2B9F">
            <w:pPr>
              <w:spacing w:before="20"/>
              <w:ind w:left="176"/>
              <w:jc w:val="both"/>
              <w:rPr>
                <w:sz w:val="16"/>
                <w:szCs w:val="16"/>
              </w:rPr>
            </w:pPr>
            <w:r w:rsidRPr="003F15C0">
              <w:rPr>
                <w:sz w:val="16"/>
                <w:szCs w:val="16"/>
              </w:rPr>
              <w:t>No</w:t>
            </w:r>
          </w:p>
        </w:tc>
        <w:tc>
          <w:tcPr>
            <w:tcW w:w="844" w:type="dxa"/>
            <w:tcBorders>
              <w:bottom w:val="single" w:sz="4" w:space="0" w:color="auto"/>
            </w:tcBorders>
            <w:vAlign w:val="center"/>
          </w:tcPr>
          <w:p w:rsidR="00D8324A" w:rsidRPr="003F15C0" w:rsidRDefault="00D8324A" w:rsidP="00232878">
            <w:pPr>
              <w:spacing w:before="20"/>
              <w:jc w:val="right"/>
              <w:rPr>
                <w:color w:val="000000"/>
                <w:sz w:val="16"/>
                <w:szCs w:val="16"/>
              </w:rPr>
            </w:pPr>
            <w:r w:rsidRPr="003F15C0">
              <w:rPr>
                <w:color w:val="000000"/>
                <w:sz w:val="16"/>
                <w:szCs w:val="16"/>
              </w:rPr>
              <w:t>1.4</w:t>
            </w:r>
          </w:p>
        </w:tc>
        <w:tc>
          <w:tcPr>
            <w:tcW w:w="1055" w:type="dxa"/>
            <w:tcBorders>
              <w:bottom w:val="single" w:sz="4" w:space="0" w:color="auto"/>
            </w:tcBorders>
            <w:vAlign w:val="center"/>
          </w:tcPr>
          <w:p w:rsidR="00D8324A" w:rsidRPr="003F15C0" w:rsidRDefault="00D8324A" w:rsidP="00232878">
            <w:pPr>
              <w:spacing w:before="20"/>
              <w:jc w:val="right"/>
              <w:rPr>
                <w:color w:val="000000"/>
                <w:sz w:val="16"/>
                <w:szCs w:val="16"/>
              </w:rPr>
            </w:pPr>
            <w:r w:rsidRPr="003F15C0">
              <w:rPr>
                <w:color w:val="000000"/>
                <w:sz w:val="16"/>
                <w:szCs w:val="16"/>
              </w:rPr>
              <w:t>1.00</w:t>
            </w:r>
          </w:p>
        </w:tc>
        <w:tc>
          <w:tcPr>
            <w:tcW w:w="992" w:type="dxa"/>
            <w:tcBorders>
              <w:bottom w:val="single" w:sz="4" w:space="0" w:color="auto"/>
            </w:tcBorders>
            <w:vAlign w:val="center"/>
          </w:tcPr>
          <w:p w:rsidR="00D8324A" w:rsidRPr="003F15C0" w:rsidRDefault="00D8324A" w:rsidP="00232878">
            <w:pPr>
              <w:spacing w:before="20"/>
              <w:jc w:val="right"/>
              <w:rPr>
                <w:color w:val="000000"/>
                <w:sz w:val="16"/>
                <w:szCs w:val="16"/>
              </w:rPr>
            </w:pPr>
          </w:p>
        </w:tc>
        <w:tc>
          <w:tcPr>
            <w:tcW w:w="283" w:type="dxa"/>
            <w:tcBorders>
              <w:bottom w:val="single" w:sz="4" w:space="0" w:color="auto"/>
            </w:tcBorders>
            <w:vAlign w:val="center"/>
          </w:tcPr>
          <w:p w:rsidR="00D8324A" w:rsidRPr="003F15C0" w:rsidRDefault="00D8324A" w:rsidP="00232878">
            <w:pPr>
              <w:spacing w:before="20"/>
              <w:jc w:val="right"/>
              <w:rPr>
                <w:color w:val="000000"/>
                <w:sz w:val="16"/>
                <w:szCs w:val="16"/>
              </w:rPr>
            </w:pPr>
          </w:p>
        </w:tc>
        <w:tc>
          <w:tcPr>
            <w:tcW w:w="1020" w:type="dxa"/>
            <w:tcBorders>
              <w:bottom w:val="single" w:sz="4" w:space="0" w:color="auto"/>
            </w:tcBorders>
            <w:vAlign w:val="center"/>
          </w:tcPr>
          <w:p w:rsidR="00D8324A" w:rsidRPr="003F15C0" w:rsidRDefault="00D8324A" w:rsidP="00232878">
            <w:pPr>
              <w:spacing w:before="20"/>
              <w:jc w:val="right"/>
              <w:rPr>
                <w:color w:val="000000"/>
                <w:sz w:val="16"/>
                <w:szCs w:val="16"/>
              </w:rPr>
            </w:pPr>
            <w:r w:rsidRPr="003F15C0">
              <w:rPr>
                <w:color w:val="000000"/>
                <w:sz w:val="16"/>
                <w:szCs w:val="16"/>
              </w:rPr>
              <w:t>0.21</w:t>
            </w:r>
          </w:p>
        </w:tc>
      </w:tr>
      <w:tr w:rsidR="00D8324A" w:rsidRPr="003F15C0" w:rsidTr="00F959A8">
        <w:tc>
          <w:tcPr>
            <w:tcW w:w="4305" w:type="dxa"/>
            <w:tcBorders>
              <w:top w:val="single" w:sz="4" w:space="0" w:color="auto"/>
            </w:tcBorders>
            <w:vAlign w:val="bottom"/>
          </w:tcPr>
          <w:p w:rsidR="00D8324A" w:rsidRPr="003F15C0" w:rsidRDefault="00225B20" w:rsidP="003F15C0">
            <w:pPr>
              <w:keepNext/>
              <w:spacing w:before="20"/>
              <w:jc w:val="both"/>
              <w:rPr>
                <w:b/>
                <w:sz w:val="16"/>
                <w:szCs w:val="16"/>
              </w:rPr>
            </w:pPr>
            <w:r w:rsidRPr="003F15C0">
              <w:rPr>
                <w:b/>
                <w:bCs/>
                <w:color w:val="000000"/>
                <w:sz w:val="16"/>
                <w:szCs w:val="16"/>
              </w:rPr>
              <w:lastRenderedPageBreak/>
              <w:t>Current tobacco use</w:t>
            </w:r>
          </w:p>
        </w:tc>
        <w:tc>
          <w:tcPr>
            <w:tcW w:w="844" w:type="dxa"/>
            <w:tcBorders>
              <w:top w:val="single" w:sz="4" w:space="0" w:color="auto"/>
            </w:tcBorders>
            <w:vAlign w:val="center"/>
          </w:tcPr>
          <w:p w:rsidR="00D8324A" w:rsidRPr="003F15C0" w:rsidRDefault="00D8324A" w:rsidP="003F15C0">
            <w:pPr>
              <w:keepNext/>
              <w:spacing w:before="20"/>
              <w:jc w:val="right"/>
              <w:rPr>
                <w:b/>
                <w:bCs/>
                <w:color w:val="000000"/>
                <w:sz w:val="16"/>
                <w:szCs w:val="16"/>
              </w:rPr>
            </w:pPr>
          </w:p>
        </w:tc>
        <w:tc>
          <w:tcPr>
            <w:tcW w:w="1055"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992"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283"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c>
          <w:tcPr>
            <w:tcW w:w="1020" w:type="dxa"/>
            <w:tcBorders>
              <w:top w:val="single" w:sz="4" w:space="0" w:color="auto"/>
            </w:tcBorders>
            <w:vAlign w:val="center"/>
          </w:tcPr>
          <w:p w:rsidR="00D8324A" w:rsidRPr="003F15C0" w:rsidRDefault="00D8324A" w:rsidP="003F15C0">
            <w:pPr>
              <w:keepNext/>
              <w:spacing w:before="20"/>
              <w:jc w:val="right"/>
              <w:rPr>
                <w:b/>
                <w:color w:val="000000"/>
                <w:sz w:val="16"/>
                <w:szCs w:val="16"/>
              </w:rPr>
            </w:pPr>
          </w:p>
        </w:tc>
      </w:tr>
      <w:tr w:rsidR="00FB75D9" w:rsidRPr="003F15C0" w:rsidTr="00F959A8">
        <w:tc>
          <w:tcPr>
            <w:tcW w:w="4305" w:type="dxa"/>
          </w:tcPr>
          <w:p w:rsidR="00FB75D9" w:rsidRPr="003F15C0" w:rsidRDefault="00FB75D9" w:rsidP="003F15C0">
            <w:pPr>
              <w:keepNext/>
              <w:spacing w:before="20"/>
              <w:ind w:left="176"/>
              <w:jc w:val="both"/>
              <w:rPr>
                <w:sz w:val="16"/>
                <w:szCs w:val="16"/>
              </w:rPr>
            </w:pPr>
            <w:r w:rsidRPr="003F15C0">
              <w:rPr>
                <w:sz w:val="16"/>
                <w:szCs w:val="16"/>
              </w:rPr>
              <w:t>Does not smoke now</w:t>
            </w:r>
          </w:p>
        </w:tc>
        <w:tc>
          <w:tcPr>
            <w:tcW w:w="844" w:type="dxa"/>
          </w:tcPr>
          <w:p w:rsidR="00FB75D9" w:rsidRPr="003F15C0" w:rsidRDefault="00FB75D9" w:rsidP="003F15C0">
            <w:pPr>
              <w:keepNext/>
              <w:adjustRightInd w:val="0"/>
              <w:spacing w:before="20"/>
              <w:jc w:val="right"/>
              <w:rPr>
                <w:color w:val="000000"/>
                <w:sz w:val="16"/>
                <w:szCs w:val="16"/>
              </w:rPr>
            </w:pPr>
            <w:r w:rsidRPr="003F15C0">
              <w:rPr>
                <w:color w:val="000000"/>
                <w:sz w:val="16"/>
                <w:szCs w:val="16"/>
              </w:rPr>
              <w:t>2.4</w:t>
            </w:r>
          </w:p>
        </w:tc>
        <w:tc>
          <w:tcPr>
            <w:tcW w:w="1055" w:type="dxa"/>
            <w:vAlign w:val="center"/>
          </w:tcPr>
          <w:p w:rsidR="00FB75D9" w:rsidRPr="003F15C0" w:rsidRDefault="00FB75D9" w:rsidP="003F15C0">
            <w:pPr>
              <w:keepNext/>
              <w:spacing w:before="20"/>
              <w:jc w:val="right"/>
              <w:rPr>
                <w:color w:val="000000"/>
                <w:sz w:val="16"/>
                <w:szCs w:val="16"/>
              </w:rPr>
            </w:pPr>
            <w:r w:rsidRPr="003F15C0">
              <w:rPr>
                <w:color w:val="000000"/>
                <w:sz w:val="16"/>
                <w:szCs w:val="16"/>
              </w:rPr>
              <w:t>1.76</w:t>
            </w:r>
          </w:p>
        </w:tc>
        <w:tc>
          <w:tcPr>
            <w:tcW w:w="1275" w:type="dxa"/>
            <w:gridSpan w:val="2"/>
            <w:vAlign w:val="center"/>
          </w:tcPr>
          <w:p w:rsidR="00FB75D9" w:rsidRPr="003F15C0" w:rsidRDefault="00CE5145" w:rsidP="003F15C0">
            <w:pPr>
              <w:keepNext/>
              <w:spacing w:before="20"/>
              <w:jc w:val="right"/>
              <w:rPr>
                <w:color w:val="000000"/>
                <w:sz w:val="16"/>
                <w:szCs w:val="16"/>
              </w:rPr>
            </w:pPr>
            <w:r w:rsidRPr="003F15C0">
              <w:rPr>
                <w:color w:val="000000"/>
                <w:sz w:val="16"/>
                <w:szCs w:val="16"/>
              </w:rPr>
              <w:t>(</w:t>
            </w:r>
            <w:r w:rsidR="00FB75D9" w:rsidRPr="003F15C0">
              <w:rPr>
                <w:color w:val="000000"/>
                <w:sz w:val="16"/>
                <w:szCs w:val="16"/>
              </w:rPr>
              <w:t>0.84 - 2.83</w:t>
            </w:r>
            <w:r w:rsidRPr="003F15C0">
              <w:rPr>
                <w:color w:val="000000"/>
                <w:sz w:val="16"/>
                <w:szCs w:val="16"/>
              </w:rPr>
              <w:t>)</w:t>
            </w:r>
          </w:p>
        </w:tc>
        <w:tc>
          <w:tcPr>
            <w:tcW w:w="1020" w:type="dxa"/>
            <w:vAlign w:val="center"/>
          </w:tcPr>
          <w:p w:rsidR="00FB75D9" w:rsidRPr="003F15C0" w:rsidRDefault="00FB75D9" w:rsidP="003F15C0">
            <w:pPr>
              <w:keepNext/>
              <w:spacing w:before="20"/>
              <w:jc w:val="right"/>
              <w:rPr>
                <w:color w:val="000000"/>
                <w:sz w:val="16"/>
                <w:szCs w:val="16"/>
              </w:rPr>
            </w:pPr>
          </w:p>
        </w:tc>
      </w:tr>
      <w:tr w:rsidR="00FB75D9" w:rsidRPr="003F15C0" w:rsidTr="00F959A8">
        <w:tc>
          <w:tcPr>
            <w:tcW w:w="4305" w:type="dxa"/>
          </w:tcPr>
          <w:p w:rsidR="00FB75D9" w:rsidRPr="003F15C0" w:rsidRDefault="00FB75D9" w:rsidP="003F15C0">
            <w:pPr>
              <w:keepNext/>
              <w:spacing w:before="20"/>
              <w:ind w:left="176"/>
              <w:jc w:val="both"/>
              <w:rPr>
                <w:sz w:val="16"/>
                <w:szCs w:val="16"/>
              </w:rPr>
            </w:pPr>
            <w:r w:rsidRPr="003F15C0">
              <w:rPr>
                <w:sz w:val="16"/>
                <w:szCs w:val="16"/>
              </w:rPr>
              <w:t>Current smoker</w:t>
            </w:r>
          </w:p>
        </w:tc>
        <w:tc>
          <w:tcPr>
            <w:tcW w:w="844" w:type="dxa"/>
          </w:tcPr>
          <w:p w:rsidR="00FB75D9" w:rsidRPr="003F15C0" w:rsidRDefault="00FB75D9" w:rsidP="003F15C0">
            <w:pPr>
              <w:keepNext/>
              <w:adjustRightInd w:val="0"/>
              <w:spacing w:before="20"/>
              <w:jc w:val="right"/>
              <w:rPr>
                <w:color w:val="000000"/>
                <w:sz w:val="16"/>
                <w:szCs w:val="16"/>
              </w:rPr>
            </w:pPr>
            <w:r w:rsidRPr="003F15C0">
              <w:rPr>
                <w:color w:val="000000"/>
                <w:sz w:val="16"/>
                <w:szCs w:val="16"/>
              </w:rPr>
              <w:t>1.6</w:t>
            </w:r>
          </w:p>
        </w:tc>
        <w:tc>
          <w:tcPr>
            <w:tcW w:w="1055" w:type="dxa"/>
            <w:vAlign w:val="center"/>
          </w:tcPr>
          <w:p w:rsidR="00FB75D9" w:rsidRPr="003F15C0" w:rsidRDefault="00FB75D9" w:rsidP="003F15C0">
            <w:pPr>
              <w:keepNext/>
              <w:spacing w:before="20"/>
              <w:jc w:val="right"/>
              <w:rPr>
                <w:color w:val="000000"/>
                <w:sz w:val="16"/>
                <w:szCs w:val="16"/>
              </w:rPr>
            </w:pPr>
            <w:r w:rsidRPr="003F15C0">
              <w:rPr>
                <w:color w:val="000000"/>
                <w:sz w:val="16"/>
                <w:szCs w:val="16"/>
              </w:rPr>
              <w:t>1.17</w:t>
            </w:r>
          </w:p>
        </w:tc>
        <w:tc>
          <w:tcPr>
            <w:tcW w:w="1275" w:type="dxa"/>
            <w:gridSpan w:val="2"/>
            <w:vAlign w:val="center"/>
          </w:tcPr>
          <w:p w:rsidR="00FB75D9" w:rsidRPr="003F15C0" w:rsidRDefault="00CE5145" w:rsidP="003F15C0">
            <w:pPr>
              <w:keepNext/>
              <w:spacing w:before="20"/>
              <w:jc w:val="right"/>
              <w:rPr>
                <w:color w:val="000000"/>
                <w:sz w:val="16"/>
                <w:szCs w:val="16"/>
              </w:rPr>
            </w:pPr>
            <w:r w:rsidRPr="003F15C0">
              <w:rPr>
                <w:color w:val="000000"/>
                <w:sz w:val="16"/>
                <w:szCs w:val="16"/>
              </w:rPr>
              <w:t>(</w:t>
            </w:r>
            <w:r w:rsidR="00FB75D9" w:rsidRPr="003F15C0">
              <w:rPr>
                <w:color w:val="000000"/>
                <w:sz w:val="16"/>
                <w:szCs w:val="16"/>
              </w:rPr>
              <w:t>0.84 - 3.68</w:t>
            </w:r>
            <w:r w:rsidRPr="003F15C0">
              <w:rPr>
                <w:color w:val="000000"/>
                <w:sz w:val="16"/>
                <w:szCs w:val="16"/>
              </w:rPr>
              <w:t>)</w:t>
            </w:r>
          </w:p>
        </w:tc>
        <w:tc>
          <w:tcPr>
            <w:tcW w:w="1020" w:type="dxa"/>
            <w:vAlign w:val="center"/>
          </w:tcPr>
          <w:p w:rsidR="00FB75D9" w:rsidRPr="003F15C0" w:rsidRDefault="00FB75D9" w:rsidP="003F15C0">
            <w:pPr>
              <w:keepNext/>
              <w:spacing w:before="20"/>
              <w:jc w:val="right"/>
              <w:rPr>
                <w:color w:val="000000"/>
                <w:sz w:val="16"/>
                <w:szCs w:val="16"/>
              </w:rPr>
            </w:pPr>
          </w:p>
        </w:tc>
      </w:tr>
      <w:tr w:rsidR="00D8324A" w:rsidRPr="003F15C0" w:rsidTr="00F959A8">
        <w:tc>
          <w:tcPr>
            <w:tcW w:w="4305" w:type="dxa"/>
            <w:tcBorders>
              <w:bottom w:val="single" w:sz="4" w:space="0" w:color="auto"/>
            </w:tcBorders>
          </w:tcPr>
          <w:p w:rsidR="00D8324A" w:rsidRPr="003F15C0" w:rsidRDefault="00225B20" w:rsidP="003F15C0">
            <w:pPr>
              <w:keepNext/>
              <w:spacing w:before="20"/>
              <w:ind w:left="176"/>
              <w:jc w:val="both"/>
              <w:rPr>
                <w:sz w:val="16"/>
                <w:szCs w:val="16"/>
              </w:rPr>
            </w:pPr>
            <w:r w:rsidRPr="003F15C0">
              <w:rPr>
                <w:sz w:val="16"/>
                <w:szCs w:val="16"/>
              </w:rPr>
              <w:t>Never smoked</w:t>
            </w:r>
          </w:p>
        </w:tc>
        <w:tc>
          <w:tcPr>
            <w:tcW w:w="844" w:type="dxa"/>
            <w:tcBorders>
              <w:bottom w:val="single" w:sz="4" w:space="0" w:color="auto"/>
            </w:tcBorders>
          </w:tcPr>
          <w:p w:rsidR="00D8324A" w:rsidRPr="003F15C0" w:rsidRDefault="00A50DB2" w:rsidP="003F15C0">
            <w:pPr>
              <w:keepNext/>
              <w:adjustRightInd w:val="0"/>
              <w:spacing w:before="20"/>
              <w:jc w:val="right"/>
              <w:rPr>
                <w:color w:val="000000"/>
                <w:sz w:val="16"/>
                <w:szCs w:val="16"/>
              </w:rPr>
            </w:pPr>
            <w:r w:rsidRPr="003F15C0">
              <w:rPr>
                <w:color w:val="000000"/>
                <w:sz w:val="16"/>
                <w:szCs w:val="16"/>
              </w:rPr>
              <w:t>1.4</w:t>
            </w:r>
          </w:p>
        </w:tc>
        <w:tc>
          <w:tcPr>
            <w:tcW w:w="1055" w:type="dxa"/>
            <w:tcBorders>
              <w:bottom w:val="single" w:sz="4" w:space="0" w:color="auto"/>
            </w:tcBorders>
            <w:vAlign w:val="center"/>
          </w:tcPr>
          <w:p w:rsidR="00D8324A" w:rsidRPr="003F15C0" w:rsidRDefault="00D8324A" w:rsidP="003F15C0">
            <w:pPr>
              <w:keepNext/>
              <w:spacing w:before="20"/>
              <w:jc w:val="right"/>
              <w:rPr>
                <w:color w:val="000000"/>
                <w:sz w:val="16"/>
                <w:szCs w:val="16"/>
              </w:rPr>
            </w:pPr>
            <w:r w:rsidRPr="003F15C0">
              <w:rPr>
                <w:color w:val="000000"/>
                <w:sz w:val="16"/>
                <w:szCs w:val="16"/>
              </w:rPr>
              <w:t>1.00</w:t>
            </w:r>
          </w:p>
        </w:tc>
        <w:tc>
          <w:tcPr>
            <w:tcW w:w="992" w:type="dxa"/>
            <w:tcBorders>
              <w:bottom w:val="single" w:sz="4" w:space="0" w:color="auto"/>
            </w:tcBorders>
            <w:vAlign w:val="center"/>
          </w:tcPr>
          <w:p w:rsidR="00D8324A" w:rsidRPr="003F15C0" w:rsidRDefault="00D8324A" w:rsidP="003F15C0">
            <w:pPr>
              <w:keepNext/>
              <w:spacing w:before="20"/>
              <w:jc w:val="right"/>
              <w:rPr>
                <w:color w:val="000000"/>
                <w:sz w:val="16"/>
                <w:szCs w:val="16"/>
              </w:rPr>
            </w:pPr>
          </w:p>
        </w:tc>
        <w:tc>
          <w:tcPr>
            <w:tcW w:w="283" w:type="dxa"/>
            <w:tcBorders>
              <w:bottom w:val="single" w:sz="4" w:space="0" w:color="auto"/>
            </w:tcBorders>
            <w:vAlign w:val="center"/>
          </w:tcPr>
          <w:p w:rsidR="00D8324A" w:rsidRPr="003F15C0" w:rsidRDefault="00D8324A" w:rsidP="003F15C0">
            <w:pPr>
              <w:keepNext/>
              <w:spacing w:before="20"/>
              <w:jc w:val="right"/>
              <w:rPr>
                <w:color w:val="000000"/>
                <w:sz w:val="16"/>
                <w:szCs w:val="16"/>
              </w:rPr>
            </w:pPr>
          </w:p>
        </w:tc>
        <w:tc>
          <w:tcPr>
            <w:tcW w:w="1020" w:type="dxa"/>
            <w:tcBorders>
              <w:bottom w:val="single" w:sz="4" w:space="0" w:color="auto"/>
            </w:tcBorders>
            <w:vAlign w:val="center"/>
          </w:tcPr>
          <w:p w:rsidR="00D8324A" w:rsidRPr="003F15C0" w:rsidRDefault="00D8324A" w:rsidP="003F15C0">
            <w:pPr>
              <w:keepNext/>
              <w:spacing w:before="20"/>
              <w:jc w:val="right"/>
              <w:rPr>
                <w:color w:val="000000"/>
                <w:sz w:val="16"/>
                <w:szCs w:val="16"/>
              </w:rPr>
            </w:pPr>
            <w:r w:rsidRPr="003F15C0">
              <w:rPr>
                <w:color w:val="000000"/>
                <w:sz w:val="16"/>
                <w:szCs w:val="16"/>
              </w:rPr>
              <w:t>0.32</w:t>
            </w:r>
          </w:p>
        </w:tc>
      </w:tr>
    </w:tbl>
    <w:p w:rsidR="00573D0F" w:rsidRPr="0034241E" w:rsidRDefault="00573D0F" w:rsidP="00573D0F">
      <w:pPr>
        <w:rPr>
          <w:sz w:val="18"/>
        </w:rPr>
      </w:pPr>
      <w:r>
        <w:rPr>
          <w:sz w:val="18"/>
        </w:rPr>
        <w:t>Data</w:t>
      </w:r>
      <w:r w:rsidRPr="0034241E">
        <w:rPr>
          <w:sz w:val="18"/>
        </w:rPr>
        <w:t xml:space="preserve"> weighted for 2013 Census data (both Waves) and attrition (Wave 2)</w:t>
      </w:r>
    </w:p>
    <w:p w:rsidR="007D4B0B" w:rsidRDefault="007D4B0B" w:rsidP="00370CEE"/>
    <w:p w:rsidR="00CB35E8" w:rsidRDefault="00CB35E8">
      <w:r>
        <w:br w:type="page"/>
      </w:r>
    </w:p>
    <w:p w:rsidR="00CB35E8" w:rsidRDefault="00CB35E8" w:rsidP="00CB35E8">
      <w:pPr>
        <w:pStyle w:val="Heading3b"/>
        <w:numPr>
          <w:ilvl w:val="0"/>
          <w:numId w:val="0"/>
        </w:numPr>
        <w:spacing w:before="0" w:after="0"/>
        <w:jc w:val="both"/>
        <w:rPr>
          <w:rFonts w:ascii="Times New Roman" w:hAnsi="Times New Roman" w:cs="Times New Roman"/>
          <w:b/>
          <w:i w:val="0"/>
        </w:rPr>
      </w:pPr>
      <w:bookmarkStart w:id="277" w:name="_Toc420392633"/>
      <w:r w:rsidRPr="00BA54F7">
        <w:rPr>
          <w:rFonts w:ascii="Times New Roman" w:hAnsi="Times New Roman" w:cs="Times New Roman"/>
          <w:b/>
          <w:i w:val="0"/>
        </w:rPr>
        <w:lastRenderedPageBreak/>
        <w:t xml:space="preserve">Appendix </w:t>
      </w:r>
      <w:r w:rsidRPr="00BA54F7">
        <w:rPr>
          <w:rFonts w:ascii="Times New Roman" w:hAnsi="Times New Roman" w:cs="Times New Roman"/>
          <w:b/>
          <w:i w:val="0"/>
        </w:rPr>
        <w:fldChar w:fldCharType="begin"/>
      </w:r>
      <w:r w:rsidRPr="00BA54F7">
        <w:rPr>
          <w:rFonts w:ascii="Times New Roman" w:hAnsi="Times New Roman" w:cs="Times New Roman"/>
          <w:b/>
          <w:i w:val="0"/>
        </w:rPr>
        <w:instrText xml:space="preserve"> SEQ Appendix \* ARABIC </w:instrText>
      </w:r>
      <w:r w:rsidRPr="00BA54F7">
        <w:rPr>
          <w:rFonts w:ascii="Times New Roman" w:hAnsi="Times New Roman" w:cs="Times New Roman"/>
          <w:b/>
          <w:i w:val="0"/>
        </w:rPr>
        <w:fldChar w:fldCharType="separate"/>
      </w:r>
      <w:r w:rsidR="00B2175B">
        <w:rPr>
          <w:rFonts w:ascii="Times New Roman" w:hAnsi="Times New Roman" w:cs="Times New Roman"/>
          <w:b/>
          <w:i w:val="0"/>
          <w:noProof/>
        </w:rPr>
        <w:t>10</w:t>
      </w:r>
      <w:r w:rsidRPr="00BA54F7">
        <w:rPr>
          <w:rFonts w:ascii="Times New Roman" w:hAnsi="Times New Roman" w:cs="Times New Roman"/>
          <w:b/>
          <w:i w:val="0"/>
        </w:rPr>
        <w:fldChar w:fldCharType="end"/>
      </w:r>
      <w:r w:rsidRPr="00BA54F7">
        <w:rPr>
          <w:rFonts w:ascii="Times New Roman" w:hAnsi="Times New Roman" w:cs="Times New Roman"/>
          <w:b/>
          <w:i w:val="0"/>
        </w:rPr>
        <w:t xml:space="preserve">: </w:t>
      </w:r>
      <w:r w:rsidR="007F2FB4">
        <w:rPr>
          <w:rFonts w:ascii="Times New Roman" w:hAnsi="Times New Roman" w:cs="Times New Roman"/>
          <w:b/>
          <w:i w:val="0"/>
        </w:rPr>
        <w:t>Bivariate associations</w:t>
      </w:r>
      <w:r>
        <w:rPr>
          <w:rFonts w:ascii="Times New Roman" w:hAnsi="Times New Roman" w:cs="Times New Roman"/>
          <w:b/>
          <w:i w:val="0"/>
        </w:rPr>
        <w:t xml:space="preserve"> for </w:t>
      </w:r>
      <w:r w:rsidR="00E02871">
        <w:rPr>
          <w:rFonts w:ascii="Times New Roman" w:hAnsi="Times New Roman" w:cs="Times New Roman"/>
          <w:b/>
          <w:i w:val="0"/>
        </w:rPr>
        <w:t>staying as moderate-risk</w:t>
      </w:r>
      <w:r>
        <w:rPr>
          <w:rFonts w:ascii="Times New Roman" w:hAnsi="Times New Roman" w:cs="Times New Roman"/>
          <w:b/>
          <w:i w:val="0"/>
        </w:rPr>
        <w:t xml:space="preserve">/problem gambler </w:t>
      </w:r>
      <w:r w:rsidR="007C56C7">
        <w:rPr>
          <w:rFonts w:ascii="Times New Roman" w:hAnsi="Times New Roman" w:cs="Times New Roman"/>
          <w:b/>
          <w:i w:val="0"/>
        </w:rPr>
        <w:t>in</w:t>
      </w:r>
      <w:r>
        <w:rPr>
          <w:rFonts w:ascii="Times New Roman" w:hAnsi="Times New Roman" w:cs="Times New Roman"/>
          <w:b/>
          <w:i w:val="0"/>
        </w:rPr>
        <w:t xml:space="preserve"> Wave 2</w:t>
      </w:r>
      <w:bookmarkEnd w:id="277"/>
    </w:p>
    <w:p w:rsidR="00CB35E8" w:rsidRPr="00BA54F7" w:rsidRDefault="00CB35E8" w:rsidP="00CB35E8">
      <w:pPr>
        <w:pStyle w:val="RepNormal"/>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7"/>
        <w:gridCol w:w="1134"/>
        <w:gridCol w:w="968"/>
        <w:gridCol w:w="270"/>
        <w:gridCol w:w="747"/>
      </w:tblGrid>
      <w:tr w:rsidR="00CB35E8" w:rsidRPr="009B1415" w:rsidTr="00F959A8">
        <w:trPr>
          <w:tblHeader/>
        </w:trPr>
        <w:tc>
          <w:tcPr>
            <w:tcW w:w="4786" w:type="dxa"/>
            <w:tcBorders>
              <w:top w:val="single" w:sz="4" w:space="0" w:color="auto"/>
              <w:bottom w:val="single" w:sz="4" w:space="0" w:color="auto"/>
            </w:tcBorders>
            <w:vAlign w:val="bottom"/>
          </w:tcPr>
          <w:p w:rsidR="00CB35E8" w:rsidRPr="009B1415" w:rsidRDefault="00CB35E8" w:rsidP="00CB35E8">
            <w:pPr>
              <w:spacing w:before="20"/>
              <w:jc w:val="both"/>
              <w:rPr>
                <w:b/>
                <w:sz w:val="16"/>
                <w:szCs w:val="16"/>
              </w:rPr>
            </w:pPr>
            <w:r w:rsidRPr="009B1415">
              <w:rPr>
                <w:b/>
                <w:sz w:val="16"/>
                <w:szCs w:val="16"/>
              </w:rPr>
              <w:t>Variable</w:t>
            </w:r>
          </w:p>
        </w:tc>
        <w:tc>
          <w:tcPr>
            <w:tcW w:w="567" w:type="dxa"/>
            <w:tcBorders>
              <w:top w:val="single" w:sz="4" w:space="0" w:color="auto"/>
              <w:bottom w:val="single" w:sz="4" w:space="0" w:color="auto"/>
            </w:tcBorders>
            <w:vAlign w:val="center"/>
          </w:tcPr>
          <w:p w:rsidR="00CB35E8" w:rsidRPr="003F15C0" w:rsidRDefault="00CB35E8" w:rsidP="00BF573E">
            <w:pPr>
              <w:spacing w:before="20"/>
              <w:jc w:val="right"/>
              <w:rPr>
                <w:b/>
                <w:bCs/>
                <w:color w:val="000000"/>
                <w:sz w:val="16"/>
                <w:szCs w:val="16"/>
              </w:rPr>
            </w:pPr>
            <w:r w:rsidRPr="003F15C0">
              <w:rPr>
                <w:b/>
                <w:bCs/>
                <w:color w:val="000000"/>
                <w:sz w:val="16"/>
                <w:szCs w:val="16"/>
              </w:rPr>
              <w:t>%</w:t>
            </w:r>
          </w:p>
        </w:tc>
        <w:tc>
          <w:tcPr>
            <w:tcW w:w="1134" w:type="dxa"/>
            <w:tcBorders>
              <w:top w:val="single" w:sz="4" w:space="0" w:color="auto"/>
              <w:bottom w:val="single" w:sz="4" w:space="0" w:color="auto"/>
            </w:tcBorders>
            <w:vAlign w:val="center"/>
          </w:tcPr>
          <w:p w:rsidR="00CB35E8" w:rsidRPr="003F15C0" w:rsidRDefault="00CB35E8" w:rsidP="00BF573E">
            <w:pPr>
              <w:spacing w:before="20"/>
              <w:jc w:val="right"/>
              <w:rPr>
                <w:b/>
                <w:color w:val="000000"/>
                <w:sz w:val="16"/>
                <w:szCs w:val="16"/>
              </w:rPr>
            </w:pPr>
            <w:r w:rsidRPr="003F15C0">
              <w:rPr>
                <w:b/>
                <w:color w:val="000000"/>
                <w:sz w:val="16"/>
                <w:szCs w:val="16"/>
              </w:rPr>
              <w:t>Odds Ratio</w:t>
            </w:r>
          </w:p>
        </w:tc>
        <w:tc>
          <w:tcPr>
            <w:tcW w:w="1238" w:type="dxa"/>
            <w:gridSpan w:val="2"/>
            <w:tcBorders>
              <w:top w:val="single" w:sz="4" w:space="0" w:color="auto"/>
              <w:bottom w:val="single" w:sz="4" w:space="0" w:color="auto"/>
            </w:tcBorders>
            <w:vAlign w:val="center"/>
          </w:tcPr>
          <w:p w:rsidR="00CB35E8" w:rsidRPr="003F15C0" w:rsidRDefault="009A56CE" w:rsidP="00BF573E">
            <w:pPr>
              <w:spacing w:before="20"/>
              <w:jc w:val="right"/>
              <w:rPr>
                <w:b/>
                <w:color w:val="000000"/>
                <w:sz w:val="16"/>
                <w:szCs w:val="16"/>
              </w:rPr>
            </w:pPr>
            <w:r w:rsidRPr="003F15C0">
              <w:rPr>
                <w:b/>
                <w:color w:val="000000"/>
                <w:sz w:val="16"/>
                <w:szCs w:val="16"/>
              </w:rPr>
              <w:t>(</w:t>
            </w:r>
            <w:r w:rsidR="00CB35E8" w:rsidRPr="003F15C0">
              <w:rPr>
                <w:b/>
                <w:color w:val="000000"/>
                <w:sz w:val="16"/>
                <w:szCs w:val="16"/>
              </w:rPr>
              <w:t>95% CI</w:t>
            </w:r>
            <w:r w:rsidRPr="003F15C0">
              <w:rPr>
                <w:b/>
                <w:color w:val="000000"/>
                <w:sz w:val="16"/>
                <w:szCs w:val="16"/>
              </w:rPr>
              <w:t>)</w:t>
            </w:r>
          </w:p>
        </w:tc>
        <w:tc>
          <w:tcPr>
            <w:tcW w:w="747" w:type="dxa"/>
            <w:tcBorders>
              <w:top w:val="single" w:sz="4" w:space="0" w:color="auto"/>
              <w:bottom w:val="single" w:sz="4" w:space="0" w:color="auto"/>
            </w:tcBorders>
            <w:vAlign w:val="center"/>
          </w:tcPr>
          <w:p w:rsidR="00CB35E8" w:rsidRPr="003F15C0" w:rsidRDefault="00CB35E8" w:rsidP="00BF573E">
            <w:pPr>
              <w:spacing w:before="20"/>
              <w:jc w:val="right"/>
              <w:rPr>
                <w:b/>
                <w:color w:val="000000"/>
                <w:sz w:val="16"/>
                <w:szCs w:val="16"/>
              </w:rPr>
            </w:pPr>
            <w:r w:rsidRPr="003F15C0">
              <w:rPr>
                <w:b/>
                <w:color w:val="000000"/>
                <w:sz w:val="16"/>
                <w:szCs w:val="16"/>
              </w:rPr>
              <w:t>p-value</w:t>
            </w:r>
          </w:p>
        </w:tc>
      </w:tr>
      <w:tr w:rsidR="00CB35E8" w:rsidRPr="009B1415" w:rsidTr="00F959A8">
        <w:tc>
          <w:tcPr>
            <w:tcW w:w="4786" w:type="dxa"/>
            <w:tcBorders>
              <w:top w:val="single" w:sz="4" w:space="0" w:color="auto"/>
            </w:tcBorders>
            <w:vAlign w:val="bottom"/>
          </w:tcPr>
          <w:p w:rsidR="00CB35E8" w:rsidRPr="009B1415" w:rsidRDefault="00CB35E8" w:rsidP="00CB35E8">
            <w:pPr>
              <w:spacing w:before="20"/>
              <w:jc w:val="both"/>
              <w:rPr>
                <w:b/>
                <w:sz w:val="16"/>
                <w:szCs w:val="16"/>
              </w:rPr>
            </w:pPr>
            <w:r w:rsidRPr="009B1415">
              <w:rPr>
                <w:b/>
                <w:sz w:val="16"/>
                <w:szCs w:val="16"/>
              </w:rPr>
              <w:t>Age group (years)</w:t>
            </w:r>
          </w:p>
        </w:tc>
        <w:tc>
          <w:tcPr>
            <w:tcW w:w="567" w:type="dxa"/>
            <w:tcBorders>
              <w:top w:val="single" w:sz="4" w:space="0" w:color="auto"/>
            </w:tcBorders>
            <w:vAlign w:val="center"/>
          </w:tcPr>
          <w:p w:rsidR="00CB35E8" w:rsidRPr="009B1415" w:rsidRDefault="00CB35E8" w:rsidP="00BF573E">
            <w:pPr>
              <w:spacing w:before="20"/>
              <w:jc w:val="right"/>
              <w:rPr>
                <w:rFonts w:ascii="Calibri" w:hAnsi="Calibri"/>
                <w:b/>
                <w:bCs/>
                <w:color w:val="000000"/>
                <w:sz w:val="16"/>
                <w:szCs w:val="16"/>
              </w:rPr>
            </w:pPr>
          </w:p>
        </w:tc>
        <w:tc>
          <w:tcPr>
            <w:tcW w:w="1134" w:type="dxa"/>
            <w:tcBorders>
              <w:top w:val="single" w:sz="4" w:space="0" w:color="auto"/>
            </w:tcBorders>
            <w:vAlign w:val="center"/>
          </w:tcPr>
          <w:p w:rsidR="00CB35E8" w:rsidRPr="009B1415" w:rsidRDefault="00CB35E8" w:rsidP="00BF573E">
            <w:pPr>
              <w:spacing w:before="20"/>
              <w:jc w:val="right"/>
              <w:rPr>
                <w:rFonts w:ascii="Calibri" w:hAnsi="Calibri"/>
                <w:b/>
                <w:color w:val="000000"/>
                <w:sz w:val="16"/>
                <w:szCs w:val="16"/>
              </w:rPr>
            </w:pPr>
          </w:p>
        </w:tc>
        <w:tc>
          <w:tcPr>
            <w:tcW w:w="968" w:type="dxa"/>
            <w:tcBorders>
              <w:top w:val="single" w:sz="4" w:space="0" w:color="auto"/>
            </w:tcBorders>
            <w:vAlign w:val="center"/>
          </w:tcPr>
          <w:p w:rsidR="00CB35E8" w:rsidRPr="009B1415" w:rsidRDefault="00CB35E8" w:rsidP="00BF573E">
            <w:pPr>
              <w:spacing w:before="20"/>
              <w:jc w:val="right"/>
              <w:rPr>
                <w:rFonts w:ascii="Calibri" w:hAnsi="Calibri"/>
                <w:b/>
                <w:color w:val="000000"/>
                <w:sz w:val="16"/>
                <w:szCs w:val="16"/>
              </w:rPr>
            </w:pPr>
          </w:p>
        </w:tc>
        <w:tc>
          <w:tcPr>
            <w:tcW w:w="270" w:type="dxa"/>
            <w:tcBorders>
              <w:top w:val="single" w:sz="4" w:space="0" w:color="auto"/>
            </w:tcBorders>
            <w:vAlign w:val="center"/>
          </w:tcPr>
          <w:p w:rsidR="00CB35E8" w:rsidRPr="009B1415" w:rsidRDefault="00CB35E8" w:rsidP="00BF573E">
            <w:pPr>
              <w:spacing w:before="20"/>
              <w:jc w:val="right"/>
              <w:rPr>
                <w:rFonts w:ascii="Calibri" w:hAnsi="Calibri"/>
                <w:b/>
                <w:color w:val="000000"/>
                <w:sz w:val="16"/>
                <w:szCs w:val="16"/>
              </w:rPr>
            </w:pPr>
          </w:p>
        </w:tc>
        <w:tc>
          <w:tcPr>
            <w:tcW w:w="747" w:type="dxa"/>
            <w:tcBorders>
              <w:top w:val="single" w:sz="4" w:space="0" w:color="auto"/>
            </w:tcBorders>
            <w:vAlign w:val="center"/>
          </w:tcPr>
          <w:p w:rsidR="00CB35E8" w:rsidRPr="009B1415" w:rsidRDefault="00CB35E8" w:rsidP="00BF573E">
            <w:pPr>
              <w:spacing w:before="20"/>
              <w:jc w:val="right"/>
              <w:rPr>
                <w:rFonts w:ascii="Calibri" w:hAnsi="Calibri"/>
                <w:b/>
                <w:color w:val="000000"/>
                <w:sz w:val="16"/>
                <w:szCs w:val="16"/>
              </w:rPr>
            </w:pPr>
          </w:p>
        </w:tc>
      </w:tr>
      <w:tr w:rsidR="00CB35E8" w:rsidRPr="009B1415" w:rsidTr="00F959A8">
        <w:tc>
          <w:tcPr>
            <w:tcW w:w="4786" w:type="dxa"/>
          </w:tcPr>
          <w:p w:rsidR="00CB35E8" w:rsidRPr="009B1415" w:rsidRDefault="00CB35E8" w:rsidP="00CB35E8">
            <w:pPr>
              <w:spacing w:before="20"/>
              <w:ind w:left="176"/>
              <w:jc w:val="both"/>
              <w:rPr>
                <w:sz w:val="16"/>
                <w:szCs w:val="16"/>
              </w:rPr>
            </w:pPr>
            <w:r w:rsidRPr="009B1415">
              <w:rPr>
                <w:sz w:val="16"/>
                <w:szCs w:val="16"/>
              </w:rPr>
              <w:t>18 - 24</w:t>
            </w:r>
          </w:p>
        </w:tc>
        <w:tc>
          <w:tcPr>
            <w:tcW w:w="567" w:type="dxa"/>
          </w:tcPr>
          <w:p w:rsidR="00CB35E8" w:rsidRPr="00CB35E8" w:rsidRDefault="00A50DB2" w:rsidP="00BF573E">
            <w:pPr>
              <w:adjustRightInd w:val="0"/>
              <w:spacing w:before="20"/>
              <w:jc w:val="right"/>
              <w:rPr>
                <w:color w:val="000000"/>
                <w:sz w:val="16"/>
                <w:szCs w:val="16"/>
              </w:rPr>
            </w:pPr>
            <w:r>
              <w:rPr>
                <w:color w:val="000000"/>
                <w:sz w:val="16"/>
                <w:szCs w:val="16"/>
              </w:rPr>
              <w:t>31.2</w:t>
            </w:r>
          </w:p>
        </w:tc>
        <w:tc>
          <w:tcPr>
            <w:tcW w:w="1134" w:type="dxa"/>
          </w:tcPr>
          <w:p w:rsidR="00CB35E8" w:rsidRPr="00CB35E8" w:rsidRDefault="00CB35E8" w:rsidP="00BF573E">
            <w:pPr>
              <w:adjustRightInd w:val="0"/>
              <w:spacing w:before="20"/>
              <w:jc w:val="right"/>
              <w:rPr>
                <w:color w:val="000000"/>
                <w:sz w:val="16"/>
                <w:szCs w:val="16"/>
              </w:rPr>
            </w:pPr>
            <w:r w:rsidRPr="00CB35E8">
              <w:rPr>
                <w:color w:val="000000"/>
                <w:sz w:val="16"/>
                <w:szCs w:val="16"/>
              </w:rPr>
              <w:t>1.00</w:t>
            </w: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25 - 34</w:t>
            </w:r>
          </w:p>
        </w:tc>
        <w:tc>
          <w:tcPr>
            <w:tcW w:w="567" w:type="dxa"/>
          </w:tcPr>
          <w:p w:rsidR="00BF573E" w:rsidRPr="00CB35E8" w:rsidRDefault="00BF573E" w:rsidP="00BF573E">
            <w:pPr>
              <w:adjustRightInd w:val="0"/>
              <w:spacing w:before="20"/>
              <w:jc w:val="right"/>
              <w:rPr>
                <w:color w:val="000000"/>
                <w:sz w:val="16"/>
                <w:szCs w:val="16"/>
              </w:rPr>
            </w:pPr>
            <w:r w:rsidRPr="00CB35E8">
              <w:rPr>
                <w:color w:val="000000"/>
                <w:sz w:val="16"/>
                <w:szCs w:val="16"/>
              </w:rPr>
              <w:t>39.0</w:t>
            </w:r>
          </w:p>
        </w:tc>
        <w:tc>
          <w:tcPr>
            <w:tcW w:w="1134" w:type="dxa"/>
          </w:tcPr>
          <w:p w:rsidR="00BF573E" w:rsidRPr="00CB35E8" w:rsidRDefault="00BF573E" w:rsidP="00BF573E">
            <w:pPr>
              <w:adjustRightInd w:val="0"/>
              <w:spacing w:before="20"/>
              <w:jc w:val="right"/>
              <w:rPr>
                <w:color w:val="000000"/>
                <w:sz w:val="16"/>
                <w:szCs w:val="16"/>
              </w:rPr>
            </w:pPr>
            <w:r w:rsidRPr="00CB35E8">
              <w:rPr>
                <w:color w:val="000000"/>
                <w:sz w:val="16"/>
                <w:szCs w:val="16"/>
              </w:rPr>
              <w:t>1.41</w:t>
            </w:r>
          </w:p>
        </w:tc>
        <w:tc>
          <w:tcPr>
            <w:tcW w:w="1238" w:type="dxa"/>
            <w:gridSpan w:val="2"/>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0.25</w:t>
            </w:r>
            <w:r w:rsidR="00BF573E">
              <w:rPr>
                <w:color w:val="000000"/>
                <w:sz w:val="16"/>
                <w:szCs w:val="16"/>
              </w:rPr>
              <w:t xml:space="preserve"> - </w:t>
            </w:r>
            <w:r w:rsidR="00BF573E" w:rsidRPr="00573D0F">
              <w:rPr>
                <w:color w:val="000000"/>
                <w:sz w:val="16"/>
                <w:szCs w:val="16"/>
              </w:rPr>
              <w:t>8.10</w:t>
            </w:r>
            <w:r>
              <w:rPr>
                <w:color w:val="000000"/>
                <w:sz w:val="16"/>
                <w:szCs w:val="16"/>
              </w:rPr>
              <w:t>)</w:t>
            </w:r>
          </w:p>
        </w:tc>
        <w:tc>
          <w:tcPr>
            <w:tcW w:w="747" w:type="dxa"/>
          </w:tcPr>
          <w:p w:rsidR="00BF573E" w:rsidRPr="00573D0F"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35 - 44</w:t>
            </w:r>
          </w:p>
        </w:tc>
        <w:tc>
          <w:tcPr>
            <w:tcW w:w="567" w:type="dxa"/>
          </w:tcPr>
          <w:p w:rsidR="00BF573E" w:rsidRPr="00CB35E8" w:rsidRDefault="00BF573E" w:rsidP="00BF573E">
            <w:pPr>
              <w:adjustRightInd w:val="0"/>
              <w:spacing w:before="20"/>
              <w:jc w:val="right"/>
              <w:rPr>
                <w:color w:val="000000"/>
                <w:sz w:val="16"/>
                <w:szCs w:val="16"/>
              </w:rPr>
            </w:pPr>
            <w:r w:rsidRPr="00CB35E8">
              <w:rPr>
                <w:color w:val="000000"/>
                <w:sz w:val="16"/>
                <w:szCs w:val="16"/>
              </w:rPr>
              <w:t>40.7</w:t>
            </w:r>
          </w:p>
        </w:tc>
        <w:tc>
          <w:tcPr>
            <w:tcW w:w="1134" w:type="dxa"/>
          </w:tcPr>
          <w:p w:rsidR="00BF573E" w:rsidRPr="00CB35E8" w:rsidRDefault="00BF573E" w:rsidP="00BF573E">
            <w:pPr>
              <w:adjustRightInd w:val="0"/>
              <w:spacing w:before="20"/>
              <w:jc w:val="right"/>
              <w:rPr>
                <w:color w:val="000000"/>
                <w:sz w:val="16"/>
                <w:szCs w:val="16"/>
              </w:rPr>
            </w:pPr>
            <w:r w:rsidRPr="00CB35E8">
              <w:rPr>
                <w:color w:val="000000"/>
                <w:sz w:val="16"/>
                <w:szCs w:val="16"/>
              </w:rPr>
              <w:t>1.52</w:t>
            </w:r>
          </w:p>
        </w:tc>
        <w:tc>
          <w:tcPr>
            <w:tcW w:w="1238" w:type="dxa"/>
            <w:gridSpan w:val="2"/>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0.26</w:t>
            </w:r>
            <w:r w:rsidR="00BF573E">
              <w:rPr>
                <w:color w:val="000000"/>
                <w:sz w:val="16"/>
                <w:szCs w:val="16"/>
              </w:rPr>
              <w:t xml:space="preserve"> - </w:t>
            </w:r>
            <w:r w:rsidR="00BF573E" w:rsidRPr="00573D0F">
              <w:rPr>
                <w:color w:val="000000"/>
                <w:sz w:val="16"/>
                <w:szCs w:val="16"/>
              </w:rPr>
              <w:t>8.79</w:t>
            </w:r>
            <w:r>
              <w:rPr>
                <w:color w:val="000000"/>
                <w:sz w:val="16"/>
                <w:szCs w:val="16"/>
              </w:rPr>
              <w:t>)</w:t>
            </w:r>
          </w:p>
        </w:tc>
        <w:tc>
          <w:tcPr>
            <w:tcW w:w="747" w:type="dxa"/>
          </w:tcPr>
          <w:p w:rsidR="00BF573E" w:rsidRPr="00573D0F"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45 - 54</w:t>
            </w:r>
          </w:p>
        </w:tc>
        <w:tc>
          <w:tcPr>
            <w:tcW w:w="567" w:type="dxa"/>
          </w:tcPr>
          <w:p w:rsidR="00BF573E" w:rsidRPr="00CB35E8" w:rsidRDefault="00BF573E" w:rsidP="00BF573E">
            <w:pPr>
              <w:adjustRightInd w:val="0"/>
              <w:spacing w:before="20"/>
              <w:jc w:val="right"/>
              <w:rPr>
                <w:color w:val="000000"/>
                <w:sz w:val="16"/>
                <w:szCs w:val="16"/>
              </w:rPr>
            </w:pPr>
            <w:r w:rsidRPr="00CB35E8">
              <w:rPr>
                <w:color w:val="000000"/>
                <w:sz w:val="16"/>
                <w:szCs w:val="16"/>
              </w:rPr>
              <w:t>34.6</w:t>
            </w:r>
          </w:p>
        </w:tc>
        <w:tc>
          <w:tcPr>
            <w:tcW w:w="1134" w:type="dxa"/>
          </w:tcPr>
          <w:p w:rsidR="00BF573E" w:rsidRPr="00CB35E8" w:rsidRDefault="00BF573E" w:rsidP="00BF573E">
            <w:pPr>
              <w:adjustRightInd w:val="0"/>
              <w:spacing w:before="20"/>
              <w:jc w:val="right"/>
              <w:rPr>
                <w:color w:val="000000"/>
                <w:sz w:val="16"/>
                <w:szCs w:val="16"/>
              </w:rPr>
            </w:pPr>
            <w:r w:rsidRPr="00CB35E8">
              <w:rPr>
                <w:color w:val="000000"/>
                <w:sz w:val="16"/>
                <w:szCs w:val="16"/>
              </w:rPr>
              <w:t>1.17</w:t>
            </w:r>
          </w:p>
        </w:tc>
        <w:tc>
          <w:tcPr>
            <w:tcW w:w="1238" w:type="dxa"/>
            <w:gridSpan w:val="2"/>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0.20</w:t>
            </w:r>
            <w:r w:rsidR="00BF573E">
              <w:rPr>
                <w:color w:val="000000"/>
                <w:sz w:val="16"/>
                <w:szCs w:val="16"/>
              </w:rPr>
              <w:t xml:space="preserve"> - </w:t>
            </w:r>
            <w:r w:rsidR="00BF573E" w:rsidRPr="00573D0F">
              <w:rPr>
                <w:color w:val="000000"/>
                <w:sz w:val="16"/>
                <w:szCs w:val="16"/>
              </w:rPr>
              <w:t>6.83</w:t>
            </w:r>
            <w:r>
              <w:rPr>
                <w:color w:val="000000"/>
                <w:sz w:val="16"/>
                <w:szCs w:val="16"/>
              </w:rPr>
              <w:t>)</w:t>
            </w:r>
          </w:p>
        </w:tc>
        <w:tc>
          <w:tcPr>
            <w:tcW w:w="747" w:type="dxa"/>
          </w:tcPr>
          <w:p w:rsidR="00BF573E" w:rsidRPr="00573D0F"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55</w:t>
            </w:r>
            <w:r>
              <w:rPr>
                <w:sz w:val="16"/>
                <w:szCs w:val="16"/>
              </w:rPr>
              <w:t>+</w:t>
            </w:r>
            <w:r w:rsidRPr="009B1415">
              <w:rPr>
                <w:sz w:val="16"/>
                <w:szCs w:val="16"/>
              </w:rPr>
              <w:t xml:space="preserve"> </w:t>
            </w:r>
          </w:p>
        </w:tc>
        <w:tc>
          <w:tcPr>
            <w:tcW w:w="567" w:type="dxa"/>
          </w:tcPr>
          <w:p w:rsidR="00BF573E" w:rsidRPr="00CB35E8" w:rsidRDefault="00BF573E" w:rsidP="00BF573E">
            <w:pPr>
              <w:adjustRightInd w:val="0"/>
              <w:spacing w:before="20"/>
              <w:jc w:val="right"/>
              <w:rPr>
                <w:color w:val="000000"/>
                <w:sz w:val="16"/>
                <w:szCs w:val="16"/>
              </w:rPr>
            </w:pPr>
            <w:r w:rsidRPr="00CB35E8">
              <w:rPr>
                <w:color w:val="000000"/>
                <w:sz w:val="16"/>
                <w:szCs w:val="16"/>
              </w:rPr>
              <w:t>77.3</w:t>
            </w:r>
          </w:p>
        </w:tc>
        <w:tc>
          <w:tcPr>
            <w:tcW w:w="1134" w:type="dxa"/>
          </w:tcPr>
          <w:p w:rsidR="00BF573E" w:rsidRPr="00CB35E8" w:rsidRDefault="00BF573E" w:rsidP="00BF573E">
            <w:pPr>
              <w:adjustRightInd w:val="0"/>
              <w:spacing w:before="20"/>
              <w:jc w:val="right"/>
              <w:rPr>
                <w:color w:val="000000"/>
                <w:sz w:val="16"/>
                <w:szCs w:val="16"/>
              </w:rPr>
            </w:pPr>
            <w:r w:rsidRPr="00CB35E8">
              <w:rPr>
                <w:color w:val="000000"/>
                <w:sz w:val="16"/>
                <w:szCs w:val="16"/>
              </w:rPr>
              <w:t>7.54</w:t>
            </w:r>
          </w:p>
        </w:tc>
        <w:tc>
          <w:tcPr>
            <w:tcW w:w="1238" w:type="dxa"/>
            <w:gridSpan w:val="2"/>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0.74</w:t>
            </w:r>
            <w:r w:rsidR="00BF573E">
              <w:rPr>
                <w:color w:val="000000"/>
                <w:sz w:val="16"/>
                <w:szCs w:val="16"/>
              </w:rPr>
              <w:t xml:space="preserve"> - </w:t>
            </w:r>
            <w:r w:rsidR="00BF573E" w:rsidRPr="00573D0F">
              <w:rPr>
                <w:color w:val="000000"/>
                <w:sz w:val="16"/>
                <w:szCs w:val="16"/>
              </w:rPr>
              <w:t>77.13</w:t>
            </w:r>
            <w:r>
              <w:rPr>
                <w:color w:val="000000"/>
                <w:sz w:val="16"/>
                <w:szCs w:val="16"/>
              </w:rPr>
              <w:t>)</w:t>
            </w:r>
          </w:p>
        </w:tc>
        <w:tc>
          <w:tcPr>
            <w:tcW w:w="747" w:type="dxa"/>
            <w:shd w:val="clear" w:color="auto" w:fill="D9D9D9" w:themeFill="background1" w:themeFillShade="D9"/>
          </w:tcPr>
          <w:p w:rsidR="00BF573E" w:rsidRPr="00573D0F" w:rsidRDefault="00BF573E" w:rsidP="00BF573E">
            <w:pPr>
              <w:adjustRightInd w:val="0"/>
              <w:spacing w:before="20"/>
              <w:jc w:val="right"/>
              <w:rPr>
                <w:color w:val="000000"/>
                <w:sz w:val="16"/>
                <w:szCs w:val="16"/>
              </w:rPr>
            </w:pPr>
            <w:r w:rsidRPr="00573D0F">
              <w:rPr>
                <w:color w:val="000000"/>
                <w:sz w:val="16"/>
                <w:szCs w:val="16"/>
              </w:rPr>
              <w:t>&lt;</w:t>
            </w:r>
            <w:r>
              <w:rPr>
                <w:color w:val="000000"/>
                <w:sz w:val="16"/>
                <w:szCs w:val="16"/>
              </w:rPr>
              <w:t>0</w:t>
            </w:r>
            <w:r w:rsidRPr="00573D0F">
              <w:rPr>
                <w:color w:val="000000"/>
                <w:sz w:val="16"/>
                <w:szCs w:val="16"/>
              </w:rPr>
              <w:t>.0001</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Gender</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Male</w:t>
            </w:r>
          </w:p>
        </w:tc>
        <w:tc>
          <w:tcPr>
            <w:tcW w:w="567" w:type="dxa"/>
            <w:vAlign w:val="center"/>
          </w:tcPr>
          <w:p w:rsidR="00BF573E" w:rsidRPr="00573D0F" w:rsidRDefault="00BF573E" w:rsidP="00BF573E">
            <w:pPr>
              <w:adjustRightInd w:val="0"/>
              <w:spacing w:before="20"/>
              <w:jc w:val="right"/>
              <w:rPr>
                <w:color w:val="000000"/>
                <w:sz w:val="16"/>
                <w:szCs w:val="16"/>
              </w:rPr>
            </w:pPr>
            <w:r>
              <w:rPr>
                <w:color w:val="000000"/>
                <w:sz w:val="16"/>
                <w:szCs w:val="16"/>
              </w:rPr>
              <w:t>41.</w:t>
            </w:r>
            <w:r w:rsidRPr="00573D0F">
              <w:rPr>
                <w:color w:val="000000"/>
                <w:sz w:val="16"/>
                <w:szCs w:val="16"/>
              </w:rPr>
              <w:t>9</w:t>
            </w:r>
          </w:p>
        </w:tc>
        <w:tc>
          <w:tcPr>
            <w:tcW w:w="1134"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0.87</w:t>
            </w:r>
          </w:p>
        </w:tc>
        <w:tc>
          <w:tcPr>
            <w:tcW w:w="1238" w:type="dxa"/>
            <w:gridSpan w:val="2"/>
            <w:vAlign w:val="center"/>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0.33</w:t>
            </w:r>
            <w:r w:rsidR="00BF573E">
              <w:rPr>
                <w:color w:val="000000"/>
                <w:sz w:val="16"/>
                <w:szCs w:val="16"/>
              </w:rPr>
              <w:t xml:space="preserve"> - </w:t>
            </w:r>
            <w:r w:rsidR="00BF573E" w:rsidRPr="00573D0F">
              <w:rPr>
                <w:color w:val="000000"/>
                <w:sz w:val="16"/>
                <w:szCs w:val="16"/>
              </w:rPr>
              <w:t>2.32</w:t>
            </w:r>
            <w:r>
              <w:rPr>
                <w:color w:val="000000"/>
                <w:sz w:val="16"/>
                <w:szCs w:val="16"/>
              </w:rPr>
              <w:t>)</w:t>
            </w:r>
          </w:p>
        </w:tc>
        <w:tc>
          <w:tcPr>
            <w:tcW w:w="747" w:type="dxa"/>
            <w:vAlign w:val="center"/>
          </w:tcPr>
          <w:p w:rsidR="00BF573E" w:rsidRPr="00573D0F" w:rsidRDefault="00BF573E" w:rsidP="00BF573E">
            <w:pPr>
              <w:adjustRightInd w:val="0"/>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Female</w:t>
            </w:r>
          </w:p>
        </w:tc>
        <w:tc>
          <w:tcPr>
            <w:tcW w:w="567" w:type="dxa"/>
            <w:vAlign w:val="center"/>
          </w:tcPr>
          <w:p w:rsidR="00573D0F" w:rsidRPr="00573D0F" w:rsidRDefault="00A50DB2" w:rsidP="00BF573E">
            <w:pPr>
              <w:adjustRightInd w:val="0"/>
              <w:spacing w:before="20"/>
              <w:jc w:val="right"/>
              <w:rPr>
                <w:color w:val="000000"/>
                <w:sz w:val="16"/>
                <w:szCs w:val="16"/>
              </w:rPr>
            </w:pPr>
            <w:r>
              <w:rPr>
                <w:color w:val="000000"/>
                <w:sz w:val="16"/>
                <w:szCs w:val="16"/>
              </w:rPr>
              <w:t>45.3</w:t>
            </w:r>
          </w:p>
        </w:tc>
        <w:tc>
          <w:tcPr>
            <w:tcW w:w="1134"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1.00</w:t>
            </w:r>
          </w:p>
        </w:tc>
        <w:tc>
          <w:tcPr>
            <w:tcW w:w="968" w:type="dxa"/>
            <w:vAlign w:val="center"/>
          </w:tcPr>
          <w:p w:rsidR="00573D0F" w:rsidRPr="00573D0F" w:rsidRDefault="00573D0F" w:rsidP="00BF573E">
            <w:pPr>
              <w:adjustRightInd w:val="0"/>
              <w:spacing w:before="20"/>
              <w:jc w:val="right"/>
              <w:rPr>
                <w:color w:val="000000"/>
                <w:sz w:val="16"/>
                <w:szCs w:val="16"/>
              </w:rPr>
            </w:pPr>
          </w:p>
        </w:tc>
        <w:tc>
          <w:tcPr>
            <w:tcW w:w="270" w:type="dxa"/>
            <w:vAlign w:val="center"/>
          </w:tcPr>
          <w:p w:rsidR="00573D0F" w:rsidRPr="00573D0F" w:rsidRDefault="00573D0F" w:rsidP="00BF573E">
            <w:pPr>
              <w:adjustRightInd w:val="0"/>
              <w:spacing w:before="20"/>
              <w:jc w:val="right"/>
              <w:rPr>
                <w:color w:val="000000"/>
                <w:sz w:val="16"/>
                <w:szCs w:val="16"/>
              </w:rPr>
            </w:pPr>
          </w:p>
        </w:tc>
        <w:tc>
          <w:tcPr>
            <w:tcW w:w="747"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0.78</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Ethnic group (prioritised)</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tcPr>
          <w:p w:rsidR="00CB35E8" w:rsidRPr="009B1415" w:rsidRDefault="00CB35E8" w:rsidP="00BF573E">
            <w:pPr>
              <w:keepNext/>
              <w:adjustRightInd w:val="0"/>
              <w:spacing w:before="20"/>
              <w:jc w:val="right"/>
              <w:rPr>
                <w:color w:val="000000"/>
                <w:sz w:val="16"/>
                <w:szCs w:val="16"/>
              </w:rPr>
            </w:pPr>
          </w:p>
        </w:tc>
        <w:tc>
          <w:tcPr>
            <w:tcW w:w="968" w:type="dxa"/>
          </w:tcPr>
          <w:p w:rsidR="00CB35E8" w:rsidRPr="009B1415" w:rsidRDefault="00CB35E8" w:rsidP="00BF573E">
            <w:pPr>
              <w:adjustRightInd w:val="0"/>
              <w:spacing w:before="20"/>
              <w:jc w:val="right"/>
              <w:rPr>
                <w:color w:val="000000"/>
                <w:sz w:val="16"/>
                <w:szCs w:val="16"/>
              </w:rPr>
            </w:pPr>
          </w:p>
        </w:tc>
        <w:tc>
          <w:tcPr>
            <w:tcW w:w="270" w:type="dxa"/>
          </w:tcPr>
          <w:p w:rsidR="00CB35E8" w:rsidRPr="009B1415"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Māori</w:t>
            </w:r>
          </w:p>
        </w:tc>
        <w:tc>
          <w:tcPr>
            <w:tcW w:w="567" w:type="dxa"/>
            <w:vAlign w:val="center"/>
          </w:tcPr>
          <w:p w:rsidR="00BF573E" w:rsidRPr="00573D0F" w:rsidRDefault="00BF573E" w:rsidP="00BF573E">
            <w:pPr>
              <w:adjustRightInd w:val="0"/>
              <w:spacing w:before="20"/>
              <w:jc w:val="right"/>
              <w:rPr>
                <w:color w:val="000000"/>
                <w:sz w:val="16"/>
                <w:szCs w:val="16"/>
              </w:rPr>
            </w:pPr>
            <w:r>
              <w:rPr>
                <w:color w:val="000000"/>
                <w:sz w:val="16"/>
                <w:szCs w:val="16"/>
              </w:rPr>
              <w:t>62.4</w:t>
            </w:r>
          </w:p>
        </w:tc>
        <w:tc>
          <w:tcPr>
            <w:tcW w:w="1134"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3.05</w:t>
            </w:r>
          </w:p>
        </w:tc>
        <w:tc>
          <w:tcPr>
            <w:tcW w:w="1238" w:type="dxa"/>
            <w:gridSpan w:val="2"/>
            <w:vAlign w:val="center"/>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0.93</w:t>
            </w:r>
            <w:r w:rsidR="00BF573E">
              <w:rPr>
                <w:color w:val="000000"/>
                <w:sz w:val="16"/>
                <w:szCs w:val="16"/>
              </w:rPr>
              <w:t xml:space="preserve"> - </w:t>
            </w:r>
            <w:r w:rsidR="00BF573E" w:rsidRPr="00573D0F">
              <w:rPr>
                <w:color w:val="000000"/>
                <w:sz w:val="16"/>
                <w:szCs w:val="16"/>
              </w:rPr>
              <w:t>9.93</w:t>
            </w:r>
            <w:r>
              <w:rPr>
                <w:color w:val="000000"/>
                <w:sz w:val="16"/>
                <w:szCs w:val="16"/>
              </w:rPr>
              <w:t>)</w:t>
            </w:r>
          </w:p>
        </w:tc>
        <w:tc>
          <w:tcPr>
            <w:tcW w:w="747" w:type="dxa"/>
            <w:vAlign w:val="center"/>
          </w:tcPr>
          <w:p w:rsidR="00BF573E" w:rsidRPr="00573D0F"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Pacific</w:t>
            </w:r>
          </w:p>
        </w:tc>
        <w:tc>
          <w:tcPr>
            <w:tcW w:w="567"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39.9</w:t>
            </w:r>
          </w:p>
        </w:tc>
        <w:tc>
          <w:tcPr>
            <w:tcW w:w="1134"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1.22</w:t>
            </w:r>
          </w:p>
        </w:tc>
        <w:tc>
          <w:tcPr>
            <w:tcW w:w="1238" w:type="dxa"/>
            <w:gridSpan w:val="2"/>
            <w:vAlign w:val="center"/>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0.29</w:t>
            </w:r>
            <w:r w:rsidR="00BF573E">
              <w:rPr>
                <w:color w:val="000000"/>
                <w:sz w:val="16"/>
                <w:szCs w:val="16"/>
              </w:rPr>
              <w:t xml:space="preserve"> - </w:t>
            </w:r>
            <w:r w:rsidR="00BF573E" w:rsidRPr="00573D0F">
              <w:rPr>
                <w:color w:val="000000"/>
                <w:sz w:val="16"/>
                <w:szCs w:val="16"/>
              </w:rPr>
              <w:t>5.07</w:t>
            </w:r>
            <w:r>
              <w:rPr>
                <w:color w:val="000000"/>
                <w:sz w:val="16"/>
                <w:szCs w:val="16"/>
              </w:rPr>
              <w:t>)</w:t>
            </w:r>
          </w:p>
        </w:tc>
        <w:tc>
          <w:tcPr>
            <w:tcW w:w="747" w:type="dxa"/>
            <w:vAlign w:val="center"/>
          </w:tcPr>
          <w:p w:rsidR="00BF573E" w:rsidRPr="00573D0F"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Asian</w:t>
            </w:r>
          </w:p>
        </w:tc>
        <w:tc>
          <w:tcPr>
            <w:tcW w:w="567"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19.4</w:t>
            </w:r>
          </w:p>
        </w:tc>
        <w:tc>
          <w:tcPr>
            <w:tcW w:w="1134"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0.44</w:t>
            </w:r>
          </w:p>
        </w:tc>
        <w:tc>
          <w:tcPr>
            <w:tcW w:w="1238" w:type="dxa"/>
            <w:gridSpan w:val="2"/>
            <w:vAlign w:val="center"/>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0.03</w:t>
            </w:r>
            <w:r w:rsidR="00BF573E">
              <w:rPr>
                <w:color w:val="000000"/>
                <w:sz w:val="16"/>
                <w:szCs w:val="16"/>
              </w:rPr>
              <w:t xml:space="preserve"> - </w:t>
            </w:r>
            <w:r w:rsidR="00BF573E" w:rsidRPr="00573D0F">
              <w:rPr>
                <w:color w:val="000000"/>
                <w:sz w:val="16"/>
                <w:szCs w:val="16"/>
              </w:rPr>
              <w:t>5.98</w:t>
            </w:r>
            <w:r>
              <w:rPr>
                <w:color w:val="000000"/>
                <w:sz w:val="16"/>
                <w:szCs w:val="16"/>
              </w:rPr>
              <w:t>)</w:t>
            </w:r>
          </w:p>
        </w:tc>
        <w:tc>
          <w:tcPr>
            <w:tcW w:w="747" w:type="dxa"/>
            <w:vAlign w:val="center"/>
          </w:tcPr>
          <w:p w:rsidR="00BF573E" w:rsidRPr="00573D0F" w:rsidRDefault="00BF573E" w:rsidP="00BF573E">
            <w:pPr>
              <w:adjustRightInd w:val="0"/>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European/Other</w:t>
            </w:r>
          </w:p>
        </w:tc>
        <w:tc>
          <w:tcPr>
            <w:tcW w:w="567" w:type="dxa"/>
            <w:vAlign w:val="center"/>
          </w:tcPr>
          <w:p w:rsidR="00573D0F" w:rsidRPr="00573D0F" w:rsidRDefault="00A50DB2" w:rsidP="00BF573E">
            <w:pPr>
              <w:adjustRightInd w:val="0"/>
              <w:spacing w:before="20"/>
              <w:jc w:val="right"/>
              <w:rPr>
                <w:color w:val="000000"/>
                <w:sz w:val="16"/>
                <w:szCs w:val="16"/>
              </w:rPr>
            </w:pPr>
            <w:r>
              <w:rPr>
                <w:color w:val="000000"/>
                <w:sz w:val="16"/>
                <w:szCs w:val="16"/>
              </w:rPr>
              <w:t>35.3</w:t>
            </w:r>
          </w:p>
        </w:tc>
        <w:tc>
          <w:tcPr>
            <w:tcW w:w="1134"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1.00</w:t>
            </w:r>
          </w:p>
        </w:tc>
        <w:tc>
          <w:tcPr>
            <w:tcW w:w="968" w:type="dxa"/>
            <w:vAlign w:val="center"/>
          </w:tcPr>
          <w:p w:rsidR="00573D0F" w:rsidRPr="00573D0F" w:rsidRDefault="00573D0F" w:rsidP="00BF573E">
            <w:pPr>
              <w:adjustRightInd w:val="0"/>
              <w:spacing w:before="20"/>
              <w:jc w:val="right"/>
              <w:rPr>
                <w:color w:val="000000"/>
                <w:sz w:val="16"/>
                <w:szCs w:val="16"/>
              </w:rPr>
            </w:pPr>
          </w:p>
        </w:tc>
        <w:tc>
          <w:tcPr>
            <w:tcW w:w="270" w:type="dxa"/>
            <w:vAlign w:val="center"/>
          </w:tcPr>
          <w:p w:rsidR="00573D0F" w:rsidRPr="00573D0F" w:rsidRDefault="00573D0F" w:rsidP="00BF573E">
            <w:pPr>
              <w:adjustRightInd w:val="0"/>
              <w:spacing w:before="20"/>
              <w:jc w:val="right"/>
              <w:rPr>
                <w:color w:val="000000"/>
                <w:sz w:val="16"/>
                <w:szCs w:val="16"/>
              </w:rPr>
            </w:pPr>
          </w:p>
        </w:tc>
        <w:tc>
          <w:tcPr>
            <w:tcW w:w="747" w:type="dxa"/>
            <w:shd w:val="clear" w:color="auto" w:fill="auto"/>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0.15</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Arrival in NZ</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NZ born</w:t>
            </w:r>
          </w:p>
        </w:tc>
        <w:tc>
          <w:tcPr>
            <w:tcW w:w="567"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50.4</w:t>
            </w:r>
          </w:p>
        </w:tc>
        <w:tc>
          <w:tcPr>
            <w:tcW w:w="1134" w:type="dxa"/>
            <w:vAlign w:val="center"/>
          </w:tcPr>
          <w:p w:rsidR="00573D0F" w:rsidRPr="00CB35E8" w:rsidRDefault="00A50DB2" w:rsidP="00BF573E">
            <w:pPr>
              <w:spacing w:before="20"/>
              <w:jc w:val="right"/>
              <w:rPr>
                <w:color w:val="000000"/>
                <w:sz w:val="16"/>
                <w:szCs w:val="16"/>
              </w:rPr>
            </w:pPr>
            <w:r>
              <w:rPr>
                <w:color w:val="000000"/>
                <w:sz w:val="16"/>
                <w:szCs w:val="16"/>
              </w:rPr>
              <w:t>-</w:t>
            </w:r>
          </w:p>
        </w:tc>
        <w:tc>
          <w:tcPr>
            <w:tcW w:w="968" w:type="dxa"/>
            <w:vAlign w:val="center"/>
          </w:tcPr>
          <w:p w:rsidR="00573D0F" w:rsidRPr="00CB35E8" w:rsidRDefault="00573D0F" w:rsidP="00BF573E">
            <w:pPr>
              <w:spacing w:before="20"/>
              <w:jc w:val="right"/>
              <w:rPr>
                <w:color w:val="000000"/>
                <w:sz w:val="16"/>
                <w:szCs w:val="16"/>
              </w:rPr>
            </w:pPr>
          </w:p>
        </w:tc>
        <w:tc>
          <w:tcPr>
            <w:tcW w:w="270" w:type="dxa"/>
            <w:vAlign w:val="center"/>
          </w:tcPr>
          <w:p w:rsidR="00573D0F" w:rsidRPr="00CB35E8" w:rsidRDefault="00573D0F" w:rsidP="00BF573E">
            <w:pPr>
              <w:spacing w:before="20"/>
              <w:jc w:val="right"/>
              <w:rPr>
                <w:color w:val="000000"/>
                <w:sz w:val="16"/>
                <w:szCs w:val="16"/>
              </w:rPr>
            </w:pPr>
          </w:p>
        </w:tc>
        <w:tc>
          <w:tcPr>
            <w:tcW w:w="747" w:type="dxa"/>
            <w:vAlign w:val="center"/>
          </w:tcPr>
          <w:p w:rsidR="00573D0F" w:rsidRPr="00CB35E8" w:rsidRDefault="00573D0F" w:rsidP="00BF573E">
            <w:pPr>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before 2008</w:t>
            </w:r>
          </w:p>
        </w:tc>
        <w:tc>
          <w:tcPr>
            <w:tcW w:w="567" w:type="dxa"/>
            <w:vAlign w:val="center"/>
          </w:tcPr>
          <w:p w:rsidR="00573D0F" w:rsidRPr="00573D0F" w:rsidRDefault="00A50DB2" w:rsidP="00BF573E">
            <w:pPr>
              <w:adjustRightInd w:val="0"/>
              <w:spacing w:before="20"/>
              <w:jc w:val="right"/>
              <w:rPr>
                <w:color w:val="000000"/>
                <w:sz w:val="16"/>
                <w:szCs w:val="16"/>
              </w:rPr>
            </w:pPr>
            <w:r>
              <w:rPr>
                <w:color w:val="000000"/>
                <w:sz w:val="16"/>
                <w:szCs w:val="16"/>
              </w:rPr>
              <w:t>26.0</w:t>
            </w:r>
          </w:p>
        </w:tc>
        <w:tc>
          <w:tcPr>
            <w:tcW w:w="1134" w:type="dxa"/>
          </w:tcPr>
          <w:p w:rsidR="00573D0F"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573D0F" w:rsidRPr="009B1415" w:rsidRDefault="00573D0F" w:rsidP="00BF573E">
            <w:pPr>
              <w:adjustRightInd w:val="0"/>
              <w:spacing w:before="20"/>
              <w:jc w:val="right"/>
              <w:rPr>
                <w:color w:val="000000"/>
                <w:sz w:val="16"/>
                <w:szCs w:val="16"/>
              </w:rPr>
            </w:pPr>
          </w:p>
        </w:tc>
        <w:tc>
          <w:tcPr>
            <w:tcW w:w="270" w:type="dxa"/>
          </w:tcPr>
          <w:p w:rsidR="00573D0F" w:rsidRPr="009B1415" w:rsidRDefault="00573D0F" w:rsidP="00BF573E">
            <w:pPr>
              <w:adjustRightInd w:val="0"/>
              <w:spacing w:before="20"/>
              <w:jc w:val="right"/>
              <w:rPr>
                <w:color w:val="000000"/>
                <w:sz w:val="16"/>
                <w:szCs w:val="16"/>
              </w:rPr>
            </w:pPr>
          </w:p>
        </w:tc>
        <w:tc>
          <w:tcPr>
            <w:tcW w:w="747" w:type="dxa"/>
            <w:vAlign w:val="center"/>
          </w:tcPr>
          <w:p w:rsidR="00573D0F" w:rsidRPr="00CB35E8" w:rsidRDefault="00573D0F" w:rsidP="00BF573E">
            <w:pPr>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since 2008</w:t>
            </w:r>
          </w:p>
        </w:tc>
        <w:tc>
          <w:tcPr>
            <w:tcW w:w="567"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0.0</w:t>
            </w:r>
          </w:p>
        </w:tc>
        <w:tc>
          <w:tcPr>
            <w:tcW w:w="1134" w:type="dxa"/>
          </w:tcPr>
          <w:p w:rsidR="00573D0F" w:rsidRPr="009B1415" w:rsidRDefault="00A50DB2" w:rsidP="00BF573E">
            <w:pPr>
              <w:keepNext/>
              <w:adjustRightInd w:val="0"/>
              <w:spacing w:before="20"/>
              <w:jc w:val="right"/>
              <w:rPr>
                <w:color w:val="000000"/>
                <w:sz w:val="16"/>
                <w:szCs w:val="16"/>
              </w:rPr>
            </w:pPr>
            <w:r>
              <w:rPr>
                <w:color w:val="000000"/>
                <w:sz w:val="16"/>
                <w:szCs w:val="16"/>
              </w:rPr>
              <w:t>-</w:t>
            </w:r>
          </w:p>
        </w:tc>
        <w:tc>
          <w:tcPr>
            <w:tcW w:w="968" w:type="dxa"/>
          </w:tcPr>
          <w:p w:rsidR="00573D0F" w:rsidRPr="009B1415" w:rsidRDefault="00573D0F" w:rsidP="00BF573E">
            <w:pPr>
              <w:keepNext/>
              <w:adjustRightInd w:val="0"/>
              <w:spacing w:before="20"/>
              <w:jc w:val="right"/>
              <w:rPr>
                <w:color w:val="000000"/>
                <w:sz w:val="16"/>
                <w:szCs w:val="16"/>
              </w:rPr>
            </w:pPr>
          </w:p>
        </w:tc>
        <w:tc>
          <w:tcPr>
            <w:tcW w:w="270" w:type="dxa"/>
          </w:tcPr>
          <w:p w:rsidR="00573D0F" w:rsidRPr="009B1415" w:rsidRDefault="00573D0F" w:rsidP="00BF573E">
            <w:pPr>
              <w:keepNext/>
              <w:adjustRightInd w:val="0"/>
              <w:spacing w:before="20"/>
              <w:jc w:val="right"/>
              <w:rPr>
                <w:color w:val="000000"/>
                <w:sz w:val="16"/>
                <w:szCs w:val="16"/>
              </w:rPr>
            </w:pPr>
          </w:p>
        </w:tc>
        <w:tc>
          <w:tcPr>
            <w:tcW w:w="747" w:type="dxa"/>
            <w:vAlign w:val="center"/>
          </w:tcPr>
          <w:p w:rsidR="00573D0F" w:rsidRPr="00CB35E8" w:rsidRDefault="00573D0F" w:rsidP="00BF573E">
            <w:pPr>
              <w:spacing w:before="20"/>
              <w:jc w:val="right"/>
              <w:rPr>
                <w:color w:val="000000"/>
                <w:sz w:val="16"/>
                <w:szCs w:val="16"/>
              </w:rPr>
            </w:pPr>
          </w:p>
        </w:tc>
      </w:tr>
      <w:tr w:rsidR="00CB35E8" w:rsidRPr="009B1415" w:rsidTr="00F959A8">
        <w:tc>
          <w:tcPr>
            <w:tcW w:w="4786" w:type="dxa"/>
            <w:vAlign w:val="bottom"/>
          </w:tcPr>
          <w:p w:rsidR="00CB35E8" w:rsidRPr="009B1415" w:rsidRDefault="00C41FBE" w:rsidP="00CB35E8">
            <w:pPr>
              <w:spacing w:before="20"/>
              <w:jc w:val="both"/>
              <w:rPr>
                <w:b/>
                <w:sz w:val="16"/>
                <w:szCs w:val="16"/>
              </w:rPr>
            </w:pPr>
            <w:r>
              <w:rPr>
                <w:b/>
                <w:sz w:val="16"/>
                <w:szCs w:val="16"/>
              </w:rPr>
              <w:t>Country of b</w:t>
            </w:r>
            <w:r w:rsidR="00CB35E8" w:rsidRPr="009B1415">
              <w:rPr>
                <w:b/>
                <w:sz w:val="16"/>
                <w:szCs w:val="16"/>
              </w:rPr>
              <w:t>irth</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573D0F" w:rsidRPr="009B1415" w:rsidTr="00F959A8">
        <w:tc>
          <w:tcPr>
            <w:tcW w:w="4786" w:type="dxa"/>
          </w:tcPr>
          <w:p w:rsidR="00573D0F" w:rsidRPr="009B1415" w:rsidRDefault="00573D0F" w:rsidP="00573D0F">
            <w:pPr>
              <w:spacing w:before="20"/>
              <w:ind w:left="176"/>
              <w:jc w:val="both"/>
              <w:rPr>
                <w:sz w:val="16"/>
                <w:szCs w:val="16"/>
              </w:rPr>
            </w:pPr>
            <w:r w:rsidRPr="009B1415">
              <w:rPr>
                <w:sz w:val="16"/>
                <w:szCs w:val="16"/>
              </w:rPr>
              <w:t>NZ</w:t>
            </w:r>
          </w:p>
        </w:tc>
        <w:tc>
          <w:tcPr>
            <w:tcW w:w="567"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50.4</w:t>
            </w:r>
          </w:p>
        </w:tc>
        <w:tc>
          <w:tcPr>
            <w:tcW w:w="1134" w:type="dxa"/>
            <w:vAlign w:val="center"/>
          </w:tcPr>
          <w:p w:rsidR="00573D0F" w:rsidRPr="00573D0F" w:rsidRDefault="00573D0F" w:rsidP="00BF573E">
            <w:pPr>
              <w:adjustRightInd w:val="0"/>
              <w:spacing w:before="20"/>
              <w:jc w:val="right"/>
              <w:rPr>
                <w:color w:val="000000"/>
                <w:sz w:val="16"/>
                <w:szCs w:val="16"/>
              </w:rPr>
            </w:pPr>
            <w:r w:rsidRPr="00573D0F">
              <w:rPr>
                <w:color w:val="000000"/>
                <w:sz w:val="16"/>
                <w:szCs w:val="16"/>
              </w:rPr>
              <w:t>1.00</w:t>
            </w:r>
          </w:p>
        </w:tc>
        <w:tc>
          <w:tcPr>
            <w:tcW w:w="968" w:type="dxa"/>
            <w:vAlign w:val="center"/>
          </w:tcPr>
          <w:p w:rsidR="00573D0F" w:rsidRPr="00573D0F" w:rsidRDefault="00573D0F" w:rsidP="00BF573E">
            <w:pPr>
              <w:adjustRightInd w:val="0"/>
              <w:spacing w:before="20"/>
              <w:jc w:val="right"/>
              <w:rPr>
                <w:color w:val="000000"/>
                <w:sz w:val="16"/>
                <w:szCs w:val="16"/>
              </w:rPr>
            </w:pPr>
          </w:p>
        </w:tc>
        <w:tc>
          <w:tcPr>
            <w:tcW w:w="270" w:type="dxa"/>
            <w:vAlign w:val="center"/>
          </w:tcPr>
          <w:p w:rsidR="00573D0F" w:rsidRPr="00573D0F" w:rsidRDefault="00573D0F" w:rsidP="00BF573E">
            <w:pPr>
              <w:adjustRightInd w:val="0"/>
              <w:spacing w:before="20"/>
              <w:jc w:val="right"/>
              <w:rPr>
                <w:color w:val="000000"/>
                <w:sz w:val="16"/>
                <w:szCs w:val="16"/>
              </w:rPr>
            </w:pPr>
          </w:p>
        </w:tc>
        <w:tc>
          <w:tcPr>
            <w:tcW w:w="747" w:type="dxa"/>
            <w:vAlign w:val="center"/>
          </w:tcPr>
          <w:p w:rsidR="00573D0F" w:rsidRPr="00573D0F" w:rsidRDefault="00573D0F"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573D0F">
            <w:pPr>
              <w:spacing w:before="20"/>
              <w:ind w:left="176"/>
              <w:jc w:val="both"/>
              <w:rPr>
                <w:sz w:val="16"/>
                <w:szCs w:val="16"/>
              </w:rPr>
            </w:pPr>
            <w:r w:rsidRPr="009B1415">
              <w:rPr>
                <w:sz w:val="16"/>
                <w:szCs w:val="16"/>
              </w:rPr>
              <w:t>Other</w:t>
            </w:r>
          </w:p>
        </w:tc>
        <w:tc>
          <w:tcPr>
            <w:tcW w:w="567" w:type="dxa"/>
            <w:vAlign w:val="center"/>
          </w:tcPr>
          <w:p w:rsidR="00BF573E" w:rsidRPr="00573D0F" w:rsidRDefault="00BF573E" w:rsidP="00BF573E">
            <w:pPr>
              <w:adjustRightInd w:val="0"/>
              <w:spacing w:before="20"/>
              <w:jc w:val="right"/>
              <w:rPr>
                <w:color w:val="000000"/>
                <w:sz w:val="16"/>
                <w:szCs w:val="16"/>
              </w:rPr>
            </w:pPr>
            <w:r>
              <w:rPr>
                <w:color w:val="000000"/>
                <w:sz w:val="16"/>
                <w:szCs w:val="16"/>
              </w:rPr>
              <w:t>19.6</w:t>
            </w:r>
          </w:p>
        </w:tc>
        <w:tc>
          <w:tcPr>
            <w:tcW w:w="1134" w:type="dxa"/>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0.24</w:t>
            </w:r>
          </w:p>
        </w:tc>
        <w:tc>
          <w:tcPr>
            <w:tcW w:w="1238" w:type="dxa"/>
            <w:gridSpan w:val="2"/>
            <w:vAlign w:val="center"/>
          </w:tcPr>
          <w:p w:rsidR="00BF573E" w:rsidRPr="00573D0F" w:rsidRDefault="00541B39" w:rsidP="00BF573E">
            <w:pPr>
              <w:adjustRightInd w:val="0"/>
              <w:spacing w:before="20"/>
              <w:jc w:val="right"/>
              <w:rPr>
                <w:color w:val="000000"/>
                <w:sz w:val="16"/>
                <w:szCs w:val="16"/>
              </w:rPr>
            </w:pPr>
            <w:r>
              <w:rPr>
                <w:color w:val="000000"/>
                <w:sz w:val="16"/>
                <w:szCs w:val="16"/>
              </w:rPr>
              <w:t>(</w:t>
            </w:r>
            <w:r w:rsidR="00BF573E" w:rsidRPr="00573D0F">
              <w:rPr>
                <w:color w:val="000000"/>
                <w:sz w:val="16"/>
                <w:szCs w:val="16"/>
              </w:rPr>
              <w:t>0.07</w:t>
            </w:r>
            <w:r w:rsidR="00BF573E">
              <w:rPr>
                <w:color w:val="000000"/>
                <w:sz w:val="16"/>
                <w:szCs w:val="16"/>
              </w:rPr>
              <w:t xml:space="preserve"> - </w:t>
            </w:r>
            <w:r w:rsidR="00BF573E" w:rsidRPr="00573D0F">
              <w:rPr>
                <w:color w:val="000000"/>
                <w:sz w:val="16"/>
                <w:szCs w:val="16"/>
              </w:rPr>
              <w:t>0.85</w:t>
            </w:r>
            <w:r>
              <w:rPr>
                <w:color w:val="000000"/>
                <w:sz w:val="16"/>
                <w:szCs w:val="16"/>
              </w:rPr>
              <w:t>)</w:t>
            </w:r>
          </w:p>
        </w:tc>
        <w:tc>
          <w:tcPr>
            <w:tcW w:w="747" w:type="dxa"/>
            <w:shd w:val="clear" w:color="auto" w:fill="D9D9D9" w:themeFill="background1" w:themeFillShade="D9"/>
            <w:vAlign w:val="center"/>
          </w:tcPr>
          <w:p w:rsidR="00BF573E" w:rsidRPr="00573D0F" w:rsidRDefault="00BF573E" w:rsidP="00BF573E">
            <w:pPr>
              <w:adjustRightInd w:val="0"/>
              <w:spacing w:before="20"/>
              <w:jc w:val="right"/>
              <w:rPr>
                <w:color w:val="000000"/>
                <w:sz w:val="16"/>
                <w:szCs w:val="16"/>
              </w:rPr>
            </w:pPr>
            <w:r w:rsidRPr="00573D0F">
              <w:rPr>
                <w:color w:val="000000"/>
                <w:sz w:val="16"/>
                <w:szCs w:val="16"/>
              </w:rPr>
              <w:t>0.03</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Religion</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tcPr>
          <w:p w:rsidR="00CB35E8" w:rsidRPr="009B1415" w:rsidRDefault="00CB35E8" w:rsidP="00BF573E">
            <w:pPr>
              <w:adjustRightInd w:val="0"/>
              <w:spacing w:before="20"/>
              <w:jc w:val="right"/>
              <w:rPr>
                <w:color w:val="000000"/>
                <w:sz w:val="16"/>
                <w:szCs w:val="16"/>
              </w:rPr>
            </w:pPr>
          </w:p>
        </w:tc>
        <w:tc>
          <w:tcPr>
            <w:tcW w:w="968" w:type="dxa"/>
          </w:tcPr>
          <w:p w:rsidR="00CB35E8" w:rsidRPr="009B1415" w:rsidRDefault="00CB35E8" w:rsidP="00BF573E">
            <w:pPr>
              <w:adjustRightInd w:val="0"/>
              <w:spacing w:before="20"/>
              <w:jc w:val="right"/>
              <w:rPr>
                <w:color w:val="000000"/>
                <w:sz w:val="16"/>
                <w:szCs w:val="16"/>
              </w:rPr>
            </w:pPr>
          </w:p>
        </w:tc>
        <w:tc>
          <w:tcPr>
            <w:tcW w:w="270" w:type="dxa"/>
          </w:tcPr>
          <w:p w:rsidR="00CB35E8" w:rsidRPr="009B1415"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775E8" w:rsidRPr="009B1415" w:rsidTr="00F959A8">
        <w:tc>
          <w:tcPr>
            <w:tcW w:w="4786" w:type="dxa"/>
          </w:tcPr>
          <w:p w:rsidR="009775E8" w:rsidRPr="009B1415" w:rsidRDefault="009775E8" w:rsidP="009775E8">
            <w:pPr>
              <w:spacing w:before="20"/>
              <w:ind w:left="176"/>
              <w:jc w:val="both"/>
              <w:rPr>
                <w:sz w:val="16"/>
                <w:szCs w:val="16"/>
              </w:rPr>
            </w:pPr>
            <w:r>
              <w:rPr>
                <w:sz w:val="16"/>
                <w:szCs w:val="16"/>
              </w:rPr>
              <w:t>No r</w:t>
            </w:r>
            <w:r w:rsidRPr="009B1415">
              <w:rPr>
                <w:sz w:val="16"/>
                <w:szCs w:val="16"/>
              </w:rPr>
              <w:t>eligion</w:t>
            </w:r>
          </w:p>
        </w:tc>
        <w:tc>
          <w:tcPr>
            <w:tcW w:w="567" w:type="dxa"/>
            <w:vAlign w:val="center"/>
          </w:tcPr>
          <w:p w:rsidR="009775E8" w:rsidRPr="009775E8" w:rsidRDefault="009775E8" w:rsidP="00BF573E">
            <w:pPr>
              <w:adjustRightInd w:val="0"/>
              <w:spacing w:before="20"/>
              <w:jc w:val="right"/>
              <w:rPr>
                <w:color w:val="000000"/>
                <w:sz w:val="16"/>
                <w:szCs w:val="16"/>
              </w:rPr>
            </w:pPr>
            <w:r w:rsidRPr="009775E8">
              <w:rPr>
                <w:color w:val="000000"/>
                <w:sz w:val="16"/>
                <w:szCs w:val="16"/>
              </w:rPr>
              <w:t>33.1</w:t>
            </w:r>
          </w:p>
        </w:tc>
        <w:tc>
          <w:tcPr>
            <w:tcW w:w="1134" w:type="dxa"/>
            <w:vAlign w:val="center"/>
          </w:tcPr>
          <w:p w:rsidR="009775E8" w:rsidRPr="009775E8" w:rsidRDefault="009775E8" w:rsidP="00BF573E">
            <w:pPr>
              <w:adjustRightInd w:val="0"/>
              <w:spacing w:before="20"/>
              <w:jc w:val="right"/>
              <w:rPr>
                <w:color w:val="000000"/>
                <w:sz w:val="16"/>
                <w:szCs w:val="16"/>
              </w:rPr>
            </w:pPr>
            <w:r w:rsidRPr="009775E8">
              <w:rPr>
                <w:color w:val="000000"/>
                <w:sz w:val="16"/>
                <w:szCs w:val="16"/>
              </w:rPr>
              <w:t>1.00</w:t>
            </w:r>
          </w:p>
        </w:tc>
        <w:tc>
          <w:tcPr>
            <w:tcW w:w="968" w:type="dxa"/>
            <w:vAlign w:val="center"/>
          </w:tcPr>
          <w:p w:rsidR="009775E8" w:rsidRPr="009775E8" w:rsidRDefault="009775E8" w:rsidP="00BF573E">
            <w:pPr>
              <w:adjustRightInd w:val="0"/>
              <w:spacing w:before="20"/>
              <w:jc w:val="right"/>
              <w:rPr>
                <w:color w:val="000000"/>
                <w:sz w:val="16"/>
                <w:szCs w:val="16"/>
              </w:rPr>
            </w:pPr>
          </w:p>
        </w:tc>
        <w:tc>
          <w:tcPr>
            <w:tcW w:w="270" w:type="dxa"/>
            <w:vAlign w:val="center"/>
          </w:tcPr>
          <w:p w:rsidR="009775E8" w:rsidRPr="009775E8" w:rsidRDefault="009775E8" w:rsidP="00BF573E">
            <w:pPr>
              <w:adjustRightInd w:val="0"/>
              <w:spacing w:before="20"/>
              <w:jc w:val="right"/>
              <w:rPr>
                <w:color w:val="000000"/>
                <w:sz w:val="16"/>
                <w:szCs w:val="16"/>
              </w:rPr>
            </w:pPr>
          </w:p>
        </w:tc>
        <w:tc>
          <w:tcPr>
            <w:tcW w:w="747" w:type="dxa"/>
            <w:vAlign w:val="center"/>
          </w:tcPr>
          <w:p w:rsidR="009775E8" w:rsidRPr="009775E8" w:rsidRDefault="009775E8"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sidRPr="009B1415">
              <w:rPr>
                <w:sz w:val="16"/>
                <w:szCs w:val="16"/>
              </w:rPr>
              <w:t>Anglican</w:t>
            </w:r>
          </w:p>
        </w:tc>
        <w:tc>
          <w:tcPr>
            <w:tcW w:w="567" w:type="dxa"/>
            <w:vAlign w:val="center"/>
          </w:tcPr>
          <w:p w:rsidR="00BF573E" w:rsidRPr="009775E8" w:rsidRDefault="00BF573E" w:rsidP="00BF573E">
            <w:pPr>
              <w:adjustRightInd w:val="0"/>
              <w:spacing w:before="20"/>
              <w:jc w:val="right"/>
              <w:rPr>
                <w:color w:val="000000"/>
                <w:sz w:val="16"/>
                <w:szCs w:val="16"/>
              </w:rPr>
            </w:pPr>
            <w:r>
              <w:rPr>
                <w:color w:val="000000"/>
                <w:sz w:val="16"/>
                <w:szCs w:val="16"/>
              </w:rPr>
              <w:t>20.</w:t>
            </w:r>
            <w:r w:rsidRPr="009775E8">
              <w:rPr>
                <w:color w:val="000000"/>
                <w:sz w:val="16"/>
                <w:szCs w:val="16"/>
              </w:rPr>
              <w:t>9</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0.53</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0.04</w:t>
            </w:r>
            <w:r w:rsidR="00BF573E">
              <w:rPr>
                <w:color w:val="000000"/>
                <w:sz w:val="16"/>
                <w:szCs w:val="16"/>
              </w:rPr>
              <w:t xml:space="preserve"> - </w:t>
            </w:r>
            <w:r w:rsidR="00BF573E" w:rsidRPr="009775E8">
              <w:rPr>
                <w:color w:val="000000"/>
                <w:sz w:val="16"/>
                <w:szCs w:val="16"/>
              </w:rPr>
              <w:t>7.55</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sidRPr="009B1415">
              <w:rPr>
                <w:sz w:val="16"/>
                <w:szCs w:val="16"/>
              </w:rPr>
              <w:t>Catholic</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43.1</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1.53</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0.32</w:t>
            </w:r>
            <w:r w:rsidR="00BF573E">
              <w:rPr>
                <w:color w:val="000000"/>
                <w:sz w:val="16"/>
                <w:szCs w:val="16"/>
              </w:rPr>
              <w:t xml:space="preserve"> - </w:t>
            </w:r>
            <w:r w:rsidR="00BF573E" w:rsidRPr="009775E8">
              <w:rPr>
                <w:color w:val="000000"/>
                <w:sz w:val="16"/>
                <w:szCs w:val="16"/>
              </w:rPr>
              <w:t>7.26</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sidRPr="009B1415">
              <w:rPr>
                <w:sz w:val="16"/>
                <w:szCs w:val="16"/>
              </w:rPr>
              <w:t>Presbyterian</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83.7</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10.38</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1.32</w:t>
            </w:r>
            <w:r w:rsidR="00BF573E">
              <w:rPr>
                <w:color w:val="000000"/>
                <w:sz w:val="16"/>
                <w:szCs w:val="16"/>
              </w:rPr>
              <w:t xml:space="preserve"> - </w:t>
            </w:r>
            <w:r w:rsidR="00BF573E" w:rsidRPr="009775E8">
              <w:rPr>
                <w:color w:val="000000"/>
                <w:sz w:val="16"/>
                <w:szCs w:val="16"/>
              </w:rPr>
              <w:t>81.95</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sidRPr="009B1415">
              <w:rPr>
                <w:sz w:val="16"/>
                <w:szCs w:val="16"/>
              </w:rPr>
              <w:t>Other Christian</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54.7</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2.44</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0.67</w:t>
            </w:r>
            <w:r w:rsidR="00BF573E">
              <w:rPr>
                <w:color w:val="000000"/>
                <w:sz w:val="16"/>
                <w:szCs w:val="16"/>
              </w:rPr>
              <w:t xml:space="preserve"> - </w:t>
            </w:r>
            <w:r w:rsidR="00BF573E" w:rsidRPr="009775E8">
              <w:rPr>
                <w:color w:val="000000"/>
                <w:sz w:val="16"/>
                <w:szCs w:val="16"/>
              </w:rPr>
              <w:t>8.83</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Pr>
                <w:sz w:val="16"/>
                <w:szCs w:val="16"/>
              </w:rPr>
              <w:t>Other r</w:t>
            </w:r>
            <w:r w:rsidRPr="009B1415">
              <w:rPr>
                <w:sz w:val="16"/>
                <w:szCs w:val="16"/>
              </w:rPr>
              <w:t>eligion</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35.3</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1.10</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0.18</w:t>
            </w:r>
            <w:r w:rsidR="00BF573E">
              <w:rPr>
                <w:color w:val="000000"/>
                <w:sz w:val="16"/>
                <w:szCs w:val="16"/>
              </w:rPr>
              <w:t xml:space="preserve"> - </w:t>
            </w:r>
            <w:r w:rsidR="00BF573E" w:rsidRPr="009775E8">
              <w:rPr>
                <w:color w:val="000000"/>
                <w:sz w:val="16"/>
                <w:szCs w:val="16"/>
              </w:rPr>
              <w:t>6.66</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0.26</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Highest qualification</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775E8" w:rsidRPr="009B1415" w:rsidTr="00F959A8">
        <w:tc>
          <w:tcPr>
            <w:tcW w:w="4786" w:type="dxa"/>
          </w:tcPr>
          <w:p w:rsidR="009775E8" w:rsidRPr="009B1415" w:rsidRDefault="009775E8" w:rsidP="009775E8">
            <w:pPr>
              <w:spacing w:before="20"/>
              <w:ind w:left="176"/>
              <w:jc w:val="both"/>
              <w:rPr>
                <w:sz w:val="16"/>
                <w:szCs w:val="16"/>
              </w:rPr>
            </w:pPr>
            <w:r w:rsidRPr="009B1415">
              <w:rPr>
                <w:sz w:val="16"/>
                <w:szCs w:val="16"/>
              </w:rPr>
              <w:t>No formal qualification</w:t>
            </w:r>
          </w:p>
        </w:tc>
        <w:tc>
          <w:tcPr>
            <w:tcW w:w="567" w:type="dxa"/>
            <w:vAlign w:val="center"/>
          </w:tcPr>
          <w:p w:rsidR="009775E8" w:rsidRPr="009775E8" w:rsidRDefault="009775E8" w:rsidP="00BF573E">
            <w:pPr>
              <w:adjustRightInd w:val="0"/>
              <w:spacing w:before="20"/>
              <w:jc w:val="right"/>
              <w:rPr>
                <w:color w:val="000000"/>
                <w:sz w:val="16"/>
                <w:szCs w:val="16"/>
              </w:rPr>
            </w:pPr>
            <w:r w:rsidRPr="009775E8">
              <w:rPr>
                <w:color w:val="000000"/>
                <w:sz w:val="16"/>
                <w:szCs w:val="16"/>
              </w:rPr>
              <w:t>43.2</w:t>
            </w:r>
          </w:p>
        </w:tc>
        <w:tc>
          <w:tcPr>
            <w:tcW w:w="1134" w:type="dxa"/>
            <w:vAlign w:val="center"/>
          </w:tcPr>
          <w:p w:rsidR="009775E8" w:rsidRPr="009775E8" w:rsidRDefault="009775E8" w:rsidP="00BF573E">
            <w:pPr>
              <w:adjustRightInd w:val="0"/>
              <w:spacing w:before="20"/>
              <w:jc w:val="right"/>
              <w:rPr>
                <w:color w:val="000000"/>
                <w:sz w:val="16"/>
                <w:szCs w:val="16"/>
              </w:rPr>
            </w:pPr>
            <w:r w:rsidRPr="009775E8">
              <w:rPr>
                <w:color w:val="000000"/>
                <w:sz w:val="16"/>
                <w:szCs w:val="16"/>
              </w:rPr>
              <w:t>1.00</w:t>
            </w:r>
          </w:p>
        </w:tc>
        <w:tc>
          <w:tcPr>
            <w:tcW w:w="968" w:type="dxa"/>
            <w:vAlign w:val="center"/>
          </w:tcPr>
          <w:p w:rsidR="009775E8" w:rsidRPr="009775E8" w:rsidRDefault="009775E8" w:rsidP="00BF573E">
            <w:pPr>
              <w:adjustRightInd w:val="0"/>
              <w:spacing w:before="20"/>
              <w:jc w:val="right"/>
              <w:rPr>
                <w:color w:val="000000"/>
                <w:sz w:val="16"/>
                <w:szCs w:val="16"/>
              </w:rPr>
            </w:pPr>
          </w:p>
        </w:tc>
        <w:tc>
          <w:tcPr>
            <w:tcW w:w="270" w:type="dxa"/>
            <w:vAlign w:val="center"/>
          </w:tcPr>
          <w:p w:rsidR="009775E8" w:rsidRPr="009775E8" w:rsidRDefault="009775E8" w:rsidP="00BF573E">
            <w:pPr>
              <w:adjustRightInd w:val="0"/>
              <w:spacing w:before="20"/>
              <w:jc w:val="right"/>
              <w:rPr>
                <w:color w:val="000000"/>
                <w:sz w:val="16"/>
                <w:szCs w:val="16"/>
              </w:rPr>
            </w:pPr>
          </w:p>
        </w:tc>
        <w:tc>
          <w:tcPr>
            <w:tcW w:w="747" w:type="dxa"/>
            <w:vAlign w:val="center"/>
          </w:tcPr>
          <w:p w:rsidR="009775E8" w:rsidRPr="009775E8" w:rsidRDefault="009775E8"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C41FBE" w:rsidP="009775E8">
            <w:pPr>
              <w:spacing w:before="20"/>
              <w:ind w:left="176"/>
              <w:jc w:val="both"/>
              <w:rPr>
                <w:sz w:val="16"/>
                <w:szCs w:val="16"/>
              </w:rPr>
            </w:pPr>
            <w:r>
              <w:rPr>
                <w:sz w:val="16"/>
                <w:szCs w:val="16"/>
              </w:rPr>
              <w:t>Secondary s</w:t>
            </w:r>
            <w:r w:rsidR="00BF573E" w:rsidRPr="009B1415">
              <w:rPr>
                <w:sz w:val="16"/>
                <w:szCs w:val="16"/>
              </w:rPr>
              <w:t>chool qualification</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28.8</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0.53</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0.14</w:t>
            </w:r>
            <w:r w:rsidR="00BF573E">
              <w:rPr>
                <w:color w:val="000000"/>
                <w:sz w:val="16"/>
                <w:szCs w:val="16"/>
              </w:rPr>
              <w:t xml:space="preserve"> - </w:t>
            </w:r>
            <w:r w:rsidR="00BF573E" w:rsidRPr="009775E8">
              <w:rPr>
                <w:color w:val="000000"/>
                <w:sz w:val="16"/>
                <w:szCs w:val="16"/>
              </w:rPr>
              <w:t>2.02</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9775E8">
            <w:pPr>
              <w:spacing w:before="20"/>
              <w:ind w:left="176"/>
              <w:jc w:val="both"/>
              <w:rPr>
                <w:sz w:val="16"/>
                <w:szCs w:val="16"/>
              </w:rPr>
            </w:pPr>
            <w:r w:rsidRPr="009B1415">
              <w:rPr>
                <w:sz w:val="16"/>
                <w:szCs w:val="16"/>
              </w:rPr>
              <w:t>Vocational or Trade qualification</w:t>
            </w:r>
          </w:p>
        </w:tc>
        <w:tc>
          <w:tcPr>
            <w:tcW w:w="56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70.8</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3.19</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0.67</w:t>
            </w:r>
            <w:r w:rsidR="00BF573E">
              <w:rPr>
                <w:color w:val="000000"/>
                <w:sz w:val="16"/>
                <w:szCs w:val="16"/>
              </w:rPr>
              <w:t xml:space="preserve"> - </w:t>
            </w:r>
            <w:r w:rsidR="00BF573E" w:rsidRPr="009775E8">
              <w:rPr>
                <w:color w:val="000000"/>
                <w:sz w:val="16"/>
                <w:szCs w:val="16"/>
              </w:rPr>
              <w:t>15.25</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C41FBE">
            <w:pPr>
              <w:spacing w:before="20"/>
              <w:ind w:left="176"/>
              <w:jc w:val="both"/>
              <w:rPr>
                <w:sz w:val="16"/>
                <w:szCs w:val="16"/>
              </w:rPr>
            </w:pPr>
            <w:r w:rsidRPr="009B1415">
              <w:rPr>
                <w:sz w:val="16"/>
                <w:szCs w:val="16"/>
              </w:rPr>
              <w:t xml:space="preserve">University </w:t>
            </w:r>
            <w:r w:rsidR="00C41FBE">
              <w:rPr>
                <w:sz w:val="16"/>
                <w:szCs w:val="16"/>
              </w:rPr>
              <w:t>d</w:t>
            </w:r>
            <w:r w:rsidRPr="009B1415">
              <w:rPr>
                <w:sz w:val="16"/>
                <w:szCs w:val="16"/>
              </w:rPr>
              <w:t>egree or higher</w:t>
            </w:r>
          </w:p>
        </w:tc>
        <w:tc>
          <w:tcPr>
            <w:tcW w:w="567" w:type="dxa"/>
            <w:vAlign w:val="center"/>
          </w:tcPr>
          <w:p w:rsidR="00BF573E" w:rsidRPr="009775E8" w:rsidRDefault="00BF573E" w:rsidP="00BF573E">
            <w:pPr>
              <w:adjustRightInd w:val="0"/>
              <w:spacing w:before="20"/>
              <w:jc w:val="right"/>
              <w:rPr>
                <w:color w:val="000000"/>
                <w:sz w:val="16"/>
                <w:szCs w:val="16"/>
              </w:rPr>
            </w:pPr>
            <w:r>
              <w:rPr>
                <w:color w:val="000000"/>
                <w:sz w:val="16"/>
                <w:szCs w:val="16"/>
              </w:rPr>
              <w:t>35.9</w:t>
            </w:r>
          </w:p>
        </w:tc>
        <w:tc>
          <w:tcPr>
            <w:tcW w:w="1134"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0.74</w:t>
            </w:r>
          </w:p>
        </w:tc>
        <w:tc>
          <w:tcPr>
            <w:tcW w:w="1238" w:type="dxa"/>
            <w:gridSpan w:val="2"/>
            <w:vAlign w:val="center"/>
          </w:tcPr>
          <w:p w:rsidR="00BF573E" w:rsidRPr="009775E8" w:rsidRDefault="00541B39" w:rsidP="00BF573E">
            <w:pPr>
              <w:adjustRightInd w:val="0"/>
              <w:spacing w:before="20"/>
              <w:jc w:val="right"/>
              <w:rPr>
                <w:color w:val="000000"/>
                <w:sz w:val="16"/>
                <w:szCs w:val="16"/>
              </w:rPr>
            </w:pPr>
            <w:r>
              <w:rPr>
                <w:color w:val="000000"/>
                <w:sz w:val="16"/>
                <w:szCs w:val="16"/>
              </w:rPr>
              <w:t>(</w:t>
            </w:r>
            <w:r w:rsidR="00BF573E" w:rsidRPr="009775E8">
              <w:rPr>
                <w:color w:val="000000"/>
                <w:sz w:val="16"/>
                <w:szCs w:val="16"/>
              </w:rPr>
              <w:t>0.17</w:t>
            </w:r>
            <w:r w:rsidR="00BF573E">
              <w:rPr>
                <w:color w:val="000000"/>
                <w:sz w:val="16"/>
                <w:szCs w:val="16"/>
              </w:rPr>
              <w:t xml:space="preserve"> - </w:t>
            </w:r>
            <w:r w:rsidR="00BF573E" w:rsidRPr="009775E8">
              <w:rPr>
                <w:color w:val="000000"/>
                <w:sz w:val="16"/>
                <w:szCs w:val="16"/>
              </w:rPr>
              <w:t>3.13</w:t>
            </w:r>
            <w:r>
              <w:rPr>
                <w:color w:val="000000"/>
                <w:sz w:val="16"/>
                <w:szCs w:val="16"/>
              </w:rPr>
              <w:t>)</w:t>
            </w:r>
          </w:p>
        </w:tc>
        <w:tc>
          <w:tcPr>
            <w:tcW w:w="747" w:type="dxa"/>
            <w:vAlign w:val="center"/>
          </w:tcPr>
          <w:p w:rsidR="00BF573E" w:rsidRPr="009775E8" w:rsidRDefault="00BF573E" w:rsidP="00BF573E">
            <w:pPr>
              <w:adjustRightInd w:val="0"/>
              <w:spacing w:before="20"/>
              <w:jc w:val="right"/>
              <w:rPr>
                <w:color w:val="000000"/>
                <w:sz w:val="16"/>
                <w:szCs w:val="16"/>
              </w:rPr>
            </w:pPr>
            <w:r w:rsidRPr="009775E8">
              <w:rPr>
                <w:color w:val="000000"/>
                <w:sz w:val="16"/>
                <w:szCs w:val="16"/>
              </w:rPr>
              <w:t>0.11</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Labour force status</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E02871" w:rsidRPr="009B1415" w:rsidTr="00F959A8">
        <w:tc>
          <w:tcPr>
            <w:tcW w:w="4786" w:type="dxa"/>
          </w:tcPr>
          <w:p w:rsidR="00E02871" w:rsidRPr="009B1415" w:rsidRDefault="00E02871" w:rsidP="00E02871">
            <w:pPr>
              <w:spacing w:before="20"/>
              <w:ind w:left="176"/>
              <w:jc w:val="both"/>
              <w:rPr>
                <w:sz w:val="16"/>
                <w:szCs w:val="16"/>
              </w:rPr>
            </w:pPr>
            <w:r w:rsidRPr="009B1415">
              <w:rPr>
                <w:sz w:val="16"/>
                <w:szCs w:val="16"/>
              </w:rPr>
              <w:t>Employed</w:t>
            </w:r>
          </w:p>
        </w:tc>
        <w:tc>
          <w:tcPr>
            <w:tcW w:w="567" w:type="dxa"/>
            <w:vAlign w:val="center"/>
          </w:tcPr>
          <w:p w:rsidR="00E02871" w:rsidRPr="00E02871" w:rsidRDefault="00A50DB2" w:rsidP="00BF573E">
            <w:pPr>
              <w:adjustRightInd w:val="0"/>
              <w:spacing w:before="20"/>
              <w:jc w:val="right"/>
              <w:rPr>
                <w:color w:val="000000"/>
                <w:sz w:val="16"/>
                <w:szCs w:val="16"/>
              </w:rPr>
            </w:pPr>
            <w:r>
              <w:rPr>
                <w:color w:val="000000"/>
                <w:sz w:val="16"/>
                <w:szCs w:val="16"/>
              </w:rPr>
              <w:t>36.1</w:t>
            </w:r>
          </w:p>
        </w:tc>
        <w:tc>
          <w:tcPr>
            <w:tcW w:w="1134" w:type="dxa"/>
            <w:vAlign w:val="center"/>
          </w:tcPr>
          <w:p w:rsidR="00E02871" w:rsidRPr="00E02871" w:rsidRDefault="00E02871" w:rsidP="00BF573E">
            <w:pPr>
              <w:adjustRightInd w:val="0"/>
              <w:spacing w:before="20"/>
              <w:jc w:val="right"/>
              <w:rPr>
                <w:color w:val="000000"/>
                <w:sz w:val="16"/>
                <w:szCs w:val="16"/>
              </w:rPr>
            </w:pPr>
            <w:r w:rsidRPr="00E02871">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Unemployed</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53.</w:t>
            </w:r>
            <w:r w:rsidRPr="00E02871">
              <w:rPr>
                <w:color w:val="000000"/>
                <w:sz w:val="16"/>
                <w:szCs w:val="16"/>
              </w:rPr>
              <w:t>9</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2.07</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0.56</w:t>
            </w:r>
            <w:r w:rsidR="00BF573E">
              <w:rPr>
                <w:color w:val="000000"/>
                <w:sz w:val="16"/>
                <w:szCs w:val="16"/>
              </w:rPr>
              <w:t xml:space="preserve"> - </w:t>
            </w:r>
            <w:r w:rsidR="00BF573E" w:rsidRPr="00E02871">
              <w:rPr>
                <w:color w:val="000000"/>
                <w:sz w:val="16"/>
                <w:szCs w:val="16"/>
              </w:rPr>
              <w:t>7.69</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Student/Homemaker/Retired</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49.4</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1.73</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0.41</w:t>
            </w:r>
            <w:r w:rsidR="00BF573E">
              <w:rPr>
                <w:color w:val="000000"/>
                <w:sz w:val="16"/>
                <w:szCs w:val="16"/>
              </w:rPr>
              <w:t xml:space="preserve"> - </w:t>
            </w:r>
            <w:r w:rsidR="00BF573E" w:rsidRPr="00E02871">
              <w:rPr>
                <w:color w:val="000000"/>
                <w:sz w:val="16"/>
                <w:szCs w:val="16"/>
              </w:rPr>
              <w:t>7.29</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0.50</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Household size</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E02871" w:rsidRPr="009B1415" w:rsidTr="00F959A8">
        <w:tc>
          <w:tcPr>
            <w:tcW w:w="4786" w:type="dxa"/>
          </w:tcPr>
          <w:p w:rsidR="00E02871" w:rsidRPr="009B1415" w:rsidRDefault="00E02871" w:rsidP="00E02871">
            <w:pPr>
              <w:spacing w:before="20"/>
              <w:ind w:left="176"/>
              <w:jc w:val="both"/>
              <w:rPr>
                <w:sz w:val="16"/>
                <w:szCs w:val="16"/>
              </w:rPr>
            </w:pPr>
            <w:r w:rsidRPr="009B1415">
              <w:rPr>
                <w:sz w:val="16"/>
                <w:szCs w:val="16"/>
              </w:rPr>
              <w:t>1</w:t>
            </w:r>
          </w:p>
        </w:tc>
        <w:tc>
          <w:tcPr>
            <w:tcW w:w="567" w:type="dxa"/>
            <w:vAlign w:val="center"/>
          </w:tcPr>
          <w:p w:rsidR="00E02871" w:rsidRPr="00E02871" w:rsidRDefault="00A50DB2" w:rsidP="00BF573E">
            <w:pPr>
              <w:adjustRightInd w:val="0"/>
              <w:spacing w:before="20"/>
              <w:jc w:val="right"/>
              <w:rPr>
                <w:color w:val="000000"/>
                <w:sz w:val="16"/>
                <w:szCs w:val="16"/>
              </w:rPr>
            </w:pPr>
            <w:r>
              <w:rPr>
                <w:color w:val="000000"/>
                <w:sz w:val="16"/>
                <w:szCs w:val="16"/>
              </w:rPr>
              <w:t>63.2</w:t>
            </w:r>
          </w:p>
        </w:tc>
        <w:tc>
          <w:tcPr>
            <w:tcW w:w="1134" w:type="dxa"/>
            <w:vAlign w:val="center"/>
          </w:tcPr>
          <w:p w:rsidR="00E02871" w:rsidRPr="00E02871" w:rsidRDefault="00E02871" w:rsidP="00BF573E">
            <w:pPr>
              <w:adjustRightInd w:val="0"/>
              <w:spacing w:before="20"/>
              <w:jc w:val="right"/>
              <w:rPr>
                <w:color w:val="000000"/>
                <w:sz w:val="16"/>
                <w:szCs w:val="16"/>
              </w:rPr>
            </w:pPr>
            <w:r w:rsidRPr="00E02871">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2</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66.3</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1.14</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0.25</w:t>
            </w:r>
            <w:r w:rsidR="00BF573E">
              <w:rPr>
                <w:color w:val="000000"/>
                <w:sz w:val="16"/>
                <w:szCs w:val="16"/>
              </w:rPr>
              <w:t xml:space="preserve"> - </w:t>
            </w:r>
            <w:r w:rsidR="00BF573E" w:rsidRPr="00E02871">
              <w:rPr>
                <w:color w:val="000000"/>
                <w:sz w:val="16"/>
                <w:szCs w:val="16"/>
              </w:rPr>
              <w:t>5.29</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3</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32.1</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0.28</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0.05</w:t>
            </w:r>
            <w:r w:rsidR="00BF573E">
              <w:rPr>
                <w:color w:val="000000"/>
                <w:sz w:val="16"/>
                <w:szCs w:val="16"/>
              </w:rPr>
              <w:t xml:space="preserve"> - </w:t>
            </w:r>
            <w:r w:rsidR="00BF573E" w:rsidRPr="00E02871">
              <w:rPr>
                <w:color w:val="000000"/>
                <w:sz w:val="16"/>
                <w:szCs w:val="16"/>
              </w:rPr>
              <w:t>1.70</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4</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31.9</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0.27</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0.05</w:t>
            </w:r>
            <w:r w:rsidR="00BF573E">
              <w:rPr>
                <w:color w:val="000000"/>
                <w:sz w:val="16"/>
                <w:szCs w:val="16"/>
              </w:rPr>
              <w:t xml:space="preserve"> - </w:t>
            </w:r>
            <w:r w:rsidR="00BF573E" w:rsidRPr="00E02871">
              <w:rPr>
                <w:color w:val="000000"/>
                <w:sz w:val="16"/>
                <w:szCs w:val="16"/>
              </w:rPr>
              <w:t>1.53</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5+</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36.3</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0.33</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0.07</w:t>
            </w:r>
            <w:r w:rsidR="00BF573E">
              <w:rPr>
                <w:color w:val="000000"/>
                <w:sz w:val="16"/>
                <w:szCs w:val="16"/>
              </w:rPr>
              <w:t xml:space="preserve"> - </w:t>
            </w:r>
            <w:r w:rsidR="00BF573E" w:rsidRPr="00E02871">
              <w:rPr>
                <w:color w:val="000000"/>
                <w:sz w:val="16"/>
                <w:szCs w:val="16"/>
              </w:rPr>
              <w:t>1.54</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0.29</w:t>
            </w:r>
          </w:p>
        </w:tc>
      </w:tr>
      <w:tr w:rsidR="00CB35E8" w:rsidRPr="009B1415" w:rsidTr="00F959A8">
        <w:tc>
          <w:tcPr>
            <w:tcW w:w="4786" w:type="dxa"/>
            <w:vAlign w:val="bottom"/>
          </w:tcPr>
          <w:p w:rsidR="00CB35E8" w:rsidRPr="009B1415" w:rsidRDefault="00CB35E8" w:rsidP="00CB35E8">
            <w:pPr>
              <w:keepNext/>
              <w:spacing w:before="20"/>
              <w:jc w:val="both"/>
              <w:rPr>
                <w:b/>
                <w:sz w:val="16"/>
                <w:szCs w:val="16"/>
              </w:rPr>
            </w:pPr>
            <w:r w:rsidRPr="009B1415">
              <w:rPr>
                <w:b/>
                <w:sz w:val="16"/>
                <w:szCs w:val="16"/>
              </w:rPr>
              <w:t>Personal income</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E02871" w:rsidRPr="009B1415" w:rsidTr="00F959A8">
        <w:tc>
          <w:tcPr>
            <w:tcW w:w="4786" w:type="dxa"/>
          </w:tcPr>
          <w:p w:rsidR="00E02871" w:rsidRPr="009B1415" w:rsidRDefault="00E02871" w:rsidP="00E02871">
            <w:pPr>
              <w:spacing w:before="20"/>
              <w:ind w:left="176"/>
              <w:jc w:val="both"/>
              <w:rPr>
                <w:sz w:val="16"/>
                <w:szCs w:val="16"/>
              </w:rPr>
            </w:pPr>
            <w:r w:rsidRPr="009B1415">
              <w:rPr>
                <w:sz w:val="16"/>
                <w:szCs w:val="16"/>
              </w:rPr>
              <w:t>&lt;$20,000</w:t>
            </w:r>
          </w:p>
        </w:tc>
        <w:tc>
          <w:tcPr>
            <w:tcW w:w="567" w:type="dxa"/>
          </w:tcPr>
          <w:p w:rsidR="00E02871" w:rsidRPr="00E02871" w:rsidRDefault="00E02871" w:rsidP="00BF573E">
            <w:pPr>
              <w:adjustRightInd w:val="0"/>
              <w:spacing w:before="20"/>
              <w:jc w:val="right"/>
              <w:rPr>
                <w:color w:val="000000"/>
                <w:sz w:val="16"/>
                <w:szCs w:val="16"/>
              </w:rPr>
            </w:pPr>
            <w:r w:rsidRPr="00E02871">
              <w:rPr>
                <w:color w:val="000000"/>
                <w:sz w:val="16"/>
                <w:szCs w:val="16"/>
              </w:rPr>
              <w:t>67.2</w:t>
            </w:r>
          </w:p>
        </w:tc>
        <w:tc>
          <w:tcPr>
            <w:tcW w:w="1134" w:type="dxa"/>
            <w:vAlign w:val="center"/>
          </w:tcPr>
          <w:p w:rsidR="00E02871" w:rsidRPr="00E02871" w:rsidRDefault="00E02871" w:rsidP="00BF573E">
            <w:pPr>
              <w:adjustRightInd w:val="0"/>
              <w:spacing w:before="20"/>
              <w:jc w:val="right"/>
              <w:rPr>
                <w:color w:val="000000"/>
                <w:sz w:val="16"/>
                <w:szCs w:val="16"/>
              </w:rPr>
            </w:pPr>
            <w:r w:rsidRPr="00E02871">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$20,001 - $40,000</w:t>
            </w:r>
          </w:p>
        </w:tc>
        <w:tc>
          <w:tcPr>
            <w:tcW w:w="567" w:type="dxa"/>
          </w:tcPr>
          <w:p w:rsidR="00BF573E" w:rsidRPr="00E02871" w:rsidRDefault="00BF573E" w:rsidP="00BF573E">
            <w:pPr>
              <w:adjustRightInd w:val="0"/>
              <w:spacing w:before="20"/>
              <w:jc w:val="right"/>
              <w:rPr>
                <w:color w:val="000000"/>
                <w:sz w:val="16"/>
                <w:szCs w:val="16"/>
              </w:rPr>
            </w:pPr>
            <w:r w:rsidRPr="00E02871">
              <w:rPr>
                <w:color w:val="000000"/>
                <w:sz w:val="16"/>
                <w:szCs w:val="16"/>
              </w:rPr>
              <w:t>33.1</w:t>
            </w:r>
          </w:p>
        </w:tc>
        <w:tc>
          <w:tcPr>
            <w:tcW w:w="1134" w:type="dxa"/>
          </w:tcPr>
          <w:p w:rsidR="00BF573E" w:rsidRPr="00E02871" w:rsidRDefault="00BF573E" w:rsidP="00BF573E">
            <w:pPr>
              <w:adjustRightInd w:val="0"/>
              <w:spacing w:before="20"/>
              <w:jc w:val="right"/>
              <w:rPr>
                <w:color w:val="000000"/>
                <w:sz w:val="16"/>
                <w:szCs w:val="16"/>
              </w:rPr>
            </w:pPr>
            <w:r w:rsidRPr="00E02871">
              <w:rPr>
                <w:color w:val="000000"/>
                <w:sz w:val="16"/>
                <w:szCs w:val="16"/>
              </w:rPr>
              <w:t>0.24</w:t>
            </w:r>
          </w:p>
        </w:tc>
        <w:tc>
          <w:tcPr>
            <w:tcW w:w="1238" w:type="dxa"/>
            <w:gridSpan w:val="2"/>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0.06</w:t>
            </w:r>
            <w:r w:rsidR="00BF573E">
              <w:rPr>
                <w:color w:val="000000"/>
                <w:sz w:val="16"/>
                <w:szCs w:val="16"/>
              </w:rPr>
              <w:t xml:space="preserve"> - </w:t>
            </w:r>
            <w:r w:rsidR="00BF573E" w:rsidRPr="00E02871">
              <w:rPr>
                <w:color w:val="000000"/>
                <w:sz w:val="16"/>
                <w:szCs w:val="16"/>
              </w:rPr>
              <w:t>0.99</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$40,001 - $60,000</w:t>
            </w:r>
          </w:p>
        </w:tc>
        <w:tc>
          <w:tcPr>
            <w:tcW w:w="567" w:type="dxa"/>
          </w:tcPr>
          <w:p w:rsidR="00BF573E" w:rsidRPr="00E02871" w:rsidRDefault="00BF573E" w:rsidP="00BF573E">
            <w:pPr>
              <w:adjustRightInd w:val="0"/>
              <w:spacing w:before="20"/>
              <w:jc w:val="right"/>
              <w:rPr>
                <w:color w:val="000000"/>
                <w:sz w:val="16"/>
                <w:szCs w:val="16"/>
              </w:rPr>
            </w:pPr>
            <w:r w:rsidRPr="00E02871">
              <w:rPr>
                <w:color w:val="000000"/>
                <w:sz w:val="16"/>
                <w:szCs w:val="16"/>
              </w:rPr>
              <w:t>20.4</w:t>
            </w:r>
          </w:p>
        </w:tc>
        <w:tc>
          <w:tcPr>
            <w:tcW w:w="1134" w:type="dxa"/>
          </w:tcPr>
          <w:p w:rsidR="00BF573E" w:rsidRPr="00E02871" w:rsidRDefault="00BF573E" w:rsidP="00BF573E">
            <w:pPr>
              <w:adjustRightInd w:val="0"/>
              <w:spacing w:before="20"/>
              <w:jc w:val="right"/>
              <w:rPr>
                <w:color w:val="000000"/>
                <w:sz w:val="16"/>
                <w:szCs w:val="16"/>
              </w:rPr>
            </w:pPr>
            <w:r w:rsidRPr="00E02871">
              <w:rPr>
                <w:color w:val="000000"/>
                <w:sz w:val="16"/>
                <w:szCs w:val="16"/>
              </w:rPr>
              <w:t>0.13</w:t>
            </w:r>
          </w:p>
        </w:tc>
        <w:tc>
          <w:tcPr>
            <w:tcW w:w="1238" w:type="dxa"/>
            <w:gridSpan w:val="2"/>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0.02</w:t>
            </w:r>
            <w:r w:rsidR="00BF573E">
              <w:rPr>
                <w:color w:val="000000"/>
                <w:sz w:val="16"/>
                <w:szCs w:val="16"/>
              </w:rPr>
              <w:t xml:space="preserve"> - </w:t>
            </w:r>
            <w:r w:rsidR="00BF573E" w:rsidRPr="00E02871">
              <w:rPr>
                <w:color w:val="000000"/>
                <w:sz w:val="16"/>
                <w:szCs w:val="16"/>
              </w:rPr>
              <w:t>0.64</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$60,001 - $80,000</w:t>
            </w:r>
          </w:p>
        </w:tc>
        <w:tc>
          <w:tcPr>
            <w:tcW w:w="567" w:type="dxa"/>
          </w:tcPr>
          <w:p w:rsidR="00BF573E" w:rsidRPr="00E02871" w:rsidRDefault="00BF573E" w:rsidP="00BF573E">
            <w:pPr>
              <w:adjustRightInd w:val="0"/>
              <w:spacing w:before="20"/>
              <w:jc w:val="right"/>
              <w:rPr>
                <w:color w:val="000000"/>
                <w:sz w:val="16"/>
                <w:szCs w:val="16"/>
              </w:rPr>
            </w:pPr>
            <w:r>
              <w:rPr>
                <w:color w:val="000000"/>
                <w:sz w:val="16"/>
                <w:szCs w:val="16"/>
              </w:rPr>
              <w:t>27.</w:t>
            </w:r>
            <w:r w:rsidRPr="00E02871">
              <w:rPr>
                <w:color w:val="000000"/>
                <w:sz w:val="16"/>
                <w:szCs w:val="16"/>
              </w:rPr>
              <w:t>5</w:t>
            </w:r>
          </w:p>
        </w:tc>
        <w:tc>
          <w:tcPr>
            <w:tcW w:w="1134" w:type="dxa"/>
          </w:tcPr>
          <w:p w:rsidR="00BF573E" w:rsidRPr="00E02871" w:rsidRDefault="00BF573E" w:rsidP="00BF573E">
            <w:pPr>
              <w:adjustRightInd w:val="0"/>
              <w:spacing w:before="20"/>
              <w:jc w:val="right"/>
              <w:rPr>
                <w:color w:val="000000"/>
                <w:sz w:val="16"/>
                <w:szCs w:val="16"/>
              </w:rPr>
            </w:pPr>
            <w:r w:rsidRPr="00E02871">
              <w:rPr>
                <w:color w:val="000000"/>
                <w:sz w:val="16"/>
                <w:szCs w:val="16"/>
              </w:rPr>
              <w:t>0.18</w:t>
            </w:r>
          </w:p>
        </w:tc>
        <w:tc>
          <w:tcPr>
            <w:tcW w:w="1238" w:type="dxa"/>
            <w:gridSpan w:val="2"/>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0.03</w:t>
            </w:r>
            <w:r w:rsidR="00BF573E">
              <w:rPr>
                <w:color w:val="000000"/>
                <w:sz w:val="16"/>
                <w:szCs w:val="16"/>
              </w:rPr>
              <w:t xml:space="preserve"> - </w:t>
            </w:r>
            <w:r w:rsidR="00BF573E" w:rsidRPr="00E02871">
              <w:rPr>
                <w:color w:val="000000"/>
                <w:sz w:val="16"/>
                <w:szCs w:val="16"/>
              </w:rPr>
              <w:t>1.21</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$80,001 - $100,000</w:t>
            </w:r>
          </w:p>
        </w:tc>
        <w:tc>
          <w:tcPr>
            <w:tcW w:w="567" w:type="dxa"/>
          </w:tcPr>
          <w:p w:rsidR="00BF573E" w:rsidRPr="00E02871" w:rsidRDefault="00BF573E" w:rsidP="00BF573E">
            <w:pPr>
              <w:adjustRightInd w:val="0"/>
              <w:spacing w:before="20"/>
              <w:jc w:val="right"/>
              <w:rPr>
                <w:color w:val="000000"/>
                <w:sz w:val="16"/>
                <w:szCs w:val="16"/>
              </w:rPr>
            </w:pPr>
            <w:r>
              <w:rPr>
                <w:color w:val="000000"/>
                <w:sz w:val="16"/>
                <w:szCs w:val="16"/>
              </w:rPr>
              <w:t>75.</w:t>
            </w:r>
            <w:r w:rsidRPr="00E02871">
              <w:rPr>
                <w:color w:val="000000"/>
                <w:sz w:val="16"/>
                <w:szCs w:val="16"/>
              </w:rPr>
              <w:t>5</w:t>
            </w:r>
          </w:p>
        </w:tc>
        <w:tc>
          <w:tcPr>
            <w:tcW w:w="1134" w:type="dxa"/>
          </w:tcPr>
          <w:p w:rsidR="00BF573E" w:rsidRPr="00E02871" w:rsidRDefault="00BF573E" w:rsidP="00BF573E">
            <w:pPr>
              <w:adjustRightInd w:val="0"/>
              <w:spacing w:before="20"/>
              <w:jc w:val="right"/>
              <w:rPr>
                <w:color w:val="000000"/>
                <w:sz w:val="16"/>
                <w:szCs w:val="16"/>
              </w:rPr>
            </w:pPr>
            <w:r w:rsidRPr="00E02871">
              <w:rPr>
                <w:color w:val="000000"/>
                <w:sz w:val="16"/>
                <w:szCs w:val="16"/>
              </w:rPr>
              <w:t>1.50</w:t>
            </w:r>
          </w:p>
        </w:tc>
        <w:tc>
          <w:tcPr>
            <w:tcW w:w="1238" w:type="dxa"/>
            <w:gridSpan w:val="2"/>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0.15</w:t>
            </w:r>
            <w:r w:rsidR="00BF573E">
              <w:rPr>
                <w:color w:val="000000"/>
                <w:sz w:val="16"/>
                <w:szCs w:val="16"/>
              </w:rPr>
              <w:t xml:space="preserve"> - </w:t>
            </w:r>
            <w:r w:rsidR="00BF573E" w:rsidRPr="00E02871">
              <w:rPr>
                <w:color w:val="000000"/>
                <w:sz w:val="16"/>
                <w:szCs w:val="16"/>
              </w:rPr>
              <w:t>14.7</w:t>
            </w:r>
            <w:r>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Borders>
              <w:bottom w:val="single" w:sz="4" w:space="0" w:color="auto"/>
            </w:tcBorders>
            <w:vAlign w:val="bottom"/>
          </w:tcPr>
          <w:p w:rsidR="00BF573E" w:rsidRPr="009B1415" w:rsidRDefault="00BF573E" w:rsidP="00E02871">
            <w:pPr>
              <w:spacing w:before="20"/>
              <w:ind w:left="176"/>
              <w:jc w:val="both"/>
              <w:rPr>
                <w:sz w:val="16"/>
                <w:szCs w:val="16"/>
              </w:rPr>
            </w:pPr>
            <w:r w:rsidRPr="009B1415">
              <w:rPr>
                <w:sz w:val="16"/>
                <w:szCs w:val="16"/>
              </w:rPr>
              <w:t>Not reported</w:t>
            </w:r>
          </w:p>
        </w:tc>
        <w:tc>
          <w:tcPr>
            <w:tcW w:w="567" w:type="dxa"/>
            <w:tcBorders>
              <w:bottom w:val="single" w:sz="4" w:space="0" w:color="auto"/>
            </w:tcBorders>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75.2</w:t>
            </w:r>
          </w:p>
        </w:tc>
        <w:tc>
          <w:tcPr>
            <w:tcW w:w="1134" w:type="dxa"/>
            <w:tcBorders>
              <w:bottom w:val="single" w:sz="4" w:space="0" w:color="auto"/>
            </w:tcBorders>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1.50</w:t>
            </w:r>
          </w:p>
        </w:tc>
        <w:tc>
          <w:tcPr>
            <w:tcW w:w="1238" w:type="dxa"/>
            <w:gridSpan w:val="2"/>
            <w:tcBorders>
              <w:bottom w:val="single" w:sz="4" w:space="0" w:color="auto"/>
            </w:tcBorders>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0.15</w:t>
            </w:r>
            <w:r w:rsidR="00BF573E">
              <w:rPr>
                <w:color w:val="000000"/>
                <w:sz w:val="16"/>
                <w:szCs w:val="16"/>
              </w:rPr>
              <w:t xml:space="preserve"> - </w:t>
            </w:r>
            <w:r w:rsidR="00BF573E" w:rsidRPr="00E02871">
              <w:rPr>
                <w:color w:val="000000"/>
                <w:sz w:val="16"/>
                <w:szCs w:val="16"/>
              </w:rPr>
              <w:t>14.86</w:t>
            </w:r>
            <w:r>
              <w:rPr>
                <w:color w:val="000000"/>
                <w:sz w:val="16"/>
                <w:szCs w:val="16"/>
              </w:rPr>
              <w:t>)</w:t>
            </w:r>
          </w:p>
        </w:tc>
        <w:tc>
          <w:tcPr>
            <w:tcW w:w="747" w:type="dxa"/>
            <w:tcBorders>
              <w:bottom w:val="single" w:sz="4" w:space="0" w:color="auto"/>
            </w:tcBorders>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0.07</w:t>
            </w:r>
          </w:p>
        </w:tc>
      </w:tr>
      <w:tr w:rsidR="00CB35E8" w:rsidRPr="009B1415" w:rsidTr="00F959A8">
        <w:tc>
          <w:tcPr>
            <w:tcW w:w="4786" w:type="dxa"/>
            <w:tcBorders>
              <w:top w:val="single" w:sz="4" w:space="0" w:color="auto"/>
            </w:tcBorders>
            <w:vAlign w:val="bottom"/>
          </w:tcPr>
          <w:p w:rsidR="00CB35E8" w:rsidRPr="009B1415" w:rsidRDefault="00CB35E8" w:rsidP="00E02871">
            <w:pPr>
              <w:keepNext/>
              <w:spacing w:before="20"/>
              <w:jc w:val="both"/>
              <w:rPr>
                <w:b/>
                <w:sz w:val="16"/>
                <w:szCs w:val="16"/>
              </w:rPr>
            </w:pPr>
            <w:r w:rsidRPr="009B1415">
              <w:rPr>
                <w:b/>
                <w:sz w:val="16"/>
                <w:szCs w:val="16"/>
              </w:rPr>
              <w:lastRenderedPageBreak/>
              <w:t>Household income</w:t>
            </w:r>
          </w:p>
        </w:tc>
        <w:tc>
          <w:tcPr>
            <w:tcW w:w="567" w:type="dxa"/>
            <w:tcBorders>
              <w:top w:val="single" w:sz="4" w:space="0" w:color="auto"/>
            </w:tcBorders>
            <w:vAlign w:val="center"/>
          </w:tcPr>
          <w:p w:rsidR="00CB35E8" w:rsidRPr="00CB35E8" w:rsidRDefault="00CB35E8" w:rsidP="00BF573E">
            <w:pPr>
              <w:keepNext/>
              <w:adjustRightInd w:val="0"/>
              <w:spacing w:before="20"/>
              <w:jc w:val="right"/>
              <w:rPr>
                <w:color w:val="000000"/>
                <w:sz w:val="16"/>
                <w:szCs w:val="16"/>
              </w:rPr>
            </w:pPr>
          </w:p>
        </w:tc>
        <w:tc>
          <w:tcPr>
            <w:tcW w:w="1134" w:type="dxa"/>
            <w:tcBorders>
              <w:top w:val="single" w:sz="4" w:space="0" w:color="auto"/>
            </w:tcBorders>
            <w:vAlign w:val="center"/>
          </w:tcPr>
          <w:p w:rsidR="00CB35E8" w:rsidRPr="00CB35E8" w:rsidRDefault="00CB35E8" w:rsidP="00BF573E">
            <w:pPr>
              <w:keepNext/>
              <w:adjustRightInd w:val="0"/>
              <w:spacing w:before="20"/>
              <w:jc w:val="right"/>
              <w:rPr>
                <w:color w:val="000000"/>
                <w:sz w:val="16"/>
                <w:szCs w:val="16"/>
              </w:rPr>
            </w:pPr>
          </w:p>
        </w:tc>
        <w:tc>
          <w:tcPr>
            <w:tcW w:w="968" w:type="dxa"/>
            <w:tcBorders>
              <w:top w:val="single" w:sz="4" w:space="0" w:color="auto"/>
            </w:tcBorders>
            <w:vAlign w:val="center"/>
          </w:tcPr>
          <w:p w:rsidR="00CB35E8" w:rsidRPr="00CB35E8" w:rsidRDefault="00CB35E8" w:rsidP="00BF573E">
            <w:pPr>
              <w:keepNext/>
              <w:adjustRightInd w:val="0"/>
              <w:spacing w:before="20"/>
              <w:jc w:val="right"/>
              <w:rPr>
                <w:color w:val="000000"/>
                <w:sz w:val="16"/>
                <w:szCs w:val="16"/>
              </w:rPr>
            </w:pPr>
          </w:p>
        </w:tc>
        <w:tc>
          <w:tcPr>
            <w:tcW w:w="270" w:type="dxa"/>
            <w:tcBorders>
              <w:top w:val="single" w:sz="4" w:space="0" w:color="auto"/>
            </w:tcBorders>
            <w:vAlign w:val="center"/>
          </w:tcPr>
          <w:p w:rsidR="00CB35E8" w:rsidRPr="00CB35E8" w:rsidRDefault="00CB35E8" w:rsidP="00BF573E">
            <w:pPr>
              <w:keepNext/>
              <w:adjustRightInd w:val="0"/>
              <w:spacing w:before="20"/>
              <w:jc w:val="right"/>
              <w:rPr>
                <w:color w:val="000000"/>
                <w:sz w:val="16"/>
                <w:szCs w:val="16"/>
              </w:rPr>
            </w:pPr>
          </w:p>
        </w:tc>
        <w:tc>
          <w:tcPr>
            <w:tcW w:w="747" w:type="dxa"/>
            <w:tcBorders>
              <w:top w:val="single" w:sz="4" w:space="0" w:color="auto"/>
            </w:tcBorders>
            <w:vAlign w:val="center"/>
          </w:tcPr>
          <w:p w:rsidR="00CB35E8" w:rsidRPr="00CB35E8" w:rsidRDefault="00CB35E8" w:rsidP="00BF573E">
            <w:pPr>
              <w:keepNext/>
              <w:adjustRightInd w:val="0"/>
              <w:spacing w:before="20"/>
              <w:jc w:val="right"/>
              <w:rPr>
                <w:color w:val="000000"/>
                <w:sz w:val="16"/>
                <w:szCs w:val="16"/>
              </w:rPr>
            </w:pPr>
          </w:p>
        </w:tc>
      </w:tr>
      <w:tr w:rsidR="00E02871" w:rsidRPr="009B1415" w:rsidTr="00F959A8">
        <w:tc>
          <w:tcPr>
            <w:tcW w:w="4786" w:type="dxa"/>
          </w:tcPr>
          <w:p w:rsidR="00E02871" w:rsidRPr="009B1415" w:rsidRDefault="00E02871" w:rsidP="00E02871">
            <w:pPr>
              <w:keepNext/>
              <w:spacing w:before="20"/>
              <w:ind w:left="176"/>
              <w:jc w:val="both"/>
              <w:rPr>
                <w:sz w:val="16"/>
                <w:szCs w:val="16"/>
              </w:rPr>
            </w:pPr>
            <w:r w:rsidRPr="009B1415">
              <w:rPr>
                <w:sz w:val="16"/>
                <w:szCs w:val="16"/>
              </w:rPr>
              <w:t>&lt;$20,000</w:t>
            </w:r>
          </w:p>
        </w:tc>
        <w:tc>
          <w:tcPr>
            <w:tcW w:w="567" w:type="dxa"/>
          </w:tcPr>
          <w:p w:rsidR="00E02871" w:rsidRPr="00E02871" w:rsidRDefault="00A50DB2" w:rsidP="00BF573E">
            <w:pPr>
              <w:adjustRightInd w:val="0"/>
              <w:spacing w:before="20"/>
              <w:jc w:val="right"/>
              <w:rPr>
                <w:color w:val="000000"/>
                <w:sz w:val="16"/>
                <w:szCs w:val="16"/>
              </w:rPr>
            </w:pPr>
            <w:r>
              <w:rPr>
                <w:color w:val="000000"/>
                <w:sz w:val="16"/>
                <w:szCs w:val="16"/>
              </w:rPr>
              <w:t>61.2</w:t>
            </w:r>
          </w:p>
        </w:tc>
        <w:tc>
          <w:tcPr>
            <w:tcW w:w="1134" w:type="dxa"/>
            <w:vAlign w:val="center"/>
          </w:tcPr>
          <w:p w:rsidR="00E02871" w:rsidRPr="00E02871" w:rsidRDefault="00E02871" w:rsidP="00BF573E">
            <w:pPr>
              <w:adjustRightInd w:val="0"/>
              <w:spacing w:before="20"/>
              <w:jc w:val="right"/>
              <w:rPr>
                <w:color w:val="000000"/>
                <w:sz w:val="16"/>
                <w:szCs w:val="16"/>
              </w:rPr>
            </w:pPr>
            <w:r w:rsidRPr="00E02871">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keepNext/>
              <w:spacing w:before="20"/>
              <w:ind w:left="176"/>
              <w:jc w:val="both"/>
              <w:rPr>
                <w:sz w:val="16"/>
                <w:szCs w:val="16"/>
              </w:rPr>
            </w:pPr>
            <w:r w:rsidRPr="009B1415">
              <w:rPr>
                <w:sz w:val="16"/>
                <w:szCs w:val="16"/>
              </w:rPr>
              <w:t>$20,001 - $40,000</w:t>
            </w:r>
          </w:p>
        </w:tc>
        <w:tc>
          <w:tcPr>
            <w:tcW w:w="567" w:type="dxa"/>
          </w:tcPr>
          <w:p w:rsidR="00BF573E" w:rsidRPr="00E02871" w:rsidRDefault="00BF573E" w:rsidP="00BF573E">
            <w:pPr>
              <w:adjustRightInd w:val="0"/>
              <w:spacing w:before="20"/>
              <w:jc w:val="right"/>
              <w:rPr>
                <w:color w:val="000000"/>
                <w:sz w:val="16"/>
                <w:szCs w:val="16"/>
              </w:rPr>
            </w:pPr>
            <w:r>
              <w:rPr>
                <w:color w:val="000000"/>
                <w:sz w:val="16"/>
                <w:szCs w:val="16"/>
              </w:rPr>
              <w:t>61.4</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1.01</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0.17</w:t>
            </w:r>
            <w:r w:rsidR="00BF573E">
              <w:rPr>
                <w:color w:val="000000"/>
                <w:sz w:val="16"/>
                <w:szCs w:val="16"/>
              </w:rPr>
              <w:t xml:space="preserve"> - </w:t>
            </w:r>
            <w:r w:rsidR="00BF573E" w:rsidRPr="00E02871">
              <w:rPr>
                <w:color w:val="000000"/>
                <w:sz w:val="16"/>
                <w:szCs w:val="16"/>
              </w:rPr>
              <w:t>5.86</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keepNext/>
              <w:spacing w:before="20"/>
              <w:ind w:left="176"/>
              <w:jc w:val="both"/>
              <w:rPr>
                <w:sz w:val="16"/>
                <w:szCs w:val="16"/>
              </w:rPr>
            </w:pPr>
            <w:r w:rsidRPr="009B1415">
              <w:rPr>
                <w:sz w:val="16"/>
                <w:szCs w:val="16"/>
              </w:rPr>
              <w:t>$40,001 - $60,000</w:t>
            </w:r>
          </w:p>
        </w:tc>
        <w:tc>
          <w:tcPr>
            <w:tcW w:w="567" w:type="dxa"/>
          </w:tcPr>
          <w:p w:rsidR="00BF573E" w:rsidRPr="00E02871" w:rsidRDefault="00BF573E" w:rsidP="00BF573E">
            <w:pPr>
              <w:adjustRightInd w:val="0"/>
              <w:spacing w:before="20"/>
              <w:jc w:val="right"/>
              <w:rPr>
                <w:color w:val="000000"/>
                <w:sz w:val="16"/>
                <w:szCs w:val="16"/>
              </w:rPr>
            </w:pPr>
            <w:r w:rsidRPr="00E02871">
              <w:rPr>
                <w:color w:val="000000"/>
                <w:sz w:val="16"/>
                <w:szCs w:val="16"/>
              </w:rPr>
              <w:t>29.4</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0.26</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0.06</w:t>
            </w:r>
            <w:r w:rsidR="00BF573E">
              <w:rPr>
                <w:color w:val="000000"/>
                <w:sz w:val="16"/>
                <w:szCs w:val="16"/>
              </w:rPr>
              <w:t xml:space="preserve"> - </w:t>
            </w:r>
            <w:r w:rsidR="00BF573E" w:rsidRPr="00E02871">
              <w:rPr>
                <w:color w:val="000000"/>
                <w:sz w:val="16"/>
                <w:szCs w:val="16"/>
              </w:rPr>
              <w:t>1.10</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keepNext/>
              <w:spacing w:before="20"/>
              <w:ind w:left="176"/>
              <w:jc w:val="both"/>
              <w:rPr>
                <w:sz w:val="16"/>
                <w:szCs w:val="16"/>
              </w:rPr>
            </w:pPr>
            <w:r w:rsidRPr="009B1415">
              <w:rPr>
                <w:sz w:val="16"/>
                <w:szCs w:val="16"/>
              </w:rPr>
              <w:t>$60,001 - $80,000</w:t>
            </w:r>
          </w:p>
        </w:tc>
        <w:tc>
          <w:tcPr>
            <w:tcW w:w="567" w:type="dxa"/>
          </w:tcPr>
          <w:p w:rsidR="00BF573E" w:rsidRPr="00E02871" w:rsidRDefault="00BF573E" w:rsidP="00BF573E">
            <w:pPr>
              <w:adjustRightInd w:val="0"/>
              <w:spacing w:before="20"/>
              <w:jc w:val="right"/>
              <w:rPr>
                <w:color w:val="000000"/>
                <w:sz w:val="16"/>
                <w:szCs w:val="16"/>
              </w:rPr>
            </w:pPr>
            <w:r>
              <w:rPr>
                <w:color w:val="000000"/>
                <w:sz w:val="16"/>
                <w:szCs w:val="16"/>
              </w:rPr>
              <w:t>22.0</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0.18</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0.03</w:t>
            </w:r>
            <w:r w:rsidR="00BF573E">
              <w:rPr>
                <w:color w:val="000000"/>
                <w:sz w:val="16"/>
                <w:szCs w:val="16"/>
              </w:rPr>
              <w:t xml:space="preserve"> - </w:t>
            </w:r>
            <w:r w:rsidR="00BF573E" w:rsidRPr="00E02871">
              <w:rPr>
                <w:color w:val="000000"/>
                <w:sz w:val="16"/>
                <w:szCs w:val="16"/>
              </w:rPr>
              <w:t>1.11</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keepNext/>
              <w:spacing w:before="20"/>
              <w:ind w:left="176"/>
              <w:jc w:val="both"/>
              <w:rPr>
                <w:sz w:val="16"/>
                <w:szCs w:val="16"/>
              </w:rPr>
            </w:pPr>
            <w:r w:rsidRPr="009B1415">
              <w:rPr>
                <w:sz w:val="16"/>
                <w:szCs w:val="16"/>
              </w:rPr>
              <w:t>$80,001 - $100,000</w:t>
            </w:r>
          </w:p>
        </w:tc>
        <w:tc>
          <w:tcPr>
            <w:tcW w:w="567" w:type="dxa"/>
          </w:tcPr>
          <w:p w:rsidR="00BF573E" w:rsidRPr="00E02871" w:rsidRDefault="00BF573E" w:rsidP="00BF573E">
            <w:pPr>
              <w:adjustRightInd w:val="0"/>
              <w:spacing w:before="20"/>
              <w:jc w:val="right"/>
              <w:rPr>
                <w:color w:val="000000"/>
                <w:sz w:val="16"/>
                <w:szCs w:val="16"/>
              </w:rPr>
            </w:pPr>
            <w:r w:rsidRPr="00E02871">
              <w:rPr>
                <w:color w:val="000000"/>
                <w:sz w:val="16"/>
                <w:szCs w:val="16"/>
              </w:rPr>
              <w:t>56.9</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0.84</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0.16</w:t>
            </w:r>
            <w:r w:rsidR="00BF573E">
              <w:rPr>
                <w:color w:val="000000"/>
                <w:sz w:val="16"/>
                <w:szCs w:val="16"/>
              </w:rPr>
              <w:t xml:space="preserve"> - </w:t>
            </w:r>
            <w:r w:rsidR="00BF573E" w:rsidRPr="00E02871">
              <w:rPr>
                <w:color w:val="000000"/>
                <w:sz w:val="16"/>
                <w:szCs w:val="16"/>
              </w:rPr>
              <w:t>4.50</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vAlign w:val="bottom"/>
          </w:tcPr>
          <w:p w:rsidR="00BF573E" w:rsidRDefault="00BF573E" w:rsidP="00E02871">
            <w:pPr>
              <w:keepNext/>
              <w:spacing w:before="20"/>
              <w:ind w:left="176"/>
              <w:jc w:val="both"/>
              <w:rPr>
                <w:sz w:val="16"/>
                <w:szCs w:val="16"/>
              </w:rPr>
            </w:pPr>
            <w:r w:rsidRPr="00E02871">
              <w:rPr>
                <w:sz w:val="16"/>
                <w:szCs w:val="16"/>
              </w:rPr>
              <w:t>&gt;$100,000</w:t>
            </w:r>
          </w:p>
        </w:tc>
        <w:tc>
          <w:tcPr>
            <w:tcW w:w="567" w:type="dxa"/>
          </w:tcPr>
          <w:p w:rsidR="00BF573E" w:rsidRPr="00E02871" w:rsidRDefault="00BF573E" w:rsidP="00BF573E">
            <w:pPr>
              <w:adjustRightInd w:val="0"/>
              <w:spacing w:before="20"/>
              <w:jc w:val="right"/>
              <w:rPr>
                <w:color w:val="000000"/>
                <w:sz w:val="16"/>
                <w:szCs w:val="16"/>
              </w:rPr>
            </w:pPr>
            <w:r>
              <w:rPr>
                <w:color w:val="000000"/>
                <w:sz w:val="16"/>
                <w:szCs w:val="16"/>
              </w:rPr>
              <w:t>50.5</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0.65</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0.14</w:t>
            </w:r>
            <w:r w:rsidR="00BF573E">
              <w:rPr>
                <w:color w:val="000000"/>
                <w:sz w:val="16"/>
                <w:szCs w:val="16"/>
              </w:rPr>
              <w:t xml:space="preserve"> - </w:t>
            </w:r>
            <w:r w:rsidR="00BF573E" w:rsidRPr="00E02871">
              <w:rPr>
                <w:color w:val="000000"/>
                <w:sz w:val="16"/>
                <w:szCs w:val="16"/>
              </w:rPr>
              <w:t>3.08</w:t>
            </w:r>
            <w:r w:rsidR="009A56CE">
              <w:rPr>
                <w:color w:val="000000"/>
                <w:sz w:val="16"/>
                <w:szCs w:val="16"/>
              </w:rPr>
              <w:t>)</w:t>
            </w:r>
          </w:p>
        </w:tc>
        <w:tc>
          <w:tcPr>
            <w:tcW w:w="747" w:type="dxa"/>
            <w:shd w:val="clear" w:color="auto" w:fill="auto"/>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vAlign w:val="bottom"/>
          </w:tcPr>
          <w:p w:rsidR="00BF573E" w:rsidRPr="009B1415" w:rsidRDefault="00BF573E" w:rsidP="00E02871">
            <w:pPr>
              <w:keepNext/>
              <w:spacing w:before="20"/>
              <w:ind w:left="176"/>
              <w:jc w:val="both"/>
              <w:rPr>
                <w:sz w:val="16"/>
                <w:szCs w:val="16"/>
              </w:rPr>
            </w:pPr>
            <w:r>
              <w:rPr>
                <w:sz w:val="16"/>
                <w:szCs w:val="16"/>
              </w:rPr>
              <w:t>Not r</w:t>
            </w:r>
            <w:r w:rsidRPr="009B1415">
              <w:rPr>
                <w:sz w:val="16"/>
                <w:szCs w:val="16"/>
              </w:rPr>
              <w:t>eported</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45.4</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0.53</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0.07</w:t>
            </w:r>
            <w:r w:rsidR="00BF573E">
              <w:rPr>
                <w:color w:val="000000"/>
                <w:sz w:val="16"/>
                <w:szCs w:val="16"/>
              </w:rPr>
              <w:t xml:space="preserve"> - </w:t>
            </w:r>
            <w:r w:rsidR="00BF573E" w:rsidRPr="00E02871">
              <w:rPr>
                <w:color w:val="000000"/>
                <w:sz w:val="16"/>
                <w:szCs w:val="16"/>
              </w:rPr>
              <w:t>3.76</w:t>
            </w:r>
            <w:r w:rsidR="009A56CE">
              <w:rPr>
                <w:color w:val="000000"/>
                <w:sz w:val="16"/>
                <w:szCs w:val="16"/>
              </w:rPr>
              <w:t>)</w:t>
            </w:r>
          </w:p>
        </w:tc>
        <w:tc>
          <w:tcPr>
            <w:tcW w:w="747" w:type="dxa"/>
            <w:shd w:val="clear" w:color="auto" w:fill="auto"/>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0.38</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Area of residence</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E02871" w:rsidRPr="009B1415" w:rsidTr="00F959A8">
        <w:tc>
          <w:tcPr>
            <w:tcW w:w="4786" w:type="dxa"/>
          </w:tcPr>
          <w:p w:rsidR="00E02871" w:rsidRPr="009B1415" w:rsidRDefault="00E02871" w:rsidP="00E02871">
            <w:pPr>
              <w:spacing w:before="20"/>
              <w:ind w:left="176"/>
              <w:jc w:val="both"/>
              <w:rPr>
                <w:sz w:val="16"/>
                <w:szCs w:val="16"/>
              </w:rPr>
            </w:pPr>
            <w:r w:rsidRPr="009B1415">
              <w:rPr>
                <w:sz w:val="16"/>
                <w:szCs w:val="16"/>
              </w:rPr>
              <w:t>Auckland</w:t>
            </w:r>
          </w:p>
        </w:tc>
        <w:tc>
          <w:tcPr>
            <w:tcW w:w="567" w:type="dxa"/>
            <w:vAlign w:val="center"/>
          </w:tcPr>
          <w:p w:rsidR="00E02871" w:rsidRPr="00E02871" w:rsidRDefault="00A50DB2" w:rsidP="00BF573E">
            <w:pPr>
              <w:adjustRightInd w:val="0"/>
              <w:spacing w:before="20"/>
              <w:jc w:val="right"/>
              <w:rPr>
                <w:color w:val="000000"/>
                <w:sz w:val="16"/>
                <w:szCs w:val="16"/>
              </w:rPr>
            </w:pPr>
            <w:r>
              <w:rPr>
                <w:color w:val="000000"/>
                <w:sz w:val="16"/>
                <w:szCs w:val="16"/>
              </w:rPr>
              <w:t>38.5</w:t>
            </w:r>
          </w:p>
        </w:tc>
        <w:tc>
          <w:tcPr>
            <w:tcW w:w="1134" w:type="dxa"/>
            <w:vAlign w:val="center"/>
          </w:tcPr>
          <w:p w:rsidR="00E02871" w:rsidRPr="00E02871" w:rsidRDefault="00E02871" w:rsidP="00BF573E">
            <w:pPr>
              <w:adjustRightInd w:val="0"/>
              <w:spacing w:before="20"/>
              <w:jc w:val="right"/>
              <w:rPr>
                <w:color w:val="000000"/>
                <w:sz w:val="16"/>
                <w:szCs w:val="16"/>
              </w:rPr>
            </w:pPr>
            <w:r w:rsidRPr="00E02871">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Wellington</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29.5</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0.67</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0.10</w:t>
            </w:r>
            <w:r w:rsidR="00BF573E">
              <w:rPr>
                <w:color w:val="000000"/>
                <w:sz w:val="16"/>
                <w:szCs w:val="16"/>
              </w:rPr>
              <w:t xml:space="preserve"> - </w:t>
            </w:r>
            <w:r w:rsidR="00BF573E" w:rsidRPr="00E02871">
              <w:rPr>
                <w:color w:val="000000"/>
                <w:sz w:val="16"/>
                <w:szCs w:val="16"/>
              </w:rPr>
              <w:t>4.48</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Christchurch</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25.2</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0.54</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0.05</w:t>
            </w:r>
            <w:r w:rsidR="00BF573E">
              <w:rPr>
                <w:color w:val="000000"/>
                <w:sz w:val="16"/>
                <w:szCs w:val="16"/>
              </w:rPr>
              <w:t xml:space="preserve"> - </w:t>
            </w:r>
            <w:r w:rsidR="00BF573E" w:rsidRPr="00E02871">
              <w:rPr>
                <w:color w:val="000000"/>
                <w:sz w:val="16"/>
                <w:szCs w:val="16"/>
              </w:rPr>
              <w:t>5.60</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Rest of NZ</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56.0</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2.04</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0.62</w:t>
            </w:r>
            <w:r w:rsidR="00BF573E">
              <w:rPr>
                <w:color w:val="000000"/>
                <w:sz w:val="16"/>
                <w:szCs w:val="16"/>
              </w:rPr>
              <w:t xml:space="preserve"> - </w:t>
            </w:r>
            <w:r w:rsidR="00BF573E" w:rsidRPr="00E02871">
              <w:rPr>
                <w:color w:val="000000"/>
                <w:sz w:val="16"/>
                <w:szCs w:val="16"/>
              </w:rPr>
              <w:t>6.66</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0.41</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 xml:space="preserve">New Zealand </w:t>
            </w:r>
            <w:r w:rsidR="00280A64">
              <w:rPr>
                <w:b/>
                <w:sz w:val="16"/>
                <w:szCs w:val="16"/>
              </w:rPr>
              <w:t xml:space="preserve">Individual </w:t>
            </w:r>
            <w:r w:rsidRPr="009B1415">
              <w:rPr>
                <w:b/>
                <w:sz w:val="16"/>
                <w:szCs w:val="16"/>
              </w:rPr>
              <w:t>Deprivation Index</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E02871" w:rsidRPr="009B1415" w:rsidTr="00F959A8">
        <w:tc>
          <w:tcPr>
            <w:tcW w:w="4786" w:type="dxa"/>
          </w:tcPr>
          <w:p w:rsidR="00E02871" w:rsidRPr="00280A64" w:rsidRDefault="00E02871" w:rsidP="00E02871">
            <w:pPr>
              <w:spacing w:before="20"/>
              <w:ind w:left="176"/>
              <w:jc w:val="both"/>
              <w:rPr>
                <w:sz w:val="16"/>
                <w:szCs w:val="16"/>
              </w:rPr>
            </w:pPr>
            <w:r w:rsidRPr="00280A64">
              <w:rPr>
                <w:sz w:val="16"/>
                <w:szCs w:val="16"/>
              </w:rPr>
              <w:t>0</w:t>
            </w:r>
          </w:p>
        </w:tc>
        <w:tc>
          <w:tcPr>
            <w:tcW w:w="567" w:type="dxa"/>
            <w:vAlign w:val="center"/>
          </w:tcPr>
          <w:p w:rsidR="00E02871" w:rsidRPr="00280A64" w:rsidRDefault="00E02871" w:rsidP="00BF573E">
            <w:pPr>
              <w:adjustRightInd w:val="0"/>
              <w:spacing w:before="20"/>
              <w:jc w:val="right"/>
              <w:rPr>
                <w:color w:val="000000"/>
                <w:sz w:val="16"/>
                <w:szCs w:val="16"/>
              </w:rPr>
            </w:pPr>
            <w:r w:rsidRPr="00280A64">
              <w:rPr>
                <w:color w:val="000000"/>
                <w:sz w:val="16"/>
                <w:szCs w:val="16"/>
              </w:rPr>
              <w:t>52.2</w:t>
            </w:r>
          </w:p>
        </w:tc>
        <w:tc>
          <w:tcPr>
            <w:tcW w:w="1134" w:type="dxa"/>
            <w:vAlign w:val="center"/>
          </w:tcPr>
          <w:p w:rsidR="00E02871" w:rsidRPr="00E02871" w:rsidRDefault="00E02871" w:rsidP="00BF573E">
            <w:pPr>
              <w:adjustRightInd w:val="0"/>
              <w:spacing w:before="20"/>
              <w:jc w:val="right"/>
              <w:rPr>
                <w:color w:val="000000"/>
                <w:sz w:val="16"/>
                <w:szCs w:val="16"/>
              </w:rPr>
            </w:pPr>
            <w:r w:rsidRPr="00280A64">
              <w:rPr>
                <w:color w:val="000000"/>
                <w:sz w:val="16"/>
                <w:szCs w:val="16"/>
              </w:rPr>
              <w:t>1.00</w:t>
            </w:r>
          </w:p>
        </w:tc>
        <w:tc>
          <w:tcPr>
            <w:tcW w:w="968" w:type="dxa"/>
            <w:vAlign w:val="center"/>
          </w:tcPr>
          <w:p w:rsidR="00E02871" w:rsidRPr="00E02871" w:rsidRDefault="00E02871" w:rsidP="00BF573E">
            <w:pPr>
              <w:adjustRightInd w:val="0"/>
              <w:spacing w:before="20"/>
              <w:jc w:val="right"/>
              <w:rPr>
                <w:color w:val="000000"/>
                <w:sz w:val="16"/>
                <w:szCs w:val="16"/>
              </w:rPr>
            </w:pPr>
          </w:p>
        </w:tc>
        <w:tc>
          <w:tcPr>
            <w:tcW w:w="270" w:type="dxa"/>
            <w:vAlign w:val="center"/>
          </w:tcPr>
          <w:p w:rsidR="00E02871" w:rsidRPr="00E02871" w:rsidRDefault="00E02871" w:rsidP="00BF573E">
            <w:pPr>
              <w:adjustRightInd w:val="0"/>
              <w:spacing w:before="20"/>
              <w:jc w:val="right"/>
              <w:rPr>
                <w:color w:val="000000"/>
                <w:sz w:val="16"/>
                <w:szCs w:val="16"/>
              </w:rPr>
            </w:pPr>
          </w:p>
        </w:tc>
        <w:tc>
          <w:tcPr>
            <w:tcW w:w="747" w:type="dxa"/>
            <w:vAlign w:val="center"/>
          </w:tcPr>
          <w:p w:rsidR="00E02871" w:rsidRPr="00E02871" w:rsidRDefault="00E02871"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1</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21.9</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0.26</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0.06</w:t>
            </w:r>
            <w:r w:rsidR="00BF573E">
              <w:rPr>
                <w:color w:val="000000"/>
                <w:sz w:val="16"/>
                <w:szCs w:val="16"/>
              </w:rPr>
              <w:t xml:space="preserve"> - </w:t>
            </w:r>
            <w:r w:rsidR="00BF573E" w:rsidRPr="00E02871">
              <w:rPr>
                <w:color w:val="000000"/>
                <w:sz w:val="16"/>
                <w:szCs w:val="16"/>
              </w:rPr>
              <w:t>1.12</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2</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48.0</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0.85</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0.18</w:t>
            </w:r>
            <w:r w:rsidR="00BF573E">
              <w:rPr>
                <w:color w:val="000000"/>
                <w:sz w:val="16"/>
                <w:szCs w:val="16"/>
              </w:rPr>
              <w:t xml:space="preserve"> - </w:t>
            </w:r>
            <w:r w:rsidR="00BF573E" w:rsidRPr="00E02871">
              <w:rPr>
                <w:color w:val="000000"/>
                <w:sz w:val="16"/>
                <w:szCs w:val="16"/>
              </w:rPr>
              <w:t>3.93</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3</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49.0</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0.88</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0.13</w:t>
            </w:r>
            <w:r w:rsidR="00BF573E">
              <w:rPr>
                <w:color w:val="000000"/>
                <w:sz w:val="16"/>
                <w:szCs w:val="16"/>
              </w:rPr>
              <w:t xml:space="preserve"> - </w:t>
            </w:r>
            <w:r w:rsidR="00BF573E" w:rsidRPr="00E02871">
              <w:rPr>
                <w:color w:val="000000"/>
                <w:sz w:val="16"/>
                <w:szCs w:val="16"/>
              </w:rPr>
              <w:t>6.07</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4</w:t>
            </w:r>
          </w:p>
        </w:tc>
        <w:tc>
          <w:tcPr>
            <w:tcW w:w="567" w:type="dxa"/>
            <w:vAlign w:val="center"/>
          </w:tcPr>
          <w:p w:rsidR="00BF573E" w:rsidRPr="00E02871" w:rsidRDefault="00BF573E" w:rsidP="00BF573E">
            <w:pPr>
              <w:adjustRightInd w:val="0"/>
              <w:spacing w:before="20"/>
              <w:jc w:val="right"/>
              <w:rPr>
                <w:color w:val="000000"/>
                <w:sz w:val="16"/>
                <w:szCs w:val="16"/>
              </w:rPr>
            </w:pPr>
            <w:r>
              <w:rPr>
                <w:color w:val="000000"/>
                <w:sz w:val="16"/>
                <w:szCs w:val="16"/>
              </w:rPr>
              <w:t>32.0</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0.43</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0.06</w:t>
            </w:r>
            <w:r w:rsidR="00BF573E">
              <w:rPr>
                <w:color w:val="000000"/>
                <w:sz w:val="16"/>
                <w:szCs w:val="16"/>
              </w:rPr>
              <w:t xml:space="preserve"> - </w:t>
            </w:r>
            <w:r w:rsidR="00BF573E" w:rsidRPr="00E02871">
              <w:rPr>
                <w:color w:val="000000"/>
                <w:sz w:val="16"/>
                <w:szCs w:val="16"/>
              </w:rPr>
              <w:t>3.12</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E02871">
            <w:pPr>
              <w:spacing w:before="20"/>
              <w:ind w:left="176"/>
              <w:jc w:val="both"/>
              <w:rPr>
                <w:sz w:val="16"/>
                <w:szCs w:val="16"/>
              </w:rPr>
            </w:pPr>
            <w:r w:rsidRPr="009B1415">
              <w:rPr>
                <w:sz w:val="16"/>
                <w:szCs w:val="16"/>
              </w:rPr>
              <w:t>5+</w:t>
            </w:r>
          </w:p>
        </w:tc>
        <w:tc>
          <w:tcPr>
            <w:tcW w:w="56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69.</w:t>
            </w:r>
            <w:r>
              <w:rPr>
                <w:color w:val="000000"/>
                <w:sz w:val="16"/>
                <w:szCs w:val="16"/>
              </w:rPr>
              <w:t>4</w:t>
            </w:r>
          </w:p>
        </w:tc>
        <w:tc>
          <w:tcPr>
            <w:tcW w:w="1134"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2.08</w:t>
            </w:r>
          </w:p>
        </w:tc>
        <w:tc>
          <w:tcPr>
            <w:tcW w:w="1238" w:type="dxa"/>
            <w:gridSpan w:val="2"/>
            <w:vAlign w:val="center"/>
          </w:tcPr>
          <w:p w:rsidR="00BF573E" w:rsidRPr="00E02871" w:rsidRDefault="00541B39" w:rsidP="00BF573E">
            <w:pPr>
              <w:adjustRightInd w:val="0"/>
              <w:spacing w:before="20"/>
              <w:jc w:val="right"/>
              <w:rPr>
                <w:color w:val="000000"/>
                <w:sz w:val="16"/>
                <w:szCs w:val="16"/>
              </w:rPr>
            </w:pPr>
            <w:r>
              <w:rPr>
                <w:color w:val="000000"/>
                <w:sz w:val="16"/>
                <w:szCs w:val="16"/>
              </w:rPr>
              <w:t>(</w:t>
            </w:r>
            <w:r w:rsidR="00BF573E" w:rsidRPr="00E02871">
              <w:rPr>
                <w:color w:val="000000"/>
                <w:sz w:val="16"/>
                <w:szCs w:val="16"/>
              </w:rPr>
              <w:t>0.27</w:t>
            </w:r>
            <w:r w:rsidR="00BF573E">
              <w:rPr>
                <w:color w:val="000000"/>
                <w:sz w:val="16"/>
                <w:szCs w:val="16"/>
              </w:rPr>
              <w:t xml:space="preserve"> - </w:t>
            </w:r>
            <w:r w:rsidR="00BF573E" w:rsidRPr="00E02871">
              <w:rPr>
                <w:color w:val="000000"/>
                <w:sz w:val="16"/>
                <w:szCs w:val="16"/>
              </w:rPr>
              <w:t>16.25</w:t>
            </w:r>
            <w:r w:rsidR="009A56CE">
              <w:rPr>
                <w:color w:val="000000"/>
                <w:sz w:val="16"/>
                <w:szCs w:val="16"/>
              </w:rPr>
              <w:t>)</w:t>
            </w:r>
          </w:p>
        </w:tc>
        <w:tc>
          <w:tcPr>
            <w:tcW w:w="747" w:type="dxa"/>
            <w:vAlign w:val="center"/>
          </w:tcPr>
          <w:p w:rsidR="00BF573E" w:rsidRPr="00E02871" w:rsidRDefault="00BF573E" w:rsidP="00BF573E">
            <w:pPr>
              <w:adjustRightInd w:val="0"/>
              <w:spacing w:before="20"/>
              <w:jc w:val="right"/>
              <w:rPr>
                <w:color w:val="000000"/>
                <w:sz w:val="16"/>
                <w:szCs w:val="16"/>
              </w:rPr>
            </w:pPr>
            <w:r w:rsidRPr="00E02871">
              <w:rPr>
                <w:color w:val="000000"/>
                <w:sz w:val="16"/>
                <w:szCs w:val="16"/>
              </w:rPr>
              <w:t>0.28</w:t>
            </w:r>
          </w:p>
        </w:tc>
      </w:tr>
      <w:tr w:rsidR="00CB35E8" w:rsidRPr="009B1415" w:rsidTr="00F959A8">
        <w:tc>
          <w:tcPr>
            <w:tcW w:w="4786" w:type="dxa"/>
            <w:vAlign w:val="center"/>
          </w:tcPr>
          <w:p w:rsidR="00CB35E8" w:rsidRPr="009B1415" w:rsidRDefault="00CB35E8" w:rsidP="00CB35E8">
            <w:pPr>
              <w:spacing w:before="20"/>
              <w:rPr>
                <w:rFonts w:eastAsiaTheme="minorEastAsia"/>
                <w:b/>
                <w:sz w:val="16"/>
                <w:szCs w:val="16"/>
                <w:lang w:eastAsia="en-US"/>
              </w:rPr>
            </w:pPr>
            <w:r w:rsidRPr="009B1415">
              <w:rPr>
                <w:rFonts w:eastAsiaTheme="minorEastAsia"/>
                <w:b/>
                <w:sz w:val="16"/>
                <w:szCs w:val="16"/>
                <w:lang w:eastAsia="en-US"/>
              </w:rPr>
              <w:t>Number of gambling activities participated in</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1</w:t>
            </w:r>
          </w:p>
        </w:tc>
        <w:tc>
          <w:tcPr>
            <w:tcW w:w="567" w:type="dxa"/>
            <w:vAlign w:val="center"/>
          </w:tcPr>
          <w:p w:rsidR="00DC2775" w:rsidRPr="00A50DB2" w:rsidRDefault="00DC2775" w:rsidP="00BF573E">
            <w:pPr>
              <w:adjustRightInd w:val="0"/>
              <w:spacing w:before="20"/>
              <w:jc w:val="right"/>
              <w:rPr>
                <w:color w:val="000000"/>
                <w:sz w:val="16"/>
                <w:szCs w:val="16"/>
              </w:rPr>
            </w:pPr>
            <w:r w:rsidRPr="00A50DB2">
              <w:rPr>
                <w:color w:val="000000"/>
                <w:sz w:val="16"/>
                <w:szCs w:val="16"/>
              </w:rPr>
              <w:t>12.0</w:t>
            </w:r>
          </w:p>
        </w:tc>
        <w:tc>
          <w:tcPr>
            <w:tcW w:w="1134" w:type="dxa"/>
            <w:vAlign w:val="center"/>
          </w:tcPr>
          <w:p w:rsidR="00DC2775" w:rsidRPr="00A50DB2" w:rsidRDefault="00DC2775" w:rsidP="00BF573E">
            <w:pPr>
              <w:adjustRightInd w:val="0"/>
              <w:spacing w:before="20"/>
              <w:jc w:val="right"/>
              <w:rPr>
                <w:color w:val="000000"/>
                <w:sz w:val="16"/>
                <w:szCs w:val="16"/>
              </w:rPr>
            </w:pPr>
            <w:r w:rsidRPr="00A50DB2">
              <w:rPr>
                <w:color w:val="000000"/>
                <w:sz w:val="16"/>
                <w:szCs w:val="16"/>
              </w:rPr>
              <w:t>1.00</w:t>
            </w:r>
          </w:p>
        </w:tc>
        <w:tc>
          <w:tcPr>
            <w:tcW w:w="968" w:type="dxa"/>
            <w:vAlign w:val="center"/>
          </w:tcPr>
          <w:p w:rsidR="00DC2775" w:rsidRPr="00A50DB2" w:rsidRDefault="00DC2775" w:rsidP="00BF573E">
            <w:pPr>
              <w:adjustRightInd w:val="0"/>
              <w:spacing w:before="20"/>
              <w:jc w:val="right"/>
              <w:rPr>
                <w:color w:val="000000"/>
                <w:sz w:val="16"/>
                <w:szCs w:val="16"/>
              </w:rPr>
            </w:pPr>
          </w:p>
        </w:tc>
        <w:tc>
          <w:tcPr>
            <w:tcW w:w="270" w:type="dxa"/>
            <w:vAlign w:val="center"/>
          </w:tcPr>
          <w:p w:rsidR="00DC2775" w:rsidRPr="00A50DB2" w:rsidRDefault="00DC2775" w:rsidP="00BF573E">
            <w:pPr>
              <w:adjustRightInd w:val="0"/>
              <w:spacing w:before="20"/>
              <w:jc w:val="right"/>
              <w:rPr>
                <w:color w:val="000000"/>
                <w:sz w:val="16"/>
                <w:szCs w:val="16"/>
              </w:rPr>
            </w:pPr>
          </w:p>
        </w:tc>
        <w:tc>
          <w:tcPr>
            <w:tcW w:w="747" w:type="dxa"/>
            <w:vAlign w:val="center"/>
          </w:tcPr>
          <w:p w:rsidR="00DC2775" w:rsidRPr="00A50DB2" w:rsidRDefault="00DC2775"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DC2775">
            <w:pPr>
              <w:spacing w:before="20"/>
              <w:ind w:left="176"/>
              <w:jc w:val="both"/>
              <w:rPr>
                <w:sz w:val="16"/>
                <w:szCs w:val="16"/>
              </w:rPr>
            </w:pPr>
            <w:r w:rsidRPr="009B1415">
              <w:rPr>
                <w:sz w:val="16"/>
                <w:szCs w:val="16"/>
              </w:rPr>
              <w:t>2</w:t>
            </w:r>
          </w:p>
        </w:tc>
        <w:tc>
          <w:tcPr>
            <w:tcW w:w="567"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36.8</w:t>
            </w:r>
          </w:p>
        </w:tc>
        <w:tc>
          <w:tcPr>
            <w:tcW w:w="1134"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4.25</w:t>
            </w:r>
          </w:p>
        </w:tc>
        <w:tc>
          <w:tcPr>
            <w:tcW w:w="1238" w:type="dxa"/>
            <w:gridSpan w:val="2"/>
            <w:vAlign w:val="center"/>
          </w:tcPr>
          <w:p w:rsidR="00BF573E" w:rsidRPr="00A50DB2" w:rsidRDefault="00541B39" w:rsidP="00BF573E">
            <w:pPr>
              <w:adjustRightInd w:val="0"/>
              <w:spacing w:before="20"/>
              <w:jc w:val="right"/>
              <w:rPr>
                <w:color w:val="000000"/>
                <w:sz w:val="16"/>
                <w:szCs w:val="16"/>
              </w:rPr>
            </w:pPr>
            <w:r>
              <w:rPr>
                <w:color w:val="000000"/>
                <w:sz w:val="16"/>
                <w:szCs w:val="16"/>
              </w:rPr>
              <w:t>(</w:t>
            </w:r>
            <w:r w:rsidR="00BF573E" w:rsidRPr="00A50DB2">
              <w:rPr>
                <w:color w:val="000000"/>
                <w:sz w:val="16"/>
                <w:szCs w:val="16"/>
              </w:rPr>
              <w:t>0.21</w:t>
            </w:r>
            <w:r w:rsidR="00BF573E">
              <w:rPr>
                <w:color w:val="000000"/>
                <w:sz w:val="16"/>
                <w:szCs w:val="16"/>
              </w:rPr>
              <w:t xml:space="preserve"> - </w:t>
            </w:r>
            <w:r w:rsidR="00BF573E" w:rsidRPr="00A50DB2">
              <w:rPr>
                <w:color w:val="000000"/>
                <w:sz w:val="16"/>
                <w:szCs w:val="16"/>
              </w:rPr>
              <w:t>84.86</w:t>
            </w:r>
            <w:r>
              <w:rPr>
                <w:color w:val="000000"/>
                <w:sz w:val="16"/>
                <w:szCs w:val="16"/>
              </w:rPr>
              <w:t>)</w:t>
            </w:r>
          </w:p>
        </w:tc>
        <w:tc>
          <w:tcPr>
            <w:tcW w:w="747" w:type="dxa"/>
            <w:vAlign w:val="center"/>
          </w:tcPr>
          <w:p w:rsidR="00BF573E" w:rsidRPr="00A50DB2"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DC2775">
            <w:pPr>
              <w:spacing w:before="20"/>
              <w:ind w:left="176"/>
              <w:jc w:val="both"/>
              <w:rPr>
                <w:sz w:val="16"/>
                <w:szCs w:val="16"/>
              </w:rPr>
            </w:pPr>
            <w:r w:rsidRPr="009B1415">
              <w:rPr>
                <w:sz w:val="16"/>
                <w:szCs w:val="16"/>
              </w:rPr>
              <w:t>3</w:t>
            </w:r>
          </w:p>
        </w:tc>
        <w:tc>
          <w:tcPr>
            <w:tcW w:w="567"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19.1</w:t>
            </w:r>
          </w:p>
        </w:tc>
        <w:tc>
          <w:tcPr>
            <w:tcW w:w="1134"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1.72</w:t>
            </w:r>
          </w:p>
        </w:tc>
        <w:tc>
          <w:tcPr>
            <w:tcW w:w="1238" w:type="dxa"/>
            <w:gridSpan w:val="2"/>
            <w:vAlign w:val="center"/>
          </w:tcPr>
          <w:p w:rsidR="00BF573E" w:rsidRPr="00A50DB2" w:rsidRDefault="00541B39" w:rsidP="00BF573E">
            <w:pPr>
              <w:adjustRightInd w:val="0"/>
              <w:spacing w:before="20"/>
              <w:jc w:val="right"/>
              <w:rPr>
                <w:color w:val="000000"/>
                <w:sz w:val="16"/>
                <w:szCs w:val="16"/>
              </w:rPr>
            </w:pPr>
            <w:r>
              <w:rPr>
                <w:color w:val="000000"/>
                <w:sz w:val="16"/>
                <w:szCs w:val="16"/>
              </w:rPr>
              <w:t>(</w:t>
            </w:r>
            <w:r w:rsidR="00BF573E" w:rsidRPr="00A50DB2">
              <w:rPr>
                <w:color w:val="000000"/>
                <w:sz w:val="16"/>
                <w:szCs w:val="16"/>
              </w:rPr>
              <w:t>0.10</w:t>
            </w:r>
            <w:r w:rsidR="00BF573E">
              <w:rPr>
                <w:color w:val="000000"/>
                <w:sz w:val="16"/>
                <w:szCs w:val="16"/>
              </w:rPr>
              <w:t xml:space="preserve"> - </w:t>
            </w:r>
            <w:r w:rsidR="00BF573E" w:rsidRPr="00A50DB2">
              <w:rPr>
                <w:color w:val="000000"/>
                <w:sz w:val="16"/>
                <w:szCs w:val="16"/>
              </w:rPr>
              <w:t>29.57</w:t>
            </w:r>
            <w:r>
              <w:rPr>
                <w:color w:val="000000"/>
                <w:sz w:val="16"/>
                <w:szCs w:val="16"/>
              </w:rPr>
              <w:t>)</w:t>
            </w:r>
          </w:p>
        </w:tc>
        <w:tc>
          <w:tcPr>
            <w:tcW w:w="747" w:type="dxa"/>
            <w:vAlign w:val="center"/>
          </w:tcPr>
          <w:p w:rsidR="00BF573E" w:rsidRPr="00A50DB2"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DC2775">
            <w:pPr>
              <w:spacing w:before="20"/>
              <w:ind w:left="176"/>
              <w:jc w:val="both"/>
              <w:rPr>
                <w:sz w:val="16"/>
                <w:szCs w:val="16"/>
              </w:rPr>
            </w:pPr>
            <w:r w:rsidRPr="009B1415">
              <w:rPr>
                <w:sz w:val="16"/>
                <w:szCs w:val="16"/>
              </w:rPr>
              <w:t>4-6</w:t>
            </w:r>
          </w:p>
        </w:tc>
        <w:tc>
          <w:tcPr>
            <w:tcW w:w="567"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56.2</w:t>
            </w:r>
          </w:p>
        </w:tc>
        <w:tc>
          <w:tcPr>
            <w:tcW w:w="1134"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9.38</w:t>
            </w:r>
          </w:p>
        </w:tc>
        <w:tc>
          <w:tcPr>
            <w:tcW w:w="1238" w:type="dxa"/>
            <w:gridSpan w:val="2"/>
            <w:vAlign w:val="center"/>
          </w:tcPr>
          <w:p w:rsidR="00BF573E" w:rsidRPr="00A50DB2" w:rsidRDefault="00541B39" w:rsidP="00BF573E">
            <w:pPr>
              <w:adjustRightInd w:val="0"/>
              <w:spacing w:before="20"/>
              <w:jc w:val="right"/>
              <w:rPr>
                <w:color w:val="000000"/>
                <w:sz w:val="16"/>
                <w:szCs w:val="16"/>
              </w:rPr>
            </w:pPr>
            <w:r>
              <w:rPr>
                <w:color w:val="000000"/>
                <w:sz w:val="16"/>
                <w:szCs w:val="16"/>
              </w:rPr>
              <w:t>(</w:t>
            </w:r>
            <w:r w:rsidR="00BF573E" w:rsidRPr="00A50DB2">
              <w:rPr>
                <w:color w:val="000000"/>
                <w:sz w:val="16"/>
                <w:szCs w:val="16"/>
              </w:rPr>
              <w:t>0.64</w:t>
            </w:r>
            <w:r w:rsidR="00BF573E">
              <w:rPr>
                <w:color w:val="000000"/>
                <w:sz w:val="16"/>
                <w:szCs w:val="16"/>
              </w:rPr>
              <w:t xml:space="preserve"> - </w:t>
            </w:r>
            <w:r w:rsidR="00BF573E" w:rsidRPr="00A50DB2">
              <w:rPr>
                <w:color w:val="000000"/>
                <w:sz w:val="16"/>
                <w:szCs w:val="16"/>
              </w:rPr>
              <w:t>137.71</w:t>
            </w:r>
            <w:r>
              <w:rPr>
                <w:color w:val="000000"/>
                <w:sz w:val="16"/>
                <w:szCs w:val="16"/>
              </w:rPr>
              <w:t>)</w:t>
            </w:r>
          </w:p>
        </w:tc>
        <w:tc>
          <w:tcPr>
            <w:tcW w:w="747" w:type="dxa"/>
            <w:vAlign w:val="center"/>
          </w:tcPr>
          <w:p w:rsidR="00BF573E" w:rsidRPr="00A50DB2"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DC2775">
            <w:pPr>
              <w:spacing w:before="20"/>
              <w:ind w:left="176"/>
              <w:jc w:val="both"/>
              <w:rPr>
                <w:sz w:val="16"/>
                <w:szCs w:val="16"/>
              </w:rPr>
            </w:pPr>
            <w:r w:rsidRPr="009B1415">
              <w:rPr>
                <w:sz w:val="16"/>
                <w:szCs w:val="16"/>
              </w:rPr>
              <w:t>7-9</w:t>
            </w:r>
          </w:p>
        </w:tc>
        <w:tc>
          <w:tcPr>
            <w:tcW w:w="567"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39.7</w:t>
            </w:r>
          </w:p>
        </w:tc>
        <w:tc>
          <w:tcPr>
            <w:tcW w:w="1134"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4.80</w:t>
            </w:r>
          </w:p>
        </w:tc>
        <w:tc>
          <w:tcPr>
            <w:tcW w:w="1238" w:type="dxa"/>
            <w:gridSpan w:val="2"/>
            <w:vAlign w:val="center"/>
          </w:tcPr>
          <w:p w:rsidR="00BF573E" w:rsidRPr="00A50DB2" w:rsidRDefault="00541B39" w:rsidP="00BF573E">
            <w:pPr>
              <w:adjustRightInd w:val="0"/>
              <w:spacing w:before="20"/>
              <w:jc w:val="right"/>
              <w:rPr>
                <w:color w:val="000000"/>
                <w:sz w:val="16"/>
                <w:szCs w:val="16"/>
              </w:rPr>
            </w:pPr>
            <w:r>
              <w:rPr>
                <w:color w:val="000000"/>
                <w:sz w:val="16"/>
                <w:szCs w:val="16"/>
              </w:rPr>
              <w:t>(</w:t>
            </w:r>
            <w:r w:rsidR="00BF573E" w:rsidRPr="00A50DB2">
              <w:rPr>
                <w:color w:val="000000"/>
                <w:sz w:val="16"/>
                <w:szCs w:val="16"/>
              </w:rPr>
              <w:t>0.32</w:t>
            </w:r>
            <w:r w:rsidR="00BF573E">
              <w:rPr>
                <w:color w:val="000000"/>
                <w:sz w:val="16"/>
                <w:szCs w:val="16"/>
              </w:rPr>
              <w:t xml:space="preserve"> - </w:t>
            </w:r>
            <w:r w:rsidR="00BF573E" w:rsidRPr="00A50DB2">
              <w:rPr>
                <w:color w:val="000000"/>
                <w:sz w:val="16"/>
                <w:szCs w:val="16"/>
              </w:rPr>
              <w:t>72.81</w:t>
            </w:r>
            <w:r>
              <w:rPr>
                <w:color w:val="000000"/>
                <w:sz w:val="16"/>
                <w:szCs w:val="16"/>
              </w:rPr>
              <w:t>)</w:t>
            </w:r>
          </w:p>
        </w:tc>
        <w:tc>
          <w:tcPr>
            <w:tcW w:w="747" w:type="dxa"/>
            <w:vAlign w:val="center"/>
          </w:tcPr>
          <w:p w:rsidR="00BF573E" w:rsidRPr="00A50DB2" w:rsidRDefault="00BF573E" w:rsidP="00BF573E">
            <w:pPr>
              <w:adjustRightInd w:val="0"/>
              <w:spacing w:before="20"/>
              <w:jc w:val="right"/>
              <w:rPr>
                <w:color w:val="000000"/>
                <w:sz w:val="16"/>
                <w:szCs w:val="16"/>
              </w:rPr>
            </w:pPr>
          </w:p>
        </w:tc>
      </w:tr>
      <w:tr w:rsidR="00BF573E" w:rsidRPr="009B1415" w:rsidTr="00F959A8">
        <w:tc>
          <w:tcPr>
            <w:tcW w:w="4786" w:type="dxa"/>
          </w:tcPr>
          <w:p w:rsidR="00BF573E" w:rsidRPr="009B1415" w:rsidRDefault="00BF573E" w:rsidP="00DC2775">
            <w:pPr>
              <w:spacing w:before="20"/>
              <w:ind w:left="176"/>
              <w:jc w:val="both"/>
              <w:rPr>
                <w:sz w:val="16"/>
                <w:szCs w:val="16"/>
              </w:rPr>
            </w:pPr>
            <w:r w:rsidRPr="009B1415">
              <w:rPr>
                <w:sz w:val="16"/>
                <w:szCs w:val="16"/>
              </w:rPr>
              <w:t>10+</w:t>
            </w:r>
          </w:p>
        </w:tc>
        <w:tc>
          <w:tcPr>
            <w:tcW w:w="567"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53.0</w:t>
            </w:r>
          </w:p>
        </w:tc>
        <w:tc>
          <w:tcPr>
            <w:tcW w:w="1134" w:type="dxa"/>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8.25</w:t>
            </w:r>
          </w:p>
        </w:tc>
        <w:tc>
          <w:tcPr>
            <w:tcW w:w="1238" w:type="dxa"/>
            <w:gridSpan w:val="2"/>
            <w:vAlign w:val="center"/>
          </w:tcPr>
          <w:p w:rsidR="00BF573E" w:rsidRPr="00A50DB2" w:rsidRDefault="00541B39" w:rsidP="00BF573E">
            <w:pPr>
              <w:adjustRightInd w:val="0"/>
              <w:spacing w:before="20"/>
              <w:jc w:val="right"/>
              <w:rPr>
                <w:color w:val="000000"/>
                <w:sz w:val="16"/>
                <w:szCs w:val="16"/>
              </w:rPr>
            </w:pPr>
            <w:r>
              <w:rPr>
                <w:color w:val="000000"/>
                <w:sz w:val="16"/>
                <w:szCs w:val="16"/>
              </w:rPr>
              <w:t>(</w:t>
            </w:r>
            <w:r w:rsidR="00BF573E" w:rsidRPr="00A50DB2">
              <w:rPr>
                <w:color w:val="000000"/>
                <w:sz w:val="16"/>
                <w:szCs w:val="16"/>
              </w:rPr>
              <w:t>0.38</w:t>
            </w:r>
            <w:r w:rsidR="00BF573E">
              <w:rPr>
                <w:color w:val="000000"/>
                <w:sz w:val="16"/>
                <w:szCs w:val="16"/>
              </w:rPr>
              <w:t xml:space="preserve"> - </w:t>
            </w:r>
            <w:r w:rsidR="00BF573E" w:rsidRPr="00A50DB2">
              <w:rPr>
                <w:color w:val="000000"/>
                <w:sz w:val="16"/>
                <w:szCs w:val="16"/>
              </w:rPr>
              <w:t>181.10</w:t>
            </w:r>
            <w:r>
              <w:rPr>
                <w:color w:val="000000"/>
                <w:sz w:val="16"/>
                <w:szCs w:val="16"/>
              </w:rPr>
              <w:t>)</w:t>
            </w:r>
          </w:p>
        </w:tc>
        <w:tc>
          <w:tcPr>
            <w:tcW w:w="747" w:type="dxa"/>
            <w:shd w:val="clear" w:color="auto" w:fill="auto"/>
            <w:vAlign w:val="center"/>
          </w:tcPr>
          <w:p w:rsidR="00BF573E" w:rsidRPr="00A50DB2" w:rsidRDefault="00BF573E" w:rsidP="00BF573E">
            <w:pPr>
              <w:adjustRightInd w:val="0"/>
              <w:spacing w:before="20"/>
              <w:jc w:val="right"/>
              <w:rPr>
                <w:color w:val="000000"/>
                <w:sz w:val="16"/>
                <w:szCs w:val="16"/>
              </w:rPr>
            </w:pPr>
            <w:r w:rsidRPr="00A50DB2">
              <w:rPr>
                <w:color w:val="000000"/>
                <w:sz w:val="16"/>
                <w:szCs w:val="16"/>
              </w:rPr>
              <w:t>0.30</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Pattern of participation</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Infrequent gambler</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23.4</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Regular non-continuous gambler</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45.5</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2.73</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0.71</w:t>
            </w:r>
            <w:r>
              <w:rPr>
                <w:color w:val="000000"/>
                <w:sz w:val="16"/>
                <w:szCs w:val="16"/>
              </w:rPr>
              <w:t xml:space="preserve"> - </w:t>
            </w:r>
            <w:r w:rsidRPr="00DC2775">
              <w:rPr>
                <w:color w:val="000000"/>
                <w:sz w:val="16"/>
                <w:szCs w:val="16"/>
              </w:rPr>
              <w:t>10.52</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Regular continuous gambler</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63.2</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5.61</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1.40</w:t>
            </w:r>
            <w:r>
              <w:rPr>
                <w:color w:val="000000"/>
                <w:sz w:val="16"/>
                <w:szCs w:val="16"/>
              </w:rPr>
              <w:t xml:space="preserve"> - </w:t>
            </w:r>
            <w:r w:rsidRPr="00DC2775">
              <w:rPr>
                <w:color w:val="000000"/>
                <w:sz w:val="16"/>
                <w:szCs w:val="16"/>
              </w:rPr>
              <w:t>22.45</w:t>
            </w:r>
            <w:r>
              <w:rPr>
                <w:color w:val="000000"/>
                <w:sz w:val="16"/>
                <w:szCs w:val="16"/>
              </w:rPr>
              <w:t>)</w:t>
            </w:r>
          </w:p>
        </w:tc>
        <w:tc>
          <w:tcPr>
            <w:tcW w:w="747" w:type="dxa"/>
            <w:shd w:val="clear" w:color="auto" w:fill="D9D9D9" w:themeFill="background1" w:themeFillShade="D9"/>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0.05</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Gambling frequency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tcPr>
          <w:p w:rsidR="00CB35E8" w:rsidRPr="009B1415" w:rsidRDefault="00CB35E8" w:rsidP="00BF573E">
            <w:pPr>
              <w:adjustRightInd w:val="0"/>
              <w:spacing w:before="20"/>
              <w:jc w:val="right"/>
              <w:rPr>
                <w:color w:val="000000"/>
                <w:sz w:val="16"/>
                <w:szCs w:val="16"/>
              </w:rPr>
            </w:pPr>
          </w:p>
        </w:tc>
        <w:tc>
          <w:tcPr>
            <w:tcW w:w="968" w:type="dxa"/>
          </w:tcPr>
          <w:p w:rsidR="00CB35E8" w:rsidRPr="009B1415" w:rsidRDefault="00CB35E8" w:rsidP="00BF573E">
            <w:pPr>
              <w:adjustRightInd w:val="0"/>
              <w:spacing w:before="20"/>
              <w:jc w:val="right"/>
              <w:rPr>
                <w:color w:val="000000"/>
                <w:sz w:val="16"/>
                <w:szCs w:val="16"/>
              </w:rPr>
            </w:pPr>
          </w:p>
        </w:tc>
        <w:tc>
          <w:tcPr>
            <w:tcW w:w="270" w:type="dxa"/>
          </w:tcPr>
          <w:p w:rsidR="00CB35E8" w:rsidRPr="009B1415"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At least weekly</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58.6</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4.53</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0.57</w:t>
            </w:r>
            <w:r>
              <w:rPr>
                <w:color w:val="000000"/>
                <w:sz w:val="16"/>
                <w:szCs w:val="16"/>
              </w:rPr>
              <w:t xml:space="preserve"> - </w:t>
            </w:r>
            <w:r w:rsidRPr="00DC2775">
              <w:rPr>
                <w:color w:val="000000"/>
                <w:sz w:val="16"/>
                <w:szCs w:val="16"/>
              </w:rPr>
              <w:t>36.25</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At least monthly</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16.4</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0.63</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0.07</w:t>
            </w:r>
            <w:r>
              <w:rPr>
                <w:color w:val="000000"/>
                <w:sz w:val="16"/>
                <w:szCs w:val="16"/>
              </w:rPr>
              <w:t xml:space="preserve"> - </w:t>
            </w:r>
            <w:r w:rsidRPr="00DC2775">
              <w:rPr>
                <w:color w:val="000000"/>
                <w:sz w:val="16"/>
                <w:szCs w:val="16"/>
              </w:rPr>
              <w:t>5.76</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At least once in past year</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23.8</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D9D9D9" w:themeFill="background1" w:themeFillShade="D9"/>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0.01</w:t>
            </w:r>
          </w:p>
        </w:tc>
      </w:tr>
      <w:tr w:rsidR="00CB35E8" w:rsidRPr="009B1415" w:rsidTr="00F959A8">
        <w:tc>
          <w:tcPr>
            <w:tcW w:w="4786" w:type="dxa"/>
            <w:vAlign w:val="bottom"/>
          </w:tcPr>
          <w:p w:rsidR="00CB35E8" w:rsidRPr="009B1415" w:rsidRDefault="00CB35E8" w:rsidP="00CB35E8">
            <w:pPr>
              <w:keepNext/>
              <w:keepLines/>
              <w:spacing w:before="20"/>
              <w:jc w:val="both"/>
              <w:rPr>
                <w:b/>
                <w:sz w:val="16"/>
                <w:szCs w:val="16"/>
              </w:rPr>
            </w:pPr>
            <w:r w:rsidRPr="009B1415">
              <w:rPr>
                <w:rFonts w:eastAsiaTheme="minorEastAsia"/>
                <w:b/>
                <w:sz w:val="16"/>
                <w:szCs w:val="16"/>
                <w:lang w:eastAsia="en-US"/>
              </w:rPr>
              <w:t>Typical monthly gambling expenditure</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$1 - $10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0.0</w:t>
            </w:r>
          </w:p>
        </w:tc>
        <w:tc>
          <w:tcPr>
            <w:tcW w:w="1134" w:type="dxa"/>
            <w:vAlign w:val="center"/>
          </w:tcPr>
          <w:p w:rsidR="00DC2775" w:rsidRPr="00CB35E8" w:rsidRDefault="00A50DB2" w:rsidP="00BF573E">
            <w:pPr>
              <w:spacing w:before="20"/>
              <w:jc w:val="right"/>
              <w:rPr>
                <w:color w:val="000000"/>
                <w:sz w:val="16"/>
                <w:szCs w:val="16"/>
              </w:rPr>
            </w:pPr>
            <w:r>
              <w:rPr>
                <w:color w:val="000000"/>
                <w:sz w:val="16"/>
                <w:szCs w:val="16"/>
              </w:rPr>
              <w:t>-</w:t>
            </w:r>
          </w:p>
        </w:tc>
        <w:tc>
          <w:tcPr>
            <w:tcW w:w="968" w:type="dxa"/>
            <w:vAlign w:val="center"/>
          </w:tcPr>
          <w:p w:rsidR="00DC2775" w:rsidRPr="00CB35E8" w:rsidRDefault="00DC2775" w:rsidP="00BF573E">
            <w:pPr>
              <w:spacing w:before="20"/>
              <w:jc w:val="right"/>
              <w:rPr>
                <w:color w:val="000000"/>
                <w:sz w:val="16"/>
                <w:szCs w:val="16"/>
              </w:rPr>
            </w:pPr>
          </w:p>
        </w:tc>
        <w:tc>
          <w:tcPr>
            <w:tcW w:w="270" w:type="dxa"/>
            <w:vAlign w:val="center"/>
          </w:tcPr>
          <w:p w:rsidR="00DC2775" w:rsidRPr="00CB35E8" w:rsidRDefault="00DC2775" w:rsidP="00BF573E">
            <w:pPr>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$11 - $20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19.1</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$21 - $30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46.9</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$31 - $50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0.0</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$51 - $100</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22.3</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$101 - $500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41.7</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vAlign w:val="center"/>
          </w:tcPr>
          <w:p w:rsidR="00DC2775" w:rsidRPr="00CB35E8" w:rsidRDefault="00DC2775" w:rsidP="00BF573E">
            <w:pPr>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&gt;$500</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79.1</w:t>
            </w:r>
          </w:p>
        </w:tc>
        <w:tc>
          <w:tcPr>
            <w:tcW w:w="1134" w:type="dxa"/>
          </w:tcPr>
          <w:p w:rsidR="00DC2775" w:rsidRPr="009B1415" w:rsidRDefault="00A50DB2" w:rsidP="00BF573E">
            <w:pPr>
              <w:adjustRightInd w:val="0"/>
              <w:spacing w:before="20"/>
              <w:jc w:val="right"/>
              <w:rPr>
                <w:color w:val="000000"/>
                <w:sz w:val="16"/>
                <w:szCs w:val="16"/>
              </w:rPr>
            </w:pPr>
            <w:r>
              <w:rPr>
                <w:color w:val="000000"/>
                <w:sz w:val="16"/>
                <w:szCs w:val="16"/>
              </w:rPr>
              <w:t>-</w:t>
            </w:r>
          </w:p>
        </w:tc>
        <w:tc>
          <w:tcPr>
            <w:tcW w:w="968" w:type="dxa"/>
          </w:tcPr>
          <w:p w:rsidR="00DC2775" w:rsidRPr="009B1415" w:rsidRDefault="00DC2775" w:rsidP="00BF573E">
            <w:pPr>
              <w:adjustRightInd w:val="0"/>
              <w:spacing w:before="20"/>
              <w:jc w:val="right"/>
              <w:rPr>
                <w:color w:val="000000"/>
                <w:sz w:val="16"/>
                <w:szCs w:val="16"/>
              </w:rPr>
            </w:pPr>
          </w:p>
        </w:tc>
        <w:tc>
          <w:tcPr>
            <w:tcW w:w="270" w:type="dxa"/>
          </w:tcPr>
          <w:p w:rsidR="00DC2775" w:rsidRPr="009B141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CB35E8" w:rsidRDefault="00DC2775" w:rsidP="00BF573E">
            <w:pPr>
              <w:spacing w:before="20"/>
              <w:jc w:val="right"/>
              <w:rPr>
                <w:color w:val="000000"/>
                <w:sz w:val="16"/>
                <w:szCs w:val="16"/>
              </w:rPr>
            </w:pP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Cards games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46.8</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33.1</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0.56</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0.19</w:t>
            </w:r>
            <w:r>
              <w:rPr>
                <w:color w:val="000000"/>
                <w:sz w:val="16"/>
                <w:szCs w:val="16"/>
              </w:rPr>
              <w:t xml:space="preserve"> - </w:t>
            </w:r>
            <w:r w:rsidRPr="00DC2775">
              <w:rPr>
                <w:color w:val="000000"/>
                <w:sz w:val="16"/>
                <w:szCs w:val="16"/>
              </w:rPr>
              <w:t>1.68</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0.30</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Bets with friends/workmates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35.3</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59.3</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2.68</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0.95</w:t>
            </w:r>
            <w:r>
              <w:rPr>
                <w:color w:val="000000"/>
                <w:sz w:val="16"/>
                <w:szCs w:val="16"/>
              </w:rPr>
              <w:t xml:space="preserve"> - </w:t>
            </w:r>
            <w:r w:rsidRPr="00DC2775">
              <w:rPr>
                <w:color w:val="000000"/>
                <w:sz w:val="16"/>
                <w:szCs w:val="16"/>
              </w:rPr>
              <w:t>7.53</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0.06</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Text game or competition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44.1</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36.6</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0.73</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0.13</w:t>
            </w:r>
            <w:r>
              <w:rPr>
                <w:color w:val="000000"/>
                <w:sz w:val="16"/>
                <w:szCs w:val="16"/>
              </w:rPr>
              <w:t xml:space="preserve"> - </w:t>
            </w:r>
            <w:r w:rsidRPr="00DC2775">
              <w:rPr>
                <w:color w:val="000000"/>
                <w:sz w:val="16"/>
                <w:szCs w:val="16"/>
              </w:rPr>
              <w:t>4.07</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0.72</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Raffle/lottery (NZ/overseas)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47.3</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41.2</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0.78</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0.26</w:t>
            </w:r>
            <w:r>
              <w:rPr>
                <w:color w:val="000000"/>
                <w:sz w:val="16"/>
                <w:szCs w:val="16"/>
              </w:rPr>
              <w:t xml:space="preserve"> - </w:t>
            </w:r>
            <w:r w:rsidRPr="00DC2775">
              <w:rPr>
                <w:color w:val="000000"/>
                <w:sz w:val="16"/>
                <w:szCs w:val="16"/>
              </w:rPr>
              <w:t>2.36</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0.66</w:t>
            </w:r>
          </w:p>
        </w:tc>
      </w:tr>
      <w:tr w:rsidR="00CB35E8" w:rsidRPr="009B1415" w:rsidTr="00F959A8">
        <w:tc>
          <w:tcPr>
            <w:tcW w:w="4786" w:type="dxa"/>
            <w:vAlign w:val="bottom"/>
          </w:tcPr>
          <w:p w:rsidR="00CB35E8" w:rsidRPr="009B1415" w:rsidRDefault="00CB35E8" w:rsidP="00CB35E8">
            <w:pPr>
              <w:keepNext/>
              <w:spacing w:before="20"/>
              <w:jc w:val="both"/>
              <w:rPr>
                <w:b/>
                <w:sz w:val="16"/>
                <w:szCs w:val="16"/>
              </w:rPr>
            </w:pPr>
            <w:r w:rsidRPr="009B1415">
              <w:rPr>
                <w:b/>
                <w:sz w:val="16"/>
                <w:szCs w:val="16"/>
              </w:rPr>
              <w:t>Lotto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50.5</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41.8</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0.70</w:t>
            </w:r>
          </w:p>
        </w:tc>
        <w:tc>
          <w:tcPr>
            <w:tcW w:w="1238" w:type="dxa"/>
            <w:gridSpan w:val="2"/>
            <w:vAlign w:val="center"/>
          </w:tcPr>
          <w:p w:rsidR="00541B39" w:rsidRPr="00DC2775" w:rsidRDefault="00541B39" w:rsidP="00541B39">
            <w:pPr>
              <w:adjustRightInd w:val="0"/>
              <w:spacing w:before="20"/>
              <w:jc w:val="right"/>
              <w:rPr>
                <w:color w:val="000000"/>
                <w:sz w:val="16"/>
                <w:szCs w:val="16"/>
              </w:rPr>
            </w:pPr>
            <w:r>
              <w:rPr>
                <w:color w:val="000000"/>
                <w:sz w:val="16"/>
                <w:szCs w:val="16"/>
              </w:rPr>
              <w:t>(</w:t>
            </w:r>
            <w:r w:rsidRPr="00DC2775">
              <w:rPr>
                <w:color w:val="000000"/>
                <w:sz w:val="16"/>
                <w:szCs w:val="16"/>
              </w:rPr>
              <w:t>0.16</w:t>
            </w:r>
            <w:r>
              <w:rPr>
                <w:color w:val="000000"/>
                <w:sz w:val="16"/>
                <w:szCs w:val="16"/>
              </w:rPr>
              <w:t xml:space="preserve"> - </w:t>
            </w:r>
            <w:r w:rsidRPr="00DC2775">
              <w:rPr>
                <w:color w:val="000000"/>
                <w:sz w:val="16"/>
                <w:szCs w:val="16"/>
              </w:rPr>
              <w:t>3.20</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0.65</w:t>
            </w:r>
          </w:p>
        </w:tc>
      </w:tr>
      <w:tr w:rsidR="00CB35E8" w:rsidRPr="009B1415" w:rsidTr="00F959A8">
        <w:tc>
          <w:tcPr>
            <w:tcW w:w="4786" w:type="dxa"/>
            <w:vAlign w:val="bottom"/>
          </w:tcPr>
          <w:p w:rsidR="00CB35E8" w:rsidRPr="009B1415" w:rsidRDefault="00CB35E8" w:rsidP="0081083E">
            <w:pPr>
              <w:spacing w:before="20"/>
              <w:jc w:val="both"/>
              <w:rPr>
                <w:b/>
                <w:sz w:val="16"/>
                <w:szCs w:val="16"/>
              </w:rPr>
            </w:pPr>
            <w:r w:rsidRPr="009B1415">
              <w:rPr>
                <w:b/>
                <w:sz w:val="16"/>
                <w:szCs w:val="16"/>
              </w:rPr>
              <w:t>Keno overall - annual</w:t>
            </w:r>
          </w:p>
        </w:tc>
        <w:tc>
          <w:tcPr>
            <w:tcW w:w="567" w:type="dxa"/>
            <w:vAlign w:val="center"/>
          </w:tcPr>
          <w:p w:rsidR="00CB35E8" w:rsidRPr="00CB35E8" w:rsidRDefault="00CB35E8" w:rsidP="0081083E">
            <w:pPr>
              <w:adjustRightInd w:val="0"/>
              <w:spacing w:before="20"/>
              <w:jc w:val="right"/>
              <w:rPr>
                <w:color w:val="000000"/>
                <w:sz w:val="16"/>
                <w:szCs w:val="16"/>
              </w:rPr>
            </w:pPr>
          </w:p>
        </w:tc>
        <w:tc>
          <w:tcPr>
            <w:tcW w:w="1134" w:type="dxa"/>
            <w:vAlign w:val="center"/>
          </w:tcPr>
          <w:p w:rsidR="00CB35E8" w:rsidRPr="00CB35E8" w:rsidRDefault="00CB35E8" w:rsidP="0081083E">
            <w:pPr>
              <w:adjustRightInd w:val="0"/>
              <w:spacing w:before="20"/>
              <w:jc w:val="right"/>
              <w:rPr>
                <w:color w:val="000000"/>
                <w:sz w:val="16"/>
                <w:szCs w:val="16"/>
              </w:rPr>
            </w:pPr>
          </w:p>
        </w:tc>
        <w:tc>
          <w:tcPr>
            <w:tcW w:w="968" w:type="dxa"/>
            <w:vAlign w:val="center"/>
          </w:tcPr>
          <w:p w:rsidR="00CB35E8" w:rsidRPr="00CB35E8" w:rsidRDefault="00CB35E8" w:rsidP="0081083E">
            <w:pPr>
              <w:adjustRightInd w:val="0"/>
              <w:spacing w:before="20"/>
              <w:jc w:val="right"/>
              <w:rPr>
                <w:color w:val="000000"/>
                <w:sz w:val="16"/>
                <w:szCs w:val="16"/>
              </w:rPr>
            </w:pPr>
          </w:p>
        </w:tc>
        <w:tc>
          <w:tcPr>
            <w:tcW w:w="270" w:type="dxa"/>
            <w:vAlign w:val="center"/>
          </w:tcPr>
          <w:p w:rsidR="00CB35E8" w:rsidRPr="00CB35E8" w:rsidRDefault="00CB35E8" w:rsidP="0081083E">
            <w:pPr>
              <w:adjustRightInd w:val="0"/>
              <w:spacing w:before="20"/>
              <w:jc w:val="right"/>
              <w:rPr>
                <w:color w:val="000000"/>
                <w:sz w:val="16"/>
                <w:szCs w:val="16"/>
              </w:rPr>
            </w:pPr>
          </w:p>
        </w:tc>
        <w:tc>
          <w:tcPr>
            <w:tcW w:w="747" w:type="dxa"/>
            <w:vAlign w:val="center"/>
          </w:tcPr>
          <w:p w:rsidR="00CB35E8" w:rsidRPr="00CB35E8" w:rsidRDefault="00CB35E8" w:rsidP="008108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81083E">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81083E">
            <w:pPr>
              <w:adjustRightInd w:val="0"/>
              <w:spacing w:before="20"/>
              <w:jc w:val="right"/>
              <w:rPr>
                <w:color w:val="000000"/>
                <w:sz w:val="16"/>
                <w:szCs w:val="16"/>
              </w:rPr>
            </w:pPr>
            <w:r w:rsidRPr="00DC2775">
              <w:rPr>
                <w:color w:val="000000"/>
                <w:sz w:val="16"/>
                <w:szCs w:val="16"/>
              </w:rPr>
              <w:t>42.4</w:t>
            </w:r>
          </w:p>
        </w:tc>
        <w:tc>
          <w:tcPr>
            <w:tcW w:w="1134" w:type="dxa"/>
            <w:vAlign w:val="center"/>
          </w:tcPr>
          <w:p w:rsidR="00DC2775" w:rsidRPr="00DC2775" w:rsidRDefault="00DC2775" w:rsidP="008108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81083E">
            <w:pPr>
              <w:adjustRightInd w:val="0"/>
              <w:spacing w:before="20"/>
              <w:jc w:val="right"/>
              <w:rPr>
                <w:color w:val="000000"/>
                <w:sz w:val="16"/>
                <w:szCs w:val="16"/>
              </w:rPr>
            </w:pPr>
          </w:p>
        </w:tc>
        <w:tc>
          <w:tcPr>
            <w:tcW w:w="270" w:type="dxa"/>
            <w:vAlign w:val="center"/>
          </w:tcPr>
          <w:p w:rsidR="00DC2775" w:rsidRPr="00DC2775" w:rsidRDefault="00DC2775" w:rsidP="0081083E">
            <w:pPr>
              <w:adjustRightInd w:val="0"/>
              <w:spacing w:before="20"/>
              <w:jc w:val="right"/>
              <w:rPr>
                <w:color w:val="000000"/>
                <w:sz w:val="16"/>
                <w:szCs w:val="16"/>
              </w:rPr>
            </w:pPr>
          </w:p>
        </w:tc>
        <w:tc>
          <w:tcPr>
            <w:tcW w:w="747" w:type="dxa"/>
            <w:vAlign w:val="center"/>
          </w:tcPr>
          <w:p w:rsidR="00DC2775" w:rsidRPr="00DC2775" w:rsidRDefault="00DC2775" w:rsidP="0081083E">
            <w:pPr>
              <w:adjustRightInd w:val="0"/>
              <w:spacing w:before="20"/>
              <w:jc w:val="right"/>
              <w:rPr>
                <w:color w:val="000000"/>
                <w:sz w:val="16"/>
                <w:szCs w:val="16"/>
              </w:rPr>
            </w:pPr>
          </w:p>
        </w:tc>
      </w:tr>
      <w:tr w:rsidR="00541B39" w:rsidRPr="009B1415" w:rsidTr="00F959A8">
        <w:tc>
          <w:tcPr>
            <w:tcW w:w="4786" w:type="dxa"/>
            <w:tcBorders>
              <w:bottom w:val="single" w:sz="4" w:space="0" w:color="auto"/>
            </w:tcBorders>
          </w:tcPr>
          <w:p w:rsidR="00541B39" w:rsidRPr="009B1415" w:rsidRDefault="00541B39" w:rsidP="00DC2775">
            <w:pPr>
              <w:spacing w:before="20"/>
              <w:ind w:left="176"/>
              <w:jc w:val="both"/>
              <w:rPr>
                <w:sz w:val="16"/>
                <w:szCs w:val="16"/>
              </w:rPr>
            </w:pPr>
            <w:r w:rsidRPr="009B1415">
              <w:rPr>
                <w:sz w:val="16"/>
                <w:szCs w:val="16"/>
              </w:rPr>
              <w:t>Yes</w:t>
            </w:r>
          </w:p>
        </w:tc>
        <w:tc>
          <w:tcPr>
            <w:tcW w:w="567" w:type="dxa"/>
            <w:tcBorders>
              <w:bottom w:val="single" w:sz="4" w:space="0" w:color="auto"/>
            </w:tcBorders>
            <w:vAlign w:val="center"/>
          </w:tcPr>
          <w:p w:rsidR="00541B39" w:rsidRPr="00DC2775" w:rsidRDefault="00541B39" w:rsidP="00BF573E">
            <w:pPr>
              <w:adjustRightInd w:val="0"/>
              <w:spacing w:before="20"/>
              <w:jc w:val="right"/>
              <w:rPr>
                <w:color w:val="000000"/>
                <w:sz w:val="16"/>
                <w:szCs w:val="16"/>
              </w:rPr>
            </w:pPr>
            <w:r>
              <w:rPr>
                <w:color w:val="000000"/>
                <w:sz w:val="16"/>
                <w:szCs w:val="16"/>
              </w:rPr>
              <w:t>50.3</w:t>
            </w:r>
          </w:p>
        </w:tc>
        <w:tc>
          <w:tcPr>
            <w:tcW w:w="1134" w:type="dxa"/>
            <w:tcBorders>
              <w:bottom w:val="single" w:sz="4" w:space="0" w:color="auto"/>
            </w:tcBorders>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1.37</w:t>
            </w:r>
          </w:p>
        </w:tc>
        <w:tc>
          <w:tcPr>
            <w:tcW w:w="1238" w:type="dxa"/>
            <w:gridSpan w:val="2"/>
            <w:tcBorders>
              <w:bottom w:val="single" w:sz="4" w:space="0" w:color="auto"/>
            </w:tcBorders>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0.38</w:t>
            </w:r>
            <w:r w:rsidR="00541B39">
              <w:rPr>
                <w:color w:val="000000"/>
                <w:sz w:val="16"/>
                <w:szCs w:val="16"/>
              </w:rPr>
              <w:t xml:space="preserve"> - </w:t>
            </w:r>
            <w:r w:rsidR="00541B39" w:rsidRPr="00DC2775">
              <w:rPr>
                <w:color w:val="000000"/>
                <w:sz w:val="16"/>
                <w:szCs w:val="16"/>
              </w:rPr>
              <w:t>4.98</w:t>
            </w:r>
            <w:r>
              <w:rPr>
                <w:color w:val="000000"/>
                <w:sz w:val="16"/>
                <w:szCs w:val="16"/>
              </w:rPr>
              <w:t>)</w:t>
            </w:r>
          </w:p>
        </w:tc>
        <w:tc>
          <w:tcPr>
            <w:tcW w:w="747" w:type="dxa"/>
            <w:tcBorders>
              <w:bottom w:val="single" w:sz="4" w:space="0" w:color="auto"/>
            </w:tcBorders>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0.63</w:t>
            </w:r>
          </w:p>
        </w:tc>
      </w:tr>
      <w:tr w:rsidR="00CB35E8" w:rsidRPr="009B1415" w:rsidTr="00F959A8">
        <w:tc>
          <w:tcPr>
            <w:tcW w:w="4786" w:type="dxa"/>
            <w:tcBorders>
              <w:top w:val="single" w:sz="4" w:space="0" w:color="auto"/>
            </w:tcBorders>
            <w:vAlign w:val="bottom"/>
          </w:tcPr>
          <w:p w:rsidR="00CB35E8" w:rsidRPr="009B1415" w:rsidRDefault="00CB35E8" w:rsidP="00CB35E8">
            <w:pPr>
              <w:spacing w:before="20"/>
              <w:jc w:val="both"/>
              <w:rPr>
                <w:b/>
                <w:sz w:val="16"/>
                <w:szCs w:val="16"/>
              </w:rPr>
            </w:pPr>
            <w:r w:rsidRPr="009B1415">
              <w:rPr>
                <w:b/>
                <w:sz w:val="16"/>
                <w:szCs w:val="16"/>
              </w:rPr>
              <w:lastRenderedPageBreak/>
              <w:t>Instant Kiwi/other scratch tickets - annual</w:t>
            </w:r>
          </w:p>
        </w:tc>
        <w:tc>
          <w:tcPr>
            <w:tcW w:w="567" w:type="dxa"/>
            <w:tcBorders>
              <w:top w:val="single" w:sz="4" w:space="0" w:color="auto"/>
            </w:tcBorders>
            <w:vAlign w:val="center"/>
          </w:tcPr>
          <w:p w:rsidR="00CB35E8" w:rsidRPr="00CB35E8" w:rsidRDefault="00CB35E8" w:rsidP="00BF573E">
            <w:pPr>
              <w:adjustRightInd w:val="0"/>
              <w:spacing w:before="20"/>
              <w:jc w:val="right"/>
              <w:rPr>
                <w:color w:val="000000"/>
                <w:sz w:val="16"/>
                <w:szCs w:val="16"/>
              </w:rPr>
            </w:pPr>
          </w:p>
        </w:tc>
        <w:tc>
          <w:tcPr>
            <w:tcW w:w="1134" w:type="dxa"/>
            <w:tcBorders>
              <w:top w:val="single" w:sz="4" w:space="0" w:color="auto"/>
            </w:tcBorders>
            <w:vAlign w:val="center"/>
          </w:tcPr>
          <w:p w:rsidR="00CB35E8" w:rsidRPr="00CB35E8" w:rsidRDefault="00CB35E8" w:rsidP="00BF573E">
            <w:pPr>
              <w:adjustRightInd w:val="0"/>
              <w:spacing w:before="20"/>
              <w:jc w:val="right"/>
              <w:rPr>
                <w:color w:val="000000"/>
                <w:sz w:val="16"/>
                <w:szCs w:val="16"/>
              </w:rPr>
            </w:pPr>
          </w:p>
        </w:tc>
        <w:tc>
          <w:tcPr>
            <w:tcW w:w="968" w:type="dxa"/>
            <w:tcBorders>
              <w:top w:val="single" w:sz="4" w:space="0" w:color="auto"/>
            </w:tcBorders>
            <w:vAlign w:val="center"/>
          </w:tcPr>
          <w:p w:rsidR="00CB35E8" w:rsidRPr="00CB35E8" w:rsidRDefault="00CB35E8" w:rsidP="00BF573E">
            <w:pPr>
              <w:adjustRightInd w:val="0"/>
              <w:spacing w:before="20"/>
              <w:jc w:val="right"/>
              <w:rPr>
                <w:color w:val="000000"/>
                <w:sz w:val="16"/>
                <w:szCs w:val="16"/>
              </w:rPr>
            </w:pPr>
          </w:p>
        </w:tc>
        <w:tc>
          <w:tcPr>
            <w:tcW w:w="270" w:type="dxa"/>
            <w:tcBorders>
              <w:top w:val="single" w:sz="4" w:space="0" w:color="auto"/>
            </w:tcBorders>
            <w:vAlign w:val="center"/>
          </w:tcPr>
          <w:p w:rsidR="00CB35E8" w:rsidRPr="00CB35E8" w:rsidRDefault="00CB35E8" w:rsidP="00BF573E">
            <w:pPr>
              <w:adjustRightInd w:val="0"/>
              <w:spacing w:before="20"/>
              <w:jc w:val="right"/>
              <w:rPr>
                <w:color w:val="000000"/>
                <w:sz w:val="16"/>
                <w:szCs w:val="16"/>
              </w:rPr>
            </w:pPr>
          </w:p>
        </w:tc>
        <w:tc>
          <w:tcPr>
            <w:tcW w:w="747" w:type="dxa"/>
            <w:tcBorders>
              <w:top w:val="single" w:sz="4" w:space="0" w:color="auto"/>
            </w:tcBorders>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42.3</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44.1</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1.08</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0.36</w:t>
            </w:r>
            <w:r w:rsidR="00541B39">
              <w:rPr>
                <w:color w:val="000000"/>
                <w:sz w:val="16"/>
                <w:szCs w:val="16"/>
              </w:rPr>
              <w:t xml:space="preserve"> - </w:t>
            </w:r>
            <w:r w:rsidR="00541B39" w:rsidRPr="00DC2775">
              <w:rPr>
                <w:color w:val="000000"/>
                <w:sz w:val="16"/>
                <w:szCs w:val="16"/>
              </w:rPr>
              <w:t>3.20</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0.89</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Housie or bingo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41.3</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59.3</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2.07</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0.41</w:t>
            </w:r>
            <w:r w:rsidR="00541B39">
              <w:rPr>
                <w:color w:val="000000"/>
                <w:sz w:val="16"/>
                <w:szCs w:val="16"/>
              </w:rPr>
              <w:t xml:space="preserve"> - </w:t>
            </w:r>
            <w:r w:rsidR="00541B39" w:rsidRPr="00DC2775">
              <w:rPr>
                <w:color w:val="000000"/>
                <w:sz w:val="16"/>
                <w:szCs w:val="16"/>
              </w:rPr>
              <w:t>10.45</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0.38</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Horse/dog race betting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41.5</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52.6</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1.56</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0.44</w:t>
            </w:r>
            <w:r w:rsidR="00541B39">
              <w:rPr>
                <w:color w:val="000000"/>
                <w:sz w:val="16"/>
                <w:szCs w:val="16"/>
              </w:rPr>
              <w:t xml:space="preserve"> - </w:t>
            </w:r>
            <w:r w:rsidR="00541B39" w:rsidRPr="00DC2775">
              <w:rPr>
                <w:color w:val="000000"/>
                <w:sz w:val="16"/>
                <w:szCs w:val="16"/>
              </w:rPr>
              <w:t>5.57</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0.49</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Sports betting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38.4</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62.</w:t>
            </w:r>
            <w:r w:rsidRPr="00DC2775">
              <w:rPr>
                <w:color w:val="000000"/>
                <w:sz w:val="16"/>
                <w:szCs w:val="16"/>
              </w:rPr>
              <w:t>8</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2.70</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0.75</w:t>
            </w:r>
            <w:r w:rsidR="00541B39">
              <w:rPr>
                <w:color w:val="000000"/>
                <w:sz w:val="16"/>
                <w:szCs w:val="16"/>
              </w:rPr>
              <w:t xml:space="preserve"> - </w:t>
            </w:r>
            <w:r w:rsidR="00541B39" w:rsidRPr="00DC2775">
              <w:rPr>
                <w:color w:val="000000"/>
                <w:sz w:val="16"/>
                <w:szCs w:val="16"/>
              </w:rPr>
              <w:t>9.72</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0.13</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Casino table games or EGMs (overseas) - annual</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43.9</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40.2</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0.86</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0.20</w:t>
            </w:r>
            <w:r w:rsidR="00541B39">
              <w:rPr>
                <w:color w:val="000000"/>
                <w:sz w:val="16"/>
                <w:szCs w:val="16"/>
              </w:rPr>
              <w:t xml:space="preserve"> - </w:t>
            </w:r>
            <w:r w:rsidR="00541B39" w:rsidRPr="00DC2775">
              <w:rPr>
                <w:color w:val="000000"/>
                <w:sz w:val="16"/>
                <w:szCs w:val="16"/>
              </w:rPr>
              <w:t>3.73</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0.84</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Casino table games or EGMs (NZ)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42.0</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45.8</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1.17</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0.39</w:t>
            </w:r>
            <w:r w:rsidR="00541B39">
              <w:rPr>
                <w:color w:val="000000"/>
                <w:sz w:val="16"/>
                <w:szCs w:val="16"/>
              </w:rPr>
              <w:t xml:space="preserve"> - </w:t>
            </w:r>
            <w:r w:rsidR="00541B39" w:rsidRPr="00DC2775">
              <w:rPr>
                <w:color w:val="000000"/>
                <w:sz w:val="16"/>
                <w:szCs w:val="16"/>
              </w:rPr>
              <w:t>3.48</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0.78</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Casino table games (NZ)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45.5</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21.4</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0.33</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0.04</w:t>
            </w:r>
            <w:r w:rsidR="00541B39">
              <w:rPr>
                <w:color w:val="000000"/>
                <w:sz w:val="16"/>
                <w:szCs w:val="16"/>
              </w:rPr>
              <w:t xml:space="preserve"> - </w:t>
            </w:r>
            <w:r w:rsidR="00541B39" w:rsidRPr="00DC2775">
              <w:rPr>
                <w:color w:val="000000"/>
                <w:sz w:val="16"/>
                <w:szCs w:val="16"/>
              </w:rPr>
              <w:t>2.38</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0.27</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Casino EGMs (NZ)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42.3</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45.3</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1.13</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0.38</w:t>
            </w:r>
            <w:r w:rsidR="00541B39">
              <w:rPr>
                <w:color w:val="000000"/>
                <w:sz w:val="16"/>
                <w:szCs w:val="16"/>
              </w:rPr>
              <w:t xml:space="preserve"> - </w:t>
            </w:r>
            <w:r w:rsidR="00541B39" w:rsidRPr="00DC2775">
              <w:rPr>
                <w:color w:val="000000"/>
                <w:sz w:val="16"/>
                <w:szCs w:val="16"/>
              </w:rPr>
              <w:t>3.38</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0.83</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Pub EGMs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46.4</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41.5</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0.82</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0.30</w:t>
            </w:r>
            <w:r w:rsidR="00541B39">
              <w:rPr>
                <w:color w:val="000000"/>
                <w:sz w:val="16"/>
                <w:szCs w:val="16"/>
              </w:rPr>
              <w:t xml:space="preserve"> - </w:t>
            </w:r>
            <w:r w:rsidR="00541B39" w:rsidRPr="00DC2775">
              <w:rPr>
                <w:color w:val="000000"/>
                <w:sz w:val="16"/>
                <w:szCs w:val="16"/>
              </w:rPr>
              <w:t>2.25</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0.70</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Club EGM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40.8</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51.7</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1.55</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0.50</w:t>
            </w:r>
            <w:r w:rsidR="00541B39">
              <w:rPr>
                <w:color w:val="000000"/>
                <w:sz w:val="16"/>
                <w:szCs w:val="16"/>
              </w:rPr>
              <w:t xml:space="preserve"> - </w:t>
            </w:r>
            <w:r w:rsidR="00541B39" w:rsidRPr="00DC2775">
              <w:rPr>
                <w:color w:val="000000"/>
                <w:sz w:val="16"/>
                <w:szCs w:val="16"/>
              </w:rPr>
              <w:t>4.84</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0.45</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EGMs overall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33.7</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Pr>
                <w:color w:val="000000"/>
                <w:sz w:val="16"/>
                <w:szCs w:val="16"/>
              </w:rPr>
              <w:t>46.</w:t>
            </w:r>
            <w:r w:rsidRPr="00DC2775">
              <w:rPr>
                <w:color w:val="000000"/>
                <w:sz w:val="16"/>
                <w:szCs w:val="16"/>
              </w:rPr>
              <w:t>7</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1.72</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0.53</w:t>
            </w:r>
            <w:r w:rsidR="00541B39">
              <w:rPr>
                <w:color w:val="000000"/>
                <w:sz w:val="16"/>
                <w:szCs w:val="16"/>
              </w:rPr>
              <w:t xml:space="preserve"> - </w:t>
            </w:r>
            <w:r w:rsidR="00541B39" w:rsidRPr="00DC2775">
              <w:rPr>
                <w:color w:val="000000"/>
                <w:sz w:val="16"/>
                <w:szCs w:val="16"/>
              </w:rPr>
              <w:t>5.54</w:t>
            </w:r>
            <w:r>
              <w:rPr>
                <w:color w:val="000000"/>
                <w:sz w:val="16"/>
                <w:szCs w:val="16"/>
              </w:rPr>
              <w:t>)</w:t>
            </w:r>
          </w:p>
        </w:tc>
        <w:tc>
          <w:tcPr>
            <w:tcW w:w="747" w:type="dxa"/>
            <w:shd w:val="clear" w:color="auto" w:fill="auto"/>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0.36</w:t>
            </w: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Short-term speculative investments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shd w:val="clear" w:color="auto" w:fill="auto"/>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43.5</w:t>
            </w:r>
          </w:p>
        </w:tc>
        <w:tc>
          <w:tcPr>
            <w:tcW w:w="1134"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Yes</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0.0</w:t>
            </w:r>
          </w:p>
        </w:tc>
        <w:tc>
          <w:tcPr>
            <w:tcW w:w="1134"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vAlign w:val="bottom"/>
          </w:tcPr>
          <w:p w:rsidR="00DC2775" w:rsidRPr="009B1415" w:rsidRDefault="00DC2775" w:rsidP="00DC2775">
            <w:pPr>
              <w:spacing w:before="20"/>
              <w:jc w:val="both"/>
              <w:rPr>
                <w:b/>
                <w:sz w:val="16"/>
                <w:szCs w:val="16"/>
              </w:rPr>
            </w:pPr>
            <w:r w:rsidRPr="009B1415">
              <w:rPr>
                <w:b/>
                <w:sz w:val="16"/>
                <w:szCs w:val="16"/>
              </w:rPr>
              <w:t>Overseas internet gambling - annual</w:t>
            </w:r>
          </w:p>
        </w:tc>
        <w:tc>
          <w:tcPr>
            <w:tcW w:w="567" w:type="dxa"/>
            <w:vAlign w:val="center"/>
          </w:tcPr>
          <w:p w:rsidR="00DC2775" w:rsidRPr="00DC2775" w:rsidRDefault="00DC2775" w:rsidP="00BF573E">
            <w:pPr>
              <w:adjustRightInd w:val="0"/>
              <w:spacing w:before="20"/>
              <w:jc w:val="right"/>
              <w:rPr>
                <w:color w:val="000000"/>
                <w:sz w:val="16"/>
                <w:szCs w:val="16"/>
              </w:rPr>
            </w:pPr>
          </w:p>
        </w:tc>
        <w:tc>
          <w:tcPr>
            <w:tcW w:w="1134" w:type="dxa"/>
            <w:vAlign w:val="center"/>
          </w:tcPr>
          <w:p w:rsidR="00DC2775" w:rsidRPr="00DC2775" w:rsidRDefault="00DC2775" w:rsidP="00BF573E">
            <w:pPr>
              <w:adjustRightInd w:val="0"/>
              <w:spacing w:before="20"/>
              <w:jc w:val="right"/>
              <w:rPr>
                <w:color w:val="000000"/>
                <w:sz w:val="16"/>
                <w:szCs w:val="16"/>
              </w:rPr>
            </w:pP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A50DB2" w:rsidP="00BF573E">
            <w:pPr>
              <w:adjustRightInd w:val="0"/>
              <w:spacing w:before="20"/>
              <w:jc w:val="right"/>
              <w:rPr>
                <w:color w:val="000000"/>
                <w:sz w:val="16"/>
                <w:szCs w:val="16"/>
              </w:rPr>
            </w:pPr>
            <w:r>
              <w:rPr>
                <w:color w:val="000000"/>
                <w:sz w:val="16"/>
                <w:szCs w:val="16"/>
              </w:rPr>
              <w:t>43.</w:t>
            </w:r>
            <w:r w:rsidR="00DC2775" w:rsidRPr="00DC2775">
              <w:rPr>
                <w:color w:val="000000"/>
                <w:sz w:val="16"/>
                <w:szCs w:val="16"/>
              </w:rPr>
              <w:t>7</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40.0</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0.86</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0.14</w:t>
            </w:r>
            <w:r w:rsidR="00541B39">
              <w:rPr>
                <w:color w:val="000000"/>
                <w:sz w:val="16"/>
                <w:szCs w:val="16"/>
              </w:rPr>
              <w:t xml:space="preserve"> - </w:t>
            </w:r>
            <w:r w:rsidR="00541B39" w:rsidRPr="00DC2775">
              <w:rPr>
                <w:color w:val="000000"/>
                <w:sz w:val="16"/>
                <w:szCs w:val="16"/>
              </w:rPr>
              <w:t>5.13</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0.87</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Card games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DC2775" w:rsidRPr="009B1415" w:rsidTr="00F959A8">
        <w:tc>
          <w:tcPr>
            <w:tcW w:w="4786" w:type="dxa"/>
          </w:tcPr>
          <w:p w:rsidR="00DC2775" w:rsidRPr="009B1415" w:rsidRDefault="00DC2775" w:rsidP="00DC2775">
            <w:pPr>
              <w:spacing w:before="20"/>
              <w:ind w:left="176"/>
              <w:jc w:val="both"/>
              <w:rPr>
                <w:sz w:val="16"/>
                <w:szCs w:val="16"/>
              </w:rPr>
            </w:pPr>
            <w:r w:rsidRPr="009B1415">
              <w:rPr>
                <w:sz w:val="16"/>
                <w:szCs w:val="16"/>
              </w:rPr>
              <w:t>No</w:t>
            </w:r>
          </w:p>
        </w:tc>
        <w:tc>
          <w:tcPr>
            <w:tcW w:w="567"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45.1</w:t>
            </w:r>
          </w:p>
        </w:tc>
        <w:tc>
          <w:tcPr>
            <w:tcW w:w="1134" w:type="dxa"/>
            <w:vAlign w:val="center"/>
          </w:tcPr>
          <w:p w:rsidR="00DC2775" w:rsidRPr="00DC2775" w:rsidRDefault="00DC2775" w:rsidP="00BF573E">
            <w:pPr>
              <w:adjustRightInd w:val="0"/>
              <w:spacing w:before="20"/>
              <w:jc w:val="right"/>
              <w:rPr>
                <w:color w:val="000000"/>
                <w:sz w:val="16"/>
                <w:szCs w:val="16"/>
              </w:rPr>
            </w:pPr>
            <w:r w:rsidRPr="00DC2775">
              <w:rPr>
                <w:color w:val="000000"/>
                <w:sz w:val="16"/>
                <w:szCs w:val="16"/>
              </w:rPr>
              <w:t>1.00</w:t>
            </w:r>
          </w:p>
        </w:tc>
        <w:tc>
          <w:tcPr>
            <w:tcW w:w="968" w:type="dxa"/>
            <w:vAlign w:val="center"/>
          </w:tcPr>
          <w:p w:rsidR="00DC2775" w:rsidRPr="00DC2775" w:rsidRDefault="00DC2775" w:rsidP="00BF573E">
            <w:pPr>
              <w:adjustRightInd w:val="0"/>
              <w:spacing w:before="20"/>
              <w:jc w:val="right"/>
              <w:rPr>
                <w:color w:val="000000"/>
                <w:sz w:val="16"/>
                <w:szCs w:val="16"/>
              </w:rPr>
            </w:pPr>
          </w:p>
        </w:tc>
        <w:tc>
          <w:tcPr>
            <w:tcW w:w="270" w:type="dxa"/>
            <w:vAlign w:val="center"/>
          </w:tcPr>
          <w:p w:rsidR="00DC2775" w:rsidRPr="00DC2775" w:rsidRDefault="00DC2775" w:rsidP="00BF573E">
            <w:pPr>
              <w:adjustRightInd w:val="0"/>
              <w:spacing w:before="20"/>
              <w:jc w:val="right"/>
              <w:rPr>
                <w:color w:val="000000"/>
                <w:sz w:val="16"/>
                <w:szCs w:val="16"/>
              </w:rPr>
            </w:pPr>
          </w:p>
        </w:tc>
        <w:tc>
          <w:tcPr>
            <w:tcW w:w="747" w:type="dxa"/>
            <w:vAlign w:val="center"/>
          </w:tcPr>
          <w:p w:rsidR="00DC2775" w:rsidRPr="00DC2775" w:rsidRDefault="00DC2775"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DC2775">
            <w:pPr>
              <w:spacing w:before="20"/>
              <w:ind w:left="176"/>
              <w:jc w:val="both"/>
              <w:rPr>
                <w:sz w:val="16"/>
                <w:szCs w:val="16"/>
              </w:rPr>
            </w:pPr>
            <w:r w:rsidRPr="009B1415">
              <w:rPr>
                <w:sz w:val="16"/>
                <w:szCs w:val="16"/>
              </w:rPr>
              <w:t>Yes</w:t>
            </w:r>
          </w:p>
        </w:tc>
        <w:tc>
          <w:tcPr>
            <w:tcW w:w="56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33.9</w:t>
            </w:r>
          </w:p>
        </w:tc>
        <w:tc>
          <w:tcPr>
            <w:tcW w:w="1134"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0.63</w:t>
            </w:r>
          </w:p>
        </w:tc>
        <w:tc>
          <w:tcPr>
            <w:tcW w:w="1238" w:type="dxa"/>
            <w:gridSpan w:val="2"/>
            <w:vAlign w:val="center"/>
          </w:tcPr>
          <w:p w:rsidR="00541B39" w:rsidRPr="00DC2775" w:rsidRDefault="009A56CE" w:rsidP="00541B39">
            <w:pPr>
              <w:adjustRightInd w:val="0"/>
              <w:spacing w:before="20"/>
              <w:jc w:val="right"/>
              <w:rPr>
                <w:color w:val="000000"/>
                <w:sz w:val="16"/>
                <w:szCs w:val="16"/>
              </w:rPr>
            </w:pPr>
            <w:r>
              <w:rPr>
                <w:color w:val="000000"/>
                <w:sz w:val="16"/>
                <w:szCs w:val="16"/>
              </w:rPr>
              <w:t>(</w:t>
            </w:r>
            <w:r w:rsidR="00541B39" w:rsidRPr="00DC2775">
              <w:rPr>
                <w:color w:val="000000"/>
                <w:sz w:val="16"/>
                <w:szCs w:val="16"/>
              </w:rPr>
              <w:t>0.15</w:t>
            </w:r>
            <w:r w:rsidR="00541B39">
              <w:rPr>
                <w:color w:val="000000"/>
                <w:sz w:val="16"/>
                <w:szCs w:val="16"/>
              </w:rPr>
              <w:t xml:space="preserve"> - </w:t>
            </w:r>
            <w:r w:rsidR="00541B39" w:rsidRPr="00DC2775">
              <w:rPr>
                <w:color w:val="000000"/>
                <w:sz w:val="16"/>
                <w:szCs w:val="16"/>
              </w:rPr>
              <w:t>2.58</w:t>
            </w:r>
            <w:r>
              <w:rPr>
                <w:color w:val="000000"/>
                <w:sz w:val="16"/>
                <w:szCs w:val="16"/>
              </w:rPr>
              <w:t>)</w:t>
            </w:r>
          </w:p>
        </w:tc>
        <w:tc>
          <w:tcPr>
            <w:tcW w:w="747" w:type="dxa"/>
            <w:vAlign w:val="center"/>
          </w:tcPr>
          <w:p w:rsidR="00541B39" w:rsidRPr="00DC2775" w:rsidRDefault="00541B39" w:rsidP="00BF573E">
            <w:pPr>
              <w:adjustRightInd w:val="0"/>
              <w:spacing w:before="20"/>
              <w:jc w:val="right"/>
              <w:rPr>
                <w:color w:val="000000"/>
                <w:sz w:val="16"/>
                <w:szCs w:val="16"/>
              </w:rPr>
            </w:pPr>
            <w:r w:rsidRPr="00DC2775">
              <w:rPr>
                <w:color w:val="000000"/>
                <w:sz w:val="16"/>
                <w:szCs w:val="16"/>
              </w:rPr>
              <w:t>0.52</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Bets with friends/workmates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40.</w:t>
            </w:r>
            <w:r w:rsidR="009B12FA" w:rsidRPr="009B12FA">
              <w:rPr>
                <w:color w:val="000000"/>
                <w:sz w:val="16"/>
                <w:szCs w:val="16"/>
              </w:rPr>
              <w:t>7</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71.7</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3.69</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0.40</w:t>
            </w:r>
            <w:r w:rsidR="00541B39">
              <w:rPr>
                <w:color w:val="000000"/>
                <w:sz w:val="16"/>
                <w:szCs w:val="16"/>
              </w:rPr>
              <w:t xml:space="preserve"> - </w:t>
            </w:r>
            <w:r w:rsidR="00541B39" w:rsidRPr="009B12FA">
              <w:rPr>
                <w:color w:val="000000"/>
                <w:sz w:val="16"/>
                <w:szCs w:val="16"/>
              </w:rPr>
              <w:t>34.40</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0.25</w:t>
            </w: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Text game or competition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43.2</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54.6</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1.58</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0.24</w:t>
            </w:r>
            <w:r w:rsidR="00541B39">
              <w:rPr>
                <w:color w:val="000000"/>
                <w:sz w:val="16"/>
                <w:szCs w:val="16"/>
              </w:rPr>
              <w:t xml:space="preserve"> - </w:t>
            </w:r>
            <w:r w:rsidR="00541B39" w:rsidRPr="009B12FA">
              <w:rPr>
                <w:color w:val="000000"/>
                <w:sz w:val="16"/>
                <w:szCs w:val="16"/>
              </w:rPr>
              <w:t>10.54</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0.64</w:t>
            </w:r>
          </w:p>
        </w:tc>
      </w:tr>
      <w:tr w:rsidR="009B12FA" w:rsidRPr="009B1415" w:rsidTr="00F959A8">
        <w:tc>
          <w:tcPr>
            <w:tcW w:w="4786" w:type="dxa"/>
            <w:vAlign w:val="bottom"/>
          </w:tcPr>
          <w:p w:rsidR="009B12FA" w:rsidRPr="009B1415" w:rsidRDefault="009B12FA" w:rsidP="009B12FA">
            <w:pPr>
              <w:keepNext/>
              <w:spacing w:before="20"/>
              <w:jc w:val="both"/>
              <w:rPr>
                <w:b/>
                <w:sz w:val="16"/>
                <w:szCs w:val="16"/>
              </w:rPr>
            </w:pPr>
            <w:r w:rsidRPr="009B1415">
              <w:rPr>
                <w:b/>
                <w:sz w:val="16"/>
                <w:szCs w:val="16"/>
              </w:rPr>
              <w:t>Raffle/lottery (NZ/overseas)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keepNext/>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42.0</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keepNext/>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50.4</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1.41</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0.40</w:t>
            </w:r>
            <w:r w:rsidR="00541B39">
              <w:rPr>
                <w:color w:val="000000"/>
                <w:sz w:val="16"/>
                <w:szCs w:val="16"/>
              </w:rPr>
              <w:t xml:space="preserve"> - </w:t>
            </w:r>
            <w:r w:rsidR="00541B39" w:rsidRPr="009B12FA">
              <w:rPr>
                <w:color w:val="000000"/>
                <w:sz w:val="16"/>
                <w:szCs w:val="16"/>
              </w:rPr>
              <w:t>4.98</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0.60</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Lotto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44.2</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42.6</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0.94</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0.33</w:t>
            </w:r>
            <w:r w:rsidR="00541B39">
              <w:rPr>
                <w:color w:val="000000"/>
                <w:sz w:val="16"/>
                <w:szCs w:val="16"/>
              </w:rPr>
              <w:t xml:space="preserve"> - </w:t>
            </w:r>
            <w:r w:rsidR="00541B39" w:rsidRPr="009B12FA">
              <w:rPr>
                <w:color w:val="000000"/>
                <w:sz w:val="16"/>
                <w:szCs w:val="16"/>
              </w:rPr>
              <w:t>2.64</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0.90</w:t>
            </w:r>
          </w:p>
        </w:tc>
      </w:tr>
      <w:tr w:rsidR="00CB35E8" w:rsidRPr="009B1415" w:rsidTr="00F959A8">
        <w:tc>
          <w:tcPr>
            <w:tcW w:w="4786" w:type="dxa"/>
            <w:vAlign w:val="bottom"/>
          </w:tcPr>
          <w:p w:rsidR="00CB35E8" w:rsidRPr="009B1415" w:rsidRDefault="00CB35E8" w:rsidP="009B12FA">
            <w:pPr>
              <w:keepNext/>
              <w:spacing w:before="20"/>
              <w:jc w:val="both"/>
              <w:rPr>
                <w:b/>
                <w:sz w:val="16"/>
                <w:szCs w:val="16"/>
              </w:rPr>
            </w:pPr>
            <w:r w:rsidRPr="009B1415">
              <w:rPr>
                <w:b/>
                <w:sz w:val="16"/>
                <w:szCs w:val="16"/>
              </w:rPr>
              <w:t>Keno - monthly</w:t>
            </w:r>
          </w:p>
        </w:tc>
        <w:tc>
          <w:tcPr>
            <w:tcW w:w="567" w:type="dxa"/>
            <w:vAlign w:val="center"/>
          </w:tcPr>
          <w:p w:rsidR="00CB35E8" w:rsidRPr="00CB35E8" w:rsidRDefault="00CB35E8" w:rsidP="00BF573E">
            <w:pPr>
              <w:keepNext/>
              <w:adjustRightInd w:val="0"/>
              <w:spacing w:before="20"/>
              <w:jc w:val="right"/>
              <w:rPr>
                <w:color w:val="000000"/>
                <w:sz w:val="16"/>
                <w:szCs w:val="16"/>
              </w:rPr>
            </w:pPr>
          </w:p>
        </w:tc>
        <w:tc>
          <w:tcPr>
            <w:tcW w:w="1134" w:type="dxa"/>
            <w:vAlign w:val="center"/>
          </w:tcPr>
          <w:p w:rsidR="00CB35E8" w:rsidRPr="00CB35E8" w:rsidRDefault="00CB35E8" w:rsidP="00BF573E">
            <w:pPr>
              <w:keepNext/>
              <w:adjustRightInd w:val="0"/>
              <w:spacing w:before="20"/>
              <w:jc w:val="right"/>
              <w:rPr>
                <w:color w:val="000000"/>
                <w:sz w:val="16"/>
                <w:szCs w:val="16"/>
              </w:rPr>
            </w:pPr>
          </w:p>
        </w:tc>
        <w:tc>
          <w:tcPr>
            <w:tcW w:w="968" w:type="dxa"/>
            <w:vAlign w:val="center"/>
          </w:tcPr>
          <w:p w:rsidR="00CB35E8" w:rsidRPr="00CB35E8" w:rsidRDefault="00CB35E8" w:rsidP="00BF573E">
            <w:pPr>
              <w:keepNext/>
              <w:adjustRightInd w:val="0"/>
              <w:spacing w:before="20"/>
              <w:jc w:val="right"/>
              <w:rPr>
                <w:color w:val="000000"/>
                <w:sz w:val="16"/>
                <w:szCs w:val="16"/>
              </w:rPr>
            </w:pPr>
          </w:p>
        </w:tc>
        <w:tc>
          <w:tcPr>
            <w:tcW w:w="270" w:type="dxa"/>
            <w:vAlign w:val="center"/>
          </w:tcPr>
          <w:p w:rsidR="00CB35E8" w:rsidRPr="00CB35E8" w:rsidRDefault="00CB35E8" w:rsidP="00BF573E">
            <w:pPr>
              <w:keepNext/>
              <w:adjustRightInd w:val="0"/>
              <w:spacing w:before="20"/>
              <w:jc w:val="right"/>
              <w:rPr>
                <w:color w:val="000000"/>
                <w:sz w:val="16"/>
                <w:szCs w:val="16"/>
              </w:rPr>
            </w:pPr>
          </w:p>
        </w:tc>
        <w:tc>
          <w:tcPr>
            <w:tcW w:w="747" w:type="dxa"/>
            <w:vAlign w:val="center"/>
          </w:tcPr>
          <w:p w:rsidR="00CB35E8" w:rsidRPr="00CB35E8" w:rsidRDefault="00CB35E8" w:rsidP="00BF573E">
            <w:pPr>
              <w:keepNext/>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keepNext/>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41.9</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keepNext/>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73.2</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3.80</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0.66</w:t>
            </w:r>
            <w:r w:rsidR="00541B39">
              <w:rPr>
                <w:color w:val="000000"/>
                <w:sz w:val="16"/>
                <w:szCs w:val="16"/>
              </w:rPr>
              <w:t xml:space="preserve"> - </w:t>
            </w:r>
            <w:r w:rsidR="00541B39" w:rsidRPr="009B12FA">
              <w:rPr>
                <w:color w:val="000000"/>
                <w:sz w:val="16"/>
                <w:szCs w:val="16"/>
              </w:rPr>
              <w:t>21.69</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0.13</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Instant Kiwi/other scratch tickets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42.8</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Borders>
              <w:bottom w:val="single" w:sz="4" w:space="0" w:color="auto"/>
            </w:tcBorders>
          </w:tcPr>
          <w:p w:rsidR="00541B39" w:rsidRPr="009B1415" w:rsidRDefault="00541B39" w:rsidP="009B12FA">
            <w:pPr>
              <w:spacing w:before="20"/>
              <w:ind w:left="176"/>
              <w:jc w:val="both"/>
              <w:rPr>
                <w:sz w:val="16"/>
                <w:szCs w:val="16"/>
              </w:rPr>
            </w:pPr>
            <w:r w:rsidRPr="009B1415">
              <w:rPr>
                <w:sz w:val="16"/>
                <w:szCs w:val="16"/>
              </w:rPr>
              <w:t>Yes</w:t>
            </w:r>
          </w:p>
        </w:tc>
        <w:tc>
          <w:tcPr>
            <w:tcW w:w="567" w:type="dxa"/>
            <w:tcBorders>
              <w:bottom w:val="single" w:sz="4" w:space="0" w:color="auto"/>
            </w:tcBorders>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45.0</w:t>
            </w:r>
          </w:p>
        </w:tc>
        <w:tc>
          <w:tcPr>
            <w:tcW w:w="1134" w:type="dxa"/>
            <w:tcBorders>
              <w:bottom w:val="single" w:sz="4" w:space="0" w:color="auto"/>
            </w:tcBorders>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1.09</w:t>
            </w:r>
          </w:p>
        </w:tc>
        <w:tc>
          <w:tcPr>
            <w:tcW w:w="1238" w:type="dxa"/>
            <w:gridSpan w:val="2"/>
            <w:tcBorders>
              <w:bottom w:val="single" w:sz="4" w:space="0" w:color="auto"/>
            </w:tcBorders>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0.38</w:t>
            </w:r>
            <w:r w:rsidR="00541B39">
              <w:rPr>
                <w:color w:val="000000"/>
                <w:sz w:val="16"/>
                <w:szCs w:val="16"/>
              </w:rPr>
              <w:t xml:space="preserve"> - </w:t>
            </w:r>
            <w:r w:rsidR="00541B39" w:rsidRPr="009B12FA">
              <w:rPr>
                <w:color w:val="000000"/>
                <w:sz w:val="16"/>
                <w:szCs w:val="16"/>
              </w:rPr>
              <w:t>3.12</w:t>
            </w:r>
            <w:r>
              <w:rPr>
                <w:color w:val="000000"/>
                <w:sz w:val="16"/>
                <w:szCs w:val="16"/>
              </w:rPr>
              <w:t>)</w:t>
            </w:r>
          </w:p>
        </w:tc>
        <w:tc>
          <w:tcPr>
            <w:tcW w:w="747" w:type="dxa"/>
            <w:tcBorders>
              <w:bottom w:val="single" w:sz="4" w:space="0" w:color="auto"/>
            </w:tcBorders>
            <w:shd w:val="clear" w:color="auto" w:fill="auto"/>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0.87</w:t>
            </w:r>
          </w:p>
        </w:tc>
      </w:tr>
      <w:tr w:rsidR="009B12FA" w:rsidRPr="009B1415" w:rsidTr="00F959A8">
        <w:tc>
          <w:tcPr>
            <w:tcW w:w="4786" w:type="dxa"/>
            <w:tcBorders>
              <w:top w:val="single" w:sz="4" w:space="0" w:color="auto"/>
            </w:tcBorders>
            <w:vAlign w:val="bottom"/>
          </w:tcPr>
          <w:p w:rsidR="009B12FA" w:rsidRPr="009B1415" w:rsidRDefault="009B12FA" w:rsidP="0081083E">
            <w:pPr>
              <w:keepNext/>
              <w:spacing w:before="20"/>
              <w:jc w:val="both"/>
              <w:rPr>
                <w:b/>
                <w:sz w:val="16"/>
                <w:szCs w:val="16"/>
              </w:rPr>
            </w:pPr>
            <w:r w:rsidRPr="009B1415">
              <w:rPr>
                <w:b/>
                <w:sz w:val="16"/>
                <w:szCs w:val="16"/>
              </w:rPr>
              <w:lastRenderedPageBreak/>
              <w:t>Housie or bingo - monthly</w:t>
            </w:r>
          </w:p>
        </w:tc>
        <w:tc>
          <w:tcPr>
            <w:tcW w:w="567" w:type="dxa"/>
            <w:tcBorders>
              <w:top w:val="single" w:sz="4" w:space="0" w:color="auto"/>
            </w:tcBorders>
            <w:vAlign w:val="center"/>
          </w:tcPr>
          <w:p w:rsidR="009B12FA" w:rsidRPr="009B12FA" w:rsidRDefault="009B12FA" w:rsidP="0081083E">
            <w:pPr>
              <w:keepNext/>
              <w:adjustRightInd w:val="0"/>
              <w:spacing w:before="20"/>
              <w:jc w:val="right"/>
              <w:rPr>
                <w:color w:val="000000"/>
                <w:sz w:val="16"/>
                <w:szCs w:val="16"/>
              </w:rPr>
            </w:pPr>
          </w:p>
        </w:tc>
        <w:tc>
          <w:tcPr>
            <w:tcW w:w="1134" w:type="dxa"/>
            <w:tcBorders>
              <w:top w:val="single" w:sz="4" w:space="0" w:color="auto"/>
            </w:tcBorders>
            <w:vAlign w:val="center"/>
          </w:tcPr>
          <w:p w:rsidR="009B12FA" w:rsidRPr="009B12FA" w:rsidRDefault="009B12FA" w:rsidP="0081083E">
            <w:pPr>
              <w:keepNext/>
              <w:adjustRightInd w:val="0"/>
              <w:spacing w:before="20"/>
              <w:jc w:val="right"/>
              <w:rPr>
                <w:color w:val="000000"/>
                <w:sz w:val="16"/>
                <w:szCs w:val="16"/>
              </w:rPr>
            </w:pPr>
          </w:p>
        </w:tc>
        <w:tc>
          <w:tcPr>
            <w:tcW w:w="968" w:type="dxa"/>
            <w:tcBorders>
              <w:top w:val="single" w:sz="4" w:space="0" w:color="auto"/>
            </w:tcBorders>
            <w:vAlign w:val="center"/>
          </w:tcPr>
          <w:p w:rsidR="009B12FA" w:rsidRPr="009B12FA" w:rsidRDefault="009B12FA" w:rsidP="0081083E">
            <w:pPr>
              <w:keepNext/>
              <w:adjustRightInd w:val="0"/>
              <w:spacing w:before="20"/>
              <w:jc w:val="right"/>
              <w:rPr>
                <w:color w:val="000000"/>
                <w:sz w:val="16"/>
                <w:szCs w:val="16"/>
              </w:rPr>
            </w:pPr>
          </w:p>
        </w:tc>
        <w:tc>
          <w:tcPr>
            <w:tcW w:w="270" w:type="dxa"/>
            <w:tcBorders>
              <w:top w:val="single" w:sz="4" w:space="0" w:color="auto"/>
            </w:tcBorders>
            <w:vAlign w:val="center"/>
          </w:tcPr>
          <w:p w:rsidR="009B12FA" w:rsidRPr="009B12FA" w:rsidRDefault="009B12FA" w:rsidP="0081083E">
            <w:pPr>
              <w:keepNext/>
              <w:adjustRightInd w:val="0"/>
              <w:spacing w:before="20"/>
              <w:jc w:val="right"/>
              <w:rPr>
                <w:color w:val="000000"/>
                <w:sz w:val="16"/>
                <w:szCs w:val="16"/>
              </w:rPr>
            </w:pPr>
          </w:p>
        </w:tc>
        <w:tc>
          <w:tcPr>
            <w:tcW w:w="747" w:type="dxa"/>
            <w:tcBorders>
              <w:top w:val="single" w:sz="4" w:space="0" w:color="auto"/>
            </w:tcBorders>
            <w:vAlign w:val="center"/>
          </w:tcPr>
          <w:p w:rsidR="009B12FA" w:rsidRPr="009B12FA" w:rsidRDefault="009B12FA" w:rsidP="0081083E">
            <w:pPr>
              <w:keepNext/>
              <w:adjustRightInd w:val="0"/>
              <w:spacing w:before="20"/>
              <w:jc w:val="right"/>
              <w:rPr>
                <w:color w:val="000000"/>
                <w:sz w:val="16"/>
                <w:szCs w:val="16"/>
              </w:rPr>
            </w:pPr>
          </w:p>
        </w:tc>
      </w:tr>
      <w:tr w:rsidR="009B12FA" w:rsidRPr="009B1415" w:rsidTr="00F959A8">
        <w:tc>
          <w:tcPr>
            <w:tcW w:w="4786" w:type="dxa"/>
          </w:tcPr>
          <w:p w:rsidR="009B12FA" w:rsidRPr="009B1415" w:rsidRDefault="009B12FA" w:rsidP="0081083E">
            <w:pPr>
              <w:keepNext/>
              <w:spacing w:before="20"/>
              <w:ind w:left="176"/>
              <w:jc w:val="both"/>
              <w:rPr>
                <w:sz w:val="16"/>
                <w:szCs w:val="16"/>
              </w:rPr>
            </w:pPr>
            <w:r w:rsidRPr="009B1415">
              <w:rPr>
                <w:sz w:val="16"/>
                <w:szCs w:val="16"/>
              </w:rPr>
              <w:t>No</w:t>
            </w:r>
          </w:p>
        </w:tc>
        <w:tc>
          <w:tcPr>
            <w:tcW w:w="567" w:type="dxa"/>
            <w:vAlign w:val="center"/>
          </w:tcPr>
          <w:p w:rsidR="009B12FA" w:rsidRPr="009B12FA" w:rsidRDefault="00A50DB2" w:rsidP="0081083E">
            <w:pPr>
              <w:keepNext/>
              <w:adjustRightInd w:val="0"/>
              <w:spacing w:before="20"/>
              <w:jc w:val="right"/>
              <w:rPr>
                <w:color w:val="000000"/>
                <w:sz w:val="16"/>
                <w:szCs w:val="16"/>
              </w:rPr>
            </w:pPr>
            <w:r>
              <w:rPr>
                <w:color w:val="000000"/>
                <w:sz w:val="16"/>
                <w:szCs w:val="16"/>
              </w:rPr>
              <w:t>42.0</w:t>
            </w:r>
          </w:p>
        </w:tc>
        <w:tc>
          <w:tcPr>
            <w:tcW w:w="1134" w:type="dxa"/>
            <w:vAlign w:val="center"/>
          </w:tcPr>
          <w:p w:rsidR="009B12FA" w:rsidRPr="009B12FA" w:rsidRDefault="009B12FA" w:rsidP="0081083E">
            <w:pPr>
              <w:keepNext/>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81083E">
            <w:pPr>
              <w:keepNext/>
              <w:adjustRightInd w:val="0"/>
              <w:spacing w:before="20"/>
              <w:jc w:val="right"/>
              <w:rPr>
                <w:color w:val="000000"/>
                <w:sz w:val="16"/>
                <w:szCs w:val="16"/>
              </w:rPr>
            </w:pPr>
          </w:p>
        </w:tc>
        <w:tc>
          <w:tcPr>
            <w:tcW w:w="270" w:type="dxa"/>
            <w:vAlign w:val="center"/>
          </w:tcPr>
          <w:p w:rsidR="009B12FA" w:rsidRPr="009B12FA" w:rsidRDefault="009B12FA" w:rsidP="0081083E">
            <w:pPr>
              <w:keepNext/>
              <w:adjustRightInd w:val="0"/>
              <w:spacing w:before="20"/>
              <w:jc w:val="right"/>
              <w:rPr>
                <w:color w:val="000000"/>
                <w:sz w:val="16"/>
                <w:szCs w:val="16"/>
              </w:rPr>
            </w:pPr>
          </w:p>
        </w:tc>
        <w:tc>
          <w:tcPr>
            <w:tcW w:w="747" w:type="dxa"/>
            <w:vAlign w:val="center"/>
          </w:tcPr>
          <w:p w:rsidR="009B12FA" w:rsidRPr="009B12FA" w:rsidRDefault="009B12FA" w:rsidP="008108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85.</w:t>
            </w:r>
            <w:r>
              <w:rPr>
                <w:color w:val="000000"/>
                <w:sz w:val="16"/>
                <w:szCs w:val="16"/>
              </w:rPr>
              <w:t>8</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8.33</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0.57</w:t>
            </w:r>
            <w:r w:rsidR="00541B39">
              <w:rPr>
                <w:color w:val="000000"/>
                <w:sz w:val="16"/>
                <w:szCs w:val="16"/>
              </w:rPr>
              <w:t xml:space="preserve"> - </w:t>
            </w:r>
            <w:r w:rsidR="00541B39" w:rsidRPr="009B12FA">
              <w:rPr>
                <w:color w:val="000000"/>
                <w:sz w:val="16"/>
                <w:szCs w:val="16"/>
              </w:rPr>
              <w:t>122.23</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0.12</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Horse/dog race betting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41.2</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61.3</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2.27</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0.44</w:t>
            </w:r>
            <w:r w:rsidR="00541B39">
              <w:rPr>
                <w:color w:val="000000"/>
                <w:sz w:val="16"/>
                <w:szCs w:val="16"/>
              </w:rPr>
              <w:t xml:space="preserve"> - </w:t>
            </w:r>
            <w:r w:rsidR="00541B39" w:rsidRPr="009B12FA">
              <w:rPr>
                <w:color w:val="000000"/>
                <w:sz w:val="16"/>
                <w:szCs w:val="16"/>
              </w:rPr>
              <w:t>11.76</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0.33</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Sports betting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41.6</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63.7</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2.46</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0.39</w:t>
            </w:r>
            <w:r w:rsidR="00541B39">
              <w:rPr>
                <w:color w:val="000000"/>
                <w:sz w:val="16"/>
                <w:szCs w:val="16"/>
              </w:rPr>
              <w:t xml:space="preserve"> - </w:t>
            </w:r>
            <w:r w:rsidR="00541B39" w:rsidRPr="009B12FA">
              <w:rPr>
                <w:color w:val="000000"/>
                <w:sz w:val="16"/>
                <w:szCs w:val="16"/>
              </w:rPr>
              <w:t>15.37</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0.34</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Casino table games or EGMs (overseas)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43.4</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Yes</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0.0</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vAlign w:val="bottom"/>
          </w:tcPr>
          <w:p w:rsidR="009B12FA" w:rsidRPr="009B1415" w:rsidRDefault="009B12FA" w:rsidP="009B12FA">
            <w:pPr>
              <w:keepNext/>
              <w:spacing w:before="20"/>
              <w:jc w:val="both"/>
              <w:rPr>
                <w:b/>
                <w:sz w:val="16"/>
                <w:szCs w:val="16"/>
              </w:rPr>
            </w:pPr>
            <w:r w:rsidRPr="009B1415">
              <w:rPr>
                <w:b/>
                <w:sz w:val="16"/>
                <w:szCs w:val="16"/>
              </w:rPr>
              <w:t>Casino table games or EGMs (NZ)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41.4</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72.6</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3.76</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0.60</w:t>
            </w:r>
            <w:r w:rsidR="00541B39">
              <w:rPr>
                <w:color w:val="000000"/>
                <w:sz w:val="16"/>
                <w:szCs w:val="16"/>
              </w:rPr>
              <w:t xml:space="preserve"> - </w:t>
            </w:r>
            <w:r w:rsidR="00541B39" w:rsidRPr="009B12FA">
              <w:rPr>
                <w:color w:val="000000"/>
                <w:sz w:val="16"/>
                <w:szCs w:val="16"/>
              </w:rPr>
              <w:t>23.62</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0.16</w:t>
            </w: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Casino table games (NZ)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43.5</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Yes</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0.0</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Casino EGMs (NZ)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41.</w:t>
            </w:r>
            <w:r w:rsidR="00A50DB2">
              <w:rPr>
                <w:color w:val="000000"/>
                <w:sz w:val="16"/>
                <w:szCs w:val="16"/>
              </w:rPr>
              <w:t>4</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72.6</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3.76</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0.60</w:t>
            </w:r>
            <w:r w:rsidR="00541B39">
              <w:rPr>
                <w:color w:val="000000"/>
                <w:sz w:val="16"/>
                <w:szCs w:val="16"/>
              </w:rPr>
              <w:t xml:space="preserve"> - </w:t>
            </w:r>
            <w:r w:rsidR="00541B39" w:rsidRPr="009B12FA">
              <w:rPr>
                <w:color w:val="000000"/>
                <w:sz w:val="16"/>
                <w:szCs w:val="16"/>
              </w:rPr>
              <w:t>23.62</w:t>
            </w:r>
            <w:r>
              <w:rPr>
                <w:color w:val="000000"/>
                <w:sz w:val="16"/>
                <w:szCs w:val="16"/>
              </w:rPr>
              <w:t>)</w:t>
            </w:r>
          </w:p>
        </w:tc>
        <w:tc>
          <w:tcPr>
            <w:tcW w:w="747" w:type="dxa"/>
            <w:shd w:val="clear" w:color="auto" w:fill="auto"/>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0.16</w:t>
            </w: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Pub EGMs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39.</w:t>
            </w:r>
            <w:r w:rsidR="00A50DB2">
              <w:rPr>
                <w:color w:val="000000"/>
                <w:sz w:val="16"/>
                <w:szCs w:val="16"/>
              </w:rPr>
              <w:t>4</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48.</w:t>
            </w:r>
            <w:r>
              <w:rPr>
                <w:color w:val="000000"/>
                <w:sz w:val="16"/>
                <w:szCs w:val="16"/>
              </w:rPr>
              <w:t>6</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1.46</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0.51</w:t>
            </w:r>
            <w:r w:rsidR="00541B39">
              <w:rPr>
                <w:color w:val="000000"/>
                <w:sz w:val="16"/>
                <w:szCs w:val="16"/>
              </w:rPr>
              <w:t xml:space="preserve"> - </w:t>
            </w:r>
            <w:r w:rsidR="00541B39" w:rsidRPr="009B12FA">
              <w:rPr>
                <w:color w:val="000000"/>
                <w:sz w:val="16"/>
                <w:szCs w:val="16"/>
              </w:rPr>
              <w:t>4.15</w:t>
            </w:r>
            <w:r>
              <w:rPr>
                <w:color w:val="000000"/>
                <w:sz w:val="16"/>
                <w:szCs w:val="16"/>
              </w:rPr>
              <w:t>)</w:t>
            </w:r>
          </w:p>
        </w:tc>
        <w:tc>
          <w:tcPr>
            <w:tcW w:w="747" w:type="dxa"/>
            <w:shd w:val="clear" w:color="auto" w:fill="auto"/>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0.48</w:t>
            </w: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Club EGMs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40.0</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76.4</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4.88</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0.89</w:t>
            </w:r>
            <w:r w:rsidR="00541B39">
              <w:rPr>
                <w:color w:val="000000"/>
                <w:sz w:val="16"/>
                <w:szCs w:val="16"/>
              </w:rPr>
              <w:t xml:space="preserve"> - </w:t>
            </w:r>
            <w:r w:rsidR="00541B39" w:rsidRPr="009B12FA">
              <w:rPr>
                <w:color w:val="000000"/>
                <w:sz w:val="16"/>
                <w:szCs w:val="16"/>
              </w:rPr>
              <w:t>26.68</w:t>
            </w:r>
            <w:r>
              <w:rPr>
                <w:color w:val="000000"/>
                <w:sz w:val="16"/>
                <w:szCs w:val="16"/>
              </w:rPr>
              <w:t>)</w:t>
            </w:r>
          </w:p>
        </w:tc>
        <w:tc>
          <w:tcPr>
            <w:tcW w:w="747" w:type="dxa"/>
            <w:shd w:val="clear" w:color="auto" w:fill="auto"/>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0.07</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EGMs overall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shd w:val="clear" w:color="auto" w:fill="auto"/>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33.2</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53.2</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2.28</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0.84</w:t>
            </w:r>
            <w:r w:rsidR="00541B39">
              <w:rPr>
                <w:color w:val="000000"/>
                <w:sz w:val="16"/>
                <w:szCs w:val="16"/>
              </w:rPr>
              <w:t xml:space="preserve"> - </w:t>
            </w:r>
            <w:r w:rsidR="00541B39" w:rsidRPr="009B12FA">
              <w:rPr>
                <w:color w:val="000000"/>
                <w:sz w:val="16"/>
                <w:szCs w:val="16"/>
              </w:rPr>
              <w:t>6.23</w:t>
            </w:r>
            <w:r>
              <w:rPr>
                <w:color w:val="000000"/>
                <w:sz w:val="16"/>
                <w:szCs w:val="16"/>
              </w:rPr>
              <w:t>)</w:t>
            </w:r>
          </w:p>
        </w:tc>
        <w:tc>
          <w:tcPr>
            <w:tcW w:w="747" w:type="dxa"/>
            <w:shd w:val="clear" w:color="auto" w:fill="auto"/>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0.11</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Short-term speculative investments - monthly</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shd w:val="clear" w:color="auto" w:fill="auto"/>
            <w:vAlign w:val="center"/>
          </w:tcPr>
          <w:p w:rsidR="00CB35E8" w:rsidRPr="00CB35E8" w:rsidRDefault="00CB35E8"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43.5</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Yes</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0.0</w:t>
            </w:r>
          </w:p>
        </w:tc>
        <w:tc>
          <w:tcPr>
            <w:tcW w:w="1134" w:type="dxa"/>
            <w:vAlign w:val="center"/>
          </w:tcPr>
          <w:p w:rsidR="009B12FA" w:rsidRPr="009B12FA" w:rsidRDefault="00A50DB2" w:rsidP="00BF573E">
            <w:pPr>
              <w:adjustRightInd w:val="0"/>
              <w:spacing w:before="20"/>
              <w:jc w:val="right"/>
              <w:rPr>
                <w:color w:val="000000"/>
                <w:sz w:val="16"/>
                <w:szCs w:val="16"/>
              </w:rPr>
            </w:pPr>
            <w:r>
              <w:rPr>
                <w:color w:val="000000"/>
                <w:sz w:val="16"/>
                <w:szCs w:val="16"/>
              </w:rPr>
              <w:t>-</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shd w:val="clear" w:color="auto" w:fill="auto"/>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vAlign w:val="bottom"/>
          </w:tcPr>
          <w:p w:rsidR="009B12FA" w:rsidRPr="009B1415" w:rsidRDefault="009B12FA" w:rsidP="009B12FA">
            <w:pPr>
              <w:spacing w:before="20"/>
              <w:jc w:val="both"/>
              <w:rPr>
                <w:b/>
                <w:sz w:val="16"/>
                <w:szCs w:val="16"/>
              </w:rPr>
            </w:pPr>
            <w:r w:rsidRPr="009B1415">
              <w:rPr>
                <w:b/>
                <w:sz w:val="16"/>
                <w:szCs w:val="16"/>
              </w:rPr>
              <w:t>Overseas internet gambling - monthly</w:t>
            </w:r>
          </w:p>
        </w:tc>
        <w:tc>
          <w:tcPr>
            <w:tcW w:w="567" w:type="dxa"/>
            <w:vAlign w:val="center"/>
          </w:tcPr>
          <w:p w:rsidR="009B12FA" w:rsidRPr="009B12FA" w:rsidRDefault="009B12FA" w:rsidP="00BF573E">
            <w:pPr>
              <w:adjustRightInd w:val="0"/>
              <w:spacing w:before="20"/>
              <w:jc w:val="right"/>
              <w:rPr>
                <w:color w:val="000000"/>
                <w:sz w:val="16"/>
                <w:szCs w:val="16"/>
              </w:rPr>
            </w:pPr>
          </w:p>
        </w:tc>
        <w:tc>
          <w:tcPr>
            <w:tcW w:w="1134" w:type="dxa"/>
            <w:vAlign w:val="center"/>
          </w:tcPr>
          <w:p w:rsidR="009B12FA" w:rsidRPr="009B12FA" w:rsidRDefault="009B12FA" w:rsidP="00BF573E">
            <w:pPr>
              <w:adjustRightInd w:val="0"/>
              <w:spacing w:before="20"/>
              <w:jc w:val="right"/>
              <w:rPr>
                <w:color w:val="000000"/>
                <w:sz w:val="16"/>
                <w:szCs w:val="16"/>
              </w:rPr>
            </w:pP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9B12FA" w:rsidRPr="009B1415" w:rsidTr="00F959A8">
        <w:tc>
          <w:tcPr>
            <w:tcW w:w="4786" w:type="dxa"/>
          </w:tcPr>
          <w:p w:rsidR="009B12FA" w:rsidRPr="009B1415" w:rsidRDefault="009B12FA" w:rsidP="009B12FA">
            <w:pPr>
              <w:spacing w:before="20"/>
              <w:ind w:left="176"/>
              <w:jc w:val="both"/>
              <w:rPr>
                <w:sz w:val="16"/>
                <w:szCs w:val="16"/>
              </w:rPr>
            </w:pPr>
            <w:r w:rsidRPr="009B1415">
              <w:rPr>
                <w:sz w:val="16"/>
                <w:szCs w:val="16"/>
              </w:rPr>
              <w:t>No</w:t>
            </w:r>
          </w:p>
        </w:tc>
        <w:tc>
          <w:tcPr>
            <w:tcW w:w="567"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43.4</w:t>
            </w:r>
          </w:p>
        </w:tc>
        <w:tc>
          <w:tcPr>
            <w:tcW w:w="1134" w:type="dxa"/>
            <w:vAlign w:val="center"/>
          </w:tcPr>
          <w:p w:rsidR="009B12FA" w:rsidRPr="009B12FA" w:rsidRDefault="009B12FA" w:rsidP="00BF573E">
            <w:pPr>
              <w:adjustRightInd w:val="0"/>
              <w:spacing w:before="20"/>
              <w:jc w:val="right"/>
              <w:rPr>
                <w:color w:val="000000"/>
                <w:sz w:val="16"/>
                <w:szCs w:val="16"/>
              </w:rPr>
            </w:pPr>
            <w:r w:rsidRPr="009B12FA">
              <w:rPr>
                <w:color w:val="000000"/>
                <w:sz w:val="16"/>
                <w:szCs w:val="16"/>
              </w:rPr>
              <w:t>1.00</w:t>
            </w:r>
          </w:p>
        </w:tc>
        <w:tc>
          <w:tcPr>
            <w:tcW w:w="968" w:type="dxa"/>
            <w:vAlign w:val="center"/>
          </w:tcPr>
          <w:p w:rsidR="009B12FA" w:rsidRPr="009B12FA" w:rsidRDefault="009B12FA" w:rsidP="00BF573E">
            <w:pPr>
              <w:adjustRightInd w:val="0"/>
              <w:spacing w:before="20"/>
              <w:jc w:val="right"/>
              <w:rPr>
                <w:color w:val="000000"/>
                <w:sz w:val="16"/>
                <w:szCs w:val="16"/>
              </w:rPr>
            </w:pPr>
          </w:p>
        </w:tc>
        <w:tc>
          <w:tcPr>
            <w:tcW w:w="270" w:type="dxa"/>
            <w:vAlign w:val="center"/>
          </w:tcPr>
          <w:p w:rsidR="009B12FA" w:rsidRPr="009B12FA" w:rsidRDefault="009B12FA" w:rsidP="00BF573E">
            <w:pPr>
              <w:adjustRightInd w:val="0"/>
              <w:spacing w:before="20"/>
              <w:jc w:val="right"/>
              <w:rPr>
                <w:color w:val="000000"/>
                <w:sz w:val="16"/>
                <w:szCs w:val="16"/>
              </w:rPr>
            </w:pPr>
          </w:p>
        </w:tc>
        <w:tc>
          <w:tcPr>
            <w:tcW w:w="747" w:type="dxa"/>
            <w:vAlign w:val="center"/>
          </w:tcPr>
          <w:p w:rsidR="009B12FA" w:rsidRPr="009B12FA" w:rsidRDefault="009B12FA"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9B12FA">
            <w:pPr>
              <w:spacing w:before="20"/>
              <w:ind w:left="176"/>
              <w:jc w:val="both"/>
              <w:rPr>
                <w:sz w:val="16"/>
                <w:szCs w:val="16"/>
              </w:rPr>
            </w:pPr>
            <w:r w:rsidRPr="009B1415">
              <w:rPr>
                <w:sz w:val="16"/>
                <w:szCs w:val="16"/>
              </w:rPr>
              <w:t>Yes</w:t>
            </w:r>
          </w:p>
        </w:tc>
        <w:tc>
          <w:tcPr>
            <w:tcW w:w="56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43.1</w:t>
            </w:r>
          </w:p>
        </w:tc>
        <w:tc>
          <w:tcPr>
            <w:tcW w:w="1134"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0.99</w:t>
            </w:r>
          </w:p>
        </w:tc>
        <w:tc>
          <w:tcPr>
            <w:tcW w:w="1238" w:type="dxa"/>
            <w:gridSpan w:val="2"/>
            <w:vAlign w:val="center"/>
          </w:tcPr>
          <w:p w:rsidR="00541B39" w:rsidRPr="009B12FA" w:rsidRDefault="009A56CE" w:rsidP="00541B39">
            <w:pPr>
              <w:adjustRightInd w:val="0"/>
              <w:spacing w:before="20"/>
              <w:jc w:val="right"/>
              <w:rPr>
                <w:color w:val="000000"/>
                <w:sz w:val="16"/>
                <w:szCs w:val="16"/>
              </w:rPr>
            </w:pPr>
            <w:r>
              <w:rPr>
                <w:color w:val="000000"/>
                <w:sz w:val="16"/>
                <w:szCs w:val="16"/>
              </w:rPr>
              <w:t>(</w:t>
            </w:r>
            <w:r w:rsidR="00541B39" w:rsidRPr="009B12FA">
              <w:rPr>
                <w:color w:val="000000"/>
                <w:sz w:val="16"/>
                <w:szCs w:val="16"/>
              </w:rPr>
              <w:t>0.11</w:t>
            </w:r>
            <w:r w:rsidR="00541B39">
              <w:rPr>
                <w:color w:val="000000"/>
                <w:sz w:val="16"/>
                <w:szCs w:val="16"/>
              </w:rPr>
              <w:t xml:space="preserve"> - </w:t>
            </w:r>
            <w:r w:rsidR="00541B39" w:rsidRPr="009B12FA">
              <w:rPr>
                <w:color w:val="000000"/>
                <w:sz w:val="16"/>
                <w:szCs w:val="16"/>
              </w:rPr>
              <w:t>8.81</w:t>
            </w:r>
            <w:r>
              <w:rPr>
                <w:color w:val="000000"/>
                <w:sz w:val="16"/>
                <w:szCs w:val="16"/>
              </w:rPr>
              <w:t>)</w:t>
            </w:r>
          </w:p>
        </w:tc>
        <w:tc>
          <w:tcPr>
            <w:tcW w:w="747" w:type="dxa"/>
            <w:vAlign w:val="center"/>
          </w:tcPr>
          <w:p w:rsidR="00541B39" w:rsidRPr="009B12FA" w:rsidRDefault="00541B39" w:rsidP="00BF573E">
            <w:pPr>
              <w:adjustRightInd w:val="0"/>
              <w:spacing w:before="20"/>
              <w:jc w:val="right"/>
              <w:rPr>
                <w:color w:val="000000"/>
                <w:sz w:val="16"/>
                <w:szCs w:val="16"/>
              </w:rPr>
            </w:pPr>
            <w:r w:rsidRPr="009B12FA">
              <w:rPr>
                <w:color w:val="000000"/>
                <w:sz w:val="16"/>
                <w:szCs w:val="16"/>
              </w:rPr>
              <w:t>0.99</w:t>
            </w:r>
          </w:p>
        </w:tc>
      </w:tr>
      <w:tr w:rsidR="00CB35E8" w:rsidRPr="009B1415" w:rsidTr="00F959A8">
        <w:tc>
          <w:tcPr>
            <w:tcW w:w="5353" w:type="dxa"/>
            <w:gridSpan w:val="2"/>
            <w:vAlign w:val="bottom"/>
          </w:tcPr>
          <w:p w:rsidR="00CB35E8" w:rsidRPr="000C1AB9" w:rsidRDefault="00CB35E8" w:rsidP="00CB35E8">
            <w:pPr>
              <w:spacing w:before="20"/>
              <w:rPr>
                <w:rFonts w:ascii="Calibri" w:hAnsi="Calibri"/>
                <w:b/>
                <w:bCs/>
                <w:color w:val="000000"/>
                <w:sz w:val="16"/>
                <w:szCs w:val="16"/>
              </w:rPr>
            </w:pPr>
            <w:r w:rsidRPr="000C1AB9">
              <w:rPr>
                <w:b/>
                <w:bCs/>
                <w:color w:val="000000"/>
                <w:sz w:val="16"/>
                <w:szCs w:val="16"/>
              </w:rPr>
              <w:t>Time spent playing EGMs in an average day (casino)</w:t>
            </w:r>
          </w:p>
        </w:tc>
        <w:tc>
          <w:tcPr>
            <w:tcW w:w="1134" w:type="dxa"/>
            <w:vAlign w:val="center"/>
          </w:tcPr>
          <w:p w:rsidR="00CB35E8" w:rsidRPr="000C1AB9" w:rsidRDefault="00CB35E8" w:rsidP="00CB35E8">
            <w:pPr>
              <w:spacing w:before="20"/>
              <w:jc w:val="center"/>
              <w:rPr>
                <w:rFonts w:ascii="Calibri" w:hAnsi="Calibri"/>
                <w:b/>
                <w:color w:val="000000"/>
                <w:sz w:val="16"/>
                <w:szCs w:val="16"/>
              </w:rPr>
            </w:pPr>
          </w:p>
        </w:tc>
        <w:tc>
          <w:tcPr>
            <w:tcW w:w="968" w:type="dxa"/>
            <w:vAlign w:val="center"/>
          </w:tcPr>
          <w:p w:rsidR="00CB35E8" w:rsidRPr="000C1AB9" w:rsidRDefault="00CB35E8" w:rsidP="00CB35E8">
            <w:pPr>
              <w:spacing w:before="20"/>
              <w:jc w:val="center"/>
              <w:rPr>
                <w:rFonts w:ascii="Calibri" w:hAnsi="Calibri"/>
                <w:b/>
                <w:color w:val="000000"/>
                <w:sz w:val="16"/>
                <w:szCs w:val="16"/>
              </w:rPr>
            </w:pPr>
          </w:p>
        </w:tc>
        <w:tc>
          <w:tcPr>
            <w:tcW w:w="270" w:type="dxa"/>
            <w:vAlign w:val="center"/>
          </w:tcPr>
          <w:p w:rsidR="00CB35E8" w:rsidRPr="000C1AB9" w:rsidRDefault="00CB35E8" w:rsidP="00CB35E8">
            <w:pPr>
              <w:spacing w:before="20"/>
              <w:jc w:val="center"/>
              <w:rPr>
                <w:rFonts w:ascii="Calibri" w:hAnsi="Calibri"/>
                <w:b/>
                <w:color w:val="000000"/>
                <w:sz w:val="16"/>
                <w:szCs w:val="16"/>
              </w:rPr>
            </w:pPr>
          </w:p>
        </w:tc>
        <w:tc>
          <w:tcPr>
            <w:tcW w:w="747" w:type="dxa"/>
            <w:vAlign w:val="center"/>
          </w:tcPr>
          <w:p w:rsidR="00CB35E8" w:rsidRPr="000C1AB9" w:rsidRDefault="00CB35E8" w:rsidP="00CB35E8">
            <w:pPr>
              <w:spacing w:before="20"/>
              <w:jc w:val="center"/>
              <w:rPr>
                <w:rFonts w:ascii="Calibri" w:hAnsi="Calibri"/>
                <w:b/>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No time</w:t>
            </w:r>
          </w:p>
        </w:tc>
        <w:tc>
          <w:tcPr>
            <w:tcW w:w="567" w:type="dxa"/>
          </w:tcPr>
          <w:p w:rsidR="000C1AB9" w:rsidRPr="000C1AB9" w:rsidRDefault="000C1AB9" w:rsidP="00BF573E">
            <w:pPr>
              <w:adjustRightInd w:val="0"/>
              <w:spacing w:before="20"/>
              <w:jc w:val="right"/>
              <w:rPr>
                <w:color w:val="000000"/>
                <w:sz w:val="16"/>
                <w:szCs w:val="16"/>
              </w:rPr>
            </w:pPr>
            <w:r w:rsidRPr="000C1AB9">
              <w:rPr>
                <w:color w:val="000000"/>
                <w:sz w:val="16"/>
                <w:szCs w:val="16"/>
              </w:rPr>
              <w:t>42.</w:t>
            </w:r>
            <w:r w:rsidR="00A50DB2">
              <w:rPr>
                <w:color w:val="000000"/>
                <w:sz w:val="16"/>
                <w:szCs w:val="16"/>
              </w:rPr>
              <w:t>3</w:t>
            </w:r>
          </w:p>
        </w:tc>
        <w:tc>
          <w:tcPr>
            <w:tcW w:w="1134"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Up to 15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32.4</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0.66</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0.05</w:t>
            </w:r>
            <w:r w:rsidR="00541B39">
              <w:rPr>
                <w:color w:val="000000"/>
                <w:sz w:val="16"/>
                <w:szCs w:val="16"/>
              </w:rPr>
              <w:t xml:space="preserve"> - </w:t>
            </w:r>
            <w:r w:rsidR="00541B39" w:rsidRPr="000C1AB9">
              <w:rPr>
                <w:color w:val="000000"/>
                <w:sz w:val="16"/>
                <w:szCs w:val="16"/>
              </w:rPr>
              <w:t>8.94</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16 to 30 minutes</w:t>
            </w:r>
          </w:p>
        </w:tc>
        <w:tc>
          <w:tcPr>
            <w:tcW w:w="567" w:type="dxa"/>
          </w:tcPr>
          <w:p w:rsidR="000C1AB9" w:rsidRPr="000C1AB9" w:rsidRDefault="000C1AB9" w:rsidP="00BF573E">
            <w:pPr>
              <w:adjustRightInd w:val="0"/>
              <w:spacing w:before="20"/>
              <w:jc w:val="right"/>
              <w:rPr>
                <w:color w:val="000000"/>
                <w:sz w:val="16"/>
                <w:szCs w:val="16"/>
              </w:rPr>
            </w:pPr>
            <w:r w:rsidRPr="000C1AB9">
              <w:rPr>
                <w:color w:val="000000"/>
                <w:sz w:val="16"/>
                <w:szCs w:val="16"/>
              </w:rPr>
              <w:t>-</w:t>
            </w:r>
          </w:p>
        </w:tc>
        <w:tc>
          <w:tcPr>
            <w:tcW w:w="1134" w:type="dxa"/>
          </w:tcPr>
          <w:p w:rsidR="000C1AB9" w:rsidRPr="000C1AB9" w:rsidRDefault="000C1AB9" w:rsidP="00BF573E">
            <w:pPr>
              <w:adjustRightInd w:val="0"/>
              <w:spacing w:before="20"/>
              <w:jc w:val="right"/>
              <w:rPr>
                <w:color w:val="000000"/>
                <w:sz w:val="16"/>
                <w:szCs w:val="16"/>
              </w:rPr>
            </w:pPr>
            <w:r w:rsidRPr="000C1AB9">
              <w:rPr>
                <w:color w:val="000000"/>
                <w:sz w:val="16"/>
                <w:szCs w:val="16"/>
              </w:rPr>
              <w:t>-</w:t>
            </w:r>
          </w:p>
        </w:tc>
        <w:tc>
          <w:tcPr>
            <w:tcW w:w="968" w:type="dxa"/>
          </w:tcPr>
          <w:p w:rsidR="000C1AB9" w:rsidRPr="000C1AB9" w:rsidRDefault="000C1AB9" w:rsidP="00BF573E">
            <w:pPr>
              <w:adjustRightInd w:val="0"/>
              <w:spacing w:before="20"/>
              <w:jc w:val="right"/>
              <w:rPr>
                <w:color w:val="000000"/>
                <w:sz w:val="16"/>
                <w:szCs w:val="16"/>
              </w:rPr>
            </w:pPr>
            <w:r w:rsidRPr="000C1AB9">
              <w:rPr>
                <w:color w:val="000000"/>
                <w:sz w:val="16"/>
                <w:szCs w:val="16"/>
              </w:rPr>
              <w:t>-</w:t>
            </w:r>
          </w:p>
        </w:tc>
        <w:tc>
          <w:tcPr>
            <w:tcW w:w="270" w:type="dxa"/>
          </w:tcPr>
          <w:p w:rsidR="000C1AB9" w:rsidRPr="000C1AB9" w:rsidRDefault="000C1AB9" w:rsidP="00BF573E">
            <w:pPr>
              <w:adjustRightInd w:val="0"/>
              <w:spacing w:before="20"/>
              <w:jc w:val="right"/>
              <w:rPr>
                <w:color w:val="000000"/>
                <w:sz w:val="16"/>
                <w:szCs w:val="16"/>
              </w:rPr>
            </w:pPr>
            <w:r w:rsidRPr="000C1AB9">
              <w:rPr>
                <w:color w:val="000000"/>
                <w:sz w:val="16"/>
                <w:szCs w:val="16"/>
              </w:rPr>
              <w:t>-</w:t>
            </w: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31 to 60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65.9</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2.64</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0.36</w:t>
            </w:r>
            <w:r w:rsidR="00541B39">
              <w:rPr>
                <w:color w:val="000000"/>
                <w:sz w:val="16"/>
                <w:szCs w:val="16"/>
              </w:rPr>
              <w:t xml:space="preserve"> - </w:t>
            </w:r>
            <w:r w:rsidR="00541B39" w:rsidRPr="000C1AB9">
              <w:rPr>
                <w:color w:val="000000"/>
                <w:sz w:val="16"/>
                <w:szCs w:val="16"/>
              </w:rPr>
              <w:t>19.52</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&gt;60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44.7</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1.11</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0.34</w:t>
            </w:r>
            <w:r w:rsidR="00541B39">
              <w:rPr>
                <w:color w:val="000000"/>
                <w:sz w:val="16"/>
                <w:szCs w:val="16"/>
              </w:rPr>
              <w:t xml:space="preserve"> - </w:t>
            </w:r>
            <w:r w:rsidR="00541B39" w:rsidRPr="000C1AB9">
              <w:rPr>
                <w:color w:val="000000"/>
                <w:sz w:val="16"/>
                <w:szCs w:val="16"/>
              </w:rPr>
              <w:t>3.76</w:t>
            </w:r>
            <w:r>
              <w:rPr>
                <w:color w:val="000000"/>
                <w:sz w:val="16"/>
                <w:szCs w:val="16"/>
              </w:rPr>
              <w:t>)</w:t>
            </w:r>
          </w:p>
        </w:tc>
        <w:tc>
          <w:tcPr>
            <w:tcW w:w="747" w:type="dxa"/>
            <w:shd w:val="clear" w:color="auto" w:fill="auto"/>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0.78</w:t>
            </w:r>
          </w:p>
        </w:tc>
      </w:tr>
      <w:tr w:rsidR="000C1AB9" w:rsidRPr="009B1415" w:rsidTr="00F959A8">
        <w:tc>
          <w:tcPr>
            <w:tcW w:w="4786" w:type="dxa"/>
            <w:vAlign w:val="bottom"/>
          </w:tcPr>
          <w:p w:rsidR="000C1AB9" w:rsidRPr="009B1415" w:rsidRDefault="000C1AB9" w:rsidP="000C1AB9">
            <w:pPr>
              <w:keepNext/>
              <w:spacing w:before="20"/>
              <w:rPr>
                <w:rFonts w:ascii="Calibri" w:hAnsi="Calibri"/>
                <w:b/>
                <w:bCs/>
                <w:color w:val="000000"/>
                <w:sz w:val="16"/>
                <w:szCs w:val="16"/>
              </w:rPr>
            </w:pPr>
            <w:r w:rsidRPr="009B1415">
              <w:rPr>
                <w:b/>
                <w:bCs/>
                <w:color w:val="000000"/>
                <w:sz w:val="16"/>
                <w:szCs w:val="16"/>
              </w:rPr>
              <w:t>Time spent playing EGMs in an average day (pub)</w:t>
            </w:r>
          </w:p>
        </w:tc>
        <w:tc>
          <w:tcPr>
            <w:tcW w:w="567" w:type="dxa"/>
            <w:vAlign w:val="center"/>
          </w:tcPr>
          <w:p w:rsidR="000C1AB9" w:rsidRPr="000C1AB9" w:rsidRDefault="000C1AB9" w:rsidP="00BF573E">
            <w:pPr>
              <w:adjustRightInd w:val="0"/>
              <w:spacing w:before="20"/>
              <w:jc w:val="right"/>
              <w:rPr>
                <w:color w:val="000000"/>
                <w:sz w:val="16"/>
                <w:szCs w:val="16"/>
              </w:rPr>
            </w:pPr>
          </w:p>
        </w:tc>
        <w:tc>
          <w:tcPr>
            <w:tcW w:w="1134" w:type="dxa"/>
            <w:vAlign w:val="center"/>
          </w:tcPr>
          <w:p w:rsidR="000C1AB9" w:rsidRPr="000C1AB9" w:rsidRDefault="000C1AB9" w:rsidP="00BF573E">
            <w:pPr>
              <w:adjustRightInd w:val="0"/>
              <w:spacing w:before="20"/>
              <w:jc w:val="right"/>
              <w:rPr>
                <w:color w:val="000000"/>
                <w:sz w:val="16"/>
                <w:szCs w:val="16"/>
              </w:rPr>
            </w:pP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0C1AB9" w:rsidRPr="009B1415" w:rsidTr="00F959A8">
        <w:tc>
          <w:tcPr>
            <w:tcW w:w="4786" w:type="dxa"/>
          </w:tcPr>
          <w:p w:rsidR="000C1AB9" w:rsidRPr="009B1415" w:rsidRDefault="000C1AB9" w:rsidP="000C1AB9">
            <w:pPr>
              <w:keepNext/>
              <w:spacing w:before="20"/>
              <w:ind w:left="176"/>
              <w:jc w:val="both"/>
              <w:rPr>
                <w:sz w:val="16"/>
                <w:szCs w:val="16"/>
              </w:rPr>
            </w:pPr>
            <w:r w:rsidRPr="009B1415">
              <w:rPr>
                <w:sz w:val="16"/>
                <w:szCs w:val="16"/>
              </w:rPr>
              <w:t>No time</w:t>
            </w:r>
          </w:p>
        </w:tc>
        <w:tc>
          <w:tcPr>
            <w:tcW w:w="567" w:type="dxa"/>
          </w:tcPr>
          <w:p w:rsidR="000C1AB9" w:rsidRPr="000C1AB9" w:rsidRDefault="000C1AB9" w:rsidP="00BF573E">
            <w:pPr>
              <w:adjustRightInd w:val="0"/>
              <w:spacing w:before="20"/>
              <w:jc w:val="right"/>
              <w:rPr>
                <w:color w:val="000000"/>
                <w:sz w:val="16"/>
                <w:szCs w:val="16"/>
              </w:rPr>
            </w:pPr>
            <w:r w:rsidRPr="000C1AB9">
              <w:rPr>
                <w:color w:val="000000"/>
                <w:sz w:val="16"/>
                <w:szCs w:val="16"/>
              </w:rPr>
              <w:t>46.</w:t>
            </w:r>
            <w:r w:rsidR="00A50DB2">
              <w:rPr>
                <w:color w:val="000000"/>
                <w:sz w:val="16"/>
                <w:szCs w:val="16"/>
              </w:rPr>
              <w:t>4</w:t>
            </w:r>
          </w:p>
        </w:tc>
        <w:tc>
          <w:tcPr>
            <w:tcW w:w="1134"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keepNext/>
              <w:spacing w:before="20"/>
              <w:ind w:left="176"/>
              <w:jc w:val="both"/>
              <w:rPr>
                <w:sz w:val="16"/>
                <w:szCs w:val="16"/>
              </w:rPr>
            </w:pPr>
            <w:r w:rsidRPr="009B1415">
              <w:rPr>
                <w:sz w:val="16"/>
                <w:szCs w:val="16"/>
              </w:rPr>
              <w:t>Up to 15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24.</w:t>
            </w:r>
            <w:r>
              <w:rPr>
                <w:color w:val="000000"/>
                <w:sz w:val="16"/>
                <w:szCs w:val="16"/>
              </w:rPr>
              <w:t>3</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0.37</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0.06</w:t>
            </w:r>
            <w:r w:rsidR="00541B39">
              <w:rPr>
                <w:color w:val="000000"/>
                <w:sz w:val="16"/>
                <w:szCs w:val="16"/>
              </w:rPr>
              <w:t xml:space="preserve"> - </w:t>
            </w:r>
            <w:r w:rsidR="00541B39" w:rsidRPr="000C1AB9">
              <w:rPr>
                <w:color w:val="000000"/>
                <w:sz w:val="16"/>
                <w:szCs w:val="16"/>
              </w:rPr>
              <w:t>2.30</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16 to 30 minutes</w:t>
            </w:r>
          </w:p>
        </w:tc>
        <w:tc>
          <w:tcPr>
            <w:tcW w:w="567" w:type="dxa"/>
          </w:tcPr>
          <w:p w:rsidR="00541B39" w:rsidRPr="000C1AB9" w:rsidRDefault="00541B39" w:rsidP="00BF573E">
            <w:pPr>
              <w:adjustRightInd w:val="0"/>
              <w:spacing w:before="20"/>
              <w:jc w:val="right"/>
              <w:rPr>
                <w:color w:val="000000"/>
                <w:sz w:val="16"/>
                <w:szCs w:val="16"/>
              </w:rPr>
            </w:pPr>
            <w:r>
              <w:rPr>
                <w:color w:val="000000"/>
                <w:sz w:val="16"/>
                <w:szCs w:val="16"/>
              </w:rPr>
              <w:t>38.</w:t>
            </w:r>
            <w:r w:rsidRPr="000C1AB9">
              <w:rPr>
                <w:color w:val="000000"/>
                <w:sz w:val="16"/>
                <w:szCs w:val="16"/>
              </w:rPr>
              <w:t>7</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0.73</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0.13</w:t>
            </w:r>
            <w:r w:rsidR="00541B39">
              <w:rPr>
                <w:color w:val="000000"/>
                <w:sz w:val="16"/>
                <w:szCs w:val="16"/>
              </w:rPr>
              <w:t xml:space="preserve"> - </w:t>
            </w:r>
            <w:r w:rsidR="00541B39" w:rsidRPr="000C1AB9">
              <w:rPr>
                <w:color w:val="000000"/>
                <w:sz w:val="16"/>
                <w:szCs w:val="16"/>
              </w:rPr>
              <w:t>4.24</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31 to 60 minutes</w:t>
            </w:r>
          </w:p>
        </w:tc>
        <w:tc>
          <w:tcPr>
            <w:tcW w:w="567" w:type="dxa"/>
          </w:tcPr>
          <w:p w:rsidR="00541B39" w:rsidRPr="000C1AB9" w:rsidRDefault="00541B39" w:rsidP="00BF573E">
            <w:pPr>
              <w:adjustRightInd w:val="0"/>
              <w:spacing w:before="20"/>
              <w:jc w:val="right"/>
              <w:rPr>
                <w:color w:val="000000"/>
                <w:sz w:val="16"/>
                <w:szCs w:val="16"/>
              </w:rPr>
            </w:pPr>
            <w:r>
              <w:rPr>
                <w:color w:val="000000"/>
                <w:sz w:val="16"/>
                <w:szCs w:val="16"/>
              </w:rPr>
              <w:t>44.8</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0.94</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0.17</w:t>
            </w:r>
            <w:r w:rsidR="00541B39">
              <w:rPr>
                <w:color w:val="000000"/>
                <w:sz w:val="16"/>
                <w:szCs w:val="16"/>
              </w:rPr>
              <w:t xml:space="preserve"> - </w:t>
            </w:r>
            <w:r w:rsidR="00541B39" w:rsidRPr="000C1AB9">
              <w:rPr>
                <w:color w:val="000000"/>
                <w:sz w:val="16"/>
                <w:szCs w:val="16"/>
              </w:rPr>
              <w:t>5.07</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&gt;60 minutes</w:t>
            </w:r>
          </w:p>
        </w:tc>
        <w:tc>
          <w:tcPr>
            <w:tcW w:w="567" w:type="dxa"/>
          </w:tcPr>
          <w:p w:rsidR="00541B39" w:rsidRPr="000C1AB9" w:rsidRDefault="00541B39" w:rsidP="00BF573E">
            <w:pPr>
              <w:adjustRightInd w:val="0"/>
              <w:spacing w:before="20"/>
              <w:jc w:val="right"/>
              <w:rPr>
                <w:color w:val="000000"/>
                <w:sz w:val="16"/>
                <w:szCs w:val="16"/>
              </w:rPr>
            </w:pPr>
            <w:r>
              <w:rPr>
                <w:color w:val="000000"/>
                <w:sz w:val="16"/>
                <w:szCs w:val="16"/>
              </w:rPr>
              <w:t>46.0</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0.99</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0.30</w:t>
            </w:r>
            <w:r w:rsidR="00541B39">
              <w:rPr>
                <w:color w:val="000000"/>
                <w:sz w:val="16"/>
                <w:szCs w:val="16"/>
              </w:rPr>
              <w:t xml:space="preserve"> - </w:t>
            </w:r>
            <w:r w:rsidR="00541B39" w:rsidRPr="000C1AB9">
              <w:rPr>
                <w:color w:val="000000"/>
                <w:sz w:val="16"/>
                <w:szCs w:val="16"/>
              </w:rPr>
              <w:t>3.23</w:t>
            </w:r>
            <w:r>
              <w:rPr>
                <w:color w:val="000000"/>
                <w:sz w:val="16"/>
                <w:szCs w:val="16"/>
              </w:rPr>
              <w:t>)</w:t>
            </w:r>
          </w:p>
        </w:tc>
        <w:tc>
          <w:tcPr>
            <w:tcW w:w="747" w:type="dxa"/>
            <w:shd w:val="clear" w:color="auto" w:fill="auto"/>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0.88</w:t>
            </w:r>
          </w:p>
        </w:tc>
      </w:tr>
      <w:tr w:rsidR="000C1AB9" w:rsidRPr="009B1415" w:rsidTr="00F959A8">
        <w:tc>
          <w:tcPr>
            <w:tcW w:w="4786" w:type="dxa"/>
            <w:vAlign w:val="bottom"/>
          </w:tcPr>
          <w:p w:rsidR="000C1AB9" w:rsidRPr="009B1415" w:rsidRDefault="000C1AB9" w:rsidP="000C1AB9">
            <w:pPr>
              <w:spacing w:before="20"/>
              <w:jc w:val="both"/>
              <w:rPr>
                <w:b/>
                <w:sz w:val="16"/>
                <w:szCs w:val="16"/>
              </w:rPr>
            </w:pPr>
            <w:r w:rsidRPr="009B1415">
              <w:rPr>
                <w:b/>
                <w:bCs/>
                <w:color w:val="000000"/>
                <w:sz w:val="16"/>
                <w:szCs w:val="16"/>
              </w:rPr>
              <w:t>Time spent playing EGMs in an average day (club)</w:t>
            </w:r>
          </w:p>
        </w:tc>
        <w:tc>
          <w:tcPr>
            <w:tcW w:w="567" w:type="dxa"/>
            <w:vAlign w:val="center"/>
          </w:tcPr>
          <w:p w:rsidR="000C1AB9" w:rsidRPr="000C1AB9" w:rsidRDefault="000C1AB9" w:rsidP="00BF573E">
            <w:pPr>
              <w:adjustRightInd w:val="0"/>
              <w:spacing w:before="20"/>
              <w:jc w:val="right"/>
              <w:rPr>
                <w:color w:val="000000"/>
                <w:sz w:val="16"/>
                <w:szCs w:val="16"/>
              </w:rPr>
            </w:pPr>
          </w:p>
        </w:tc>
        <w:tc>
          <w:tcPr>
            <w:tcW w:w="1134" w:type="dxa"/>
            <w:vAlign w:val="center"/>
          </w:tcPr>
          <w:p w:rsidR="000C1AB9" w:rsidRPr="000C1AB9" w:rsidRDefault="000C1AB9" w:rsidP="00BF573E">
            <w:pPr>
              <w:adjustRightInd w:val="0"/>
              <w:spacing w:before="20"/>
              <w:jc w:val="right"/>
              <w:rPr>
                <w:color w:val="000000"/>
                <w:sz w:val="16"/>
                <w:szCs w:val="16"/>
              </w:rPr>
            </w:pP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No time</w:t>
            </w:r>
          </w:p>
        </w:tc>
        <w:tc>
          <w:tcPr>
            <w:tcW w:w="567" w:type="dxa"/>
          </w:tcPr>
          <w:p w:rsidR="000C1AB9" w:rsidRPr="000C1AB9" w:rsidRDefault="000C1AB9" w:rsidP="00BF573E">
            <w:pPr>
              <w:adjustRightInd w:val="0"/>
              <w:spacing w:before="20"/>
              <w:jc w:val="right"/>
              <w:rPr>
                <w:color w:val="000000"/>
                <w:sz w:val="16"/>
                <w:szCs w:val="16"/>
              </w:rPr>
            </w:pPr>
            <w:r w:rsidRPr="000C1AB9">
              <w:rPr>
                <w:color w:val="000000"/>
                <w:sz w:val="16"/>
                <w:szCs w:val="16"/>
              </w:rPr>
              <w:t>40.8</w:t>
            </w:r>
          </w:p>
        </w:tc>
        <w:tc>
          <w:tcPr>
            <w:tcW w:w="1134"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Up to 15 minutes</w:t>
            </w:r>
          </w:p>
        </w:tc>
        <w:tc>
          <w:tcPr>
            <w:tcW w:w="567" w:type="dxa"/>
          </w:tcPr>
          <w:p w:rsidR="00541B39" w:rsidRPr="000C1AB9" w:rsidRDefault="00541B39" w:rsidP="00BF573E">
            <w:pPr>
              <w:adjustRightInd w:val="0"/>
              <w:spacing w:before="20"/>
              <w:jc w:val="right"/>
              <w:rPr>
                <w:color w:val="000000"/>
                <w:sz w:val="16"/>
                <w:szCs w:val="16"/>
              </w:rPr>
            </w:pPr>
            <w:r>
              <w:rPr>
                <w:color w:val="000000"/>
                <w:sz w:val="16"/>
                <w:szCs w:val="16"/>
              </w:rPr>
              <w:t>24.8</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0.48</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0.08</w:t>
            </w:r>
            <w:r w:rsidR="00541B39">
              <w:rPr>
                <w:color w:val="000000"/>
                <w:sz w:val="16"/>
                <w:szCs w:val="16"/>
              </w:rPr>
              <w:t xml:space="preserve"> - </w:t>
            </w:r>
            <w:r w:rsidR="00541B39" w:rsidRPr="000C1AB9">
              <w:rPr>
                <w:color w:val="000000"/>
                <w:sz w:val="16"/>
                <w:szCs w:val="16"/>
              </w:rPr>
              <w:t>2.75</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16 to 30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52.6</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1.61</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0.25</w:t>
            </w:r>
            <w:r w:rsidR="00541B39">
              <w:rPr>
                <w:color w:val="000000"/>
                <w:sz w:val="16"/>
                <w:szCs w:val="16"/>
              </w:rPr>
              <w:t xml:space="preserve"> - </w:t>
            </w:r>
            <w:r w:rsidR="00541B39" w:rsidRPr="000C1AB9">
              <w:rPr>
                <w:color w:val="000000"/>
                <w:sz w:val="16"/>
                <w:szCs w:val="16"/>
              </w:rPr>
              <w:t>10.21</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31 to 60 minutes</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69.4</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3.29</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0.64</w:t>
            </w:r>
            <w:r w:rsidR="00541B39">
              <w:rPr>
                <w:color w:val="000000"/>
                <w:sz w:val="16"/>
                <w:szCs w:val="16"/>
              </w:rPr>
              <w:t xml:space="preserve"> - </w:t>
            </w:r>
            <w:r w:rsidR="00541B39" w:rsidRPr="000C1AB9">
              <w:rPr>
                <w:color w:val="000000"/>
                <w:sz w:val="16"/>
                <w:szCs w:val="16"/>
              </w:rPr>
              <w:t>19.95</w:t>
            </w:r>
            <w:r>
              <w:rPr>
                <w:color w:val="000000"/>
                <w:sz w:val="16"/>
                <w:szCs w:val="16"/>
              </w:rPr>
              <w:t>)</w:t>
            </w:r>
          </w:p>
        </w:tc>
        <w:tc>
          <w:tcPr>
            <w:tcW w:w="747" w:type="dxa"/>
            <w:shd w:val="clear" w:color="auto" w:fill="D9D9D9" w:themeFill="background1" w:themeFillShade="D9"/>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&lt;</w:t>
            </w:r>
            <w:r>
              <w:rPr>
                <w:color w:val="000000"/>
                <w:sz w:val="16"/>
                <w:szCs w:val="16"/>
              </w:rPr>
              <w:t>0</w:t>
            </w:r>
            <w:r w:rsidRPr="000C1AB9">
              <w:rPr>
                <w:color w:val="000000"/>
                <w:sz w:val="16"/>
                <w:szCs w:val="16"/>
              </w:rPr>
              <w:t>.0001</w:t>
            </w:r>
          </w:p>
        </w:tc>
      </w:tr>
      <w:tr w:rsidR="00CB35E8" w:rsidRPr="009B1415" w:rsidTr="00F959A8">
        <w:tc>
          <w:tcPr>
            <w:tcW w:w="4786" w:type="dxa"/>
            <w:vAlign w:val="bottom"/>
          </w:tcPr>
          <w:p w:rsidR="00CB35E8" w:rsidRPr="009B1415" w:rsidRDefault="00CB35E8" w:rsidP="00541B39">
            <w:pPr>
              <w:keepNext/>
              <w:spacing w:before="20"/>
              <w:jc w:val="both"/>
              <w:rPr>
                <w:b/>
                <w:sz w:val="16"/>
                <w:szCs w:val="16"/>
              </w:rPr>
            </w:pPr>
            <w:r w:rsidRPr="009B1415">
              <w:rPr>
                <w:b/>
                <w:bCs/>
                <w:color w:val="000000"/>
                <w:sz w:val="16"/>
                <w:szCs w:val="16"/>
              </w:rPr>
              <w:t>Who spent time with on most enjoyed activity</w:t>
            </w:r>
          </w:p>
        </w:tc>
        <w:tc>
          <w:tcPr>
            <w:tcW w:w="567" w:type="dxa"/>
            <w:vAlign w:val="center"/>
          </w:tcPr>
          <w:p w:rsidR="00CB35E8" w:rsidRPr="00CB35E8" w:rsidRDefault="00CB35E8" w:rsidP="00541B39">
            <w:pPr>
              <w:keepNext/>
              <w:adjustRightInd w:val="0"/>
              <w:spacing w:before="20"/>
              <w:jc w:val="right"/>
              <w:rPr>
                <w:color w:val="000000"/>
                <w:sz w:val="16"/>
                <w:szCs w:val="16"/>
              </w:rPr>
            </w:pPr>
          </w:p>
        </w:tc>
        <w:tc>
          <w:tcPr>
            <w:tcW w:w="1134" w:type="dxa"/>
            <w:vAlign w:val="center"/>
          </w:tcPr>
          <w:p w:rsidR="00CB35E8" w:rsidRPr="00CB35E8" w:rsidRDefault="00CB35E8" w:rsidP="00541B39">
            <w:pPr>
              <w:keepNext/>
              <w:adjustRightInd w:val="0"/>
              <w:spacing w:before="20"/>
              <w:jc w:val="right"/>
              <w:rPr>
                <w:color w:val="000000"/>
                <w:sz w:val="16"/>
                <w:szCs w:val="16"/>
              </w:rPr>
            </w:pPr>
          </w:p>
        </w:tc>
        <w:tc>
          <w:tcPr>
            <w:tcW w:w="968" w:type="dxa"/>
            <w:vAlign w:val="center"/>
          </w:tcPr>
          <w:p w:rsidR="00CB35E8" w:rsidRPr="00CB35E8" w:rsidRDefault="00CB35E8" w:rsidP="00541B39">
            <w:pPr>
              <w:keepNext/>
              <w:adjustRightInd w:val="0"/>
              <w:spacing w:before="20"/>
              <w:jc w:val="right"/>
              <w:rPr>
                <w:color w:val="000000"/>
                <w:sz w:val="16"/>
                <w:szCs w:val="16"/>
              </w:rPr>
            </w:pPr>
          </w:p>
        </w:tc>
        <w:tc>
          <w:tcPr>
            <w:tcW w:w="270" w:type="dxa"/>
            <w:vAlign w:val="center"/>
          </w:tcPr>
          <w:p w:rsidR="00CB35E8" w:rsidRPr="00CB35E8" w:rsidRDefault="00CB35E8" w:rsidP="00541B39">
            <w:pPr>
              <w:keepNext/>
              <w:adjustRightInd w:val="0"/>
              <w:spacing w:before="20"/>
              <w:jc w:val="right"/>
              <w:rPr>
                <w:color w:val="000000"/>
                <w:sz w:val="16"/>
                <w:szCs w:val="16"/>
              </w:rPr>
            </w:pPr>
          </w:p>
        </w:tc>
        <w:tc>
          <w:tcPr>
            <w:tcW w:w="747" w:type="dxa"/>
            <w:vAlign w:val="center"/>
          </w:tcPr>
          <w:p w:rsidR="00CB35E8" w:rsidRPr="00CB35E8" w:rsidRDefault="00CB35E8" w:rsidP="00541B39">
            <w:pPr>
              <w:keepNext/>
              <w:adjustRightInd w:val="0"/>
              <w:spacing w:before="20"/>
              <w:jc w:val="right"/>
              <w:rPr>
                <w:color w:val="000000"/>
                <w:sz w:val="16"/>
                <w:szCs w:val="16"/>
              </w:rPr>
            </w:pPr>
          </w:p>
        </w:tc>
      </w:tr>
      <w:tr w:rsidR="000C1AB9" w:rsidRPr="009B1415" w:rsidTr="00F959A8">
        <w:tc>
          <w:tcPr>
            <w:tcW w:w="4786" w:type="dxa"/>
          </w:tcPr>
          <w:p w:rsidR="000C1AB9" w:rsidRPr="009B1415" w:rsidRDefault="000C1AB9" w:rsidP="00541B39">
            <w:pPr>
              <w:keepNext/>
              <w:spacing w:before="20"/>
              <w:ind w:left="176"/>
              <w:jc w:val="both"/>
              <w:rPr>
                <w:sz w:val="16"/>
                <w:szCs w:val="16"/>
              </w:rPr>
            </w:pPr>
            <w:r w:rsidRPr="009B1415">
              <w:rPr>
                <w:sz w:val="16"/>
                <w:szCs w:val="16"/>
              </w:rPr>
              <w:t>Alone</w:t>
            </w:r>
          </w:p>
        </w:tc>
        <w:tc>
          <w:tcPr>
            <w:tcW w:w="567" w:type="dxa"/>
          </w:tcPr>
          <w:p w:rsidR="000C1AB9" w:rsidRPr="000C1AB9" w:rsidRDefault="000C1AB9" w:rsidP="00541B39">
            <w:pPr>
              <w:keepNext/>
              <w:adjustRightInd w:val="0"/>
              <w:spacing w:before="20"/>
              <w:jc w:val="right"/>
              <w:rPr>
                <w:color w:val="000000"/>
                <w:sz w:val="16"/>
                <w:szCs w:val="16"/>
              </w:rPr>
            </w:pPr>
            <w:r w:rsidRPr="000C1AB9">
              <w:rPr>
                <w:color w:val="000000"/>
                <w:sz w:val="16"/>
                <w:szCs w:val="16"/>
              </w:rPr>
              <w:t>53.8</w:t>
            </w:r>
          </w:p>
        </w:tc>
        <w:tc>
          <w:tcPr>
            <w:tcW w:w="1134" w:type="dxa"/>
            <w:vAlign w:val="center"/>
          </w:tcPr>
          <w:p w:rsidR="000C1AB9" w:rsidRPr="000C1AB9" w:rsidRDefault="000C1AB9" w:rsidP="00541B39">
            <w:pPr>
              <w:keepNext/>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541B39">
            <w:pPr>
              <w:keepNext/>
              <w:adjustRightInd w:val="0"/>
              <w:spacing w:before="20"/>
              <w:jc w:val="right"/>
              <w:rPr>
                <w:color w:val="000000"/>
                <w:sz w:val="16"/>
                <w:szCs w:val="16"/>
              </w:rPr>
            </w:pPr>
          </w:p>
        </w:tc>
        <w:tc>
          <w:tcPr>
            <w:tcW w:w="270" w:type="dxa"/>
            <w:vAlign w:val="center"/>
          </w:tcPr>
          <w:p w:rsidR="000C1AB9" w:rsidRPr="000C1AB9" w:rsidRDefault="000C1AB9" w:rsidP="00541B39">
            <w:pPr>
              <w:keepNext/>
              <w:adjustRightInd w:val="0"/>
              <w:spacing w:before="20"/>
              <w:jc w:val="right"/>
              <w:rPr>
                <w:color w:val="000000"/>
                <w:sz w:val="16"/>
                <w:szCs w:val="16"/>
              </w:rPr>
            </w:pPr>
          </w:p>
        </w:tc>
        <w:tc>
          <w:tcPr>
            <w:tcW w:w="747" w:type="dxa"/>
            <w:vAlign w:val="center"/>
          </w:tcPr>
          <w:p w:rsidR="000C1AB9" w:rsidRPr="000C1AB9" w:rsidRDefault="000C1AB9" w:rsidP="00541B39">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With one person</w:t>
            </w:r>
          </w:p>
        </w:tc>
        <w:tc>
          <w:tcPr>
            <w:tcW w:w="567" w:type="dxa"/>
          </w:tcPr>
          <w:p w:rsidR="00541B39" w:rsidRPr="000C1AB9" w:rsidRDefault="00541B39" w:rsidP="00BF573E">
            <w:pPr>
              <w:adjustRightInd w:val="0"/>
              <w:spacing w:before="20"/>
              <w:jc w:val="right"/>
              <w:rPr>
                <w:color w:val="000000"/>
                <w:sz w:val="16"/>
                <w:szCs w:val="16"/>
              </w:rPr>
            </w:pPr>
            <w:r w:rsidRPr="000C1AB9">
              <w:rPr>
                <w:color w:val="000000"/>
                <w:sz w:val="16"/>
                <w:szCs w:val="16"/>
              </w:rPr>
              <w:t>36.1</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0.49</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0.13</w:t>
            </w:r>
            <w:r w:rsidR="00541B39">
              <w:rPr>
                <w:color w:val="000000"/>
                <w:sz w:val="16"/>
                <w:szCs w:val="16"/>
              </w:rPr>
              <w:t xml:space="preserve"> - </w:t>
            </w:r>
            <w:r w:rsidR="00541B39" w:rsidRPr="000C1AB9">
              <w:rPr>
                <w:color w:val="000000"/>
                <w:sz w:val="16"/>
                <w:szCs w:val="16"/>
              </w:rPr>
              <w:t>1.80</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With several people/a group</w:t>
            </w:r>
          </w:p>
        </w:tc>
        <w:tc>
          <w:tcPr>
            <w:tcW w:w="567" w:type="dxa"/>
          </w:tcPr>
          <w:p w:rsidR="00541B39" w:rsidRPr="000C1AB9" w:rsidRDefault="00541B39" w:rsidP="00BF573E">
            <w:pPr>
              <w:adjustRightInd w:val="0"/>
              <w:spacing w:before="20"/>
              <w:jc w:val="right"/>
              <w:rPr>
                <w:color w:val="000000"/>
                <w:sz w:val="16"/>
                <w:szCs w:val="16"/>
              </w:rPr>
            </w:pPr>
            <w:r>
              <w:rPr>
                <w:color w:val="000000"/>
                <w:sz w:val="16"/>
                <w:szCs w:val="16"/>
              </w:rPr>
              <w:t>24.9</w:t>
            </w:r>
          </w:p>
        </w:tc>
        <w:tc>
          <w:tcPr>
            <w:tcW w:w="1134" w:type="dxa"/>
          </w:tcPr>
          <w:p w:rsidR="00541B39" w:rsidRPr="000C1AB9" w:rsidRDefault="00541B39" w:rsidP="00BF573E">
            <w:pPr>
              <w:adjustRightInd w:val="0"/>
              <w:spacing w:before="20"/>
              <w:jc w:val="right"/>
              <w:rPr>
                <w:color w:val="000000"/>
                <w:sz w:val="16"/>
                <w:szCs w:val="16"/>
              </w:rPr>
            </w:pPr>
            <w:r w:rsidRPr="000C1AB9">
              <w:rPr>
                <w:color w:val="000000"/>
                <w:sz w:val="16"/>
                <w:szCs w:val="16"/>
              </w:rPr>
              <w:t>0.28</w:t>
            </w:r>
          </w:p>
        </w:tc>
        <w:tc>
          <w:tcPr>
            <w:tcW w:w="1238" w:type="dxa"/>
            <w:gridSpan w:val="2"/>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0.08</w:t>
            </w:r>
            <w:r w:rsidR="00541B39">
              <w:rPr>
                <w:color w:val="000000"/>
                <w:sz w:val="16"/>
                <w:szCs w:val="16"/>
              </w:rPr>
              <w:t xml:space="preserve"> - </w:t>
            </w:r>
            <w:r w:rsidR="00541B39" w:rsidRPr="000C1AB9">
              <w:rPr>
                <w:color w:val="000000"/>
                <w:sz w:val="16"/>
                <w:szCs w:val="16"/>
              </w:rPr>
              <w:t>1.05</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p>
        </w:tc>
      </w:tr>
      <w:tr w:rsidR="00541B39" w:rsidRPr="009B1415" w:rsidTr="00F959A8">
        <w:tc>
          <w:tcPr>
            <w:tcW w:w="4786" w:type="dxa"/>
            <w:tcBorders>
              <w:bottom w:val="single" w:sz="4" w:space="0" w:color="auto"/>
            </w:tcBorders>
            <w:vAlign w:val="bottom"/>
          </w:tcPr>
          <w:p w:rsidR="00541B39" w:rsidRPr="003B2B9F" w:rsidRDefault="00541B39" w:rsidP="000C1AB9">
            <w:pPr>
              <w:spacing w:before="20"/>
              <w:ind w:left="176"/>
              <w:jc w:val="both"/>
              <w:rPr>
                <w:sz w:val="16"/>
                <w:szCs w:val="16"/>
              </w:rPr>
            </w:pPr>
            <w:r w:rsidRPr="003B2B9F">
              <w:rPr>
                <w:sz w:val="16"/>
                <w:szCs w:val="16"/>
              </w:rPr>
              <w:t>Not reported</w:t>
            </w:r>
          </w:p>
        </w:tc>
        <w:tc>
          <w:tcPr>
            <w:tcW w:w="567" w:type="dxa"/>
            <w:tcBorders>
              <w:bottom w:val="single" w:sz="4" w:space="0" w:color="auto"/>
            </w:tcBorders>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78.9</w:t>
            </w:r>
          </w:p>
        </w:tc>
        <w:tc>
          <w:tcPr>
            <w:tcW w:w="1134" w:type="dxa"/>
            <w:tcBorders>
              <w:bottom w:val="single" w:sz="4" w:space="0" w:color="auto"/>
            </w:tcBorders>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3.21</w:t>
            </w:r>
          </w:p>
        </w:tc>
        <w:tc>
          <w:tcPr>
            <w:tcW w:w="1238" w:type="dxa"/>
            <w:gridSpan w:val="2"/>
            <w:tcBorders>
              <w:bottom w:val="single" w:sz="4" w:space="0" w:color="auto"/>
            </w:tcBorders>
            <w:vAlign w:val="center"/>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0.51</w:t>
            </w:r>
            <w:r w:rsidR="00541B39">
              <w:rPr>
                <w:color w:val="000000"/>
                <w:sz w:val="16"/>
                <w:szCs w:val="16"/>
              </w:rPr>
              <w:t xml:space="preserve"> - </w:t>
            </w:r>
            <w:r w:rsidR="00541B39" w:rsidRPr="000C1AB9">
              <w:rPr>
                <w:color w:val="000000"/>
                <w:sz w:val="16"/>
                <w:szCs w:val="16"/>
              </w:rPr>
              <w:t>20.21</w:t>
            </w:r>
            <w:r>
              <w:rPr>
                <w:color w:val="000000"/>
                <w:sz w:val="16"/>
                <w:szCs w:val="16"/>
              </w:rPr>
              <w:t>)</w:t>
            </w:r>
          </w:p>
        </w:tc>
        <w:tc>
          <w:tcPr>
            <w:tcW w:w="747" w:type="dxa"/>
            <w:tcBorders>
              <w:bottom w:val="single" w:sz="4" w:space="0" w:color="auto"/>
            </w:tcBorders>
            <w:shd w:val="clear" w:color="auto" w:fill="auto"/>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0.11</w:t>
            </w:r>
          </w:p>
        </w:tc>
      </w:tr>
      <w:tr w:rsidR="000C1AB9" w:rsidRPr="009B1415" w:rsidTr="00F959A8">
        <w:tc>
          <w:tcPr>
            <w:tcW w:w="4786" w:type="dxa"/>
            <w:tcBorders>
              <w:top w:val="single" w:sz="4" w:space="0" w:color="auto"/>
            </w:tcBorders>
            <w:vAlign w:val="bottom"/>
          </w:tcPr>
          <w:p w:rsidR="000C1AB9" w:rsidRPr="009B1415" w:rsidRDefault="000C1AB9" w:rsidP="0081083E">
            <w:pPr>
              <w:keepNext/>
              <w:spacing w:before="20"/>
              <w:jc w:val="both"/>
              <w:rPr>
                <w:b/>
                <w:sz w:val="16"/>
                <w:szCs w:val="16"/>
              </w:rPr>
            </w:pPr>
            <w:r w:rsidRPr="009B1415">
              <w:rPr>
                <w:b/>
                <w:bCs/>
                <w:color w:val="000000"/>
                <w:sz w:val="16"/>
                <w:szCs w:val="16"/>
              </w:rPr>
              <w:lastRenderedPageBreak/>
              <w:t>Know people with gambling problems</w:t>
            </w:r>
          </w:p>
        </w:tc>
        <w:tc>
          <w:tcPr>
            <w:tcW w:w="567" w:type="dxa"/>
            <w:tcBorders>
              <w:top w:val="single" w:sz="4" w:space="0" w:color="auto"/>
            </w:tcBorders>
            <w:vAlign w:val="center"/>
          </w:tcPr>
          <w:p w:rsidR="000C1AB9" w:rsidRPr="000C1AB9" w:rsidRDefault="000C1AB9" w:rsidP="0081083E">
            <w:pPr>
              <w:keepNext/>
              <w:adjustRightInd w:val="0"/>
              <w:spacing w:before="20"/>
              <w:jc w:val="right"/>
              <w:rPr>
                <w:color w:val="000000"/>
                <w:sz w:val="16"/>
                <w:szCs w:val="16"/>
              </w:rPr>
            </w:pPr>
          </w:p>
        </w:tc>
        <w:tc>
          <w:tcPr>
            <w:tcW w:w="1134" w:type="dxa"/>
            <w:tcBorders>
              <w:top w:val="single" w:sz="4" w:space="0" w:color="auto"/>
            </w:tcBorders>
            <w:vAlign w:val="center"/>
          </w:tcPr>
          <w:p w:rsidR="000C1AB9" w:rsidRPr="000C1AB9" w:rsidRDefault="000C1AB9" w:rsidP="0081083E">
            <w:pPr>
              <w:keepNext/>
              <w:adjustRightInd w:val="0"/>
              <w:spacing w:before="20"/>
              <w:jc w:val="right"/>
              <w:rPr>
                <w:color w:val="000000"/>
                <w:sz w:val="16"/>
                <w:szCs w:val="16"/>
              </w:rPr>
            </w:pPr>
          </w:p>
        </w:tc>
        <w:tc>
          <w:tcPr>
            <w:tcW w:w="968" w:type="dxa"/>
            <w:tcBorders>
              <w:top w:val="single" w:sz="4" w:space="0" w:color="auto"/>
            </w:tcBorders>
            <w:vAlign w:val="center"/>
          </w:tcPr>
          <w:p w:rsidR="000C1AB9" w:rsidRPr="000C1AB9" w:rsidRDefault="000C1AB9" w:rsidP="0081083E">
            <w:pPr>
              <w:keepNext/>
              <w:adjustRightInd w:val="0"/>
              <w:spacing w:before="20"/>
              <w:jc w:val="right"/>
              <w:rPr>
                <w:color w:val="000000"/>
                <w:sz w:val="16"/>
                <w:szCs w:val="16"/>
              </w:rPr>
            </w:pPr>
          </w:p>
        </w:tc>
        <w:tc>
          <w:tcPr>
            <w:tcW w:w="270" w:type="dxa"/>
            <w:tcBorders>
              <w:top w:val="single" w:sz="4" w:space="0" w:color="auto"/>
            </w:tcBorders>
            <w:vAlign w:val="center"/>
          </w:tcPr>
          <w:p w:rsidR="000C1AB9" w:rsidRPr="000C1AB9" w:rsidRDefault="000C1AB9" w:rsidP="0081083E">
            <w:pPr>
              <w:keepNext/>
              <w:adjustRightInd w:val="0"/>
              <w:spacing w:before="20"/>
              <w:jc w:val="right"/>
              <w:rPr>
                <w:color w:val="000000"/>
                <w:sz w:val="16"/>
                <w:szCs w:val="16"/>
              </w:rPr>
            </w:pPr>
          </w:p>
        </w:tc>
        <w:tc>
          <w:tcPr>
            <w:tcW w:w="747" w:type="dxa"/>
            <w:tcBorders>
              <w:top w:val="single" w:sz="4" w:space="0" w:color="auto"/>
            </w:tcBorders>
            <w:vAlign w:val="center"/>
          </w:tcPr>
          <w:p w:rsidR="000C1AB9" w:rsidRPr="000C1AB9" w:rsidRDefault="000C1AB9" w:rsidP="0081083E">
            <w:pPr>
              <w:keepNext/>
              <w:adjustRightInd w:val="0"/>
              <w:spacing w:before="20"/>
              <w:jc w:val="right"/>
              <w:rPr>
                <w:color w:val="000000"/>
                <w:sz w:val="16"/>
                <w:szCs w:val="16"/>
              </w:rPr>
            </w:pPr>
          </w:p>
        </w:tc>
      </w:tr>
      <w:tr w:rsidR="000C1AB9" w:rsidRPr="009B1415" w:rsidTr="00F959A8">
        <w:tc>
          <w:tcPr>
            <w:tcW w:w="4786" w:type="dxa"/>
          </w:tcPr>
          <w:p w:rsidR="000C1AB9" w:rsidRPr="009B1415" w:rsidRDefault="000C1AB9" w:rsidP="0081083E">
            <w:pPr>
              <w:keepNext/>
              <w:spacing w:before="20"/>
              <w:ind w:left="176"/>
              <w:jc w:val="both"/>
              <w:rPr>
                <w:sz w:val="16"/>
                <w:szCs w:val="16"/>
              </w:rPr>
            </w:pPr>
            <w:r w:rsidRPr="009B1415">
              <w:rPr>
                <w:sz w:val="16"/>
                <w:szCs w:val="16"/>
              </w:rPr>
              <w:t>No</w:t>
            </w:r>
          </w:p>
        </w:tc>
        <w:tc>
          <w:tcPr>
            <w:tcW w:w="567" w:type="dxa"/>
            <w:vAlign w:val="center"/>
          </w:tcPr>
          <w:p w:rsidR="000C1AB9" w:rsidRPr="000C1AB9" w:rsidRDefault="00A50DB2" w:rsidP="0081083E">
            <w:pPr>
              <w:keepNext/>
              <w:adjustRightInd w:val="0"/>
              <w:spacing w:before="20"/>
              <w:jc w:val="right"/>
              <w:rPr>
                <w:color w:val="000000"/>
                <w:sz w:val="16"/>
                <w:szCs w:val="16"/>
              </w:rPr>
            </w:pPr>
            <w:r>
              <w:rPr>
                <w:color w:val="000000"/>
                <w:sz w:val="16"/>
                <w:szCs w:val="16"/>
              </w:rPr>
              <w:t>37.9</w:t>
            </w:r>
          </w:p>
        </w:tc>
        <w:tc>
          <w:tcPr>
            <w:tcW w:w="1134" w:type="dxa"/>
            <w:vAlign w:val="center"/>
          </w:tcPr>
          <w:p w:rsidR="000C1AB9" w:rsidRPr="000C1AB9" w:rsidRDefault="000C1AB9" w:rsidP="0081083E">
            <w:pPr>
              <w:keepNext/>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81083E">
            <w:pPr>
              <w:keepNext/>
              <w:adjustRightInd w:val="0"/>
              <w:spacing w:before="20"/>
              <w:jc w:val="right"/>
              <w:rPr>
                <w:color w:val="000000"/>
                <w:sz w:val="16"/>
                <w:szCs w:val="16"/>
              </w:rPr>
            </w:pPr>
          </w:p>
        </w:tc>
        <w:tc>
          <w:tcPr>
            <w:tcW w:w="270" w:type="dxa"/>
            <w:vAlign w:val="center"/>
          </w:tcPr>
          <w:p w:rsidR="000C1AB9" w:rsidRPr="000C1AB9" w:rsidRDefault="000C1AB9" w:rsidP="0081083E">
            <w:pPr>
              <w:keepNext/>
              <w:adjustRightInd w:val="0"/>
              <w:spacing w:before="20"/>
              <w:jc w:val="right"/>
              <w:rPr>
                <w:color w:val="000000"/>
                <w:sz w:val="16"/>
                <w:szCs w:val="16"/>
              </w:rPr>
            </w:pPr>
          </w:p>
        </w:tc>
        <w:tc>
          <w:tcPr>
            <w:tcW w:w="747" w:type="dxa"/>
            <w:vAlign w:val="center"/>
          </w:tcPr>
          <w:p w:rsidR="000C1AB9" w:rsidRPr="000C1AB9" w:rsidRDefault="000C1AB9" w:rsidP="008108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81083E">
            <w:pPr>
              <w:keepNext/>
              <w:spacing w:before="20"/>
              <w:ind w:left="176"/>
              <w:jc w:val="both"/>
              <w:rPr>
                <w:sz w:val="16"/>
                <w:szCs w:val="16"/>
              </w:rPr>
            </w:pPr>
            <w:r w:rsidRPr="009B1415">
              <w:rPr>
                <w:sz w:val="16"/>
                <w:szCs w:val="16"/>
              </w:rPr>
              <w:t>Yes</w:t>
            </w:r>
          </w:p>
        </w:tc>
        <w:tc>
          <w:tcPr>
            <w:tcW w:w="567" w:type="dxa"/>
            <w:vAlign w:val="center"/>
          </w:tcPr>
          <w:p w:rsidR="00541B39" w:rsidRPr="000C1AB9" w:rsidRDefault="00541B39" w:rsidP="0081083E">
            <w:pPr>
              <w:keepNext/>
              <w:adjustRightInd w:val="0"/>
              <w:spacing w:before="20"/>
              <w:jc w:val="right"/>
              <w:rPr>
                <w:color w:val="000000"/>
                <w:sz w:val="16"/>
                <w:szCs w:val="16"/>
              </w:rPr>
            </w:pPr>
            <w:r w:rsidRPr="000C1AB9">
              <w:rPr>
                <w:color w:val="000000"/>
                <w:sz w:val="16"/>
                <w:szCs w:val="16"/>
              </w:rPr>
              <w:t>45.5</w:t>
            </w:r>
          </w:p>
        </w:tc>
        <w:tc>
          <w:tcPr>
            <w:tcW w:w="1134" w:type="dxa"/>
            <w:vAlign w:val="center"/>
          </w:tcPr>
          <w:p w:rsidR="00541B39" w:rsidRPr="000C1AB9" w:rsidRDefault="00541B39" w:rsidP="0081083E">
            <w:pPr>
              <w:keepNext/>
              <w:adjustRightInd w:val="0"/>
              <w:spacing w:before="20"/>
              <w:jc w:val="right"/>
              <w:rPr>
                <w:color w:val="000000"/>
                <w:sz w:val="16"/>
                <w:szCs w:val="16"/>
              </w:rPr>
            </w:pPr>
            <w:r w:rsidRPr="000C1AB9">
              <w:rPr>
                <w:color w:val="000000"/>
                <w:sz w:val="16"/>
                <w:szCs w:val="16"/>
              </w:rPr>
              <w:t>1.37</w:t>
            </w:r>
          </w:p>
        </w:tc>
        <w:tc>
          <w:tcPr>
            <w:tcW w:w="1238" w:type="dxa"/>
            <w:gridSpan w:val="2"/>
            <w:vAlign w:val="center"/>
          </w:tcPr>
          <w:p w:rsidR="00541B39" w:rsidRPr="000C1AB9" w:rsidRDefault="009A56CE" w:rsidP="0081083E">
            <w:pPr>
              <w:keepNext/>
              <w:adjustRightInd w:val="0"/>
              <w:spacing w:before="20"/>
              <w:jc w:val="right"/>
              <w:rPr>
                <w:color w:val="000000"/>
                <w:sz w:val="16"/>
                <w:szCs w:val="16"/>
              </w:rPr>
            </w:pPr>
            <w:r>
              <w:rPr>
                <w:color w:val="000000"/>
                <w:sz w:val="16"/>
                <w:szCs w:val="16"/>
              </w:rPr>
              <w:t>(</w:t>
            </w:r>
            <w:r w:rsidR="00541B39" w:rsidRPr="000C1AB9">
              <w:rPr>
                <w:color w:val="000000"/>
                <w:sz w:val="16"/>
                <w:szCs w:val="16"/>
              </w:rPr>
              <w:t>0.46</w:t>
            </w:r>
            <w:r w:rsidR="00541B39">
              <w:rPr>
                <w:color w:val="000000"/>
                <w:sz w:val="16"/>
                <w:szCs w:val="16"/>
              </w:rPr>
              <w:t xml:space="preserve"> - </w:t>
            </w:r>
            <w:r w:rsidR="00541B39" w:rsidRPr="000C1AB9">
              <w:rPr>
                <w:color w:val="000000"/>
                <w:sz w:val="16"/>
                <w:szCs w:val="16"/>
              </w:rPr>
              <w:t>4.06</w:t>
            </w:r>
            <w:r>
              <w:rPr>
                <w:color w:val="000000"/>
                <w:sz w:val="16"/>
                <w:szCs w:val="16"/>
              </w:rPr>
              <w:t>)</w:t>
            </w:r>
          </w:p>
        </w:tc>
        <w:tc>
          <w:tcPr>
            <w:tcW w:w="747" w:type="dxa"/>
            <w:vAlign w:val="center"/>
          </w:tcPr>
          <w:p w:rsidR="00541B39" w:rsidRPr="000C1AB9" w:rsidRDefault="00541B39" w:rsidP="0081083E">
            <w:pPr>
              <w:keepNext/>
              <w:adjustRightInd w:val="0"/>
              <w:spacing w:before="20"/>
              <w:jc w:val="right"/>
              <w:rPr>
                <w:color w:val="000000"/>
                <w:sz w:val="16"/>
                <w:szCs w:val="16"/>
              </w:rPr>
            </w:pPr>
            <w:r w:rsidRPr="000C1AB9">
              <w:rPr>
                <w:color w:val="000000"/>
                <w:sz w:val="16"/>
                <w:szCs w:val="16"/>
              </w:rPr>
              <w:t>0.57</w:t>
            </w:r>
          </w:p>
        </w:tc>
      </w:tr>
      <w:tr w:rsidR="00CB35E8" w:rsidRPr="009B1415" w:rsidTr="00F959A8">
        <w:tc>
          <w:tcPr>
            <w:tcW w:w="5353" w:type="dxa"/>
            <w:gridSpan w:val="2"/>
            <w:vAlign w:val="bottom"/>
          </w:tcPr>
          <w:p w:rsidR="00CB35E8" w:rsidRPr="009B1415" w:rsidRDefault="00CB35E8" w:rsidP="00CB35E8">
            <w:pPr>
              <w:spacing w:before="20"/>
              <w:rPr>
                <w:rFonts w:ascii="Calibri" w:hAnsi="Calibri"/>
                <w:b/>
                <w:bCs/>
                <w:color w:val="000000"/>
                <w:sz w:val="16"/>
                <w:szCs w:val="16"/>
              </w:rPr>
            </w:pPr>
            <w:r w:rsidRPr="009B1415">
              <w:rPr>
                <w:b/>
                <w:bCs/>
                <w:color w:val="000000"/>
                <w:sz w:val="16"/>
                <w:szCs w:val="16"/>
              </w:rPr>
              <w:t>Methods - Setting a dollar figure before leaving home</w:t>
            </w:r>
          </w:p>
        </w:tc>
        <w:tc>
          <w:tcPr>
            <w:tcW w:w="1134" w:type="dxa"/>
            <w:vAlign w:val="center"/>
          </w:tcPr>
          <w:p w:rsidR="00CB35E8" w:rsidRPr="009B1415" w:rsidRDefault="00CB35E8" w:rsidP="00CB35E8">
            <w:pPr>
              <w:spacing w:before="20"/>
              <w:jc w:val="center"/>
              <w:rPr>
                <w:rFonts w:ascii="Calibri" w:hAnsi="Calibri"/>
                <w:color w:val="000000"/>
                <w:sz w:val="16"/>
                <w:szCs w:val="16"/>
              </w:rPr>
            </w:pPr>
          </w:p>
        </w:tc>
        <w:tc>
          <w:tcPr>
            <w:tcW w:w="968" w:type="dxa"/>
            <w:vAlign w:val="center"/>
          </w:tcPr>
          <w:p w:rsidR="00CB35E8" w:rsidRPr="009B1415" w:rsidRDefault="00CB35E8" w:rsidP="00CB35E8">
            <w:pPr>
              <w:spacing w:before="20"/>
              <w:jc w:val="center"/>
              <w:rPr>
                <w:rFonts w:ascii="Calibri" w:hAnsi="Calibri"/>
                <w:color w:val="000000"/>
                <w:sz w:val="16"/>
                <w:szCs w:val="16"/>
              </w:rPr>
            </w:pPr>
          </w:p>
        </w:tc>
        <w:tc>
          <w:tcPr>
            <w:tcW w:w="270" w:type="dxa"/>
            <w:vAlign w:val="center"/>
          </w:tcPr>
          <w:p w:rsidR="00CB35E8" w:rsidRPr="009B1415" w:rsidRDefault="00CB35E8" w:rsidP="00CB35E8">
            <w:pPr>
              <w:spacing w:before="20"/>
              <w:jc w:val="center"/>
              <w:rPr>
                <w:rFonts w:ascii="Calibri" w:hAnsi="Calibri"/>
                <w:color w:val="000000"/>
                <w:sz w:val="16"/>
                <w:szCs w:val="16"/>
              </w:rPr>
            </w:pPr>
          </w:p>
        </w:tc>
        <w:tc>
          <w:tcPr>
            <w:tcW w:w="747" w:type="dxa"/>
            <w:vAlign w:val="center"/>
          </w:tcPr>
          <w:p w:rsidR="00CB35E8" w:rsidRPr="009B1415" w:rsidRDefault="00CB35E8" w:rsidP="00CB35E8">
            <w:pPr>
              <w:spacing w:before="20"/>
              <w:jc w:val="center"/>
              <w:rPr>
                <w:rFonts w:ascii="Calibri" w:hAnsi="Calibri"/>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No</w:t>
            </w:r>
          </w:p>
        </w:tc>
        <w:tc>
          <w:tcPr>
            <w:tcW w:w="567"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42.8</w:t>
            </w:r>
          </w:p>
        </w:tc>
        <w:tc>
          <w:tcPr>
            <w:tcW w:w="1134"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Yes</w:t>
            </w:r>
          </w:p>
        </w:tc>
        <w:tc>
          <w:tcPr>
            <w:tcW w:w="567" w:type="dxa"/>
            <w:vAlign w:val="center"/>
          </w:tcPr>
          <w:p w:rsidR="00541B39" w:rsidRPr="000C1AB9" w:rsidRDefault="00541B39" w:rsidP="00BF573E">
            <w:pPr>
              <w:adjustRightInd w:val="0"/>
              <w:spacing w:before="20"/>
              <w:jc w:val="right"/>
              <w:rPr>
                <w:color w:val="000000"/>
                <w:sz w:val="16"/>
                <w:szCs w:val="16"/>
              </w:rPr>
            </w:pPr>
            <w:r>
              <w:rPr>
                <w:color w:val="000000"/>
                <w:sz w:val="16"/>
                <w:szCs w:val="16"/>
              </w:rPr>
              <w:t>44.4</w:t>
            </w:r>
          </w:p>
        </w:tc>
        <w:tc>
          <w:tcPr>
            <w:tcW w:w="1134" w:type="dxa"/>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1.07</w:t>
            </w:r>
          </w:p>
        </w:tc>
        <w:tc>
          <w:tcPr>
            <w:tcW w:w="1238" w:type="dxa"/>
            <w:gridSpan w:val="2"/>
            <w:vAlign w:val="center"/>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0.39</w:t>
            </w:r>
            <w:r w:rsidR="00541B39">
              <w:rPr>
                <w:color w:val="000000"/>
                <w:sz w:val="16"/>
                <w:szCs w:val="16"/>
              </w:rPr>
              <w:t xml:space="preserve"> - </w:t>
            </w:r>
            <w:r w:rsidR="00541B39" w:rsidRPr="000C1AB9">
              <w:rPr>
                <w:color w:val="000000"/>
                <w:sz w:val="16"/>
                <w:szCs w:val="16"/>
              </w:rPr>
              <w:t>2.90</w:t>
            </w:r>
            <w:r>
              <w:rPr>
                <w:color w:val="000000"/>
                <w:sz w:val="16"/>
                <w:szCs w:val="16"/>
              </w:rPr>
              <w:t>)</w:t>
            </w:r>
          </w:p>
        </w:tc>
        <w:tc>
          <w:tcPr>
            <w:tcW w:w="747" w:type="dxa"/>
            <w:shd w:val="clear" w:color="auto" w:fill="auto"/>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0.90</w:t>
            </w:r>
          </w:p>
        </w:tc>
      </w:tr>
      <w:tr w:rsidR="00CB35E8" w:rsidRPr="009B1415" w:rsidTr="00F959A8">
        <w:tc>
          <w:tcPr>
            <w:tcW w:w="5353" w:type="dxa"/>
            <w:gridSpan w:val="2"/>
            <w:vAlign w:val="bottom"/>
          </w:tcPr>
          <w:p w:rsidR="00CB35E8" w:rsidRPr="009B1415" w:rsidRDefault="00CB35E8" w:rsidP="00CB35E8">
            <w:pPr>
              <w:spacing w:before="20"/>
              <w:rPr>
                <w:rFonts w:ascii="Calibri" w:hAnsi="Calibri"/>
                <w:b/>
                <w:bCs/>
                <w:color w:val="000000"/>
                <w:sz w:val="16"/>
                <w:szCs w:val="16"/>
              </w:rPr>
            </w:pPr>
            <w:r w:rsidRPr="009B1415">
              <w:rPr>
                <w:b/>
                <w:bCs/>
                <w:color w:val="000000"/>
                <w:sz w:val="16"/>
                <w:szCs w:val="16"/>
              </w:rPr>
              <w:t>Methods - Getting someone you trust to manage the money</w:t>
            </w:r>
          </w:p>
        </w:tc>
        <w:tc>
          <w:tcPr>
            <w:tcW w:w="1134" w:type="dxa"/>
            <w:vAlign w:val="center"/>
          </w:tcPr>
          <w:p w:rsidR="00CB35E8" w:rsidRPr="009B1415" w:rsidRDefault="00CB35E8" w:rsidP="00CB35E8">
            <w:pPr>
              <w:spacing w:before="20"/>
              <w:jc w:val="center"/>
              <w:rPr>
                <w:rFonts w:ascii="Calibri" w:hAnsi="Calibri"/>
                <w:color w:val="000000"/>
                <w:sz w:val="16"/>
                <w:szCs w:val="16"/>
              </w:rPr>
            </w:pPr>
          </w:p>
        </w:tc>
        <w:tc>
          <w:tcPr>
            <w:tcW w:w="968" w:type="dxa"/>
            <w:vAlign w:val="center"/>
          </w:tcPr>
          <w:p w:rsidR="00CB35E8" w:rsidRPr="009B1415" w:rsidRDefault="00CB35E8" w:rsidP="00CB35E8">
            <w:pPr>
              <w:spacing w:before="20"/>
              <w:jc w:val="center"/>
              <w:rPr>
                <w:rFonts w:ascii="Calibri" w:hAnsi="Calibri"/>
                <w:color w:val="000000"/>
                <w:sz w:val="16"/>
                <w:szCs w:val="16"/>
              </w:rPr>
            </w:pPr>
          </w:p>
        </w:tc>
        <w:tc>
          <w:tcPr>
            <w:tcW w:w="270" w:type="dxa"/>
            <w:vAlign w:val="center"/>
          </w:tcPr>
          <w:p w:rsidR="00CB35E8" w:rsidRPr="009B1415" w:rsidRDefault="00CB35E8" w:rsidP="00CB35E8">
            <w:pPr>
              <w:spacing w:before="20"/>
              <w:jc w:val="center"/>
              <w:rPr>
                <w:rFonts w:ascii="Calibri" w:hAnsi="Calibri"/>
                <w:color w:val="000000"/>
                <w:sz w:val="16"/>
                <w:szCs w:val="16"/>
              </w:rPr>
            </w:pPr>
          </w:p>
        </w:tc>
        <w:tc>
          <w:tcPr>
            <w:tcW w:w="747" w:type="dxa"/>
            <w:vAlign w:val="center"/>
          </w:tcPr>
          <w:p w:rsidR="00CB35E8" w:rsidRPr="009B1415" w:rsidRDefault="00CB35E8" w:rsidP="00CB35E8">
            <w:pPr>
              <w:spacing w:before="20"/>
              <w:jc w:val="center"/>
              <w:rPr>
                <w:rFonts w:ascii="Calibri" w:hAnsi="Calibri"/>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No</w:t>
            </w:r>
          </w:p>
        </w:tc>
        <w:tc>
          <w:tcPr>
            <w:tcW w:w="567" w:type="dxa"/>
            <w:vAlign w:val="center"/>
          </w:tcPr>
          <w:p w:rsidR="000C1AB9" w:rsidRPr="000C1AB9" w:rsidRDefault="00A50DB2" w:rsidP="00BF573E">
            <w:pPr>
              <w:adjustRightInd w:val="0"/>
              <w:spacing w:before="20"/>
              <w:jc w:val="right"/>
              <w:rPr>
                <w:color w:val="000000"/>
                <w:sz w:val="16"/>
                <w:szCs w:val="16"/>
              </w:rPr>
            </w:pPr>
            <w:r>
              <w:rPr>
                <w:color w:val="000000"/>
                <w:sz w:val="16"/>
                <w:szCs w:val="16"/>
              </w:rPr>
              <w:t>43.5</w:t>
            </w:r>
          </w:p>
        </w:tc>
        <w:tc>
          <w:tcPr>
            <w:tcW w:w="1134" w:type="dxa"/>
            <w:vAlign w:val="center"/>
          </w:tcPr>
          <w:p w:rsidR="000C1AB9" w:rsidRPr="000C1AB9" w:rsidRDefault="000C1AB9" w:rsidP="00BF573E">
            <w:pPr>
              <w:adjustRightInd w:val="0"/>
              <w:spacing w:before="20"/>
              <w:jc w:val="right"/>
              <w:rPr>
                <w:color w:val="000000"/>
                <w:sz w:val="16"/>
                <w:szCs w:val="16"/>
              </w:rPr>
            </w:pPr>
            <w:r w:rsidRPr="000C1AB9">
              <w:rPr>
                <w:color w:val="000000"/>
                <w:sz w:val="16"/>
                <w:szCs w:val="16"/>
              </w:rPr>
              <w:t>1.00</w:t>
            </w:r>
          </w:p>
        </w:tc>
        <w:tc>
          <w:tcPr>
            <w:tcW w:w="968" w:type="dxa"/>
            <w:vAlign w:val="center"/>
          </w:tcPr>
          <w:p w:rsidR="000C1AB9" w:rsidRPr="000C1AB9" w:rsidRDefault="000C1AB9" w:rsidP="00BF573E">
            <w:pPr>
              <w:adjustRightInd w:val="0"/>
              <w:spacing w:before="20"/>
              <w:jc w:val="right"/>
              <w:rPr>
                <w:color w:val="000000"/>
                <w:sz w:val="16"/>
                <w:szCs w:val="16"/>
              </w:rPr>
            </w:pPr>
          </w:p>
        </w:tc>
        <w:tc>
          <w:tcPr>
            <w:tcW w:w="270" w:type="dxa"/>
            <w:vAlign w:val="center"/>
          </w:tcPr>
          <w:p w:rsidR="000C1AB9" w:rsidRPr="000C1AB9" w:rsidRDefault="000C1AB9" w:rsidP="00BF573E">
            <w:pPr>
              <w:adjustRightInd w:val="0"/>
              <w:spacing w:before="20"/>
              <w:jc w:val="right"/>
              <w:rPr>
                <w:color w:val="000000"/>
                <w:sz w:val="16"/>
                <w:szCs w:val="16"/>
              </w:rPr>
            </w:pPr>
          </w:p>
        </w:tc>
        <w:tc>
          <w:tcPr>
            <w:tcW w:w="747" w:type="dxa"/>
            <w:vAlign w:val="center"/>
          </w:tcPr>
          <w:p w:rsidR="000C1AB9" w:rsidRPr="000C1AB9"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Yes</w:t>
            </w:r>
          </w:p>
        </w:tc>
        <w:tc>
          <w:tcPr>
            <w:tcW w:w="567" w:type="dxa"/>
            <w:vAlign w:val="center"/>
          </w:tcPr>
          <w:p w:rsidR="00541B39" w:rsidRPr="000C1AB9" w:rsidRDefault="00541B39" w:rsidP="00BF573E">
            <w:pPr>
              <w:adjustRightInd w:val="0"/>
              <w:spacing w:before="20"/>
              <w:jc w:val="right"/>
              <w:rPr>
                <w:color w:val="000000"/>
                <w:sz w:val="16"/>
                <w:szCs w:val="16"/>
              </w:rPr>
            </w:pPr>
            <w:r>
              <w:rPr>
                <w:color w:val="000000"/>
                <w:sz w:val="16"/>
                <w:szCs w:val="16"/>
              </w:rPr>
              <w:t>41.3</w:t>
            </w:r>
          </w:p>
        </w:tc>
        <w:tc>
          <w:tcPr>
            <w:tcW w:w="1134" w:type="dxa"/>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0.91</w:t>
            </w:r>
          </w:p>
        </w:tc>
        <w:tc>
          <w:tcPr>
            <w:tcW w:w="1238" w:type="dxa"/>
            <w:gridSpan w:val="2"/>
            <w:vAlign w:val="center"/>
          </w:tcPr>
          <w:p w:rsidR="00541B39" w:rsidRPr="000C1AB9" w:rsidRDefault="009A56CE" w:rsidP="00541B39">
            <w:pPr>
              <w:adjustRightInd w:val="0"/>
              <w:spacing w:before="20"/>
              <w:jc w:val="right"/>
              <w:rPr>
                <w:color w:val="000000"/>
                <w:sz w:val="16"/>
                <w:szCs w:val="16"/>
              </w:rPr>
            </w:pPr>
            <w:r>
              <w:rPr>
                <w:color w:val="000000"/>
                <w:sz w:val="16"/>
                <w:szCs w:val="16"/>
              </w:rPr>
              <w:t>(</w:t>
            </w:r>
            <w:r w:rsidR="00541B39" w:rsidRPr="000C1AB9">
              <w:rPr>
                <w:color w:val="000000"/>
                <w:sz w:val="16"/>
                <w:szCs w:val="16"/>
              </w:rPr>
              <w:t>0.15</w:t>
            </w:r>
            <w:r w:rsidR="00541B39">
              <w:rPr>
                <w:color w:val="000000"/>
                <w:sz w:val="16"/>
                <w:szCs w:val="16"/>
              </w:rPr>
              <w:t xml:space="preserve"> - </w:t>
            </w:r>
            <w:r w:rsidR="00541B39" w:rsidRPr="000C1AB9">
              <w:rPr>
                <w:color w:val="000000"/>
                <w:sz w:val="16"/>
                <w:szCs w:val="16"/>
              </w:rPr>
              <w:t>5.68</w:t>
            </w:r>
            <w:r>
              <w:rPr>
                <w:color w:val="000000"/>
                <w:sz w:val="16"/>
                <w:szCs w:val="16"/>
              </w:rPr>
              <w:t>)</w:t>
            </w:r>
          </w:p>
        </w:tc>
        <w:tc>
          <w:tcPr>
            <w:tcW w:w="747" w:type="dxa"/>
            <w:vAlign w:val="center"/>
          </w:tcPr>
          <w:p w:rsidR="00541B39" w:rsidRPr="000C1AB9" w:rsidRDefault="00541B39" w:rsidP="00BF573E">
            <w:pPr>
              <w:adjustRightInd w:val="0"/>
              <w:spacing w:before="20"/>
              <w:jc w:val="right"/>
              <w:rPr>
                <w:color w:val="000000"/>
                <w:sz w:val="16"/>
                <w:szCs w:val="16"/>
              </w:rPr>
            </w:pPr>
            <w:r w:rsidRPr="000C1AB9">
              <w:rPr>
                <w:color w:val="000000"/>
                <w:sz w:val="16"/>
                <w:szCs w:val="16"/>
              </w:rPr>
              <w:t>0.92</w:t>
            </w:r>
          </w:p>
        </w:tc>
      </w:tr>
      <w:tr w:rsidR="00CB35E8" w:rsidRPr="009B1415" w:rsidTr="00F959A8">
        <w:tc>
          <w:tcPr>
            <w:tcW w:w="6487" w:type="dxa"/>
            <w:gridSpan w:val="3"/>
            <w:vAlign w:val="bottom"/>
          </w:tcPr>
          <w:p w:rsidR="00CB35E8" w:rsidRPr="009B1415" w:rsidRDefault="00CB35E8" w:rsidP="00CB35E8">
            <w:pPr>
              <w:spacing w:before="20"/>
              <w:rPr>
                <w:rFonts w:ascii="Calibri" w:hAnsi="Calibri"/>
                <w:color w:val="000000"/>
                <w:sz w:val="16"/>
                <w:szCs w:val="16"/>
              </w:rPr>
            </w:pPr>
            <w:r w:rsidRPr="009B1415">
              <w:rPr>
                <w:b/>
                <w:bCs/>
                <w:color w:val="000000"/>
                <w:sz w:val="16"/>
                <w:szCs w:val="16"/>
              </w:rPr>
              <w:t>Methods - Separating money for betting from other money and stopping</w:t>
            </w:r>
          </w:p>
        </w:tc>
        <w:tc>
          <w:tcPr>
            <w:tcW w:w="968" w:type="dxa"/>
            <w:vAlign w:val="center"/>
          </w:tcPr>
          <w:p w:rsidR="00CB35E8" w:rsidRPr="009B1415" w:rsidRDefault="00CB35E8" w:rsidP="00CB35E8">
            <w:pPr>
              <w:spacing w:before="20"/>
              <w:jc w:val="center"/>
              <w:rPr>
                <w:rFonts w:ascii="Calibri" w:hAnsi="Calibri"/>
                <w:color w:val="000000"/>
                <w:sz w:val="16"/>
                <w:szCs w:val="16"/>
              </w:rPr>
            </w:pPr>
          </w:p>
        </w:tc>
        <w:tc>
          <w:tcPr>
            <w:tcW w:w="270" w:type="dxa"/>
            <w:vAlign w:val="center"/>
          </w:tcPr>
          <w:p w:rsidR="00CB35E8" w:rsidRPr="009B1415" w:rsidRDefault="00CB35E8" w:rsidP="00CB35E8">
            <w:pPr>
              <w:spacing w:before="20"/>
              <w:jc w:val="center"/>
              <w:rPr>
                <w:rFonts w:ascii="Calibri" w:hAnsi="Calibri"/>
                <w:color w:val="000000"/>
                <w:sz w:val="16"/>
                <w:szCs w:val="16"/>
              </w:rPr>
            </w:pPr>
          </w:p>
        </w:tc>
        <w:tc>
          <w:tcPr>
            <w:tcW w:w="747" w:type="dxa"/>
            <w:vAlign w:val="center"/>
          </w:tcPr>
          <w:p w:rsidR="00CB35E8" w:rsidRPr="009B1415" w:rsidRDefault="00CB35E8" w:rsidP="00CB35E8">
            <w:pPr>
              <w:spacing w:before="20"/>
              <w:jc w:val="center"/>
              <w:rPr>
                <w:rFonts w:ascii="Calibri" w:hAnsi="Calibri"/>
                <w:color w:val="000000"/>
                <w:sz w:val="16"/>
                <w:szCs w:val="16"/>
              </w:rPr>
            </w:pPr>
          </w:p>
        </w:tc>
      </w:tr>
      <w:tr w:rsidR="000C1AB9" w:rsidRPr="009B1415" w:rsidTr="00F959A8">
        <w:tc>
          <w:tcPr>
            <w:tcW w:w="4786" w:type="dxa"/>
          </w:tcPr>
          <w:p w:rsidR="000C1AB9" w:rsidRPr="009B1415" w:rsidRDefault="000C1AB9" w:rsidP="000C1AB9">
            <w:pPr>
              <w:spacing w:before="20"/>
              <w:ind w:left="176"/>
              <w:jc w:val="both"/>
              <w:rPr>
                <w:sz w:val="16"/>
                <w:szCs w:val="16"/>
              </w:rPr>
            </w:pPr>
            <w:r w:rsidRPr="009B1415">
              <w:rPr>
                <w:sz w:val="16"/>
                <w:szCs w:val="16"/>
              </w:rPr>
              <w:t>No</w:t>
            </w:r>
          </w:p>
        </w:tc>
        <w:tc>
          <w:tcPr>
            <w:tcW w:w="567" w:type="dxa"/>
            <w:vAlign w:val="center"/>
          </w:tcPr>
          <w:p w:rsidR="000C1AB9" w:rsidRPr="00B61EF6" w:rsidRDefault="00A50DB2" w:rsidP="00BF573E">
            <w:pPr>
              <w:adjustRightInd w:val="0"/>
              <w:spacing w:before="20"/>
              <w:jc w:val="right"/>
              <w:rPr>
                <w:color w:val="000000"/>
                <w:sz w:val="16"/>
                <w:szCs w:val="16"/>
              </w:rPr>
            </w:pPr>
            <w:r>
              <w:rPr>
                <w:color w:val="000000"/>
                <w:sz w:val="16"/>
                <w:szCs w:val="16"/>
              </w:rPr>
              <w:t>43.4</w:t>
            </w:r>
          </w:p>
        </w:tc>
        <w:tc>
          <w:tcPr>
            <w:tcW w:w="1134" w:type="dxa"/>
            <w:vAlign w:val="center"/>
          </w:tcPr>
          <w:p w:rsidR="000C1AB9" w:rsidRPr="00B61EF6" w:rsidRDefault="000C1AB9"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0C1AB9" w:rsidRPr="00B61EF6" w:rsidRDefault="000C1AB9" w:rsidP="00BF573E">
            <w:pPr>
              <w:adjustRightInd w:val="0"/>
              <w:spacing w:before="20"/>
              <w:jc w:val="right"/>
              <w:rPr>
                <w:color w:val="000000"/>
                <w:sz w:val="16"/>
                <w:szCs w:val="16"/>
              </w:rPr>
            </w:pPr>
          </w:p>
        </w:tc>
        <w:tc>
          <w:tcPr>
            <w:tcW w:w="270" w:type="dxa"/>
            <w:vAlign w:val="center"/>
          </w:tcPr>
          <w:p w:rsidR="000C1AB9" w:rsidRPr="00B61EF6" w:rsidRDefault="000C1AB9" w:rsidP="00BF573E">
            <w:pPr>
              <w:adjustRightInd w:val="0"/>
              <w:spacing w:before="20"/>
              <w:jc w:val="right"/>
              <w:rPr>
                <w:color w:val="000000"/>
                <w:sz w:val="16"/>
                <w:szCs w:val="16"/>
              </w:rPr>
            </w:pPr>
          </w:p>
        </w:tc>
        <w:tc>
          <w:tcPr>
            <w:tcW w:w="747" w:type="dxa"/>
            <w:vAlign w:val="center"/>
          </w:tcPr>
          <w:p w:rsidR="000C1AB9" w:rsidRPr="00B61EF6" w:rsidRDefault="000C1AB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0C1AB9">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43.6</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1.01</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0.26</w:t>
            </w:r>
            <w:r w:rsidR="00541B39">
              <w:rPr>
                <w:color w:val="000000"/>
                <w:sz w:val="16"/>
                <w:szCs w:val="16"/>
              </w:rPr>
              <w:t xml:space="preserve"> - </w:t>
            </w:r>
            <w:r w:rsidR="00541B39" w:rsidRPr="00B61EF6">
              <w:rPr>
                <w:color w:val="000000"/>
                <w:sz w:val="16"/>
                <w:szCs w:val="16"/>
              </w:rPr>
              <w:t>3.87</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0.99</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bCs/>
                <w:color w:val="000000"/>
                <w:sz w:val="16"/>
                <w:szCs w:val="16"/>
              </w:rPr>
              <w:t>Methods - Leaving ATM and credit cards at home</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47.5</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13.3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0.17</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0.05</w:t>
            </w:r>
            <w:r w:rsidR="00541B39">
              <w:rPr>
                <w:color w:val="000000"/>
                <w:sz w:val="16"/>
                <w:szCs w:val="16"/>
              </w:rPr>
              <w:t xml:space="preserve"> - </w:t>
            </w:r>
            <w:r w:rsidR="00541B39" w:rsidRPr="00B61EF6">
              <w:rPr>
                <w:color w:val="000000"/>
                <w:sz w:val="16"/>
                <w:szCs w:val="16"/>
              </w:rPr>
              <w:t>0.62</w:t>
            </w:r>
            <w:r>
              <w:rPr>
                <w:color w:val="000000"/>
                <w:sz w:val="16"/>
                <w:szCs w:val="16"/>
              </w:rPr>
              <w:t>)</w:t>
            </w:r>
          </w:p>
        </w:tc>
        <w:tc>
          <w:tcPr>
            <w:tcW w:w="747" w:type="dxa"/>
            <w:shd w:val="clear" w:color="auto" w:fill="D9D9D9" w:themeFill="background1" w:themeFillShade="D9"/>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0.01</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bCs/>
                <w:color w:val="000000"/>
                <w:sz w:val="16"/>
                <w:szCs w:val="16"/>
              </w:rPr>
              <w:t>Methods - Setting a time limit</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41.6</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63.3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2.43</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0.32</w:t>
            </w:r>
            <w:r w:rsidR="00541B39">
              <w:rPr>
                <w:color w:val="000000"/>
                <w:sz w:val="16"/>
                <w:szCs w:val="16"/>
              </w:rPr>
              <w:t xml:space="preserve"> - </w:t>
            </w:r>
            <w:r w:rsidR="00541B39" w:rsidRPr="00B61EF6">
              <w:rPr>
                <w:color w:val="000000"/>
                <w:sz w:val="16"/>
                <w:szCs w:val="16"/>
              </w:rPr>
              <w:t>18.65</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0.39</w:t>
            </w:r>
          </w:p>
        </w:tc>
      </w:tr>
      <w:tr w:rsidR="00CB35E8" w:rsidRPr="009B1415" w:rsidTr="00F959A8">
        <w:tc>
          <w:tcPr>
            <w:tcW w:w="5353" w:type="dxa"/>
            <w:gridSpan w:val="2"/>
            <w:vAlign w:val="bottom"/>
          </w:tcPr>
          <w:p w:rsidR="00CB35E8" w:rsidRPr="000C1AB9" w:rsidRDefault="00CB35E8" w:rsidP="000C1AB9">
            <w:pPr>
              <w:adjustRightInd w:val="0"/>
              <w:spacing w:before="20"/>
              <w:rPr>
                <w:b/>
                <w:color w:val="000000"/>
                <w:sz w:val="16"/>
                <w:szCs w:val="16"/>
              </w:rPr>
            </w:pPr>
            <w:r w:rsidRPr="000C1AB9">
              <w:rPr>
                <w:b/>
                <w:color w:val="000000"/>
                <w:sz w:val="16"/>
                <w:szCs w:val="16"/>
              </w:rPr>
              <w:t>Methods - Avoiding places that have betting or gambling</w:t>
            </w:r>
          </w:p>
        </w:tc>
        <w:tc>
          <w:tcPr>
            <w:tcW w:w="1134" w:type="dxa"/>
            <w:vAlign w:val="center"/>
          </w:tcPr>
          <w:p w:rsidR="00CB35E8" w:rsidRPr="00CB35E8" w:rsidRDefault="00CB35E8" w:rsidP="00CB35E8">
            <w:pPr>
              <w:adjustRightInd w:val="0"/>
              <w:spacing w:before="20"/>
              <w:jc w:val="center"/>
              <w:rPr>
                <w:color w:val="000000"/>
                <w:sz w:val="16"/>
                <w:szCs w:val="16"/>
              </w:rPr>
            </w:pPr>
          </w:p>
        </w:tc>
        <w:tc>
          <w:tcPr>
            <w:tcW w:w="968" w:type="dxa"/>
            <w:vAlign w:val="center"/>
          </w:tcPr>
          <w:p w:rsidR="00CB35E8" w:rsidRPr="00CB35E8" w:rsidRDefault="00CB35E8" w:rsidP="00CB35E8">
            <w:pPr>
              <w:adjustRightInd w:val="0"/>
              <w:spacing w:before="20"/>
              <w:jc w:val="center"/>
              <w:rPr>
                <w:color w:val="000000"/>
                <w:sz w:val="16"/>
                <w:szCs w:val="16"/>
              </w:rPr>
            </w:pPr>
          </w:p>
        </w:tc>
        <w:tc>
          <w:tcPr>
            <w:tcW w:w="270" w:type="dxa"/>
            <w:vAlign w:val="center"/>
          </w:tcPr>
          <w:p w:rsidR="00CB35E8" w:rsidRPr="00CB35E8" w:rsidRDefault="00CB35E8" w:rsidP="00CB35E8">
            <w:pPr>
              <w:adjustRightInd w:val="0"/>
              <w:spacing w:before="20"/>
              <w:jc w:val="center"/>
              <w:rPr>
                <w:color w:val="000000"/>
                <w:sz w:val="16"/>
                <w:szCs w:val="16"/>
              </w:rPr>
            </w:pPr>
          </w:p>
        </w:tc>
        <w:tc>
          <w:tcPr>
            <w:tcW w:w="747" w:type="dxa"/>
            <w:vAlign w:val="center"/>
          </w:tcPr>
          <w:p w:rsidR="00CB35E8" w:rsidRPr="00CB35E8" w:rsidRDefault="00CB35E8" w:rsidP="00CB35E8">
            <w:pPr>
              <w:adjustRightInd w:val="0"/>
              <w:spacing w:before="20"/>
              <w:jc w:val="center"/>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43.6</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42.4</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0.95</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0.30</w:t>
            </w:r>
            <w:r w:rsidR="00541B39">
              <w:rPr>
                <w:color w:val="000000"/>
                <w:sz w:val="16"/>
                <w:szCs w:val="16"/>
              </w:rPr>
              <w:t xml:space="preserve"> - </w:t>
            </w:r>
            <w:r w:rsidR="00541B39" w:rsidRPr="00B61EF6">
              <w:rPr>
                <w:color w:val="000000"/>
                <w:sz w:val="16"/>
                <w:szCs w:val="16"/>
              </w:rPr>
              <w:t>3.04</w:t>
            </w:r>
            <w:r>
              <w:rPr>
                <w:color w:val="000000"/>
                <w:sz w:val="16"/>
                <w:szCs w:val="16"/>
              </w:rPr>
              <w:t>)</w:t>
            </w:r>
          </w:p>
        </w:tc>
        <w:tc>
          <w:tcPr>
            <w:tcW w:w="747" w:type="dxa"/>
            <w:shd w:val="clear" w:color="auto" w:fill="auto"/>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0.93</w:t>
            </w:r>
          </w:p>
        </w:tc>
      </w:tr>
      <w:tr w:rsidR="00CB35E8" w:rsidRPr="009B1415" w:rsidTr="00F959A8">
        <w:tc>
          <w:tcPr>
            <w:tcW w:w="4786" w:type="dxa"/>
            <w:vAlign w:val="bottom"/>
          </w:tcPr>
          <w:p w:rsidR="00CB35E8" w:rsidRPr="009B1415" w:rsidRDefault="00CB35E8" w:rsidP="00CB35E8">
            <w:pPr>
              <w:spacing w:before="20"/>
              <w:jc w:val="both"/>
              <w:rPr>
                <w:b/>
                <w:sz w:val="16"/>
                <w:szCs w:val="16"/>
              </w:rPr>
            </w:pPr>
            <w:r w:rsidRPr="009B1415">
              <w:rPr>
                <w:b/>
                <w:sz w:val="16"/>
                <w:szCs w:val="16"/>
              </w:rPr>
              <w:t xml:space="preserve">Sought help </w:t>
            </w:r>
            <w:r w:rsidR="003E1E3A" w:rsidRPr="003E1E3A">
              <w:rPr>
                <w:b/>
                <w:sz w:val="16"/>
                <w:szCs w:val="16"/>
              </w:rPr>
              <w:t xml:space="preserve">(from formal and informal sources) </w:t>
            </w:r>
            <w:r w:rsidRPr="009B1415">
              <w:rPr>
                <w:b/>
                <w:sz w:val="16"/>
                <w:szCs w:val="16"/>
              </w:rPr>
              <w:t>in last year</w:t>
            </w:r>
          </w:p>
        </w:tc>
        <w:tc>
          <w:tcPr>
            <w:tcW w:w="567" w:type="dxa"/>
            <w:vAlign w:val="center"/>
          </w:tcPr>
          <w:p w:rsidR="00CB35E8" w:rsidRPr="00CB35E8" w:rsidRDefault="00CB35E8" w:rsidP="00BF573E">
            <w:pPr>
              <w:adjustRightInd w:val="0"/>
              <w:spacing w:before="20"/>
              <w:jc w:val="right"/>
              <w:rPr>
                <w:color w:val="000000"/>
                <w:sz w:val="16"/>
                <w:szCs w:val="16"/>
              </w:rPr>
            </w:pPr>
          </w:p>
        </w:tc>
        <w:tc>
          <w:tcPr>
            <w:tcW w:w="1134" w:type="dxa"/>
            <w:vAlign w:val="center"/>
          </w:tcPr>
          <w:p w:rsidR="00CB35E8" w:rsidRPr="00CB35E8" w:rsidRDefault="00CB35E8" w:rsidP="00BF573E">
            <w:pPr>
              <w:adjustRightInd w:val="0"/>
              <w:spacing w:before="20"/>
              <w:jc w:val="right"/>
              <w:rPr>
                <w:color w:val="000000"/>
                <w:sz w:val="16"/>
                <w:szCs w:val="16"/>
              </w:rPr>
            </w:pPr>
          </w:p>
        </w:tc>
        <w:tc>
          <w:tcPr>
            <w:tcW w:w="968" w:type="dxa"/>
            <w:vAlign w:val="center"/>
          </w:tcPr>
          <w:p w:rsidR="00CB35E8" w:rsidRPr="00CB35E8" w:rsidRDefault="00CB35E8" w:rsidP="00BF573E">
            <w:pPr>
              <w:adjustRightInd w:val="0"/>
              <w:spacing w:before="20"/>
              <w:jc w:val="right"/>
              <w:rPr>
                <w:color w:val="000000"/>
                <w:sz w:val="16"/>
                <w:szCs w:val="16"/>
              </w:rPr>
            </w:pPr>
          </w:p>
        </w:tc>
        <w:tc>
          <w:tcPr>
            <w:tcW w:w="270" w:type="dxa"/>
            <w:vAlign w:val="center"/>
          </w:tcPr>
          <w:p w:rsidR="00CB35E8" w:rsidRPr="00CB35E8" w:rsidRDefault="00CB35E8" w:rsidP="00BF573E">
            <w:pPr>
              <w:adjustRightInd w:val="0"/>
              <w:spacing w:before="20"/>
              <w:jc w:val="right"/>
              <w:rPr>
                <w:color w:val="000000"/>
                <w:sz w:val="16"/>
                <w:szCs w:val="16"/>
              </w:rPr>
            </w:pPr>
          </w:p>
        </w:tc>
        <w:tc>
          <w:tcPr>
            <w:tcW w:w="747" w:type="dxa"/>
            <w:vAlign w:val="center"/>
          </w:tcPr>
          <w:p w:rsidR="00CB35E8" w:rsidRPr="00CB35E8" w:rsidRDefault="00CB35E8"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40.9</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78.1</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5.15</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0.85</w:t>
            </w:r>
            <w:r w:rsidR="00541B39">
              <w:rPr>
                <w:color w:val="000000"/>
                <w:sz w:val="16"/>
                <w:szCs w:val="16"/>
              </w:rPr>
              <w:t xml:space="preserve"> - </w:t>
            </w:r>
            <w:r w:rsidR="00541B39" w:rsidRPr="00B61EF6">
              <w:rPr>
                <w:color w:val="000000"/>
                <w:sz w:val="16"/>
                <w:szCs w:val="16"/>
              </w:rPr>
              <w:t>31.33</w:t>
            </w:r>
            <w:r>
              <w:rPr>
                <w:color w:val="000000"/>
                <w:sz w:val="16"/>
                <w:szCs w:val="16"/>
              </w:rPr>
              <w:t>)</w:t>
            </w:r>
          </w:p>
        </w:tc>
        <w:tc>
          <w:tcPr>
            <w:tcW w:w="747" w:type="dxa"/>
            <w:shd w:val="clear" w:color="auto" w:fill="D9D9D9" w:themeFill="background1" w:themeFillShade="D9"/>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0.08</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sz w:val="16"/>
                <w:szCs w:val="16"/>
              </w:rPr>
              <w:t>Number of significant life events</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0</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72.3</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1</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32.0</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0.18</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0.03</w:t>
            </w:r>
            <w:r w:rsidR="00541B39">
              <w:rPr>
                <w:color w:val="000000"/>
                <w:sz w:val="16"/>
                <w:szCs w:val="16"/>
              </w:rPr>
              <w:t xml:space="preserve"> - </w:t>
            </w:r>
            <w:r w:rsidR="00541B39" w:rsidRPr="00B61EF6">
              <w:rPr>
                <w:color w:val="000000"/>
                <w:sz w:val="16"/>
                <w:szCs w:val="16"/>
              </w:rPr>
              <w:t>1.06</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2</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36.5</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0.22</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0.04</w:t>
            </w:r>
            <w:r w:rsidR="00541B39">
              <w:rPr>
                <w:color w:val="000000"/>
                <w:sz w:val="16"/>
                <w:szCs w:val="16"/>
              </w:rPr>
              <w:t xml:space="preserve"> - </w:t>
            </w:r>
            <w:r w:rsidR="00541B39" w:rsidRPr="00B61EF6">
              <w:rPr>
                <w:color w:val="000000"/>
                <w:sz w:val="16"/>
                <w:szCs w:val="16"/>
              </w:rPr>
              <w:t>1.24</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3</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61.7</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0.62</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0.10</w:t>
            </w:r>
            <w:r w:rsidR="00541B39">
              <w:rPr>
                <w:color w:val="000000"/>
                <w:sz w:val="16"/>
                <w:szCs w:val="16"/>
              </w:rPr>
              <w:t xml:space="preserve"> - </w:t>
            </w:r>
            <w:r w:rsidR="00541B39" w:rsidRPr="00B61EF6">
              <w:rPr>
                <w:color w:val="000000"/>
                <w:sz w:val="16"/>
                <w:szCs w:val="16"/>
              </w:rPr>
              <w:t>3.91</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4</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30.3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0.17</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0.03</w:t>
            </w:r>
            <w:r w:rsidR="00541B39">
              <w:rPr>
                <w:color w:val="000000"/>
                <w:sz w:val="16"/>
                <w:szCs w:val="16"/>
              </w:rPr>
              <w:t xml:space="preserve"> - </w:t>
            </w:r>
            <w:r w:rsidR="00541B39" w:rsidRPr="00B61EF6">
              <w:rPr>
                <w:color w:val="000000"/>
                <w:sz w:val="16"/>
                <w:szCs w:val="16"/>
              </w:rPr>
              <w:t>1.10</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5+</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41.8</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0.28</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0.05</w:t>
            </w:r>
            <w:r w:rsidR="00541B39">
              <w:rPr>
                <w:color w:val="000000"/>
                <w:sz w:val="16"/>
                <w:szCs w:val="16"/>
              </w:rPr>
              <w:t xml:space="preserve"> - </w:t>
            </w:r>
            <w:r w:rsidR="00541B39" w:rsidRPr="00B61EF6">
              <w:rPr>
                <w:color w:val="000000"/>
                <w:sz w:val="16"/>
                <w:szCs w:val="16"/>
              </w:rPr>
              <w:t>1.45</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0.24</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sz w:val="16"/>
                <w:szCs w:val="16"/>
              </w:rPr>
              <w:t>Quality of life (WHOQoL-8)</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Below median ( Score 0 - 24)</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41.</w:t>
            </w:r>
            <w:r w:rsidRPr="00B61EF6">
              <w:rPr>
                <w:color w:val="000000"/>
                <w:sz w:val="16"/>
                <w:szCs w:val="16"/>
              </w:rPr>
              <w:t>8</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0.44</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0.13</w:t>
            </w:r>
            <w:r w:rsidR="00541B39">
              <w:rPr>
                <w:color w:val="000000"/>
                <w:sz w:val="16"/>
                <w:szCs w:val="16"/>
              </w:rPr>
              <w:t xml:space="preserve"> - </w:t>
            </w:r>
            <w:r w:rsidR="00541B39" w:rsidRPr="00B61EF6">
              <w:rPr>
                <w:color w:val="000000"/>
                <w:sz w:val="16"/>
                <w:szCs w:val="16"/>
              </w:rPr>
              <w:t>1.53</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Median score (Score 25)</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19.9</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0.15</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0.02</w:t>
            </w:r>
            <w:r w:rsidR="00541B39">
              <w:rPr>
                <w:color w:val="000000"/>
                <w:sz w:val="16"/>
                <w:szCs w:val="16"/>
              </w:rPr>
              <w:t xml:space="preserve"> - </w:t>
            </w:r>
            <w:r w:rsidR="00541B39" w:rsidRPr="00B61EF6">
              <w:rPr>
                <w:color w:val="000000"/>
                <w:sz w:val="16"/>
                <w:szCs w:val="16"/>
              </w:rPr>
              <w:t>1.19</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Above median (Score 26 - 32)</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62.0</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0.17</w:t>
            </w:r>
          </w:p>
        </w:tc>
      </w:tr>
      <w:tr w:rsidR="00B61EF6" w:rsidRPr="009B1415" w:rsidTr="00F959A8">
        <w:tc>
          <w:tcPr>
            <w:tcW w:w="4786" w:type="dxa"/>
            <w:vAlign w:val="bottom"/>
          </w:tcPr>
          <w:p w:rsidR="00B61EF6" w:rsidRPr="009B1415" w:rsidRDefault="00B61EF6" w:rsidP="00B61EF6">
            <w:pPr>
              <w:keepNext/>
              <w:spacing w:before="20"/>
              <w:jc w:val="both"/>
              <w:rPr>
                <w:b/>
                <w:sz w:val="16"/>
                <w:szCs w:val="16"/>
              </w:rPr>
            </w:pPr>
            <w:r w:rsidRPr="009B1415">
              <w:rPr>
                <w:b/>
                <w:sz w:val="16"/>
                <w:szCs w:val="16"/>
              </w:rPr>
              <w:t>Psychological distress (Kessler-10)</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keepNext/>
              <w:spacing w:before="20"/>
              <w:ind w:left="176"/>
              <w:jc w:val="both"/>
              <w:rPr>
                <w:sz w:val="16"/>
                <w:szCs w:val="16"/>
              </w:rPr>
            </w:pPr>
            <w:r w:rsidRPr="009B1415">
              <w:rPr>
                <w:sz w:val="16"/>
                <w:szCs w:val="16"/>
              </w:rPr>
              <w:t>Score 0 - 5</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41.2</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keepNext/>
              <w:spacing w:before="20"/>
              <w:ind w:left="176"/>
              <w:jc w:val="both"/>
              <w:rPr>
                <w:sz w:val="16"/>
                <w:szCs w:val="16"/>
              </w:rPr>
            </w:pPr>
            <w:r w:rsidRPr="009B1415">
              <w:rPr>
                <w:sz w:val="16"/>
                <w:szCs w:val="16"/>
              </w:rPr>
              <w:t>Score 6 - 11</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41.0</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0.99</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0.29</w:t>
            </w:r>
            <w:r w:rsidR="00541B39">
              <w:rPr>
                <w:color w:val="000000"/>
                <w:sz w:val="16"/>
                <w:szCs w:val="16"/>
              </w:rPr>
              <w:t xml:space="preserve"> - </w:t>
            </w:r>
            <w:r w:rsidR="00541B39" w:rsidRPr="00B61EF6">
              <w:rPr>
                <w:color w:val="000000"/>
                <w:sz w:val="16"/>
                <w:szCs w:val="16"/>
              </w:rPr>
              <w:t>3.42</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keepNext/>
              <w:spacing w:before="20"/>
              <w:ind w:left="176"/>
              <w:jc w:val="both"/>
              <w:rPr>
                <w:sz w:val="16"/>
                <w:szCs w:val="16"/>
              </w:rPr>
            </w:pPr>
            <w:r w:rsidRPr="009B1415">
              <w:rPr>
                <w:sz w:val="16"/>
                <w:szCs w:val="16"/>
              </w:rPr>
              <w:t>Score 12 - 19</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53.8</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1.67</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0.41</w:t>
            </w:r>
            <w:r w:rsidR="00541B39">
              <w:rPr>
                <w:color w:val="000000"/>
                <w:sz w:val="16"/>
                <w:szCs w:val="16"/>
              </w:rPr>
              <w:t xml:space="preserve"> - </w:t>
            </w:r>
            <w:r w:rsidR="00541B39" w:rsidRPr="00B61EF6">
              <w:rPr>
                <w:color w:val="000000"/>
                <w:sz w:val="16"/>
                <w:szCs w:val="16"/>
              </w:rPr>
              <w:t>6.71</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keepNext/>
              <w:spacing w:before="20"/>
              <w:ind w:left="176"/>
              <w:jc w:val="both"/>
              <w:rPr>
                <w:sz w:val="16"/>
                <w:szCs w:val="16"/>
              </w:rPr>
            </w:pPr>
            <w:r w:rsidRPr="009B1415">
              <w:rPr>
                <w:sz w:val="16"/>
                <w:szCs w:val="16"/>
              </w:rPr>
              <w:t>Score 20 - 40</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38.3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0.89</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0.17</w:t>
            </w:r>
            <w:r w:rsidR="00541B39">
              <w:rPr>
                <w:color w:val="000000"/>
                <w:sz w:val="16"/>
                <w:szCs w:val="16"/>
              </w:rPr>
              <w:t xml:space="preserve"> - </w:t>
            </w:r>
            <w:r w:rsidR="00541B39" w:rsidRPr="00B61EF6">
              <w:rPr>
                <w:color w:val="000000"/>
                <w:sz w:val="16"/>
                <w:szCs w:val="16"/>
              </w:rPr>
              <w:t>4.51</w:t>
            </w:r>
            <w:r>
              <w:rPr>
                <w:color w:val="000000"/>
                <w:sz w:val="16"/>
                <w:szCs w:val="16"/>
              </w:rPr>
              <w:t>)</w:t>
            </w:r>
          </w:p>
        </w:tc>
        <w:tc>
          <w:tcPr>
            <w:tcW w:w="747" w:type="dxa"/>
            <w:shd w:val="clear" w:color="auto" w:fill="auto"/>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0.87</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sz w:val="16"/>
                <w:szCs w:val="16"/>
              </w:rPr>
              <w:t xml:space="preserve">Hazardous alcohol consumption (AUDIT-C) </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42.3</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44.3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1.09</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0.41</w:t>
            </w:r>
            <w:r w:rsidR="00541B39">
              <w:rPr>
                <w:color w:val="000000"/>
                <w:sz w:val="16"/>
                <w:szCs w:val="16"/>
              </w:rPr>
              <w:t xml:space="preserve"> - </w:t>
            </w:r>
            <w:r w:rsidR="00541B39" w:rsidRPr="00B61EF6">
              <w:rPr>
                <w:color w:val="000000"/>
                <w:sz w:val="16"/>
                <w:szCs w:val="16"/>
              </w:rPr>
              <w:t>2.86</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0.87</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sz w:val="16"/>
                <w:szCs w:val="16"/>
              </w:rPr>
              <w:t>Does not use drugs</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49.7</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40.3</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0.68</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0.21</w:t>
            </w:r>
            <w:r w:rsidR="00541B39">
              <w:rPr>
                <w:color w:val="000000"/>
                <w:sz w:val="16"/>
                <w:szCs w:val="16"/>
              </w:rPr>
              <w:t xml:space="preserve"> - </w:t>
            </w:r>
            <w:r w:rsidR="00541B39" w:rsidRPr="00B61EF6">
              <w:rPr>
                <w:color w:val="000000"/>
                <w:sz w:val="16"/>
                <w:szCs w:val="16"/>
              </w:rPr>
              <w:t>2.21</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0.52</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sz w:val="16"/>
                <w:szCs w:val="16"/>
              </w:rPr>
              <w:t>Cannabis</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A50DB2" w:rsidP="00BF573E">
            <w:pPr>
              <w:adjustRightInd w:val="0"/>
              <w:spacing w:before="20"/>
              <w:jc w:val="right"/>
              <w:rPr>
                <w:color w:val="000000"/>
                <w:sz w:val="16"/>
                <w:szCs w:val="16"/>
              </w:rPr>
            </w:pPr>
            <w:r>
              <w:rPr>
                <w:color w:val="000000"/>
                <w:sz w:val="16"/>
                <w:szCs w:val="16"/>
              </w:rPr>
              <w:t>41.6</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48.2</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1.31</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0.38</w:t>
            </w:r>
            <w:r w:rsidR="00541B39">
              <w:rPr>
                <w:color w:val="000000"/>
                <w:sz w:val="16"/>
                <w:szCs w:val="16"/>
              </w:rPr>
              <w:t xml:space="preserve"> - </w:t>
            </w:r>
            <w:r w:rsidR="00541B39" w:rsidRPr="00B61EF6">
              <w:rPr>
                <w:color w:val="000000"/>
                <w:sz w:val="16"/>
                <w:szCs w:val="16"/>
              </w:rPr>
              <w:t>4.52</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0.67</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bCs/>
                <w:color w:val="000000"/>
                <w:sz w:val="16"/>
                <w:szCs w:val="16"/>
              </w:rPr>
              <w:t>Ever smoked tobacco</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48.9</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2.64</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0.80</w:t>
            </w:r>
            <w:r w:rsidR="00541B39">
              <w:rPr>
                <w:color w:val="000000"/>
                <w:sz w:val="16"/>
                <w:szCs w:val="16"/>
              </w:rPr>
              <w:t xml:space="preserve"> - </w:t>
            </w:r>
            <w:r w:rsidR="00541B39" w:rsidRPr="00B61EF6">
              <w:rPr>
                <w:color w:val="000000"/>
                <w:sz w:val="16"/>
                <w:szCs w:val="16"/>
              </w:rPr>
              <w:t>8.75</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spacing w:before="20"/>
              <w:ind w:left="176"/>
              <w:jc w:val="both"/>
              <w:rPr>
                <w:sz w:val="16"/>
                <w:szCs w:val="16"/>
              </w:rPr>
            </w:pPr>
            <w:r w:rsidRPr="009B1415">
              <w:rPr>
                <w:sz w:val="16"/>
                <w:szCs w:val="16"/>
              </w:rPr>
              <w:t>No</w:t>
            </w:r>
          </w:p>
        </w:tc>
        <w:tc>
          <w:tcPr>
            <w:tcW w:w="56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26.6</w:t>
            </w:r>
          </w:p>
        </w:tc>
        <w:tc>
          <w:tcPr>
            <w:tcW w:w="1134"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0.11</w:t>
            </w:r>
          </w:p>
        </w:tc>
      </w:tr>
      <w:tr w:rsidR="00B61EF6" w:rsidRPr="009B1415" w:rsidTr="00F959A8">
        <w:tc>
          <w:tcPr>
            <w:tcW w:w="4786" w:type="dxa"/>
            <w:vAlign w:val="bottom"/>
          </w:tcPr>
          <w:p w:rsidR="00B61EF6" w:rsidRPr="009B1415" w:rsidRDefault="00B61EF6" w:rsidP="00B61EF6">
            <w:pPr>
              <w:keepNext/>
              <w:spacing w:before="20"/>
              <w:jc w:val="both"/>
              <w:rPr>
                <w:b/>
                <w:sz w:val="16"/>
                <w:szCs w:val="16"/>
              </w:rPr>
            </w:pPr>
            <w:r w:rsidRPr="009B1415">
              <w:rPr>
                <w:b/>
                <w:bCs/>
                <w:color w:val="000000"/>
                <w:sz w:val="16"/>
                <w:szCs w:val="16"/>
              </w:rPr>
              <w:t>Ever smoked more than 100 cigarettes in lifetime</w:t>
            </w:r>
          </w:p>
        </w:tc>
        <w:tc>
          <w:tcPr>
            <w:tcW w:w="567" w:type="dxa"/>
            <w:vAlign w:val="center"/>
          </w:tcPr>
          <w:p w:rsidR="00B61EF6" w:rsidRPr="00B61EF6" w:rsidRDefault="00B61EF6" w:rsidP="00BF573E">
            <w:pPr>
              <w:keepNext/>
              <w:adjustRightInd w:val="0"/>
              <w:spacing w:before="20"/>
              <w:jc w:val="right"/>
              <w:rPr>
                <w:color w:val="000000"/>
                <w:sz w:val="16"/>
                <w:szCs w:val="16"/>
              </w:rPr>
            </w:pPr>
          </w:p>
        </w:tc>
        <w:tc>
          <w:tcPr>
            <w:tcW w:w="1134" w:type="dxa"/>
            <w:vAlign w:val="center"/>
          </w:tcPr>
          <w:p w:rsidR="00B61EF6" w:rsidRPr="00B61EF6" w:rsidRDefault="00B61EF6" w:rsidP="00BF573E">
            <w:pPr>
              <w:keepNext/>
              <w:adjustRightInd w:val="0"/>
              <w:spacing w:before="20"/>
              <w:jc w:val="right"/>
              <w:rPr>
                <w:color w:val="000000"/>
                <w:sz w:val="16"/>
                <w:szCs w:val="16"/>
              </w:rPr>
            </w:pPr>
          </w:p>
        </w:tc>
        <w:tc>
          <w:tcPr>
            <w:tcW w:w="968" w:type="dxa"/>
            <w:vAlign w:val="center"/>
          </w:tcPr>
          <w:p w:rsidR="00B61EF6" w:rsidRPr="00B61EF6" w:rsidRDefault="00B61EF6" w:rsidP="00BF573E">
            <w:pPr>
              <w:keepNext/>
              <w:adjustRightInd w:val="0"/>
              <w:spacing w:before="20"/>
              <w:jc w:val="right"/>
              <w:rPr>
                <w:color w:val="000000"/>
                <w:sz w:val="16"/>
                <w:szCs w:val="16"/>
              </w:rPr>
            </w:pPr>
          </w:p>
        </w:tc>
        <w:tc>
          <w:tcPr>
            <w:tcW w:w="270" w:type="dxa"/>
            <w:vAlign w:val="center"/>
          </w:tcPr>
          <w:p w:rsidR="00B61EF6" w:rsidRPr="00B61EF6" w:rsidRDefault="00B61EF6" w:rsidP="00BF573E">
            <w:pPr>
              <w:keepNext/>
              <w:adjustRightInd w:val="0"/>
              <w:spacing w:before="20"/>
              <w:jc w:val="right"/>
              <w:rPr>
                <w:color w:val="000000"/>
                <w:sz w:val="16"/>
                <w:szCs w:val="16"/>
              </w:rPr>
            </w:pPr>
          </w:p>
        </w:tc>
        <w:tc>
          <w:tcPr>
            <w:tcW w:w="747" w:type="dxa"/>
            <w:vAlign w:val="center"/>
          </w:tcPr>
          <w:p w:rsidR="00B61EF6" w:rsidRPr="00B61EF6" w:rsidRDefault="00B61EF6" w:rsidP="00BF57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keepNext/>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keepNext/>
              <w:adjustRightInd w:val="0"/>
              <w:spacing w:before="20"/>
              <w:jc w:val="right"/>
              <w:rPr>
                <w:color w:val="000000"/>
                <w:sz w:val="16"/>
                <w:szCs w:val="16"/>
              </w:rPr>
            </w:pPr>
            <w:r>
              <w:rPr>
                <w:color w:val="000000"/>
                <w:sz w:val="16"/>
                <w:szCs w:val="16"/>
              </w:rPr>
              <w:t>50.2</w:t>
            </w:r>
          </w:p>
        </w:tc>
        <w:tc>
          <w:tcPr>
            <w:tcW w:w="1134" w:type="dxa"/>
            <w:vAlign w:val="center"/>
          </w:tcPr>
          <w:p w:rsidR="00541B39" w:rsidRPr="00B61EF6" w:rsidRDefault="00541B39" w:rsidP="00BF573E">
            <w:pPr>
              <w:keepNext/>
              <w:adjustRightInd w:val="0"/>
              <w:spacing w:before="20"/>
              <w:jc w:val="right"/>
              <w:rPr>
                <w:color w:val="000000"/>
                <w:sz w:val="16"/>
                <w:szCs w:val="16"/>
              </w:rPr>
            </w:pPr>
            <w:r w:rsidRPr="00B61EF6">
              <w:rPr>
                <w:color w:val="000000"/>
                <w:sz w:val="16"/>
                <w:szCs w:val="16"/>
              </w:rPr>
              <w:t>2.13</w:t>
            </w:r>
          </w:p>
        </w:tc>
        <w:tc>
          <w:tcPr>
            <w:tcW w:w="1238" w:type="dxa"/>
            <w:gridSpan w:val="2"/>
            <w:vAlign w:val="center"/>
          </w:tcPr>
          <w:p w:rsidR="00541B39" w:rsidRPr="00B61EF6" w:rsidRDefault="009A56CE" w:rsidP="00541B39">
            <w:pPr>
              <w:keepNext/>
              <w:adjustRightInd w:val="0"/>
              <w:spacing w:before="20"/>
              <w:jc w:val="right"/>
              <w:rPr>
                <w:color w:val="000000"/>
                <w:sz w:val="16"/>
                <w:szCs w:val="16"/>
              </w:rPr>
            </w:pPr>
            <w:r>
              <w:rPr>
                <w:color w:val="000000"/>
                <w:sz w:val="16"/>
                <w:szCs w:val="16"/>
              </w:rPr>
              <w:t>(</w:t>
            </w:r>
            <w:r w:rsidR="00541B39" w:rsidRPr="00B61EF6">
              <w:rPr>
                <w:color w:val="000000"/>
                <w:sz w:val="16"/>
                <w:szCs w:val="16"/>
              </w:rPr>
              <w:t>0.70</w:t>
            </w:r>
            <w:r w:rsidR="00541B39">
              <w:rPr>
                <w:color w:val="000000"/>
                <w:sz w:val="16"/>
                <w:szCs w:val="16"/>
              </w:rPr>
              <w:t xml:space="preserve"> - </w:t>
            </w:r>
            <w:r w:rsidR="00541B39" w:rsidRPr="00B61EF6">
              <w:rPr>
                <w:color w:val="000000"/>
                <w:sz w:val="16"/>
                <w:szCs w:val="16"/>
              </w:rPr>
              <w:t>6.47</w:t>
            </w:r>
            <w:r>
              <w:rPr>
                <w:color w:val="000000"/>
                <w:sz w:val="16"/>
                <w:szCs w:val="16"/>
              </w:rPr>
              <w:t>)</w:t>
            </w:r>
          </w:p>
        </w:tc>
        <w:tc>
          <w:tcPr>
            <w:tcW w:w="747" w:type="dxa"/>
            <w:vAlign w:val="center"/>
          </w:tcPr>
          <w:p w:rsidR="00541B39" w:rsidRPr="00B61EF6" w:rsidRDefault="00541B39" w:rsidP="00BF573E">
            <w:pPr>
              <w:keepNext/>
              <w:adjustRightInd w:val="0"/>
              <w:spacing w:before="20"/>
              <w:jc w:val="right"/>
              <w:rPr>
                <w:color w:val="000000"/>
                <w:sz w:val="16"/>
                <w:szCs w:val="16"/>
              </w:rPr>
            </w:pPr>
          </w:p>
        </w:tc>
      </w:tr>
      <w:tr w:rsidR="00B61EF6" w:rsidRPr="009B1415" w:rsidTr="00F959A8">
        <w:tc>
          <w:tcPr>
            <w:tcW w:w="4786" w:type="dxa"/>
          </w:tcPr>
          <w:p w:rsidR="00B61EF6" w:rsidRPr="009B1415" w:rsidRDefault="00B61EF6" w:rsidP="00B61EF6">
            <w:pPr>
              <w:keepNext/>
              <w:spacing w:before="20"/>
              <w:ind w:left="176"/>
              <w:jc w:val="both"/>
              <w:rPr>
                <w:sz w:val="16"/>
                <w:szCs w:val="16"/>
              </w:rPr>
            </w:pPr>
            <w:r w:rsidRPr="009B1415">
              <w:rPr>
                <w:sz w:val="16"/>
                <w:szCs w:val="16"/>
              </w:rPr>
              <w:t>No</w:t>
            </w:r>
          </w:p>
        </w:tc>
        <w:tc>
          <w:tcPr>
            <w:tcW w:w="567" w:type="dxa"/>
            <w:vAlign w:val="center"/>
          </w:tcPr>
          <w:p w:rsidR="00B61EF6" w:rsidRPr="00B61EF6" w:rsidRDefault="00A50DB2" w:rsidP="00BF573E">
            <w:pPr>
              <w:keepNext/>
              <w:adjustRightInd w:val="0"/>
              <w:spacing w:before="20"/>
              <w:jc w:val="right"/>
              <w:rPr>
                <w:color w:val="000000"/>
                <w:sz w:val="16"/>
                <w:szCs w:val="16"/>
              </w:rPr>
            </w:pPr>
            <w:r>
              <w:rPr>
                <w:color w:val="000000"/>
                <w:sz w:val="16"/>
                <w:szCs w:val="16"/>
              </w:rPr>
              <w:t>32.1</w:t>
            </w:r>
          </w:p>
        </w:tc>
        <w:tc>
          <w:tcPr>
            <w:tcW w:w="1134" w:type="dxa"/>
            <w:vAlign w:val="center"/>
          </w:tcPr>
          <w:p w:rsidR="00B61EF6" w:rsidRPr="00B61EF6" w:rsidRDefault="00B61EF6" w:rsidP="00BF573E">
            <w:pPr>
              <w:keepNext/>
              <w:adjustRightInd w:val="0"/>
              <w:spacing w:before="20"/>
              <w:jc w:val="right"/>
              <w:rPr>
                <w:color w:val="000000"/>
                <w:sz w:val="16"/>
                <w:szCs w:val="16"/>
              </w:rPr>
            </w:pPr>
            <w:r w:rsidRPr="00B61EF6">
              <w:rPr>
                <w:color w:val="000000"/>
                <w:sz w:val="16"/>
                <w:szCs w:val="16"/>
              </w:rPr>
              <w:t>1.00</w:t>
            </w:r>
          </w:p>
        </w:tc>
        <w:tc>
          <w:tcPr>
            <w:tcW w:w="968" w:type="dxa"/>
            <w:vAlign w:val="center"/>
          </w:tcPr>
          <w:p w:rsidR="00B61EF6" w:rsidRPr="00B61EF6" w:rsidRDefault="00B61EF6" w:rsidP="00BF573E">
            <w:pPr>
              <w:keepNext/>
              <w:adjustRightInd w:val="0"/>
              <w:spacing w:before="20"/>
              <w:jc w:val="right"/>
              <w:rPr>
                <w:color w:val="000000"/>
                <w:sz w:val="16"/>
                <w:szCs w:val="16"/>
              </w:rPr>
            </w:pPr>
          </w:p>
        </w:tc>
        <w:tc>
          <w:tcPr>
            <w:tcW w:w="270" w:type="dxa"/>
            <w:vAlign w:val="center"/>
          </w:tcPr>
          <w:p w:rsidR="00B61EF6" w:rsidRPr="00B61EF6" w:rsidRDefault="00B61EF6" w:rsidP="00BF573E">
            <w:pPr>
              <w:keepNext/>
              <w:adjustRightInd w:val="0"/>
              <w:spacing w:before="20"/>
              <w:jc w:val="right"/>
              <w:rPr>
                <w:color w:val="000000"/>
                <w:sz w:val="16"/>
                <w:szCs w:val="16"/>
              </w:rPr>
            </w:pPr>
          </w:p>
        </w:tc>
        <w:tc>
          <w:tcPr>
            <w:tcW w:w="747" w:type="dxa"/>
            <w:vAlign w:val="center"/>
          </w:tcPr>
          <w:p w:rsidR="00B61EF6" w:rsidRPr="00B61EF6" w:rsidRDefault="00B61EF6" w:rsidP="00BF573E">
            <w:pPr>
              <w:keepNext/>
              <w:adjustRightInd w:val="0"/>
              <w:spacing w:before="20"/>
              <w:jc w:val="right"/>
              <w:rPr>
                <w:color w:val="000000"/>
                <w:sz w:val="16"/>
                <w:szCs w:val="16"/>
              </w:rPr>
            </w:pPr>
            <w:r w:rsidRPr="00B61EF6">
              <w:rPr>
                <w:color w:val="000000"/>
                <w:sz w:val="16"/>
                <w:szCs w:val="16"/>
              </w:rPr>
              <w:t>0.18</w:t>
            </w:r>
          </w:p>
        </w:tc>
      </w:tr>
      <w:tr w:rsidR="00B61EF6" w:rsidRPr="009B1415" w:rsidTr="00F959A8">
        <w:tc>
          <w:tcPr>
            <w:tcW w:w="4786" w:type="dxa"/>
            <w:vAlign w:val="bottom"/>
          </w:tcPr>
          <w:p w:rsidR="00B61EF6" w:rsidRPr="009B1415" w:rsidRDefault="00B61EF6" w:rsidP="00B61EF6">
            <w:pPr>
              <w:spacing w:before="20"/>
              <w:jc w:val="both"/>
              <w:rPr>
                <w:b/>
                <w:sz w:val="16"/>
                <w:szCs w:val="16"/>
              </w:rPr>
            </w:pPr>
            <w:r w:rsidRPr="009B1415">
              <w:rPr>
                <w:b/>
                <w:bCs/>
                <w:color w:val="000000"/>
                <w:sz w:val="16"/>
                <w:szCs w:val="16"/>
              </w:rPr>
              <w:t>Ever smoked daily for a period of time</w:t>
            </w:r>
          </w:p>
        </w:tc>
        <w:tc>
          <w:tcPr>
            <w:tcW w:w="567" w:type="dxa"/>
            <w:vAlign w:val="center"/>
          </w:tcPr>
          <w:p w:rsidR="00B61EF6" w:rsidRPr="00B61EF6" w:rsidRDefault="00B61EF6" w:rsidP="00BF573E">
            <w:pPr>
              <w:adjustRightInd w:val="0"/>
              <w:spacing w:before="20"/>
              <w:jc w:val="right"/>
              <w:rPr>
                <w:color w:val="000000"/>
                <w:sz w:val="16"/>
                <w:szCs w:val="16"/>
              </w:rPr>
            </w:pPr>
          </w:p>
        </w:tc>
        <w:tc>
          <w:tcPr>
            <w:tcW w:w="1134" w:type="dxa"/>
            <w:vAlign w:val="center"/>
          </w:tcPr>
          <w:p w:rsidR="00B61EF6" w:rsidRPr="00B61EF6" w:rsidRDefault="00B61EF6" w:rsidP="00BF573E">
            <w:pPr>
              <w:adjustRightInd w:val="0"/>
              <w:spacing w:before="20"/>
              <w:jc w:val="right"/>
              <w:rPr>
                <w:color w:val="000000"/>
                <w:sz w:val="16"/>
                <w:szCs w:val="16"/>
              </w:rPr>
            </w:pPr>
          </w:p>
        </w:tc>
        <w:tc>
          <w:tcPr>
            <w:tcW w:w="968" w:type="dxa"/>
            <w:vAlign w:val="center"/>
          </w:tcPr>
          <w:p w:rsidR="00B61EF6" w:rsidRPr="00B61EF6" w:rsidRDefault="00B61EF6" w:rsidP="00BF573E">
            <w:pPr>
              <w:adjustRightInd w:val="0"/>
              <w:spacing w:before="20"/>
              <w:jc w:val="right"/>
              <w:rPr>
                <w:color w:val="000000"/>
                <w:sz w:val="16"/>
                <w:szCs w:val="16"/>
              </w:rPr>
            </w:pPr>
          </w:p>
        </w:tc>
        <w:tc>
          <w:tcPr>
            <w:tcW w:w="270" w:type="dxa"/>
            <w:vAlign w:val="center"/>
          </w:tcPr>
          <w:p w:rsidR="00B61EF6" w:rsidRPr="00B61EF6" w:rsidRDefault="00B61EF6" w:rsidP="00BF573E">
            <w:pPr>
              <w:adjustRightInd w:val="0"/>
              <w:spacing w:before="20"/>
              <w:jc w:val="right"/>
              <w:rPr>
                <w:color w:val="000000"/>
                <w:sz w:val="16"/>
                <w:szCs w:val="16"/>
              </w:rPr>
            </w:pPr>
          </w:p>
        </w:tc>
        <w:tc>
          <w:tcPr>
            <w:tcW w:w="747" w:type="dxa"/>
            <w:vAlign w:val="center"/>
          </w:tcPr>
          <w:p w:rsidR="00B61EF6" w:rsidRPr="00B61EF6" w:rsidRDefault="00B61EF6"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sidRPr="009B1415">
              <w:rPr>
                <w:sz w:val="16"/>
                <w:szCs w:val="16"/>
              </w:rPr>
              <w:t>Yes</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45.</w:t>
            </w:r>
            <w:r w:rsidRPr="00B61EF6">
              <w:rPr>
                <w:color w:val="000000"/>
                <w:sz w:val="16"/>
                <w:szCs w:val="16"/>
              </w:rPr>
              <w:t>5</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1.21</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0.43</w:t>
            </w:r>
            <w:r w:rsidR="00541B39">
              <w:rPr>
                <w:color w:val="000000"/>
                <w:sz w:val="16"/>
                <w:szCs w:val="16"/>
              </w:rPr>
              <w:t xml:space="preserve"> - </w:t>
            </w:r>
            <w:r w:rsidR="00541B39" w:rsidRPr="00B61EF6">
              <w:rPr>
                <w:color w:val="000000"/>
                <w:sz w:val="16"/>
                <w:szCs w:val="16"/>
              </w:rPr>
              <w:t>3.46</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B61EF6" w:rsidRPr="009B1415" w:rsidTr="00F959A8">
        <w:tc>
          <w:tcPr>
            <w:tcW w:w="4786" w:type="dxa"/>
            <w:tcBorders>
              <w:bottom w:val="single" w:sz="4" w:space="0" w:color="auto"/>
            </w:tcBorders>
          </w:tcPr>
          <w:p w:rsidR="00B61EF6" w:rsidRPr="009B1415" w:rsidRDefault="00B61EF6" w:rsidP="00B61EF6">
            <w:pPr>
              <w:spacing w:before="20"/>
              <w:ind w:left="176"/>
              <w:jc w:val="both"/>
              <w:rPr>
                <w:sz w:val="16"/>
                <w:szCs w:val="16"/>
              </w:rPr>
            </w:pPr>
            <w:r w:rsidRPr="009B1415">
              <w:rPr>
                <w:sz w:val="16"/>
                <w:szCs w:val="16"/>
              </w:rPr>
              <w:t>No</w:t>
            </w:r>
          </w:p>
        </w:tc>
        <w:tc>
          <w:tcPr>
            <w:tcW w:w="567" w:type="dxa"/>
            <w:tcBorders>
              <w:bottom w:val="single" w:sz="4" w:space="0" w:color="auto"/>
            </w:tcBorders>
            <w:vAlign w:val="center"/>
          </w:tcPr>
          <w:p w:rsidR="00B61EF6" w:rsidRPr="00B61EF6" w:rsidRDefault="00A50DB2" w:rsidP="00BF573E">
            <w:pPr>
              <w:adjustRightInd w:val="0"/>
              <w:spacing w:before="20"/>
              <w:jc w:val="right"/>
              <w:rPr>
                <w:color w:val="000000"/>
                <w:sz w:val="16"/>
                <w:szCs w:val="16"/>
              </w:rPr>
            </w:pPr>
            <w:r>
              <w:rPr>
                <w:color w:val="000000"/>
                <w:sz w:val="16"/>
                <w:szCs w:val="16"/>
              </w:rPr>
              <w:t>40.7</w:t>
            </w:r>
          </w:p>
        </w:tc>
        <w:tc>
          <w:tcPr>
            <w:tcW w:w="1134"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p>
        </w:tc>
        <w:tc>
          <w:tcPr>
            <w:tcW w:w="270"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p>
        </w:tc>
        <w:tc>
          <w:tcPr>
            <w:tcW w:w="747"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0.72</w:t>
            </w:r>
          </w:p>
        </w:tc>
      </w:tr>
      <w:tr w:rsidR="00B61EF6" w:rsidRPr="009B1415" w:rsidTr="00F959A8">
        <w:tc>
          <w:tcPr>
            <w:tcW w:w="4786" w:type="dxa"/>
            <w:tcBorders>
              <w:top w:val="single" w:sz="4" w:space="0" w:color="auto"/>
            </w:tcBorders>
            <w:vAlign w:val="bottom"/>
          </w:tcPr>
          <w:p w:rsidR="00B61EF6" w:rsidRPr="009B1415" w:rsidRDefault="00B61EF6" w:rsidP="0081083E">
            <w:pPr>
              <w:keepNext/>
              <w:spacing w:before="20"/>
              <w:jc w:val="both"/>
              <w:rPr>
                <w:b/>
                <w:sz w:val="16"/>
                <w:szCs w:val="16"/>
              </w:rPr>
            </w:pPr>
            <w:r w:rsidRPr="009B1415">
              <w:rPr>
                <w:b/>
                <w:bCs/>
                <w:color w:val="000000"/>
                <w:sz w:val="16"/>
                <w:szCs w:val="16"/>
              </w:rPr>
              <w:lastRenderedPageBreak/>
              <w:t>Current tobacco use</w:t>
            </w:r>
          </w:p>
        </w:tc>
        <w:tc>
          <w:tcPr>
            <w:tcW w:w="567" w:type="dxa"/>
            <w:tcBorders>
              <w:top w:val="single" w:sz="4" w:space="0" w:color="auto"/>
            </w:tcBorders>
            <w:vAlign w:val="center"/>
          </w:tcPr>
          <w:p w:rsidR="00B61EF6" w:rsidRPr="00B61EF6" w:rsidRDefault="00B61EF6" w:rsidP="0081083E">
            <w:pPr>
              <w:keepNext/>
              <w:adjustRightInd w:val="0"/>
              <w:spacing w:before="20"/>
              <w:jc w:val="right"/>
              <w:rPr>
                <w:color w:val="000000"/>
                <w:sz w:val="16"/>
                <w:szCs w:val="16"/>
              </w:rPr>
            </w:pPr>
          </w:p>
        </w:tc>
        <w:tc>
          <w:tcPr>
            <w:tcW w:w="1134" w:type="dxa"/>
            <w:tcBorders>
              <w:top w:val="single" w:sz="4" w:space="0" w:color="auto"/>
            </w:tcBorders>
            <w:vAlign w:val="center"/>
          </w:tcPr>
          <w:p w:rsidR="00B61EF6" w:rsidRPr="00B61EF6" w:rsidRDefault="00B61EF6" w:rsidP="0081083E">
            <w:pPr>
              <w:keepNext/>
              <w:adjustRightInd w:val="0"/>
              <w:spacing w:before="20"/>
              <w:jc w:val="right"/>
              <w:rPr>
                <w:color w:val="000000"/>
                <w:sz w:val="16"/>
                <w:szCs w:val="16"/>
              </w:rPr>
            </w:pPr>
          </w:p>
        </w:tc>
        <w:tc>
          <w:tcPr>
            <w:tcW w:w="968" w:type="dxa"/>
            <w:tcBorders>
              <w:top w:val="single" w:sz="4" w:space="0" w:color="auto"/>
            </w:tcBorders>
            <w:vAlign w:val="center"/>
          </w:tcPr>
          <w:p w:rsidR="00B61EF6" w:rsidRPr="00B61EF6" w:rsidRDefault="00B61EF6" w:rsidP="0081083E">
            <w:pPr>
              <w:keepNext/>
              <w:adjustRightInd w:val="0"/>
              <w:spacing w:before="20"/>
              <w:jc w:val="right"/>
              <w:rPr>
                <w:color w:val="000000"/>
                <w:sz w:val="16"/>
                <w:szCs w:val="16"/>
              </w:rPr>
            </w:pPr>
          </w:p>
        </w:tc>
        <w:tc>
          <w:tcPr>
            <w:tcW w:w="270" w:type="dxa"/>
            <w:tcBorders>
              <w:top w:val="single" w:sz="4" w:space="0" w:color="auto"/>
            </w:tcBorders>
            <w:vAlign w:val="center"/>
          </w:tcPr>
          <w:p w:rsidR="00B61EF6" w:rsidRPr="00B61EF6" w:rsidRDefault="00B61EF6" w:rsidP="0081083E">
            <w:pPr>
              <w:keepNext/>
              <w:adjustRightInd w:val="0"/>
              <w:spacing w:before="20"/>
              <w:jc w:val="right"/>
              <w:rPr>
                <w:color w:val="000000"/>
                <w:sz w:val="16"/>
                <w:szCs w:val="16"/>
              </w:rPr>
            </w:pPr>
          </w:p>
        </w:tc>
        <w:tc>
          <w:tcPr>
            <w:tcW w:w="747" w:type="dxa"/>
            <w:tcBorders>
              <w:top w:val="single" w:sz="4" w:space="0" w:color="auto"/>
            </w:tcBorders>
            <w:vAlign w:val="center"/>
          </w:tcPr>
          <w:p w:rsidR="00B61EF6" w:rsidRPr="00B61EF6" w:rsidRDefault="00B61EF6" w:rsidP="008108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81083E">
            <w:pPr>
              <w:keepNext/>
              <w:spacing w:before="20"/>
              <w:ind w:left="176"/>
              <w:jc w:val="both"/>
              <w:rPr>
                <w:sz w:val="16"/>
                <w:szCs w:val="16"/>
              </w:rPr>
            </w:pPr>
            <w:r w:rsidRPr="009B1415">
              <w:rPr>
                <w:sz w:val="16"/>
                <w:szCs w:val="16"/>
              </w:rPr>
              <w:t>Does not smoke now</w:t>
            </w:r>
          </w:p>
        </w:tc>
        <w:tc>
          <w:tcPr>
            <w:tcW w:w="567" w:type="dxa"/>
            <w:vAlign w:val="center"/>
          </w:tcPr>
          <w:p w:rsidR="00541B39" w:rsidRPr="00B61EF6" w:rsidRDefault="00541B39" w:rsidP="0081083E">
            <w:pPr>
              <w:keepNext/>
              <w:adjustRightInd w:val="0"/>
              <w:spacing w:before="20"/>
              <w:jc w:val="right"/>
              <w:rPr>
                <w:color w:val="000000"/>
                <w:sz w:val="16"/>
                <w:szCs w:val="16"/>
              </w:rPr>
            </w:pPr>
            <w:r>
              <w:rPr>
                <w:color w:val="000000"/>
                <w:sz w:val="16"/>
                <w:szCs w:val="16"/>
              </w:rPr>
              <w:t>43.2</w:t>
            </w:r>
          </w:p>
        </w:tc>
        <w:tc>
          <w:tcPr>
            <w:tcW w:w="1134" w:type="dxa"/>
            <w:vAlign w:val="center"/>
          </w:tcPr>
          <w:p w:rsidR="00541B39" w:rsidRPr="00B61EF6" w:rsidRDefault="00541B39" w:rsidP="0081083E">
            <w:pPr>
              <w:keepNext/>
              <w:adjustRightInd w:val="0"/>
              <w:spacing w:before="20"/>
              <w:jc w:val="right"/>
              <w:rPr>
                <w:color w:val="000000"/>
                <w:sz w:val="16"/>
                <w:szCs w:val="16"/>
              </w:rPr>
            </w:pPr>
            <w:r w:rsidRPr="00B61EF6">
              <w:rPr>
                <w:color w:val="000000"/>
                <w:sz w:val="16"/>
                <w:szCs w:val="16"/>
              </w:rPr>
              <w:t>1.61</w:t>
            </w:r>
          </w:p>
        </w:tc>
        <w:tc>
          <w:tcPr>
            <w:tcW w:w="1238" w:type="dxa"/>
            <w:gridSpan w:val="2"/>
            <w:vAlign w:val="center"/>
          </w:tcPr>
          <w:p w:rsidR="00541B39" w:rsidRPr="00B61EF6" w:rsidRDefault="009A56CE" w:rsidP="0081083E">
            <w:pPr>
              <w:keepNext/>
              <w:adjustRightInd w:val="0"/>
              <w:spacing w:before="20"/>
              <w:jc w:val="right"/>
              <w:rPr>
                <w:color w:val="000000"/>
                <w:sz w:val="16"/>
                <w:szCs w:val="16"/>
              </w:rPr>
            </w:pPr>
            <w:r>
              <w:rPr>
                <w:color w:val="000000"/>
                <w:sz w:val="16"/>
                <w:szCs w:val="16"/>
              </w:rPr>
              <w:t>(</w:t>
            </w:r>
            <w:r w:rsidR="00541B39" w:rsidRPr="00B61EF6">
              <w:rPr>
                <w:color w:val="000000"/>
                <w:sz w:val="16"/>
                <w:szCs w:val="16"/>
              </w:rPr>
              <w:t>0.36</w:t>
            </w:r>
            <w:r w:rsidR="00541B39">
              <w:rPr>
                <w:color w:val="000000"/>
                <w:sz w:val="16"/>
                <w:szCs w:val="16"/>
              </w:rPr>
              <w:t xml:space="preserve"> - </w:t>
            </w:r>
            <w:r w:rsidR="00541B39" w:rsidRPr="00B61EF6">
              <w:rPr>
                <w:color w:val="000000"/>
                <w:sz w:val="16"/>
                <w:szCs w:val="16"/>
              </w:rPr>
              <w:t>7.10</w:t>
            </w:r>
            <w:r>
              <w:rPr>
                <w:color w:val="000000"/>
                <w:sz w:val="16"/>
                <w:szCs w:val="16"/>
              </w:rPr>
              <w:t>)</w:t>
            </w:r>
          </w:p>
        </w:tc>
        <w:tc>
          <w:tcPr>
            <w:tcW w:w="747" w:type="dxa"/>
            <w:vAlign w:val="center"/>
          </w:tcPr>
          <w:p w:rsidR="00541B39" w:rsidRPr="00B61EF6" w:rsidRDefault="00541B39" w:rsidP="008108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81083E">
            <w:pPr>
              <w:keepNext/>
              <w:spacing w:before="20"/>
              <w:ind w:left="176"/>
              <w:jc w:val="both"/>
              <w:rPr>
                <w:sz w:val="16"/>
                <w:szCs w:val="16"/>
              </w:rPr>
            </w:pPr>
            <w:r>
              <w:rPr>
                <w:sz w:val="16"/>
                <w:szCs w:val="16"/>
              </w:rPr>
              <w:t>Smokes at least once a day</w:t>
            </w:r>
          </w:p>
        </w:tc>
        <w:tc>
          <w:tcPr>
            <w:tcW w:w="567" w:type="dxa"/>
            <w:vAlign w:val="center"/>
          </w:tcPr>
          <w:p w:rsidR="00541B39" w:rsidRPr="00B61EF6" w:rsidRDefault="00541B39" w:rsidP="0081083E">
            <w:pPr>
              <w:keepNext/>
              <w:adjustRightInd w:val="0"/>
              <w:spacing w:before="20"/>
              <w:jc w:val="right"/>
              <w:rPr>
                <w:color w:val="000000"/>
                <w:sz w:val="16"/>
                <w:szCs w:val="16"/>
              </w:rPr>
            </w:pPr>
            <w:r>
              <w:rPr>
                <w:color w:val="000000"/>
                <w:sz w:val="16"/>
                <w:szCs w:val="16"/>
              </w:rPr>
              <w:t>52.4</w:t>
            </w:r>
          </w:p>
        </w:tc>
        <w:tc>
          <w:tcPr>
            <w:tcW w:w="1134" w:type="dxa"/>
            <w:vAlign w:val="center"/>
          </w:tcPr>
          <w:p w:rsidR="00541B39" w:rsidRPr="00B61EF6" w:rsidRDefault="00541B39" w:rsidP="0081083E">
            <w:pPr>
              <w:keepNext/>
              <w:adjustRightInd w:val="0"/>
              <w:spacing w:before="20"/>
              <w:jc w:val="right"/>
              <w:rPr>
                <w:color w:val="000000"/>
                <w:sz w:val="16"/>
                <w:szCs w:val="16"/>
              </w:rPr>
            </w:pPr>
            <w:r w:rsidRPr="00B61EF6">
              <w:rPr>
                <w:color w:val="000000"/>
                <w:sz w:val="16"/>
                <w:szCs w:val="16"/>
              </w:rPr>
              <w:t>2.33</w:t>
            </w:r>
          </w:p>
        </w:tc>
        <w:tc>
          <w:tcPr>
            <w:tcW w:w="1238" w:type="dxa"/>
            <w:gridSpan w:val="2"/>
            <w:vAlign w:val="center"/>
          </w:tcPr>
          <w:p w:rsidR="00541B39" w:rsidRPr="00B61EF6" w:rsidRDefault="009A56CE" w:rsidP="0081083E">
            <w:pPr>
              <w:keepNext/>
              <w:adjustRightInd w:val="0"/>
              <w:spacing w:before="20"/>
              <w:jc w:val="right"/>
              <w:rPr>
                <w:color w:val="000000"/>
                <w:sz w:val="16"/>
                <w:szCs w:val="16"/>
              </w:rPr>
            </w:pPr>
            <w:r>
              <w:rPr>
                <w:color w:val="000000"/>
                <w:sz w:val="16"/>
                <w:szCs w:val="16"/>
              </w:rPr>
              <w:t>(</w:t>
            </w:r>
            <w:r w:rsidR="00541B39" w:rsidRPr="00B61EF6">
              <w:rPr>
                <w:color w:val="000000"/>
                <w:sz w:val="16"/>
                <w:szCs w:val="16"/>
              </w:rPr>
              <w:t>0.65</w:t>
            </w:r>
            <w:r w:rsidR="00541B39">
              <w:rPr>
                <w:color w:val="000000"/>
                <w:sz w:val="16"/>
                <w:szCs w:val="16"/>
              </w:rPr>
              <w:t xml:space="preserve"> - </w:t>
            </w:r>
            <w:r w:rsidR="00541B39" w:rsidRPr="00B61EF6">
              <w:rPr>
                <w:color w:val="000000"/>
                <w:sz w:val="16"/>
                <w:szCs w:val="16"/>
              </w:rPr>
              <w:t>8.40</w:t>
            </w:r>
            <w:r>
              <w:rPr>
                <w:color w:val="000000"/>
                <w:sz w:val="16"/>
                <w:szCs w:val="16"/>
              </w:rPr>
              <w:t>)</w:t>
            </w:r>
          </w:p>
        </w:tc>
        <w:tc>
          <w:tcPr>
            <w:tcW w:w="747" w:type="dxa"/>
            <w:vAlign w:val="center"/>
          </w:tcPr>
          <w:p w:rsidR="00541B39" w:rsidRPr="00B61EF6" w:rsidRDefault="00541B39" w:rsidP="0081083E">
            <w:pPr>
              <w:keepNext/>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Pr>
                <w:sz w:val="16"/>
                <w:szCs w:val="16"/>
              </w:rPr>
              <w:t>Smokes at least once a week</w:t>
            </w:r>
          </w:p>
        </w:tc>
        <w:tc>
          <w:tcPr>
            <w:tcW w:w="567"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82.2</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9.79</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0.77</w:t>
            </w:r>
            <w:r w:rsidR="00541B39">
              <w:rPr>
                <w:color w:val="000000"/>
                <w:sz w:val="16"/>
                <w:szCs w:val="16"/>
              </w:rPr>
              <w:t xml:space="preserve"> - </w:t>
            </w:r>
            <w:r w:rsidR="00541B39" w:rsidRPr="00B61EF6">
              <w:rPr>
                <w:color w:val="000000"/>
                <w:sz w:val="16"/>
                <w:szCs w:val="16"/>
              </w:rPr>
              <w:t>122.04</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541B39" w:rsidRPr="009B1415" w:rsidTr="00F959A8">
        <w:tc>
          <w:tcPr>
            <w:tcW w:w="4786" w:type="dxa"/>
          </w:tcPr>
          <w:p w:rsidR="00541B39" w:rsidRPr="009B1415" w:rsidRDefault="00541B39" w:rsidP="00B61EF6">
            <w:pPr>
              <w:spacing w:before="20"/>
              <w:ind w:left="176"/>
              <w:jc w:val="both"/>
              <w:rPr>
                <w:sz w:val="16"/>
                <w:szCs w:val="16"/>
              </w:rPr>
            </w:pPr>
            <w:r>
              <w:rPr>
                <w:sz w:val="16"/>
                <w:szCs w:val="16"/>
              </w:rPr>
              <w:t>Smokes at least once a month</w:t>
            </w:r>
          </w:p>
        </w:tc>
        <w:tc>
          <w:tcPr>
            <w:tcW w:w="567" w:type="dxa"/>
            <w:vAlign w:val="center"/>
          </w:tcPr>
          <w:p w:rsidR="00541B39" w:rsidRPr="00B61EF6" w:rsidRDefault="00541B39" w:rsidP="00BF573E">
            <w:pPr>
              <w:adjustRightInd w:val="0"/>
              <w:spacing w:before="20"/>
              <w:jc w:val="right"/>
              <w:rPr>
                <w:color w:val="000000"/>
                <w:sz w:val="16"/>
                <w:szCs w:val="16"/>
              </w:rPr>
            </w:pPr>
            <w:r>
              <w:rPr>
                <w:color w:val="000000"/>
                <w:sz w:val="16"/>
                <w:szCs w:val="16"/>
              </w:rPr>
              <w:t>17.2</w:t>
            </w:r>
          </w:p>
        </w:tc>
        <w:tc>
          <w:tcPr>
            <w:tcW w:w="1134" w:type="dxa"/>
            <w:vAlign w:val="center"/>
          </w:tcPr>
          <w:p w:rsidR="00541B39" w:rsidRPr="00B61EF6" w:rsidRDefault="00541B39" w:rsidP="00BF573E">
            <w:pPr>
              <w:adjustRightInd w:val="0"/>
              <w:spacing w:before="20"/>
              <w:jc w:val="right"/>
              <w:rPr>
                <w:color w:val="000000"/>
                <w:sz w:val="16"/>
                <w:szCs w:val="16"/>
              </w:rPr>
            </w:pPr>
            <w:r w:rsidRPr="00B61EF6">
              <w:rPr>
                <w:color w:val="000000"/>
                <w:sz w:val="16"/>
                <w:szCs w:val="16"/>
              </w:rPr>
              <w:t>2.62</w:t>
            </w:r>
          </w:p>
        </w:tc>
        <w:tc>
          <w:tcPr>
            <w:tcW w:w="1238" w:type="dxa"/>
            <w:gridSpan w:val="2"/>
            <w:vAlign w:val="center"/>
          </w:tcPr>
          <w:p w:rsidR="00541B39" w:rsidRPr="00B61EF6" w:rsidRDefault="009A56CE" w:rsidP="00541B39">
            <w:pPr>
              <w:adjustRightInd w:val="0"/>
              <w:spacing w:before="20"/>
              <w:jc w:val="right"/>
              <w:rPr>
                <w:color w:val="000000"/>
                <w:sz w:val="16"/>
                <w:szCs w:val="16"/>
              </w:rPr>
            </w:pPr>
            <w:r>
              <w:rPr>
                <w:color w:val="000000"/>
                <w:sz w:val="16"/>
                <w:szCs w:val="16"/>
              </w:rPr>
              <w:t>(</w:t>
            </w:r>
            <w:r w:rsidR="00541B39" w:rsidRPr="00B61EF6">
              <w:rPr>
                <w:color w:val="000000"/>
                <w:sz w:val="16"/>
                <w:szCs w:val="16"/>
              </w:rPr>
              <w:t>0.16</w:t>
            </w:r>
            <w:r w:rsidR="00541B39">
              <w:rPr>
                <w:color w:val="000000"/>
                <w:sz w:val="16"/>
                <w:szCs w:val="16"/>
              </w:rPr>
              <w:t xml:space="preserve"> - </w:t>
            </w:r>
            <w:r w:rsidR="00541B39" w:rsidRPr="00B61EF6">
              <w:rPr>
                <w:color w:val="000000"/>
                <w:sz w:val="16"/>
                <w:szCs w:val="16"/>
              </w:rPr>
              <w:t>43.68</w:t>
            </w:r>
            <w:r>
              <w:rPr>
                <w:color w:val="000000"/>
                <w:sz w:val="16"/>
                <w:szCs w:val="16"/>
              </w:rPr>
              <w:t>)</w:t>
            </w:r>
          </w:p>
        </w:tc>
        <w:tc>
          <w:tcPr>
            <w:tcW w:w="747" w:type="dxa"/>
            <w:vAlign w:val="center"/>
          </w:tcPr>
          <w:p w:rsidR="00541B39" w:rsidRPr="00B61EF6" w:rsidRDefault="00541B39" w:rsidP="00BF573E">
            <w:pPr>
              <w:adjustRightInd w:val="0"/>
              <w:spacing w:before="20"/>
              <w:jc w:val="right"/>
              <w:rPr>
                <w:color w:val="000000"/>
                <w:sz w:val="16"/>
                <w:szCs w:val="16"/>
              </w:rPr>
            </w:pPr>
          </w:p>
        </w:tc>
      </w:tr>
      <w:tr w:rsidR="00B61EF6" w:rsidRPr="009B1415" w:rsidTr="00F959A8">
        <w:tc>
          <w:tcPr>
            <w:tcW w:w="4786" w:type="dxa"/>
            <w:tcBorders>
              <w:bottom w:val="single" w:sz="4" w:space="0" w:color="auto"/>
            </w:tcBorders>
          </w:tcPr>
          <w:p w:rsidR="00B61EF6" w:rsidRPr="009B1415" w:rsidRDefault="00B61EF6" w:rsidP="00B61EF6">
            <w:pPr>
              <w:spacing w:before="20"/>
              <w:ind w:left="176"/>
              <w:jc w:val="both"/>
              <w:rPr>
                <w:sz w:val="16"/>
                <w:szCs w:val="16"/>
              </w:rPr>
            </w:pPr>
            <w:r w:rsidRPr="009B1415">
              <w:rPr>
                <w:sz w:val="16"/>
                <w:szCs w:val="16"/>
              </w:rPr>
              <w:t>Never smoked</w:t>
            </w:r>
          </w:p>
        </w:tc>
        <w:tc>
          <w:tcPr>
            <w:tcW w:w="567" w:type="dxa"/>
            <w:tcBorders>
              <w:bottom w:val="single" w:sz="4" w:space="0" w:color="auto"/>
            </w:tcBorders>
            <w:vAlign w:val="center"/>
          </w:tcPr>
          <w:p w:rsidR="00B61EF6" w:rsidRPr="00B61EF6" w:rsidRDefault="00A50DB2" w:rsidP="00BF573E">
            <w:pPr>
              <w:adjustRightInd w:val="0"/>
              <w:spacing w:before="20"/>
              <w:jc w:val="right"/>
              <w:rPr>
                <w:color w:val="000000"/>
                <w:sz w:val="16"/>
                <w:szCs w:val="16"/>
              </w:rPr>
            </w:pPr>
            <w:r>
              <w:rPr>
                <w:color w:val="000000"/>
                <w:sz w:val="16"/>
                <w:szCs w:val="16"/>
              </w:rPr>
              <w:t>32.1</w:t>
            </w:r>
          </w:p>
        </w:tc>
        <w:tc>
          <w:tcPr>
            <w:tcW w:w="1134"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1.00</w:t>
            </w:r>
          </w:p>
        </w:tc>
        <w:tc>
          <w:tcPr>
            <w:tcW w:w="968"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p>
        </w:tc>
        <w:tc>
          <w:tcPr>
            <w:tcW w:w="270" w:type="dxa"/>
            <w:tcBorders>
              <w:bottom w:val="single" w:sz="4" w:space="0" w:color="auto"/>
            </w:tcBorders>
            <w:vAlign w:val="center"/>
          </w:tcPr>
          <w:p w:rsidR="00B61EF6" w:rsidRPr="00B61EF6" w:rsidRDefault="00B61EF6" w:rsidP="00BF573E">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B61EF6" w:rsidRPr="00B61EF6" w:rsidRDefault="00B61EF6" w:rsidP="00BF573E">
            <w:pPr>
              <w:adjustRightInd w:val="0"/>
              <w:spacing w:before="20"/>
              <w:jc w:val="right"/>
              <w:rPr>
                <w:color w:val="000000"/>
                <w:sz w:val="16"/>
                <w:szCs w:val="16"/>
              </w:rPr>
            </w:pPr>
            <w:r w:rsidRPr="00B61EF6">
              <w:rPr>
                <w:color w:val="000000"/>
                <w:sz w:val="16"/>
                <w:szCs w:val="16"/>
              </w:rPr>
              <w:t>&lt;</w:t>
            </w:r>
            <w:r>
              <w:rPr>
                <w:color w:val="000000"/>
                <w:sz w:val="16"/>
                <w:szCs w:val="16"/>
              </w:rPr>
              <w:t>0</w:t>
            </w:r>
            <w:r w:rsidRPr="00B61EF6">
              <w:rPr>
                <w:color w:val="000000"/>
                <w:sz w:val="16"/>
                <w:szCs w:val="16"/>
              </w:rPr>
              <w:t>.0001</w:t>
            </w:r>
          </w:p>
        </w:tc>
      </w:tr>
    </w:tbl>
    <w:p w:rsidR="00573D0F" w:rsidRPr="0034241E" w:rsidRDefault="00573D0F" w:rsidP="00573D0F">
      <w:pPr>
        <w:rPr>
          <w:sz w:val="18"/>
        </w:rPr>
      </w:pPr>
      <w:r>
        <w:rPr>
          <w:sz w:val="18"/>
        </w:rPr>
        <w:t>Data</w:t>
      </w:r>
      <w:r w:rsidRPr="0034241E">
        <w:rPr>
          <w:sz w:val="18"/>
        </w:rPr>
        <w:t xml:space="preserve"> weighted for 2013 Census data (both Waves) and attrition (Wave 2)</w:t>
      </w:r>
    </w:p>
    <w:p w:rsidR="00B41811" w:rsidRDefault="00B41811">
      <w:r>
        <w:br w:type="page"/>
      </w:r>
    </w:p>
    <w:p w:rsidR="00B41811" w:rsidRDefault="00B41811" w:rsidP="00B41811">
      <w:pPr>
        <w:pStyle w:val="Heading3b"/>
        <w:numPr>
          <w:ilvl w:val="0"/>
          <w:numId w:val="0"/>
        </w:numPr>
        <w:spacing w:before="0" w:after="0"/>
        <w:jc w:val="both"/>
        <w:rPr>
          <w:rFonts w:ascii="Times New Roman" w:hAnsi="Times New Roman" w:cs="Times New Roman"/>
          <w:b/>
          <w:i w:val="0"/>
        </w:rPr>
      </w:pPr>
      <w:bookmarkStart w:id="278" w:name="_Toc420392634"/>
      <w:r w:rsidRPr="00FC1500">
        <w:rPr>
          <w:rFonts w:ascii="Times New Roman" w:hAnsi="Times New Roman" w:cs="Times New Roman"/>
          <w:b/>
          <w:i w:val="0"/>
        </w:rPr>
        <w:lastRenderedPageBreak/>
        <w:t xml:space="preserve">Appendix </w:t>
      </w:r>
      <w:r w:rsidRPr="00FC1500">
        <w:rPr>
          <w:rFonts w:ascii="Times New Roman" w:hAnsi="Times New Roman" w:cs="Times New Roman"/>
          <w:b/>
          <w:i w:val="0"/>
        </w:rPr>
        <w:fldChar w:fldCharType="begin"/>
      </w:r>
      <w:r w:rsidRPr="00FC1500">
        <w:rPr>
          <w:rFonts w:ascii="Times New Roman" w:hAnsi="Times New Roman" w:cs="Times New Roman"/>
          <w:b/>
          <w:i w:val="0"/>
        </w:rPr>
        <w:instrText xml:space="preserve"> SEQ Appendix \* ARABIC </w:instrText>
      </w:r>
      <w:r w:rsidRPr="00FC1500">
        <w:rPr>
          <w:rFonts w:ascii="Times New Roman" w:hAnsi="Times New Roman" w:cs="Times New Roman"/>
          <w:b/>
          <w:i w:val="0"/>
        </w:rPr>
        <w:fldChar w:fldCharType="separate"/>
      </w:r>
      <w:r w:rsidR="00B2175B">
        <w:rPr>
          <w:rFonts w:ascii="Times New Roman" w:hAnsi="Times New Roman" w:cs="Times New Roman"/>
          <w:b/>
          <w:i w:val="0"/>
          <w:noProof/>
        </w:rPr>
        <w:t>11</w:t>
      </w:r>
      <w:r w:rsidRPr="00FC1500">
        <w:rPr>
          <w:rFonts w:ascii="Times New Roman" w:hAnsi="Times New Roman" w:cs="Times New Roman"/>
          <w:b/>
          <w:i w:val="0"/>
        </w:rPr>
        <w:fldChar w:fldCharType="end"/>
      </w:r>
      <w:r w:rsidRPr="00FC1500">
        <w:rPr>
          <w:rFonts w:ascii="Times New Roman" w:hAnsi="Times New Roman" w:cs="Times New Roman"/>
          <w:b/>
          <w:i w:val="0"/>
        </w:rPr>
        <w:t xml:space="preserve">: </w:t>
      </w:r>
      <w:r w:rsidR="007F2FB4">
        <w:rPr>
          <w:rFonts w:ascii="Times New Roman" w:hAnsi="Times New Roman" w:cs="Times New Roman"/>
          <w:b/>
          <w:i w:val="0"/>
        </w:rPr>
        <w:t>B</w:t>
      </w:r>
      <w:r w:rsidR="00961354">
        <w:rPr>
          <w:rFonts w:ascii="Times New Roman" w:hAnsi="Times New Roman" w:cs="Times New Roman"/>
          <w:b/>
          <w:i w:val="0"/>
        </w:rPr>
        <w:t xml:space="preserve">ivariate </w:t>
      </w:r>
      <w:r w:rsidR="007F2FB4">
        <w:rPr>
          <w:rFonts w:ascii="Times New Roman" w:hAnsi="Times New Roman" w:cs="Times New Roman"/>
          <w:b/>
          <w:i w:val="0"/>
        </w:rPr>
        <w:t>associations</w:t>
      </w:r>
      <w:r w:rsidRPr="00FC1500">
        <w:rPr>
          <w:rFonts w:ascii="Times New Roman" w:hAnsi="Times New Roman" w:cs="Times New Roman"/>
          <w:b/>
          <w:i w:val="0"/>
        </w:rPr>
        <w:t xml:space="preserve"> for transition from non-problem gambler </w:t>
      </w:r>
      <w:r w:rsidR="007C56C7">
        <w:rPr>
          <w:rFonts w:ascii="Times New Roman" w:hAnsi="Times New Roman" w:cs="Times New Roman"/>
          <w:b/>
          <w:i w:val="0"/>
        </w:rPr>
        <w:t>in</w:t>
      </w:r>
      <w:r w:rsidRPr="00FC1500">
        <w:rPr>
          <w:rFonts w:ascii="Times New Roman" w:hAnsi="Times New Roman" w:cs="Times New Roman"/>
          <w:b/>
          <w:i w:val="0"/>
        </w:rPr>
        <w:t xml:space="preserve"> Wave 1 to low-risk/moderate-risk/problem gambler </w:t>
      </w:r>
      <w:r w:rsidR="007C56C7">
        <w:rPr>
          <w:rFonts w:ascii="Times New Roman" w:hAnsi="Times New Roman" w:cs="Times New Roman"/>
          <w:b/>
          <w:i w:val="0"/>
        </w:rPr>
        <w:t>in</w:t>
      </w:r>
      <w:r w:rsidRPr="00FC1500">
        <w:rPr>
          <w:rFonts w:ascii="Times New Roman" w:hAnsi="Times New Roman" w:cs="Times New Roman"/>
          <w:b/>
          <w:i w:val="0"/>
        </w:rPr>
        <w:t xml:space="preserve"> Wave 2</w:t>
      </w:r>
      <w:bookmarkEnd w:id="278"/>
    </w:p>
    <w:p w:rsidR="00B41811" w:rsidRPr="00BA54F7" w:rsidRDefault="00B41811" w:rsidP="00B41811">
      <w:pPr>
        <w:pStyle w:val="RepNormal"/>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67"/>
        <w:gridCol w:w="1134"/>
        <w:gridCol w:w="709"/>
        <w:gridCol w:w="387"/>
        <w:gridCol w:w="747"/>
      </w:tblGrid>
      <w:tr w:rsidR="00B41811" w:rsidRPr="009B1415" w:rsidTr="00F959A8">
        <w:trPr>
          <w:tblHeader/>
        </w:trPr>
        <w:tc>
          <w:tcPr>
            <w:tcW w:w="4928" w:type="dxa"/>
            <w:tcBorders>
              <w:top w:val="single" w:sz="4" w:space="0" w:color="auto"/>
              <w:bottom w:val="single" w:sz="4" w:space="0" w:color="auto"/>
            </w:tcBorders>
            <w:vAlign w:val="bottom"/>
          </w:tcPr>
          <w:p w:rsidR="00B41811" w:rsidRPr="009B1415" w:rsidRDefault="00B41811" w:rsidP="00B41811">
            <w:pPr>
              <w:spacing w:before="20"/>
              <w:jc w:val="both"/>
              <w:rPr>
                <w:b/>
                <w:sz w:val="16"/>
                <w:szCs w:val="16"/>
              </w:rPr>
            </w:pPr>
            <w:r w:rsidRPr="009B1415">
              <w:rPr>
                <w:b/>
                <w:sz w:val="16"/>
                <w:szCs w:val="16"/>
              </w:rPr>
              <w:t>Variable</w:t>
            </w:r>
          </w:p>
        </w:tc>
        <w:tc>
          <w:tcPr>
            <w:tcW w:w="567" w:type="dxa"/>
            <w:tcBorders>
              <w:top w:val="single" w:sz="4" w:space="0" w:color="auto"/>
              <w:bottom w:val="single" w:sz="4" w:space="0" w:color="auto"/>
            </w:tcBorders>
            <w:vAlign w:val="center"/>
          </w:tcPr>
          <w:p w:rsidR="00B41811" w:rsidRPr="003F15C0" w:rsidRDefault="00B41811" w:rsidP="00FC1500">
            <w:pPr>
              <w:spacing w:before="20"/>
              <w:jc w:val="right"/>
              <w:rPr>
                <w:b/>
                <w:bCs/>
                <w:color w:val="000000"/>
                <w:sz w:val="16"/>
                <w:szCs w:val="16"/>
              </w:rPr>
            </w:pPr>
            <w:r w:rsidRPr="003F15C0">
              <w:rPr>
                <w:b/>
                <w:bCs/>
                <w:color w:val="000000"/>
                <w:sz w:val="16"/>
                <w:szCs w:val="16"/>
              </w:rPr>
              <w:t>%</w:t>
            </w:r>
          </w:p>
        </w:tc>
        <w:tc>
          <w:tcPr>
            <w:tcW w:w="1134" w:type="dxa"/>
            <w:tcBorders>
              <w:top w:val="single" w:sz="4" w:space="0" w:color="auto"/>
              <w:bottom w:val="single" w:sz="4" w:space="0" w:color="auto"/>
            </w:tcBorders>
            <w:vAlign w:val="center"/>
          </w:tcPr>
          <w:p w:rsidR="00B41811" w:rsidRPr="003F15C0" w:rsidRDefault="00B41811" w:rsidP="00FC1500">
            <w:pPr>
              <w:spacing w:before="20"/>
              <w:jc w:val="right"/>
              <w:rPr>
                <w:b/>
                <w:color w:val="000000"/>
                <w:sz w:val="16"/>
                <w:szCs w:val="16"/>
              </w:rPr>
            </w:pPr>
            <w:r w:rsidRPr="003F15C0">
              <w:rPr>
                <w:b/>
                <w:color w:val="000000"/>
                <w:sz w:val="16"/>
                <w:szCs w:val="16"/>
              </w:rPr>
              <w:t>Odds Ratio</w:t>
            </w:r>
          </w:p>
        </w:tc>
        <w:tc>
          <w:tcPr>
            <w:tcW w:w="1096" w:type="dxa"/>
            <w:gridSpan w:val="2"/>
            <w:tcBorders>
              <w:top w:val="single" w:sz="4" w:space="0" w:color="auto"/>
              <w:bottom w:val="single" w:sz="4" w:space="0" w:color="auto"/>
            </w:tcBorders>
            <w:vAlign w:val="center"/>
          </w:tcPr>
          <w:p w:rsidR="00B41811" w:rsidRPr="003F15C0" w:rsidRDefault="00B80631" w:rsidP="00FC1500">
            <w:pPr>
              <w:spacing w:before="20"/>
              <w:jc w:val="right"/>
              <w:rPr>
                <w:b/>
                <w:color w:val="000000"/>
                <w:sz w:val="16"/>
                <w:szCs w:val="16"/>
              </w:rPr>
            </w:pPr>
            <w:r w:rsidRPr="003F15C0">
              <w:rPr>
                <w:b/>
                <w:color w:val="000000"/>
                <w:sz w:val="16"/>
                <w:szCs w:val="16"/>
              </w:rPr>
              <w:t>(</w:t>
            </w:r>
            <w:r w:rsidR="00B41811" w:rsidRPr="003F15C0">
              <w:rPr>
                <w:b/>
                <w:color w:val="000000"/>
                <w:sz w:val="16"/>
                <w:szCs w:val="16"/>
              </w:rPr>
              <w:t>95% CI</w:t>
            </w:r>
            <w:r w:rsidRPr="003F15C0">
              <w:rPr>
                <w:b/>
                <w:color w:val="000000"/>
                <w:sz w:val="16"/>
                <w:szCs w:val="16"/>
              </w:rPr>
              <w:t>)</w:t>
            </w:r>
          </w:p>
        </w:tc>
        <w:tc>
          <w:tcPr>
            <w:tcW w:w="747" w:type="dxa"/>
            <w:tcBorders>
              <w:top w:val="single" w:sz="4" w:space="0" w:color="auto"/>
              <w:bottom w:val="single" w:sz="4" w:space="0" w:color="auto"/>
            </w:tcBorders>
            <w:vAlign w:val="center"/>
          </w:tcPr>
          <w:p w:rsidR="00B41811" w:rsidRPr="003F15C0" w:rsidRDefault="00B41811" w:rsidP="00FC1500">
            <w:pPr>
              <w:spacing w:before="20"/>
              <w:jc w:val="right"/>
              <w:rPr>
                <w:b/>
                <w:color w:val="000000"/>
                <w:sz w:val="16"/>
                <w:szCs w:val="16"/>
              </w:rPr>
            </w:pPr>
            <w:r w:rsidRPr="003F15C0">
              <w:rPr>
                <w:b/>
                <w:color w:val="000000"/>
                <w:sz w:val="16"/>
                <w:szCs w:val="16"/>
              </w:rPr>
              <w:t>p-value</w:t>
            </w:r>
          </w:p>
        </w:tc>
      </w:tr>
      <w:tr w:rsidR="00B41811" w:rsidRPr="009B1415" w:rsidTr="00F959A8">
        <w:tc>
          <w:tcPr>
            <w:tcW w:w="4928" w:type="dxa"/>
            <w:tcBorders>
              <w:top w:val="single" w:sz="4" w:space="0" w:color="auto"/>
            </w:tcBorders>
            <w:vAlign w:val="bottom"/>
          </w:tcPr>
          <w:p w:rsidR="00B41811" w:rsidRPr="009B1415" w:rsidRDefault="00B41811" w:rsidP="00B41811">
            <w:pPr>
              <w:spacing w:before="20"/>
              <w:jc w:val="both"/>
              <w:rPr>
                <w:b/>
                <w:sz w:val="16"/>
                <w:szCs w:val="16"/>
              </w:rPr>
            </w:pPr>
            <w:r w:rsidRPr="009B1415">
              <w:rPr>
                <w:b/>
                <w:sz w:val="16"/>
                <w:szCs w:val="16"/>
              </w:rPr>
              <w:t>Age group (years)</w:t>
            </w:r>
          </w:p>
        </w:tc>
        <w:tc>
          <w:tcPr>
            <w:tcW w:w="567" w:type="dxa"/>
            <w:tcBorders>
              <w:top w:val="single" w:sz="4" w:space="0" w:color="auto"/>
            </w:tcBorders>
            <w:vAlign w:val="center"/>
          </w:tcPr>
          <w:p w:rsidR="00B41811" w:rsidRPr="009B1415" w:rsidRDefault="00B41811" w:rsidP="00B41811">
            <w:pPr>
              <w:spacing w:before="20"/>
              <w:jc w:val="center"/>
              <w:rPr>
                <w:rFonts w:ascii="Calibri" w:hAnsi="Calibri"/>
                <w:b/>
                <w:bCs/>
                <w:color w:val="000000"/>
                <w:sz w:val="16"/>
                <w:szCs w:val="16"/>
              </w:rPr>
            </w:pPr>
          </w:p>
        </w:tc>
        <w:tc>
          <w:tcPr>
            <w:tcW w:w="1134" w:type="dxa"/>
            <w:tcBorders>
              <w:top w:val="single" w:sz="4" w:space="0" w:color="auto"/>
            </w:tcBorders>
            <w:vAlign w:val="center"/>
          </w:tcPr>
          <w:p w:rsidR="00B41811" w:rsidRPr="009B1415" w:rsidRDefault="00B41811" w:rsidP="00B41811">
            <w:pPr>
              <w:spacing w:before="20"/>
              <w:jc w:val="center"/>
              <w:rPr>
                <w:rFonts w:ascii="Calibri" w:hAnsi="Calibri"/>
                <w:b/>
                <w:color w:val="000000"/>
                <w:sz w:val="16"/>
                <w:szCs w:val="16"/>
              </w:rPr>
            </w:pPr>
          </w:p>
        </w:tc>
        <w:tc>
          <w:tcPr>
            <w:tcW w:w="709" w:type="dxa"/>
            <w:tcBorders>
              <w:top w:val="single" w:sz="4" w:space="0" w:color="auto"/>
            </w:tcBorders>
            <w:vAlign w:val="center"/>
          </w:tcPr>
          <w:p w:rsidR="00B41811" w:rsidRPr="009B1415" w:rsidRDefault="00B41811" w:rsidP="00B41811">
            <w:pPr>
              <w:spacing w:before="20"/>
              <w:jc w:val="center"/>
              <w:rPr>
                <w:rFonts w:ascii="Calibri" w:hAnsi="Calibri"/>
                <w:b/>
                <w:color w:val="000000"/>
                <w:sz w:val="16"/>
                <w:szCs w:val="16"/>
              </w:rPr>
            </w:pPr>
          </w:p>
        </w:tc>
        <w:tc>
          <w:tcPr>
            <w:tcW w:w="387" w:type="dxa"/>
            <w:tcBorders>
              <w:top w:val="single" w:sz="4" w:space="0" w:color="auto"/>
            </w:tcBorders>
            <w:vAlign w:val="center"/>
          </w:tcPr>
          <w:p w:rsidR="00B41811" w:rsidRPr="009B1415" w:rsidRDefault="00B41811" w:rsidP="00B41811">
            <w:pPr>
              <w:spacing w:before="20"/>
              <w:jc w:val="center"/>
              <w:rPr>
                <w:rFonts w:ascii="Calibri" w:hAnsi="Calibri"/>
                <w:b/>
                <w:color w:val="000000"/>
                <w:sz w:val="16"/>
                <w:szCs w:val="16"/>
              </w:rPr>
            </w:pPr>
          </w:p>
        </w:tc>
        <w:tc>
          <w:tcPr>
            <w:tcW w:w="747" w:type="dxa"/>
            <w:tcBorders>
              <w:top w:val="single" w:sz="4" w:space="0" w:color="auto"/>
            </w:tcBorders>
            <w:vAlign w:val="center"/>
          </w:tcPr>
          <w:p w:rsidR="00B41811" w:rsidRPr="009B1415" w:rsidRDefault="00B41811" w:rsidP="00B41811">
            <w:pPr>
              <w:spacing w:before="20"/>
              <w:jc w:val="center"/>
              <w:rPr>
                <w:rFonts w:ascii="Calibri" w:hAnsi="Calibri"/>
                <w:b/>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18 - 24</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8.9</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25 - 34</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11.7</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1.35</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0.63</w:t>
            </w:r>
            <w:r w:rsidR="00B80631">
              <w:rPr>
                <w:color w:val="000000"/>
                <w:sz w:val="16"/>
                <w:szCs w:val="16"/>
              </w:rPr>
              <w:t xml:space="preserve"> - </w:t>
            </w:r>
            <w:r w:rsidR="00B80631" w:rsidRPr="00B41811">
              <w:rPr>
                <w:color w:val="000000"/>
                <w:sz w:val="16"/>
                <w:szCs w:val="16"/>
              </w:rPr>
              <w:t>2.89</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35 - 44</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7.0</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0.77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0.36</w:t>
            </w:r>
            <w:r w:rsidR="00B80631">
              <w:rPr>
                <w:color w:val="000000"/>
                <w:sz w:val="16"/>
                <w:szCs w:val="16"/>
              </w:rPr>
              <w:t xml:space="preserve"> - </w:t>
            </w:r>
            <w:r w:rsidR="00B80631" w:rsidRPr="00B41811">
              <w:rPr>
                <w:color w:val="000000"/>
                <w:sz w:val="16"/>
                <w:szCs w:val="16"/>
              </w:rPr>
              <w:t>1.63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45 - 54</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5.6</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0.60</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0.28</w:t>
            </w:r>
            <w:r w:rsidR="00B80631">
              <w:rPr>
                <w:color w:val="000000"/>
                <w:sz w:val="16"/>
                <w:szCs w:val="16"/>
              </w:rPr>
              <w:t xml:space="preserve"> - </w:t>
            </w:r>
            <w:r w:rsidR="00B80631" w:rsidRPr="00B41811">
              <w:rPr>
                <w:color w:val="000000"/>
                <w:sz w:val="16"/>
                <w:szCs w:val="16"/>
              </w:rPr>
              <w:t>1.31</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55</w:t>
            </w:r>
            <w:r>
              <w:rPr>
                <w:sz w:val="16"/>
                <w:szCs w:val="16"/>
              </w:rPr>
              <w:t xml:space="preserve"> - 64</w:t>
            </w:r>
            <w:r w:rsidRPr="009B1415">
              <w:rPr>
                <w:sz w:val="16"/>
                <w:szCs w:val="16"/>
              </w:rPr>
              <w:t xml:space="preserve"> </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3.7</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0.39</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0.17</w:t>
            </w:r>
            <w:r w:rsidR="00B80631">
              <w:rPr>
                <w:color w:val="000000"/>
                <w:sz w:val="16"/>
                <w:szCs w:val="16"/>
              </w:rPr>
              <w:t xml:space="preserve"> - </w:t>
            </w:r>
            <w:r w:rsidR="00B80631" w:rsidRPr="00B41811">
              <w:rPr>
                <w:color w:val="000000"/>
                <w:sz w:val="16"/>
                <w:szCs w:val="16"/>
              </w:rPr>
              <w:t>0.90</w:t>
            </w:r>
            <w:r>
              <w:rPr>
                <w:color w:val="000000"/>
                <w:sz w:val="16"/>
                <w:szCs w:val="16"/>
              </w:rPr>
              <w:t>)</w:t>
            </w:r>
          </w:p>
        </w:tc>
        <w:tc>
          <w:tcPr>
            <w:tcW w:w="747" w:type="dxa"/>
            <w:shd w:val="clear" w:color="auto" w:fill="auto"/>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Pr>
                <w:sz w:val="16"/>
                <w:szCs w:val="16"/>
              </w:rPr>
              <w:t>65+</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4.2</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0.44</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0.20</w:t>
            </w:r>
            <w:r w:rsidR="00B80631">
              <w:rPr>
                <w:color w:val="000000"/>
                <w:sz w:val="16"/>
                <w:szCs w:val="16"/>
              </w:rPr>
              <w:t xml:space="preserve"> - </w:t>
            </w:r>
            <w:r w:rsidR="00B80631" w:rsidRPr="00B41811">
              <w:rPr>
                <w:color w:val="000000"/>
                <w:sz w:val="16"/>
                <w:szCs w:val="16"/>
              </w:rPr>
              <w:t>0.99</w:t>
            </w:r>
            <w:r>
              <w:rPr>
                <w:color w:val="000000"/>
                <w:sz w:val="16"/>
                <w:szCs w:val="16"/>
              </w:rPr>
              <w:t>)</w:t>
            </w:r>
          </w:p>
        </w:tc>
        <w:tc>
          <w:tcPr>
            <w:tcW w:w="747" w:type="dxa"/>
            <w:shd w:val="clear" w:color="auto" w:fill="D9D9D9" w:themeFill="background1" w:themeFillShade="D9"/>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0.0004</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Gender</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Male</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6.4</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Female</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6.4</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0.99</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0.69</w:t>
            </w:r>
            <w:r w:rsidR="00B80631">
              <w:rPr>
                <w:color w:val="000000"/>
                <w:sz w:val="16"/>
                <w:szCs w:val="16"/>
              </w:rPr>
              <w:t xml:space="preserve"> - </w:t>
            </w:r>
            <w:r w:rsidR="00B80631" w:rsidRPr="00B41811">
              <w:rPr>
                <w:color w:val="000000"/>
                <w:sz w:val="16"/>
                <w:szCs w:val="16"/>
              </w:rPr>
              <w:t>1.43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0.97</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Ethnic group (prioritised)</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Māori</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13.6</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3.21</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2.10</w:t>
            </w:r>
            <w:r w:rsidR="00B80631">
              <w:rPr>
                <w:color w:val="000000"/>
                <w:sz w:val="16"/>
                <w:szCs w:val="16"/>
              </w:rPr>
              <w:t xml:space="preserve"> - </w:t>
            </w:r>
            <w:r w:rsidR="00B80631" w:rsidRPr="00B41811">
              <w:rPr>
                <w:color w:val="000000"/>
                <w:sz w:val="16"/>
                <w:szCs w:val="16"/>
              </w:rPr>
              <w:t>4.91</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Pacific</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16.7</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4.07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2.57</w:t>
            </w:r>
            <w:r w:rsidR="00B80631">
              <w:rPr>
                <w:color w:val="000000"/>
                <w:sz w:val="16"/>
                <w:szCs w:val="16"/>
              </w:rPr>
              <w:t xml:space="preserve"> - </w:t>
            </w:r>
            <w:r w:rsidR="00B80631" w:rsidRPr="00B41811">
              <w:rPr>
                <w:color w:val="000000"/>
                <w:sz w:val="16"/>
                <w:szCs w:val="16"/>
              </w:rPr>
              <w:t>6.47</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Asian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11.2</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2.58</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1.46</w:t>
            </w:r>
            <w:r w:rsidR="00B80631">
              <w:rPr>
                <w:color w:val="000000"/>
                <w:sz w:val="16"/>
                <w:szCs w:val="16"/>
              </w:rPr>
              <w:t xml:space="preserve"> - </w:t>
            </w:r>
            <w:r w:rsidR="00B80631" w:rsidRPr="00B41811">
              <w:rPr>
                <w:color w:val="000000"/>
                <w:sz w:val="16"/>
                <w:szCs w:val="16"/>
              </w:rPr>
              <w:t>4.56</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European/Other</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4.7</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shd w:val="clear" w:color="auto" w:fill="D9D9D9" w:themeFill="background1" w:themeFillShade="D9"/>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Arrival in NZ</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NZ born</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5.9</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before 2008</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7.5</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1.29</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0.87</w:t>
            </w:r>
            <w:r w:rsidR="00B80631">
              <w:rPr>
                <w:color w:val="000000"/>
                <w:sz w:val="16"/>
                <w:szCs w:val="16"/>
              </w:rPr>
              <w:t xml:space="preserve"> - </w:t>
            </w:r>
            <w:r w:rsidR="00B80631" w:rsidRPr="00B41811">
              <w:rPr>
                <w:color w:val="000000"/>
                <w:sz w:val="16"/>
                <w:szCs w:val="16"/>
              </w:rPr>
              <w:t>1.92</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since 2008</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11.1</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1.98</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0.83</w:t>
            </w:r>
            <w:r w:rsidR="00B80631">
              <w:rPr>
                <w:color w:val="000000"/>
                <w:sz w:val="16"/>
                <w:szCs w:val="16"/>
              </w:rPr>
              <w:t xml:space="preserve"> - </w:t>
            </w:r>
            <w:r w:rsidR="00B80631" w:rsidRPr="00B41811">
              <w:rPr>
                <w:color w:val="000000"/>
                <w:sz w:val="16"/>
                <w:szCs w:val="16"/>
              </w:rPr>
              <w:t>4.72</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0.17</w:t>
            </w:r>
          </w:p>
        </w:tc>
      </w:tr>
      <w:tr w:rsidR="00B41811" w:rsidRPr="009B1415" w:rsidTr="00F959A8">
        <w:tc>
          <w:tcPr>
            <w:tcW w:w="4928" w:type="dxa"/>
            <w:vAlign w:val="bottom"/>
          </w:tcPr>
          <w:p w:rsidR="00B41811" w:rsidRPr="009B1415" w:rsidRDefault="00C41FBE" w:rsidP="00B41811">
            <w:pPr>
              <w:spacing w:before="20"/>
              <w:jc w:val="both"/>
              <w:rPr>
                <w:b/>
                <w:sz w:val="16"/>
                <w:szCs w:val="16"/>
              </w:rPr>
            </w:pPr>
            <w:r>
              <w:rPr>
                <w:b/>
                <w:sz w:val="16"/>
                <w:szCs w:val="16"/>
              </w:rPr>
              <w:t>Country of b</w:t>
            </w:r>
            <w:r w:rsidR="00B41811" w:rsidRPr="009B1415">
              <w:rPr>
                <w:b/>
                <w:sz w:val="16"/>
                <w:szCs w:val="16"/>
              </w:rPr>
              <w:t>irth</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NZ</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5.9</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Other</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7.9</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1.36</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0.94</w:t>
            </w:r>
            <w:r w:rsidR="00B80631">
              <w:rPr>
                <w:color w:val="000000"/>
                <w:sz w:val="16"/>
                <w:szCs w:val="16"/>
              </w:rPr>
              <w:t xml:space="preserve"> - </w:t>
            </w:r>
            <w:r w:rsidR="00B80631" w:rsidRPr="00B41811">
              <w:rPr>
                <w:color w:val="000000"/>
                <w:sz w:val="16"/>
                <w:szCs w:val="16"/>
              </w:rPr>
              <w:t>1.99</w:t>
            </w:r>
            <w:r>
              <w:rPr>
                <w:color w:val="000000"/>
                <w:sz w:val="16"/>
                <w:szCs w:val="16"/>
              </w:rPr>
              <w:t>)</w:t>
            </w:r>
          </w:p>
        </w:tc>
        <w:tc>
          <w:tcPr>
            <w:tcW w:w="747" w:type="dxa"/>
            <w:shd w:val="clear" w:color="auto" w:fill="auto"/>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0.11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Religion</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Pr>
                <w:sz w:val="16"/>
                <w:szCs w:val="16"/>
              </w:rPr>
              <w:t>No r</w:t>
            </w:r>
            <w:r w:rsidRPr="009B1415">
              <w:rPr>
                <w:sz w:val="16"/>
                <w:szCs w:val="16"/>
              </w:rPr>
              <w:t>eligion</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5.1</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Anglican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4.3</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0.83</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0.47</w:t>
            </w:r>
            <w:r w:rsidR="00B80631">
              <w:rPr>
                <w:color w:val="000000"/>
                <w:sz w:val="16"/>
                <w:szCs w:val="16"/>
              </w:rPr>
              <w:t xml:space="preserve"> - </w:t>
            </w:r>
            <w:r w:rsidR="00B80631" w:rsidRPr="00B41811">
              <w:rPr>
                <w:color w:val="000000"/>
                <w:sz w:val="16"/>
                <w:szCs w:val="16"/>
              </w:rPr>
              <w:t>1.48</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Catholic</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7.3</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1.47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0.83</w:t>
            </w:r>
            <w:r w:rsidR="00B80631">
              <w:rPr>
                <w:color w:val="000000"/>
                <w:sz w:val="16"/>
                <w:szCs w:val="16"/>
              </w:rPr>
              <w:t xml:space="preserve"> - </w:t>
            </w:r>
            <w:r w:rsidR="00B80631" w:rsidRPr="00B41811">
              <w:rPr>
                <w:color w:val="000000"/>
                <w:sz w:val="16"/>
                <w:szCs w:val="16"/>
              </w:rPr>
              <w:t>2.61</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Presbyterian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6.9</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0.75</w:t>
            </w:r>
            <w:r w:rsidR="00B80631">
              <w:rPr>
                <w:color w:val="000000"/>
                <w:sz w:val="16"/>
                <w:szCs w:val="16"/>
              </w:rPr>
              <w:t xml:space="preserve"> - </w:t>
            </w:r>
            <w:r w:rsidR="00B80631" w:rsidRPr="00B41811">
              <w:rPr>
                <w:color w:val="000000"/>
                <w:sz w:val="16"/>
                <w:szCs w:val="16"/>
              </w:rPr>
              <w:t>2.51</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Other Christian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10.4</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2.15</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1.27</w:t>
            </w:r>
            <w:r w:rsidR="00B80631">
              <w:rPr>
                <w:color w:val="000000"/>
                <w:sz w:val="16"/>
                <w:szCs w:val="16"/>
              </w:rPr>
              <w:t xml:space="preserve"> - </w:t>
            </w:r>
            <w:r w:rsidR="00B80631" w:rsidRPr="00B41811">
              <w:rPr>
                <w:color w:val="000000"/>
                <w:sz w:val="16"/>
                <w:szCs w:val="16"/>
              </w:rPr>
              <w:t>3.63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Pr>
                <w:sz w:val="16"/>
                <w:szCs w:val="16"/>
              </w:rPr>
              <w:t>Other r</w:t>
            </w:r>
            <w:r w:rsidRPr="009B1415">
              <w:rPr>
                <w:sz w:val="16"/>
                <w:szCs w:val="16"/>
              </w:rPr>
              <w:t>eligion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10.5</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2.17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1.10</w:t>
            </w:r>
            <w:r w:rsidR="00B80631">
              <w:rPr>
                <w:color w:val="000000"/>
                <w:sz w:val="16"/>
                <w:szCs w:val="16"/>
              </w:rPr>
              <w:t xml:space="preserve"> - </w:t>
            </w:r>
            <w:r w:rsidR="00B80631" w:rsidRPr="00B41811">
              <w:rPr>
                <w:color w:val="000000"/>
                <w:sz w:val="16"/>
                <w:szCs w:val="16"/>
              </w:rPr>
              <w:t>4.30</w:t>
            </w:r>
            <w:r>
              <w:rPr>
                <w:color w:val="000000"/>
                <w:sz w:val="16"/>
                <w:szCs w:val="16"/>
              </w:rPr>
              <w:t>)</w:t>
            </w:r>
          </w:p>
        </w:tc>
        <w:tc>
          <w:tcPr>
            <w:tcW w:w="747" w:type="dxa"/>
            <w:shd w:val="clear" w:color="auto" w:fill="D9D9D9" w:themeFill="background1" w:themeFillShade="D9"/>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0.01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Highest qualification</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No formal qualification</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6.3</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C41FBE" w:rsidP="00B41811">
            <w:pPr>
              <w:spacing w:before="20"/>
              <w:ind w:left="176"/>
              <w:jc w:val="both"/>
              <w:rPr>
                <w:sz w:val="16"/>
                <w:szCs w:val="16"/>
              </w:rPr>
            </w:pPr>
            <w:r>
              <w:rPr>
                <w:sz w:val="16"/>
                <w:szCs w:val="16"/>
              </w:rPr>
              <w:t>Secondary s</w:t>
            </w:r>
            <w:r w:rsidR="00B80631" w:rsidRPr="009B1415">
              <w:rPr>
                <w:sz w:val="16"/>
                <w:szCs w:val="16"/>
              </w:rPr>
              <w:t>chool qualification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8.8</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1.44</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0.82</w:t>
            </w:r>
            <w:r w:rsidR="00B80631">
              <w:rPr>
                <w:color w:val="000000"/>
                <w:sz w:val="16"/>
                <w:szCs w:val="16"/>
              </w:rPr>
              <w:t xml:space="preserve"> - </w:t>
            </w:r>
            <w:r w:rsidR="00B80631" w:rsidRPr="00B41811">
              <w:rPr>
                <w:color w:val="000000"/>
                <w:sz w:val="16"/>
                <w:szCs w:val="16"/>
              </w:rPr>
              <w:t>2.53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Vocational or Trade qualification</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7.2</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1.16</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0.66</w:t>
            </w:r>
            <w:r w:rsidR="00B80631">
              <w:rPr>
                <w:color w:val="000000"/>
                <w:sz w:val="16"/>
                <w:szCs w:val="16"/>
              </w:rPr>
              <w:t xml:space="preserve"> - </w:t>
            </w:r>
            <w:r w:rsidR="00B80631" w:rsidRPr="00B41811">
              <w:rPr>
                <w:color w:val="000000"/>
                <w:sz w:val="16"/>
                <w:szCs w:val="16"/>
              </w:rPr>
              <w:t>2.05</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C41FBE" w:rsidP="00B41811">
            <w:pPr>
              <w:spacing w:before="20"/>
              <w:ind w:left="176"/>
              <w:jc w:val="both"/>
              <w:rPr>
                <w:sz w:val="16"/>
                <w:szCs w:val="16"/>
              </w:rPr>
            </w:pPr>
            <w:r>
              <w:rPr>
                <w:sz w:val="16"/>
                <w:szCs w:val="16"/>
              </w:rPr>
              <w:t>University d</w:t>
            </w:r>
            <w:r w:rsidR="00B80631" w:rsidRPr="009B1415">
              <w:rPr>
                <w:sz w:val="16"/>
                <w:szCs w:val="16"/>
              </w:rPr>
              <w:t>egree or higher</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4.5</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0.70</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0.40</w:t>
            </w:r>
            <w:r w:rsidR="00B80631">
              <w:rPr>
                <w:color w:val="000000"/>
                <w:sz w:val="16"/>
                <w:szCs w:val="16"/>
              </w:rPr>
              <w:t xml:space="preserve"> - </w:t>
            </w:r>
            <w:r w:rsidR="00B80631" w:rsidRPr="00B41811">
              <w:rPr>
                <w:color w:val="000000"/>
                <w:sz w:val="16"/>
                <w:szCs w:val="16"/>
              </w:rPr>
              <w:t>1.23</w:t>
            </w:r>
            <w:r>
              <w:rPr>
                <w:color w:val="000000"/>
                <w:sz w:val="16"/>
                <w:szCs w:val="16"/>
              </w:rPr>
              <w:t>)</w:t>
            </w:r>
          </w:p>
        </w:tc>
        <w:tc>
          <w:tcPr>
            <w:tcW w:w="747" w:type="dxa"/>
            <w:shd w:val="clear" w:color="auto" w:fill="D9D9D9" w:themeFill="background1" w:themeFillShade="D9"/>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0.03</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Labour force status</w:t>
            </w:r>
          </w:p>
        </w:tc>
        <w:tc>
          <w:tcPr>
            <w:tcW w:w="567" w:type="dxa"/>
            <w:vAlign w:val="center"/>
          </w:tcPr>
          <w:p w:rsidR="00B41811" w:rsidRPr="00CB35E8" w:rsidRDefault="00B41811" w:rsidP="00F952D3">
            <w:pPr>
              <w:adjustRightInd w:val="0"/>
              <w:spacing w:before="20"/>
              <w:jc w:val="right"/>
              <w:rPr>
                <w:color w:val="000000"/>
                <w:sz w:val="16"/>
                <w:szCs w:val="16"/>
              </w:rPr>
            </w:pPr>
          </w:p>
        </w:tc>
        <w:tc>
          <w:tcPr>
            <w:tcW w:w="1134" w:type="dxa"/>
            <w:vAlign w:val="center"/>
          </w:tcPr>
          <w:p w:rsidR="00B41811" w:rsidRPr="00CB35E8" w:rsidRDefault="00B41811" w:rsidP="00F952D3">
            <w:pPr>
              <w:adjustRightInd w:val="0"/>
              <w:spacing w:before="20"/>
              <w:jc w:val="right"/>
              <w:rPr>
                <w:color w:val="000000"/>
                <w:sz w:val="16"/>
                <w:szCs w:val="16"/>
              </w:rPr>
            </w:pPr>
          </w:p>
        </w:tc>
        <w:tc>
          <w:tcPr>
            <w:tcW w:w="709" w:type="dxa"/>
            <w:vAlign w:val="center"/>
          </w:tcPr>
          <w:p w:rsidR="00B41811" w:rsidRPr="00CB35E8" w:rsidRDefault="00B41811" w:rsidP="00F952D3">
            <w:pPr>
              <w:adjustRightInd w:val="0"/>
              <w:spacing w:before="20"/>
              <w:jc w:val="right"/>
              <w:rPr>
                <w:color w:val="000000"/>
                <w:sz w:val="16"/>
                <w:szCs w:val="16"/>
              </w:rPr>
            </w:pPr>
          </w:p>
        </w:tc>
        <w:tc>
          <w:tcPr>
            <w:tcW w:w="387" w:type="dxa"/>
            <w:vAlign w:val="center"/>
          </w:tcPr>
          <w:p w:rsidR="00B41811" w:rsidRPr="00CB35E8" w:rsidRDefault="00B41811" w:rsidP="00F952D3">
            <w:pPr>
              <w:adjustRightInd w:val="0"/>
              <w:spacing w:before="20"/>
              <w:jc w:val="right"/>
              <w:rPr>
                <w:color w:val="000000"/>
                <w:sz w:val="16"/>
                <w:szCs w:val="16"/>
              </w:rPr>
            </w:pPr>
          </w:p>
        </w:tc>
        <w:tc>
          <w:tcPr>
            <w:tcW w:w="747" w:type="dxa"/>
            <w:vAlign w:val="center"/>
          </w:tcPr>
          <w:p w:rsidR="00B41811" w:rsidRPr="00CB35E8"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Employed</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6.2</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Unemployed</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7.8</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1.28</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0.71</w:t>
            </w:r>
            <w:r w:rsidR="00B80631">
              <w:rPr>
                <w:color w:val="000000"/>
                <w:sz w:val="16"/>
                <w:szCs w:val="16"/>
              </w:rPr>
              <w:t xml:space="preserve"> - </w:t>
            </w:r>
            <w:r w:rsidR="00B80631" w:rsidRPr="00B41811">
              <w:rPr>
                <w:color w:val="000000"/>
                <w:sz w:val="16"/>
                <w:szCs w:val="16"/>
              </w:rPr>
              <w:t>2.30</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Student/Homemaker/Retired</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6.4</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1.04</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0.67</w:t>
            </w:r>
            <w:r w:rsidR="00B80631">
              <w:rPr>
                <w:color w:val="000000"/>
                <w:sz w:val="16"/>
                <w:szCs w:val="16"/>
              </w:rPr>
              <w:t xml:space="preserve"> - </w:t>
            </w:r>
            <w:r w:rsidR="00B80631" w:rsidRPr="00B41811">
              <w:rPr>
                <w:color w:val="000000"/>
                <w:sz w:val="16"/>
                <w:szCs w:val="16"/>
              </w:rPr>
              <w:t>1.62</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0.72</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Household size</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1</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5.3</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2</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5.3</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1.01</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0.58</w:t>
            </w:r>
            <w:r w:rsidR="00B80631">
              <w:rPr>
                <w:color w:val="000000"/>
                <w:sz w:val="16"/>
                <w:szCs w:val="16"/>
              </w:rPr>
              <w:t xml:space="preserve"> - </w:t>
            </w:r>
            <w:r w:rsidR="00B80631" w:rsidRPr="00B41811">
              <w:rPr>
                <w:color w:val="000000"/>
                <w:sz w:val="16"/>
                <w:szCs w:val="16"/>
              </w:rPr>
              <w:t>1.74</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3</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6.6</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1.26</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0.67</w:t>
            </w:r>
            <w:r w:rsidR="00B80631">
              <w:rPr>
                <w:color w:val="000000"/>
                <w:sz w:val="16"/>
                <w:szCs w:val="16"/>
              </w:rPr>
              <w:t xml:space="preserve"> - </w:t>
            </w:r>
            <w:r w:rsidR="00B80631" w:rsidRPr="00B41811">
              <w:rPr>
                <w:color w:val="000000"/>
                <w:sz w:val="16"/>
                <w:szCs w:val="16"/>
              </w:rPr>
              <w:t>2.37</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4</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5.9</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1.12</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0.60</w:t>
            </w:r>
            <w:r w:rsidR="00B80631">
              <w:rPr>
                <w:color w:val="000000"/>
                <w:sz w:val="16"/>
                <w:szCs w:val="16"/>
              </w:rPr>
              <w:t xml:space="preserve"> - </w:t>
            </w:r>
            <w:r w:rsidR="00B80631" w:rsidRPr="00B41811">
              <w:rPr>
                <w:color w:val="000000"/>
                <w:sz w:val="16"/>
                <w:szCs w:val="16"/>
              </w:rPr>
              <w:t>2.06</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5+</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10.1</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2.01</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1.12</w:t>
            </w:r>
            <w:r w:rsidR="00B80631">
              <w:rPr>
                <w:color w:val="000000"/>
                <w:sz w:val="16"/>
                <w:szCs w:val="16"/>
              </w:rPr>
              <w:t xml:space="preserve"> - </w:t>
            </w:r>
            <w:r w:rsidR="00B80631" w:rsidRPr="00B41811">
              <w:rPr>
                <w:color w:val="000000"/>
                <w:sz w:val="16"/>
                <w:szCs w:val="16"/>
              </w:rPr>
              <w:t>3.60</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0.06</w:t>
            </w:r>
          </w:p>
        </w:tc>
      </w:tr>
      <w:tr w:rsidR="00B41811" w:rsidRPr="009B1415" w:rsidTr="00F959A8">
        <w:tc>
          <w:tcPr>
            <w:tcW w:w="4928" w:type="dxa"/>
            <w:vAlign w:val="bottom"/>
          </w:tcPr>
          <w:p w:rsidR="00B41811" w:rsidRPr="009B1415" w:rsidRDefault="00B41811" w:rsidP="00B41811">
            <w:pPr>
              <w:keepNext/>
              <w:spacing w:before="20"/>
              <w:jc w:val="both"/>
              <w:rPr>
                <w:b/>
                <w:sz w:val="16"/>
                <w:szCs w:val="16"/>
              </w:rPr>
            </w:pPr>
            <w:r w:rsidRPr="009B1415">
              <w:rPr>
                <w:b/>
                <w:sz w:val="16"/>
                <w:szCs w:val="16"/>
              </w:rPr>
              <w:t>Personal income</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&lt;$20,000</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8.4</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$20,001 - $40,000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5.8</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1.48</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0.94</w:t>
            </w:r>
            <w:r w:rsidR="00B80631">
              <w:rPr>
                <w:color w:val="000000"/>
                <w:sz w:val="16"/>
                <w:szCs w:val="16"/>
              </w:rPr>
              <w:t xml:space="preserve"> - </w:t>
            </w:r>
            <w:r w:rsidR="00B80631" w:rsidRPr="00B41811">
              <w:rPr>
                <w:color w:val="000000"/>
                <w:sz w:val="16"/>
                <w:szCs w:val="16"/>
              </w:rPr>
              <w:t>2.33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$40,001 - $60,000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7.7</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1.36</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0.80</w:t>
            </w:r>
            <w:r w:rsidR="00B80631">
              <w:rPr>
                <w:color w:val="000000"/>
                <w:sz w:val="16"/>
                <w:szCs w:val="16"/>
              </w:rPr>
              <w:t xml:space="preserve"> - </w:t>
            </w:r>
            <w:r w:rsidR="00B80631" w:rsidRPr="00B41811">
              <w:rPr>
                <w:color w:val="000000"/>
                <w:sz w:val="16"/>
                <w:szCs w:val="16"/>
              </w:rPr>
              <w:t>2.31</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$60,001 - $80,000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4.3</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0.72</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0.37</w:t>
            </w:r>
            <w:r w:rsidR="00B80631">
              <w:rPr>
                <w:color w:val="000000"/>
                <w:sz w:val="16"/>
                <w:szCs w:val="16"/>
              </w:rPr>
              <w:t xml:space="preserve"> - </w:t>
            </w:r>
            <w:r w:rsidR="00B80631" w:rsidRPr="00B41811">
              <w:rPr>
                <w:color w:val="000000"/>
                <w:sz w:val="16"/>
                <w:szCs w:val="16"/>
              </w:rPr>
              <w:t>1.43</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spacing w:before="20"/>
              <w:ind w:left="176"/>
              <w:jc w:val="both"/>
              <w:rPr>
                <w:sz w:val="16"/>
                <w:szCs w:val="16"/>
              </w:rPr>
            </w:pPr>
            <w:r w:rsidRPr="009B1415">
              <w:rPr>
                <w:sz w:val="16"/>
                <w:szCs w:val="16"/>
              </w:rPr>
              <w:t>$80,001 - $100,000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7.2</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1.26</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0.50</w:t>
            </w:r>
            <w:r w:rsidR="00B80631">
              <w:rPr>
                <w:color w:val="000000"/>
                <w:sz w:val="16"/>
                <w:szCs w:val="16"/>
              </w:rPr>
              <w:t xml:space="preserve"> - </w:t>
            </w:r>
            <w:r w:rsidR="00B80631" w:rsidRPr="00B41811">
              <w:rPr>
                <w:color w:val="000000"/>
                <w:sz w:val="16"/>
                <w:szCs w:val="16"/>
              </w:rPr>
              <w:t>3.19</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B41811" w:rsidRDefault="00B80631" w:rsidP="00B41811">
            <w:pPr>
              <w:spacing w:before="20"/>
              <w:ind w:left="176"/>
              <w:jc w:val="both"/>
              <w:rPr>
                <w:sz w:val="16"/>
                <w:szCs w:val="16"/>
              </w:rPr>
            </w:pPr>
            <w:r w:rsidRPr="00B41811">
              <w:rPr>
                <w:sz w:val="16"/>
                <w:szCs w:val="16"/>
              </w:rPr>
              <w:t>&gt;$100,000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2.4</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0.40</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0.14</w:t>
            </w:r>
            <w:r w:rsidR="00B80631">
              <w:rPr>
                <w:color w:val="000000"/>
                <w:sz w:val="16"/>
                <w:szCs w:val="16"/>
              </w:rPr>
              <w:t xml:space="preserve"> - </w:t>
            </w:r>
            <w:r w:rsidR="00B80631" w:rsidRPr="00B41811">
              <w:rPr>
                <w:color w:val="000000"/>
                <w:sz w:val="16"/>
                <w:szCs w:val="16"/>
              </w:rPr>
              <w:t>1.18</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Borders>
              <w:bottom w:val="single" w:sz="4" w:space="0" w:color="auto"/>
            </w:tcBorders>
            <w:vAlign w:val="bottom"/>
          </w:tcPr>
          <w:p w:rsidR="00B80631" w:rsidRPr="009B1415" w:rsidRDefault="00B80631" w:rsidP="00B41811">
            <w:pPr>
              <w:spacing w:before="20"/>
              <w:ind w:left="176"/>
              <w:jc w:val="both"/>
              <w:rPr>
                <w:sz w:val="16"/>
                <w:szCs w:val="16"/>
              </w:rPr>
            </w:pPr>
            <w:r w:rsidRPr="009B1415">
              <w:rPr>
                <w:sz w:val="16"/>
                <w:szCs w:val="16"/>
              </w:rPr>
              <w:t>Not reported</w:t>
            </w:r>
          </w:p>
        </w:tc>
        <w:tc>
          <w:tcPr>
            <w:tcW w:w="567" w:type="dxa"/>
            <w:tcBorders>
              <w:bottom w:val="single" w:sz="4" w:space="0" w:color="auto"/>
            </w:tcBorders>
            <w:vAlign w:val="center"/>
          </w:tcPr>
          <w:p w:rsidR="00B80631" w:rsidRPr="00B41811" w:rsidRDefault="00B80631" w:rsidP="00F952D3">
            <w:pPr>
              <w:adjustRightInd w:val="0"/>
              <w:spacing w:before="20"/>
              <w:jc w:val="right"/>
              <w:rPr>
                <w:color w:val="000000"/>
                <w:sz w:val="16"/>
                <w:szCs w:val="16"/>
              </w:rPr>
            </w:pPr>
            <w:r>
              <w:rPr>
                <w:color w:val="000000"/>
                <w:sz w:val="16"/>
                <w:szCs w:val="16"/>
              </w:rPr>
              <w:t>4.2</w:t>
            </w:r>
          </w:p>
        </w:tc>
        <w:tc>
          <w:tcPr>
            <w:tcW w:w="1134" w:type="dxa"/>
            <w:tcBorders>
              <w:bottom w:val="single" w:sz="4" w:space="0" w:color="auto"/>
            </w:tcBorders>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0.48</w:t>
            </w:r>
          </w:p>
        </w:tc>
        <w:tc>
          <w:tcPr>
            <w:tcW w:w="1096" w:type="dxa"/>
            <w:gridSpan w:val="2"/>
            <w:tcBorders>
              <w:bottom w:val="single" w:sz="4" w:space="0" w:color="auto"/>
            </w:tcBorders>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0.19</w:t>
            </w:r>
            <w:r w:rsidR="00B80631">
              <w:rPr>
                <w:color w:val="000000"/>
                <w:sz w:val="16"/>
                <w:szCs w:val="16"/>
              </w:rPr>
              <w:t xml:space="preserve"> - </w:t>
            </w:r>
            <w:r w:rsidR="00B80631" w:rsidRPr="00B41811">
              <w:rPr>
                <w:color w:val="000000"/>
                <w:sz w:val="16"/>
                <w:szCs w:val="16"/>
              </w:rPr>
              <w:t>1.20</w:t>
            </w:r>
            <w:r>
              <w:rPr>
                <w:color w:val="000000"/>
                <w:sz w:val="16"/>
                <w:szCs w:val="16"/>
              </w:rPr>
              <w:t>)</w:t>
            </w:r>
          </w:p>
        </w:tc>
        <w:tc>
          <w:tcPr>
            <w:tcW w:w="747" w:type="dxa"/>
            <w:tcBorders>
              <w:bottom w:val="single" w:sz="4" w:space="0" w:color="auto"/>
            </w:tcBorders>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0.08</w:t>
            </w:r>
          </w:p>
        </w:tc>
      </w:tr>
      <w:tr w:rsidR="00B41811" w:rsidRPr="009B1415" w:rsidTr="00F959A8">
        <w:tc>
          <w:tcPr>
            <w:tcW w:w="4928" w:type="dxa"/>
            <w:tcBorders>
              <w:top w:val="single" w:sz="4" w:space="0" w:color="auto"/>
            </w:tcBorders>
            <w:vAlign w:val="bottom"/>
          </w:tcPr>
          <w:p w:rsidR="00B41811" w:rsidRPr="009B1415" w:rsidRDefault="00B41811" w:rsidP="00B41811">
            <w:pPr>
              <w:keepNext/>
              <w:spacing w:before="20"/>
              <w:jc w:val="both"/>
              <w:rPr>
                <w:b/>
                <w:sz w:val="16"/>
                <w:szCs w:val="16"/>
              </w:rPr>
            </w:pPr>
            <w:r w:rsidRPr="009B1415">
              <w:rPr>
                <w:b/>
                <w:sz w:val="16"/>
                <w:szCs w:val="16"/>
              </w:rPr>
              <w:lastRenderedPageBreak/>
              <w:t>Household income</w:t>
            </w:r>
          </w:p>
        </w:tc>
        <w:tc>
          <w:tcPr>
            <w:tcW w:w="56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1134"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709"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38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74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keepNext/>
              <w:spacing w:before="20"/>
              <w:ind w:left="176"/>
              <w:jc w:val="both"/>
              <w:rPr>
                <w:sz w:val="16"/>
                <w:szCs w:val="16"/>
              </w:rPr>
            </w:pPr>
            <w:r w:rsidRPr="009B1415">
              <w:rPr>
                <w:sz w:val="16"/>
                <w:szCs w:val="16"/>
              </w:rPr>
              <w:t>&lt;$20,000</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7.0</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keepNext/>
              <w:spacing w:before="20"/>
              <w:ind w:left="176"/>
              <w:jc w:val="both"/>
              <w:rPr>
                <w:sz w:val="16"/>
                <w:szCs w:val="16"/>
              </w:rPr>
            </w:pPr>
            <w:r w:rsidRPr="009B1415">
              <w:rPr>
                <w:sz w:val="16"/>
                <w:szCs w:val="16"/>
              </w:rPr>
              <w:t>$20,001 - $40,000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5.3</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1.33</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0.75</w:t>
            </w:r>
            <w:r w:rsidR="00B80631">
              <w:rPr>
                <w:color w:val="000000"/>
                <w:sz w:val="16"/>
                <w:szCs w:val="16"/>
              </w:rPr>
              <w:t xml:space="preserve"> - </w:t>
            </w:r>
            <w:r w:rsidR="00B80631" w:rsidRPr="00B41811">
              <w:rPr>
                <w:color w:val="000000"/>
                <w:sz w:val="16"/>
                <w:szCs w:val="16"/>
              </w:rPr>
              <w:t>2.36</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keepNext/>
              <w:spacing w:before="20"/>
              <w:ind w:left="176"/>
              <w:jc w:val="both"/>
              <w:rPr>
                <w:sz w:val="16"/>
                <w:szCs w:val="16"/>
              </w:rPr>
            </w:pPr>
            <w:r w:rsidRPr="009B1415">
              <w:rPr>
                <w:sz w:val="16"/>
                <w:szCs w:val="16"/>
              </w:rPr>
              <w:t>$40,001 - $60,000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10.0</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1.98</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1.07</w:t>
            </w:r>
            <w:r w:rsidR="00B80631">
              <w:rPr>
                <w:color w:val="000000"/>
                <w:sz w:val="16"/>
                <w:szCs w:val="16"/>
              </w:rPr>
              <w:t xml:space="preserve"> - </w:t>
            </w:r>
            <w:r w:rsidR="00B80631" w:rsidRPr="00B41811">
              <w:rPr>
                <w:color w:val="000000"/>
                <w:sz w:val="16"/>
                <w:szCs w:val="16"/>
              </w:rPr>
              <w:t>3.64</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keepNext/>
              <w:spacing w:before="20"/>
              <w:ind w:left="176"/>
              <w:jc w:val="both"/>
              <w:rPr>
                <w:sz w:val="16"/>
                <w:szCs w:val="16"/>
              </w:rPr>
            </w:pPr>
            <w:r w:rsidRPr="009B1415">
              <w:rPr>
                <w:sz w:val="16"/>
                <w:szCs w:val="16"/>
              </w:rPr>
              <w:t>$60,001 - $80,000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7.9</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1.53</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0.82</w:t>
            </w:r>
            <w:r w:rsidR="00B80631">
              <w:rPr>
                <w:color w:val="000000"/>
                <w:sz w:val="16"/>
                <w:szCs w:val="16"/>
              </w:rPr>
              <w:t xml:space="preserve"> - </w:t>
            </w:r>
            <w:r w:rsidR="00B80631" w:rsidRPr="00B41811">
              <w:rPr>
                <w:color w:val="000000"/>
                <w:sz w:val="16"/>
                <w:szCs w:val="16"/>
              </w:rPr>
              <w:t>2.86</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tcPr>
          <w:p w:rsidR="00B80631" w:rsidRPr="009B1415" w:rsidRDefault="00B80631" w:rsidP="00B41811">
            <w:pPr>
              <w:keepNext/>
              <w:spacing w:before="20"/>
              <w:ind w:left="176"/>
              <w:jc w:val="both"/>
              <w:rPr>
                <w:sz w:val="16"/>
                <w:szCs w:val="16"/>
              </w:rPr>
            </w:pPr>
            <w:r w:rsidRPr="009B1415">
              <w:rPr>
                <w:sz w:val="16"/>
                <w:szCs w:val="16"/>
              </w:rPr>
              <w:t>$80,001 - $100,000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6.8</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1.30</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0.69</w:t>
            </w:r>
            <w:r w:rsidR="00B80631">
              <w:rPr>
                <w:color w:val="000000"/>
                <w:sz w:val="16"/>
                <w:szCs w:val="16"/>
              </w:rPr>
              <w:t xml:space="preserve"> - </w:t>
            </w:r>
            <w:r w:rsidR="00B80631" w:rsidRPr="00B41811">
              <w:rPr>
                <w:color w:val="000000"/>
                <w:sz w:val="16"/>
                <w:szCs w:val="16"/>
              </w:rPr>
              <w:t>2.47</w:t>
            </w:r>
            <w:r>
              <w:rPr>
                <w:color w:val="000000"/>
                <w:sz w:val="16"/>
                <w:szCs w:val="16"/>
              </w:rPr>
              <w:t>)</w:t>
            </w:r>
          </w:p>
        </w:tc>
        <w:tc>
          <w:tcPr>
            <w:tcW w:w="747" w:type="dxa"/>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vAlign w:val="bottom"/>
          </w:tcPr>
          <w:p w:rsidR="00B80631" w:rsidRDefault="00B80631" w:rsidP="00B41811">
            <w:pPr>
              <w:keepNext/>
              <w:spacing w:before="20"/>
              <w:ind w:left="176"/>
              <w:jc w:val="both"/>
              <w:rPr>
                <w:sz w:val="16"/>
                <w:szCs w:val="16"/>
              </w:rPr>
            </w:pPr>
            <w:r w:rsidRPr="00E02871">
              <w:rPr>
                <w:sz w:val="16"/>
                <w:szCs w:val="16"/>
              </w:rPr>
              <w:t>&gt;$100,000</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4.2</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0.77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0.42</w:t>
            </w:r>
            <w:r w:rsidR="00B80631">
              <w:rPr>
                <w:color w:val="000000"/>
                <w:sz w:val="16"/>
                <w:szCs w:val="16"/>
              </w:rPr>
              <w:t xml:space="preserve"> - </w:t>
            </w:r>
            <w:r w:rsidR="00B80631" w:rsidRPr="00B41811">
              <w:rPr>
                <w:color w:val="000000"/>
                <w:sz w:val="16"/>
                <w:szCs w:val="16"/>
              </w:rPr>
              <w:t>1.43</w:t>
            </w:r>
            <w:r>
              <w:rPr>
                <w:color w:val="000000"/>
                <w:sz w:val="16"/>
                <w:szCs w:val="16"/>
              </w:rPr>
              <w:t>)</w:t>
            </w:r>
          </w:p>
        </w:tc>
        <w:tc>
          <w:tcPr>
            <w:tcW w:w="747" w:type="dxa"/>
            <w:shd w:val="clear" w:color="auto" w:fill="auto"/>
            <w:vAlign w:val="center"/>
          </w:tcPr>
          <w:p w:rsidR="00B80631" w:rsidRPr="00B41811" w:rsidRDefault="00B80631" w:rsidP="00F952D3">
            <w:pPr>
              <w:adjustRightInd w:val="0"/>
              <w:spacing w:before="20"/>
              <w:jc w:val="right"/>
              <w:rPr>
                <w:color w:val="000000"/>
                <w:sz w:val="16"/>
                <w:szCs w:val="16"/>
              </w:rPr>
            </w:pPr>
          </w:p>
        </w:tc>
      </w:tr>
      <w:tr w:rsidR="00B80631" w:rsidRPr="009B1415" w:rsidTr="00F959A8">
        <w:tc>
          <w:tcPr>
            <w:tcW w:w="4928" w:type="dxa"/>
            <w:vAlign w:val="bottom"/>
          </w:tcPr>
          <w:p w:rsidR="00B80631" w:rsidRPr="009B1415" w:rsidRDefault="00B80631" w:rsidP="00B41811">
            <w:pPr>
              <w:keepNext/>
              <w:spacing w:before="20"/>
              <w:ind w:left="176"/>
              <w:jc w:val="both"/>
              <w:rPr>
                <w:sz w:val="16"/>
                <w:szCs w:val="16"/>
              </w:rPr>
            </w:pPr>
            <w:r>
              <w:rPr>
                <w:sz w:val="16"/>
                <w:szCs w:val="16"/>
              </w:rPr>
              <w:t>Not r</w:t>
            </w:r>
            <w:r w:rsidRPr="009B1415">
              <w:rPr>
                <w:sz w:val="16"/>
                <w:szCs w:val="16"/>
              </w:rPr>
              <w:t>eported</w:t>
            </w:r>
          </w:p>
        </w:tc>
        <w:tc>
          <w:tcPr>
            <w:tcW w:w="567" w:type="dxa"/>
            <w:vAlign w:val="center"/>
          </w:tcPr>
          <w:p w:rsidR="00B80631" w:rsidRPr="00B41811" w:rsidRDefault="00B80631" w:rsidP="00F952D3">
            <w:pPr>
              <w:adjustRightInd w:val="0"/>
              <w:spacing w:before="20"/>
              <w:jc w:val="right"/>
              <w:rPr>
                <w:color w:val="000000"/>
                <w:sz w:val="16"/>
                <w:szCs w:val="16"/>
              </w:rPr>
            </w:pPr>
            <w:r>
              <w:rPr>
                <w:color w:val="000000"/>
                <w:sz w:val="16"/>
                <w:szCs w:val="16"/>
              </w:rPr>
              <w:t>6.8</w:t>
            </w:r>
          </w:p>
        </w:tc>
        <w:tc>
          <w:tcPr>
            <w:tcW w:w="1134" w:type="dxa"/>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0.97</w:t>
            </w:r>
          </w:p>
        </w:tc>
        <w:tc>
          <w:tcPr>
            <w:tcW w:w="1096" w:type="dxa"/>
            <w:gridSpan w:val="2"/>
            <w:vAlign w:val="center"/>
          </w:tcPr>
          <w:p w:rsidR="00B80631" w:rsidRPr="00B41811" w:rsidRDefault="00F952D3" w:rsidP="00F952D3">
            <w:pPr>
              <w:adjustRightInd w:val="0"/>
              <w:spacing w:before="20"/>
              <w:jc w:val="right"/>
              <w:rPr>
                <w:color w:val="000000"/>
                <w:sz w:val="16"/>
                <w:szCs w:val="16"/>
              </w:rPr>
            </w:pPr>
            <w:r>
              <w:rPr>
                <w:color w:val="000000"/>
                <w:sz w:val="16"/>
                <w:szCs w:val="16"/>
              </w:rPr>
              <w:t>(</w:t>
            </w:r>
            <w:r w:rsidR="00B80631" w:rsidRPr="00B41811">
              <w:rPr>
                <w:color w:val="000000"/>
                <w:sz w:val="16"/>
                <w:szCs w:val="16"/>
              </w:rPr>
              <w:t>0.43</w:t>
            </w:r>
            <w:r w:rsidR="00B80631">
              <w:rPr>
                <w:color w:val="000000"/>
                <w:sz w:val="16"/>
                <w:szCs w:val="16"/>
              </w:rPr>
              <w:t xml:space="preserve"> - </w:t>
            </w:r>
            <w:r w:rsidR="00B80631" w:rsidRPr="00B41811">
              <w:rPr>
                <w:color w:val="000000"/>
                <w:sz w:val="16"/>
                <w:szCs w:val="16"/>
              </w:rPr>
              <w:t>2.20</w:t>
            </w:r>
            <w:r>
              <w:rPr>
                <w:color w:val="000000"/>
                <w:sz w:val="16"/>
                <w:szCs w:val="16"/>
              </w:rPr>
              <w:t>)</w:t>
            </w:r>
          </w:p>
        </w:tc>
        <w:tc>
          <w:tcPr>
            <w:tcW w:w="747" w:type="dxa"/>
            <w:shd w:val="clear" w:color="auto" w:fill="auto"/>
            <w:vAlign w:val="center"/>
          </w:tcPr>
          <w:p w:rsidR="00B80631" w:rsidRPr="00B41811" w:rsidRDefault="00B80631" w:rsidP="00F952D3">
            <w:pPr>
              <w:adjustRightInd w:val="0"/>
              <w:spacing w:before="20"/>
              <w:jc w:val="right"/>
              <w:rPr>
                <w:color w:val="000000"/>
                <w:sz w:val="16"/>
                <w:szCs w:val="16"/>
              </w:rPr>
            </w:pPr>
            <w:r w:rsidRPr="00B41811">
              <w:rPr>
                <w:color w:val="000000"/>
                <w:sz w:val="16"/>
                <w:szCs w:val="16"/>
              </w:rPr>
              <w:t>0.11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Area of residence</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Auckland</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8.4</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Wellington</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4.4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0.50</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0.27</w:t>
            </w:r>
            <w:r w:rsidR="001262EE">
              <w:rPr>
                <w:color w:val="000000"/>
                <w:sz w:val="16"/>
                <w:szCs w:val="16"/>
              </w:rPr>
              <w:t xml:space="preserve"> - </w:t>
            </w:r>
            <w:r w:rsidR="001262EE" w:rsidRPr="00B41811">
              <w:rPr>
                <w:color w:val="000000"/>
                <w:sz w:val="16"/>
                <w:szCs w:val="16"/>
              </w:rPr>
              <w:t>0.95</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Christchurch</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2.5</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0.29</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0.11</w:t>
            </w:r>
            <w:r w:rsidR="001262EE">
              <w:rPr>
                <w:color w:val="000000"/>
                <w:sz w:val="16"/>
                <w:szCs w:val="16"/>
              </w:rPr>
              <w:t xml:space="preserve"> - </w:t>
            </w:r>
            <w:r w:rsidR="001262EE" w:rsidRPr="00B41811">
              <w:rPr>
                <w:color w:val="000000"/>
                <w:sz w:val="16"/>
                <w:szCs w:val="16"/>
              </w:rPr>
              <w:t>0.73</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Rest of NZ</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6.4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0.75</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0.50</w:t>
            </w:r>
            <w:r w:rsidR="001262EE">
              <w:rPr>
                <w:color w:val="000000"/>
                <w:sz w:val="16"/>
                <w:szCs w:val="16"/>
              </w:rPr>
              <w:t xml:space="preserve"> - </w:t>
            </w:r>
            <w:r w:rsidR="001262EE" w:rsidRPr="00B41811">
              <w:rPr>
                <w:color w:val="000000"/>
                <w:sz w:val="16"/>
                <w:szCs w:val="16"/>
              </w:rPr>
              <w:t>1.12</w:t>
            </w:r>
            <w:r>
              <w:rPr>
                <w:color w:val="000000"/>
                <w:sz w:val="16"/>
                <w:szCs w:val="16"/>
              </w:rPr>
              <w:t>)</w:t>
            </w:r>
          </w:p>
        </w:tc>
        <w:tc>
          <w:tcPr>
            <w:tcW w:w="747" w:type="dxa"/>
            <w:shd w:val="clear" w:color="auto" w:fill="D9D9D9" w:themeFill="background1" w:themeFillShade="D9"/>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0.02</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 xml:space="preserve">New Zealand </w:t>
            </w:r>
            <w:r w:rsidR="00280A64">
              <w:rPr>
                <w:b/>
                <w:sz w:val="16"/>
                <w:szCs w:val="16"/>
              </w:rPr>
              <w:t xml:space="preserve">Individual </w:t>
            </w:r>
            <w:r w:rsidRPr="009B1415">
              <w:rPr>
                <w:b/>
                <w:sz w:val="16"/>
                <w:szCs w:val="16"/>
              </w:rPr>
              <w:t>Deprivation Index</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280A64" w:rsidRDefault="00B41811" w:rsidP="00B41811">
            <w:pPr>
              <w:spacing w:before="20"/>
              <w:ind w:left="176"/>
              <w:jc w:val="both"/>
              <w:rPr>
                <w:sz w:val="16"/>
                <w:szCs w:val="16"/>
              </w:rPr>
            </w:pPr>
            <w:r w:rsidRPr="00280A64">
              <w:rPr>
                <w:sz w:val="16"/>
                <w:szCs w:val="16"/>
              </w:rPr>
              <w:t>0</w:t>
            </w:r>
          </w:p>
        </w:tc>
        <w:tc>
          <w:tcPr>
            <w:tcW w:w="567" w:type="dxa"/>
            <w:vAlign w:val="center"/>
          </w:tcPr>
          <w:p w:rsidR="00B41811" w:rsidRPr="00280A64" w:rsidRDefault="009E0BD9" w:rsidP="00F952D3">
            <w:pPr>
              <w:adjustRightInd w:val="0"/>
              <w:spacing w:before="20"/>
              <w:jc w:val="right"/>
              <w:rPr>
                <w:color w:val="000000"/>
                <w:sz w:val="16"/>
                <w:szCs w:val="16"/>
              </w:rPr>
            </w:pPr>
            <w:r w:rsidRPr="00280A64">
              <w:rPr>
                <w:color w:val="000000"/>
                <w:sz w:val="16"/>
                <w:szCs w:val="16"/>
              </w:rPr>
              <w:t>5.5</w:t>
            </w:r>
          </w:p>
        </w:tc>
        <w:tc>
          <w:tcPr>
            <w:tcW w:w="1134" w:type="dxa"/>
            <w:vAlign w:val="center"/>
          </w:tcPr>
          <w:p w:rsidR="00B41811" w:rsidRPr="00B41811" w:rsidRDefault="00B41811" w:rsidP="00F952D3">
            <w:pPr>
              <w:adjustRightInd w:val="0"/>
              <w:spacing w:before="20"/>
              <w:jc w:val="right"/>
              <w:rPr>
                <w:color w:val="000000"/>
                <w:sz w:val="16"/>
                <w:szCs w:val="16"/>
              </w:rPr>
            </w:pPr>
            <w:r w:rsidRPr="00280A64">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1</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6.1</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1.13</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0.71</w:t>
            </w:r>
            <w:r w:rsidR="001262EE">
              <w:rPr>
                <w:color w:val="000000"/>
                <w:sz w:val="16"/>
                <w:szCs w:val="16"/>
              </w:rPr>
              <w:t xml:space="preserve"> - </w:t>
            </w:r>
            <w:r w:rsidR="001262EE" w:rsidRPr="00B41811">
              <w:rPr>
                <w:color w:val="000000"/>
                <w:sz w:val="16"/>
                <w:szCs w:val="16"/>
              </w:rPr>
              <w:t>1.81</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2</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8.</w:t>
            </w:r>
            <w:r w:rsidRPr="00B41811">
              <w:rPr>
                <w:color w:val="000000"/>
                <w:sz w:val="16"/>
                <w:szCs w:val="16"/>
              </w:rPr>
              <w:t>8</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1.67</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0.95</w:t>
            </w:r>
            <w:r w:rsidR="001262EE">
              <w:rPr>
                <w:color w:val="000000"/>
                <w:sz w:val="16"/>
                <w:szCs w:val="16"/>
              </w:rPr>
              <w:t xml:space="preserve"> - </w:t>
            </w:r>
            <w:r w:rsidR="001262EE" w:rsidRPr="00B41811">
              <w:rPr>
                <w:color w:val="000000"/>
                <w:sz w:val="16"/>
                <w:szCs w:val="16"/>
              </w:rPr>
              <w:t>2.92</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3</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8.6</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1.64</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0.75</w:t>
            </w:r>
            <w:r w:rsidR="001262EE">
              <w:rPr>
                <w:color w:val="000000"/>
                <w:sz w:val="16"/>
                <w:szCs w:val="16"/>
              </w:rPr>
              <w:t xml:space="preserve"> - </w:t>
            </w:r>
            <w:r w:rsidR="001262EE" w:rsidRPr="00B41811">
              <w:rPr>
                <w:color w:val="000000"/>
                <w:sz w:val="16"/>
                <w:szCs w:val="16"/>
              </w:rPr>
              <w:t>3.56</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4</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11.8</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2.32</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1.11</w:t>
            </w:r>
            <w:r w:rsidR="001262EE">
              <w:rPr>
                <w:color w:val="000000"/>
                <w:sz w:val="16"/>
                <w:szCs w:val="16"/>
              </w:rPr>
              <w:t xml:space="preserve"> - </w:t>
            </w:r>
            <w:r w:rsidR="001262EE" w:rsidRPr="00B41811">
              <w:rPr>
                <w:color w:val="000000"/>
                <w:sz w:val="16"/>
                <w:szCs w:val="16"/>
              </w:rPr>
              <w:t>4.87</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Pr>
                <w:sz w:val="16"/>
                <w:szCs w:val="16"/>
              </w:rPr>
              <w:t>5</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20.4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4.44</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1.24</w:t>
            </w:r>
            <w:r w:rsidR="001262EE">
              <w:rPr>
                <w:color w:val="000000"/>
                <w:sz w:val="16"/>
                <w:szCs w:val="16"/>
              </w:rPr>
              <w:t xml:space="preserve"> - </w:t>
            </w:r>
            <w:r w:rsidR="001262EE" w:rsidRPr="00B41811">
              <w:rPr>
                <w:color w:val="000000"/>
                <w:sz w:val="16"/>
                <w:szCs w:val="16"/>
              </w:rPr>
              <w:t>15.94</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Default="001262EE" w:rsidP="00B41811">
            <w:pPr>
              <w:spacing w:before="20"/>
              <w:ind w:left="176"/>
              <w:jc w:val="both"/>
              <w:rPr>
                <w:sz w:val="16"/>
                <w:szCs w:val="16"/>
              </w:rPr>
            </w:pPr>
            <w:r>
              <w:rPr>
                <w:sz w:val="16"/>
                <w:szCs w:val="16"/>
              </w:rPr>
              <w:t>6+</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7.7</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1.44</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0.56</w:t>
            </w:r>
            <w:r w:rsidR="001262EE">
              <w:rPr>
                <w:color w:val="000000"/>
                <w:sz w:val="16"/>
                <w:szCs w:val="16"/>
              </w:rPr>
              <w:t xml:space="preserve"> - </w:t>
            </w:r>
            <w:r w:rsidR="001262EE" w:rsidRPr="00B41811">
              <w:rPr>
                <w:color w:val="000000"/>
                <w:sz w:val="16"/>
                <w:szCs w:val="16"/>
              </w:rPr>
              <w:t>3.73</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0.06</w:t>
            </w:r>
          </w:p>
        </w:tc>
      </w:tr>
      <w:tr w:rsidR="00B41811" w:rsidRPr="009B1415" w:rsidTr="00F959A8">
        <w:tc>
          <w:tcPr>
            <w:tcW w:w="4928" w:type="dxa"/>
            <w:vAlign w:val="center"/>
          </w:tcPr>
          <w:p w:rsidR="00B41811" w:rsidRPr="009B1415" w:rsidRDefault="00B41811" w:rsidP="00B41811">
            <w:pPr>
              <w:spacing w:before="20"/>
              <w:rPr>
                <w:rFonts w:eastAsiaTheme="minorEastAsia"/>
                <w:b/>
                <w:sz w:val="16"/>
                <w:szCs w:val="16"/>
                <w:lang w:eastAsia="en-US"/>
              </w:rPr>
            </w:pPr>
            <w:r w:rsidRPr="009B1415">
              <w:rPr>
                <w:rFonts w:eastAsiaTheme="minorEastAsia"/>
                <w:b/>
                <w:sz w:val="16"/>
                <w:szCs w:val="16"/>
                <w:lang w:eastAsia="en-US"/>
              </w:rPr>
              <w:t>Number of gambling activities participated in</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1</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2.9</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2</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6.4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2.27</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1.25</w:t>
            </w:r>
            <w:r w:rsidR="001262EE">
              <w:rPr>
                <w:color w:val="000000"/>
                <w:sz w:val="16"/>
                <w:szCs w:val="16"/>
              </w:rPr>
              <w:t xml:space="preserve"> - </w:t>
            </w:r>
            <w:r w:rsidR="001262EE" w:rsidRPr="00B41811">
              <w:rPr>
                <w:color w:val="000000"/>
                <w:sz w:val="16"/>
                <w:szCs w:val="16"/>
              </w:rPr>
              <w:t>4.13</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3</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4.4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1.56</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0.82</w:t>
            </w:r>
            <w:r w:rsidR="001262EE">
              <w:rPr>
                <w:color w:val="000000"/>
                <w:sz w:val="16"/>
                <w:szCs w:val="16"/>
              </w:rPr>
              <w:t xml:space="preserve"> - </w:t>
            </w:r>
            <w:r w:rsidR="001262EE" w:rsidRPr="00B41811">
              <w:rPr>
                <w:color w:val="000000"/>
                <w:sz w:val="16"/>
                <w:szCs w:val="16"/>
              </w:rPr>
              <w:t>2.99</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4-6</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9.7</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3.62</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2.08</w:t>
            </w:r>
            <w:r w:rsidR="001262EE">
              <w:rPr>
                <w:color w:val="000000"/>
                <w:sz w:val="16"/>
                <w:szCs w:val="16"/>
              </w:rPr>
              <w:t xml:space="preserve"> - </w:t>
            </w:r>
            <w:r w:rsidR="001262EE" w:rsidRPr="00B41811">
              <w:rPr>
                <w:color w:val="000000"/>
                <w:sz w:val="16"/>
                <w:szCs w:val="16"/>
              </w:rPr>
              <w:t>6.29</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7-9</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17.4</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7.05</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2.98</w:t>
            </w:r>
            <w:r w:rsidR="001262EE">
              <w:rPr>
                <w:color w:val="000000"/>
                <w:sz w:val="16"/>
                <w:szCs w:val="16"/>
              </w:rPr>
              <w:t xml:space="preserve"> - </w:t>
            </w:r>
            <w:r w:rsidR="001262EE" w:rsidRPr="00B41811">
              <w:rPr>
                <w:color w:val="000000"/>
                <w:sz w:val="16"/>
                <w:szCs w:val="16"/>
              </w:rPr>
              <w:t>16.70</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10+</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33.7</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17.07</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3.03</w:t>
            </w:r>
            <w:r w:rsidR="001262EE">
              <w:rPr>
                <w:color w:val="000000"/>
                <w:sz w:val="16"/>
                <w:szCs w:val="16"/>
              </w:rPr>
              <w:t xml:space="preserve"> - </w:t>
            </w:r>
            <w:r w:rsidR="001262EE" w:rsidRPr="00B41811">
              <w:rPr>
                <w:color w:val="000000"/>
                <w:sz w:val="16"/>
                <w:szCs w:val="16"/>
              </w:rPr>
              <w:t>96.02</w:t>
            </w:r>
            <w:r>
              <w:rPr>
                <w:color w:val="000000"/>
                <w:sz w:val="16"/>
                <w:szCs w:val="16"/>
              </w:rPr>
              <w:t>)</w:t>
            </w:r>
          </w:p>
        </w:tc>
        <w:tc>
          <w:tcPr>
            <w:tcW w:w="747" w:type="dxa"/>
            <w:shd w:val="clear" w:color="auto" w:fill="D9D9D9" w:themeFill="background1" w:themeFillShade="D9"/>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Pattern of participation</w:t>
            </w:r>
          </w:p>
        </w:tc>
        <w:tc>
          <w:tcPr>
            <w:tcW w:w="567" w:type="dxa"/>
            <w:vAlign w:val="center"/>
          </w:tcPr>
          <w:p w:rsidR="00B41811" w:rsidRPr="00B41811" w:rsidRDefault="00B41811" w:rsidP="00F952D3">
            <w:pPr>
              <w:adjustRightInd w:val="0"/>
              <w:spacing w:before="20"/>
              <w:jc w:val="right"/>
              <w:rPr>
                <w:color w:val="000000"/>
                <w:sz w:val="16"/>
                <w:szCs w:val="16"/>
              </w:rPr>
            </w:pPr>
          </w:p>
        </w:tc>
        <w:tc>
          <w:tcPr>
            <w:tcW w:w="1134" w:type="dxa"/>
            <w:vAlign w:val="center"/>
          </w:tcPr>
          <w:p w:rsidR="00B41811" w:rsidRPr="00B41811" w:rsidRDefault="00B41811" w:rsidP="00F952D3">
            <w:pPr>
              <w:adjustRightInd w:val="0"/>
              <w:spacing w:before="20"/>
              <w:jc w:val="right"/>
              <w:rPr>
                <w:color w:val="000000"/>
                <w:sz w:val="16"/>
                <w:szCs w:val="16"/>
              </w:rPr>
            </w:pP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B41811" w:rsidRPr="009B1415" w:rsidTr="00F959A8">
        <w:tc>
          <w:tcPr>
            <w:tcW w:w="4928" w:type="dxa"/>
          </w:tcPr>
          <w:p w:rsidR="00B41811" w:rsidRPr="009B1415" w:rsidRDefault="00B41811" w:rsidP="00B41811">
            <w:pPr>
              <w:spacing w:before="20"/>
              <w:ind w:left="176"/>
              <w:jc w:val="both"/>
              <w:rPr>
                <w:sz w:val="16"/>
                <w:szCs w:val="16"/>
              </w:rPr>
            </w:pPr>
            <w:r w:rsidRPr="009B1415">
              <w:rPr>
                <w:sz w:val="16"/>
                <w:szCs w:val="16"/>
              </w:rPr>
              <w:t>Infrequent gambler</w:t>
            </w:r>
          </w:p>
        </w:tc>
        <w:tc>
          <w:tcPr>
            <w:tcW w:w="567" w:type="dxa"/>
            <w:vAlign w:val="center"/>
          </w:tcPr>
          <w:p w:rsidR="00B41811" w:rsidRPr="00B41811" w:rsidRDefault="009E0BD9" w:rsidP="00F952D3">
            <w:pPr>
              <w:adjustRightInd w:val="0"/>
              <w:spacing w:before="20"/>
              <w:jc w:val="right"/>
              <w:rPr>
                <w:color w:val="000000"/>
                <w:sz w:val="16"/>
                <w:szCs w:val="16"/>
              </w:rPr>
            </w:pPr>
            <w:r>
              <w:rPr>
                <w:color w:val="000000"/>
                <w:sz w:val="16"/>
                <w:szCs w:val="16"/>
              </w:rPr>
              <w:t>5.4</w:t>
            </w:r>
          </w:p>
        </w:tc>
        <w:tc>
          <w:tcPr>
            <w:tcW w:w="1134" w:type="dxa"/>
            <w:vAlign w:val="center"/>
          </w:tcPr>
          <w:p w:rsidR="00B41811" w:rsidRPr="00B41811" w:rsidRDefault="00B41811" w:rsidP="00F952D3">
            <w:pPr>
              <w:adjustRightInd w:val="0"/>
              <w:spacing w:before="20"/>
              <w:jc w:val="right"/>
              <w:rPr>
                <w:color w:val="000000"/>
                <w:sz w:val="16"/>
                <w:szCs w:val="16"/>
              </w:rPr>
            </w:pPr>
            <w:r w:rsidRPr="00B41811">
              <w:rPr>
                <w:color w:val="000000"/>
                <w:sz w:val="16"/>
                <w:szCs w:val="16"/>
              </w:rPr>
              <w:t>1.00</w:t>
            </w:r>
          </w:p>
        </w:tc>
        <w:tc>
          <w:tcPr>
            <w:tcW w:w="709" w:type="dxa"/>
            <w:vAlign w:val="center"/>
          </w:tcPr>
          <w:p w:rsidR="00B41811" w:rsidRPr="00B41811" w:rsidRDefault="00B41811" w:rsidP="00F952D3">
            <w:pPr>
              <w:adjustRightInd w:val="0"/>
              <w:spacing w:before="20"/>
              <w:jc w:val="right"/>
              <w:rPr>
                <w:color w:val="000000"/>
                <w:sz w:val="16"/>
                <w:szCs w:val="16"/>
              </w:rPr>
            </w:pPr>
          </w:p>
        </w:tc>
        <w:tc>
          <w:tcPr>
            <w:tcW w:w="387" w:type="dxa"/>
            <w:vAlign w:val="center"/>
          </w:tcPr>
          <w:p w:rsidR="00B41811" w:rsidRPr="00B41811" w:rsidRDefault="00B41811" w:rsidP="00F952D3">
            <w:pPr>
              <w:adjustRightInd w:val="0"/>
              <w:spacing w:before="20"/>
              <w:jc w:val="right"/>
              <w:rPr>
                <w:color w:val="000000"/>
                <w:sz w:val="16"/>
                <w:szCs w:val="16"/>
              </w:rPr>
            </w:pPr>
          </w:p>
        </w:tc>
        <w:tc>
          <w:tcPr>
            <w:tcW w:w="747" w:type="dxa"/>
            <w:vAlign w:val="center"/>
          </w:tcPr>
          <w:p w:rsidR="00B41811" w:rsidRPr="00B41811" w:rsidRDefault="00B41811"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Regular non-continuous gambler</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6.0</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1.11</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0.72</w:t>
            </w:r>
            <w:r w:rsidR="001262EE">
              <w:rPr>
                <w:color w:val="000000"/>
                <w:sz w:val="16"/>
                <w:szCs w:val="16"/>
              </w:rPr>
              <w:t xml:space="preserve"> - </w:t>
            </w:r>
            <w:r w:rsidR="001262EE" w:rsidRPr="00B41811">
              <w:rPr>
                <w:color w:val="000000"/>
                <w:sz w:val="16"/>
                <w:szCs w:val="16"/>
              </w:rPr>
              <w:t>1.71</w:t>
            </w:r>
            <w:r>
              <w:rPr>
                <w:color w:val="000000"/>
                <w:sz w:val="16"/>
                <w:szCs w:val="16"/>
              </w:rPr>
              <w:t>)</w:t>
            </w:r>
          </w:p>
        </w:tc>
        <w:tc>
          <w:tcPr>
            <w:tcW w:w="747" w:type="dxa"/>
            <w:vAlign w:val="center"/>
          </w:tcPr>
          <w:p w:rsidR="001262EE" w:rsidRPr="00B41811"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41811">
            <w:pPr>
              <w:spacing w:before="20"/>
              <w:ind w:left="176"/>
              <w:jc w:val="both"/>
              <w:rPr>
                <w:sz w:val="16"/>
                <w:szCs w:val="16"/>
              </w:rPr>
            </w:pPr>
            <w:r w:rsidRPr="009B1415">
              <w:rPr>
                <w:sz w:val="16"/>
                <w:szCs w:val="16"/>
              </w:rPr>
              <w:t>Regular continuous gambler</w:t>
            </w:r>
          </w:p>
        </w:tc>
        <w:tc>
          <w:tcPr>
            <w:tcW w:w="567" w:type="dxa"/>
            <w:vAlign w:val="center"/>
          </w:tcPr>
          <w:p w:rsidR="001262EE" w:rsidRPr="00B41811" w:rsidRDefault="001262EE" w:rsidP="00F952D3">
            <w:pPr>
              <w:adjustRightInd w:val="0"/>
              <w:spacing w:before="20"/>
              <w:jc w:val="right"/>
              <w:rPr>
                <w:color w:val="000000"/>
                <w:sz w:val="16"/>
                <w:szCs w:val="16"/>
              </w:rPr>
            </w:pPr>
            <w:r>
              <w:rPr>
                <w:color w:val="000000"/>
                <w:sz w:val="16"/>
                <w:szCs w:val="16"/>
              </w:rPr>
              <w:t>18.7</w:t>
            </w:r>
          </w:p>
        </w:tc>
        <w:tc>
          <w:tcPr>
            <w:tcW w:w="1134" w:type="dxa"/>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4.01</w:t>
            </w:r>
          </w:p>
        </w:tc>
        <w:tc>
          <w:tcPr>
            <w:tcW w:w="1096" w:type="dxa"/>
            <w:gridSpan w:val="2"/>
            <w:vAlign w:val="center"/>
          </w:tcPr>
          <w:p w:rsidR="001262EE" w:rsidRPr="00B41811" w:rsidRDefault="00F952D3" w:rsidP="00F952D3">
            <w:pPr>
              <w:adjustRightInd w:val="0"/>
              <w:spacing w:before="20"/>
              <w:jc w:val="right"/>
              <w:rPr>
                <w:color w:val="000000"/>
                <w:sz w:val="16"/>
                <w:szCs w:val="16"/>
              </w:rPr>
            </w:pPr>
            <w:r>
              <w:rPr>
                <w:color w:val="000000"/>
                <w:sz w:val="16"/>
                <w:szCs w:val="16"/>
              </w:rPr>
              <w:t>(</w:t>
            </w:r>
            <w:r w:rsidR="001262EE" w:rsidRPr="00B41811">
              <w:rPr>
                <w:color w:val="000000"/>
                <w:sz w:val="16"/>
                <w:szCs w:val="16"/>
              </w:rPr>
              <w:t>2.43</w:t>
            </w:r>
            <w:r w:rsidR="001262EE">
              <w:rPr>
                <w:color w:val="000000"/>
                <w:sz w:val="16"/>
                <w:szCs w:val="16"/>
              </w:rPr>
              <w:t xml:space="preserve"> - </w:t>
            </w:r>
            <w:r w:rsidR="001262EE" w:rsidRPr="00B41811">
              <w:rPr>
                <w:color w:val="000000"/>
                <w:sz w:val="16"/>
                <w:szCs w:val="16"/>
              </w:rPr>
              <w:t>6.61</w:t>
            </w:r>
            <w:r>
              <w:rPr>
                <w:color w:val="000000"/>
                <w:sz w:val="16"/>
                <w:szCs w:val="16"/>
              </w:rPr>
              <w:t>)</w:t>
            </w:r>
          </w:p>
        </w:tc>
        <w:tc>
          <w:tcPr>
            <w:tcW w:w="747" w:type="dxa"/>
            <w:shd w:val="clear" w:color="auto" w:fill="D9D9D9" w:themeFill="background1" w:themeFillShade="D9"/>
            <w:vAlign w:val="center"/>
          </w:tcPr>
          <w:p w:rsidR="001262EE" w:rsidRPr="00B41811" w:rsidRDefault="001262EE" w:rsidP="00F952D3">
            <w:pPr>
              <w:adjustRightInd w:val="0"/>
              <w:spacing w:before="20"/>
              <w:jc w:val="right"/>
              <w:rPr>
                <w:color w:val="000000"/>
                <w:sz w:val="16"/>
                <w:szCs w:val="16"/>
              </w:rPr>
            </w:pPr>
            <w:r w:rsidRPr="00B41811">
              <w:rPr>
                <w:color w:val="000000"/>
                <w:sz w:val="16"/>
                <w:szCs w:val="16"/>
              </w:rPr>
              <w:t>&lt;</w:t>
            </w:r>
            <w:r>
              <w:rPr>
                <w:color w:val="000000"/>
                <w:sz w:val="16"/>
                <w:szCs w:val="16"/>
              </w:rPr>
              <w:t>0</w:t>
            </w:r>
            <w:r w:rsidRPr="00B41811">
              <w:rPr>
                <w:color w:val="000000"/>
                <w:sz w:val="16"/>
                <w:szCs w:val="16"/>
              </w:rPr>
              <w:t>.0001</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Gambling frequency</w:t>
            </w:r>
          </w:p>
        </w:tc>
        <w:tc>
          <w:tcPr>
            <w:tcW w:w="567" w:type="dxa"/>
            <w:vAlign w:val="center"/>
          </w:tcPr>
          <w:p w:rsidR="00B41811" w:rsidRPr="00CB35E8" w:rsidRDefault="00B41811" w:rsidP="00F952D3">
            <w:pPr>
              <w:adjustRightInd w:val="0"/>
              <w:spacing w:before="20"/>
              <w:jc w:val="right"/>
              <w:rPr>
                <w:color w:val="000000"/>
                <w:sz w:val="16"/>
                <w:szCs w:val="16"/>
              </w:rPr>
            </w:pPr>
          </w:p>
        </w:tc>
        <w:tc>
          <w:tcPr>
            <w:tcW w:w="1134" w:type="dxa"/>
          </w:tcPr>
          <w:p w:rsidR="00B41811" w:rsidRPr="009B1415" w:rsidRDefault="00B41811" w:rsidP="00F952D3">
            <w:pPr>
              <w:adjustRightInd w:val="0"/>
              <w:spacing w:before="20"/>
              <w:jc w:val="right"/>
              <w:rPr>
                <w:color w:val="000000"/>
                <w:sz w:val="16"/>
                <w:szCs w:val="16"/>
              </w:rPr>
            </w:pPr>
          </w:p>
        </w:tc>
        <w:tc>
          <w:tcPr>
            <w:tcW w:w="709" w:type="dxa"/>
          </w:tcPr>
          <w:p w:rsidR="00B41811" w:rsidRPr="009B1415" w:rsidRDefault="00B41811" w:rsidP="00F952D3">
            <w:pPr>
              <w:adjustRightInd w:val="0"/>
              <w:spacing w:before="20"/>
              <w:jc w:val="right"/>
              <w:rPr>
                <w:color w:val="000000"/>
                <w:sz w:val="16"/>
                <w:szCs w:val="16"/>
              </w:rPr>
            </w:pPr>
          </w:p>
        </w:tc>
        <w:tc>
          <w:tcPr>
            <w:tcW w:w="387" w:type="dxa"/>
          </w:tcPr>
          <w:p w:rsidR="00B41811" w:rsidRPr="009B1415" w:rsidRDefault="00B41811" w:rsidP="00F952D3">
            <w:pPr>
              <w:adjustRightInd w:val="0"/>
              <w:spacing w:before="20"/>
              <w:jc w:val="right"/>
              <w:rPr>
                <w:color w:val="000000"/>
                <w:sz w:val="16"/>
                <w:szCs w:val="16"/>
              </w:rPr>
            </w:pPr>
          </w:p>
        </w:tc>
        <w:tc>
          <w:tcPr>
            <w:tcW w:w="747" w:type="dxa"/>
            <w:vAlign w:val="center"/>
          </w:tcPr>
          <w:p w:rsidR="00B41811" w:rsidRPr="00CB35E8" w:rsidRDefault="00B41811"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At least weekly</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9.0</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2.94</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1.82</w:t>
            </w:r>
            <w:r w:rsidR="001262EE">
              <w:rPr>
                <w:color w:val="000000"/>
                <w:sz w:val="16"/>
                <w:szCs w:val="16"/>
              </w:rPr>
              <w:t xml:space="preserve"> - </w:t>
            </w:r>
            <w:r w:rsidR="001262EE" w:rsidRPr="00BE2C60">
              <w:rPr>
                <w:color w:val="000000"/>
                <w:sz w:val="16"/>
                <w:szCs w:val="16"/>
              </w:rPr>
              <w:t>4.74</w:t>
            </w:r>
            <w:r>
              <w:rPr>
                <w:color w:val="000000"/>
                <w:sz w:val="16"/>
                <w:szCs w:val="16"/>
              </w:rPr>
              <w:t>)</w:t>
            </w:r>
          </w:p>
        </w:tc>
        <w:tc>
          <w:tcPr>
            <w:tcW w:w="747" w:type="dxa"/>
            <w:vAlign w:val="center"/>
          </w:tcPr>
          <w:p w:rsidR="001262EE" w:rsidRPr="00BE2C60" w:rsidRDefault="001262EE"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At least monthly</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8.3</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2.69</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1.64</w:t>
            </w:r>
            <w:r w:rsidR="001262EE">
              <w:rPr>
                <w:color w:val="000000"/>
                <w:sz w:val="16"/>
                <w:szCs w:val="16"/>
              </w:rPr>
              <w:t xml:space="preserve"> - </w:t>
            </w:r>
            <w:r w:rsidR="001262EE" w:rsidRPr="00BE2C60">
              <w:rPr>
                <w:color w:val="000000"/>
                <w:sz w:val="16"/>
                <w:szCs w:val="16"/>
              </w:rPr>
              <w:t>4.43</w:t>
            </w:r>
            <w:r>
              <w:rPr>
                <w:color w:val="000000"/>
                <w:sz w:val="16"/>
                <w:szCs w:val="16"/>
              </w:rPr>
              <w:t>)</w:t>
            </w:r>
          </w:p>
        </w:tc>
        <w:tc>
          <w:tcPr>
            <w:tcW w:w="747" w:type="dxa"/>
            <w:vAlign w:val="center"/>
          </w:tcPr>
          <w:p w:rsidR="001262EE" w:rsidRPr="00BE2C60" w:rsidRDefault="001262EE"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At least once in past year</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3.3</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shd w:val="clear" w:color="auto" w:fill="D9D9D9" w:themeFill="background1" w:themeFillShade="D9"/>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&lt;</w:t>
            </w:r>
            <w:r>
              <w:rPr>
                <w:color w:val="000000"/>
                <w:sz w:val="16"/>
                <w:szCs w:val="16"/>
              </w:rPr>
              <w:t>0</w:t>
            </w:r>
            <w:r w:rsidRPr="00BE2C60">
              <w:rPr>
                <w:color w:val="000000"/>
                <w:sz w:val="16"/>
                <w:szCs w:val="16"/>
              </w:rPr>
              <w:t>.0001</w:t>
            </w:r>
          </w:p>
        </w:tc>
      </w:tr>
      <w:tr w:rsidR="00BE2C60" w:rsidRPr="009B1415" w:rsidTr="00F959A8">
        <w:tc>
          <w:tcPr>
            <w:tcW w:w="4928" w:type="dxa"/>
            <w:vAlign w:val="bottom"/>
          </w:tcPr>
          <w:p w:rsidR="00BE2C60" w:rsidRPr="009B1415" w:rsidRDefault="00BE2C60" w:rsidP="00BE2C60">
            <w:pPr>
              <w:keepNext/>
              <w:keepLines/>
              <w:spacing w:before="20"/>
              <w:jc w:val="both"/>
              <w:rPr>
                <w:b/>
                <w:sz w:val="16"/>
                <w:szCs w:val="16"/>
              </w:rPr>
            </w:pPr>
            <w:r w:rsidRPr="009B1415">
              <w:rPr>
                <w:rFonts w:eastAsiaTheme="minorEastAsia"/>
                <w:b/>
                <w:sz w:val="16"/>
                <w:szCs w:val="16"/>
                <w:lang w:eastAsia="en-US"/>
              </w:rPr>
              <w:t>Typical monthly gambling expenditure</w:t>
            </w:r>
          </w:p>
        </w:tc>
        <w:tc>
          <w:tcPr>
            <w:tcW w:w="567" w:type="dxa"/>
            <w:vAlign w:val="center"/>
          </w:tcPr>
          <w:p w:rsidR="00BE2C60" w:rsidRPr="00BE2C60" w:rsidRDefault="00BE2C60" w:rsidP="00F952D3">
            <w:pPr>
              <w:adjustRightInd w:val="0"/>
              <w:spacing w:before="20"/>
              <w:jc w:val="right"/>
              <w:rPr>
                <w:color w:val="000000"/>
                <w:sz w:val="16"/>
                <w:szCs w:val="16"/>
              </w:rPr>
            </w:pPr>
          </w:p>
        </w:tc>
        <w:tc>
          <w:tcPr>
            <w:tcW w:w="1134" w:type="dxa"/>
            <w:vAlign w:val="center"/>
          </w:tcPr>
          <w:p w:rsidR="00BE2C60" w:rsidRPr="00BE2C60" w:rsidRDefault="00BE2C60" w:rsidP="00F952D3">
            <w:pPr>
              <w:adjustRightInd w:val="0"/>
              <w:spacing w:before="20"/>
              <w:jc w:val="right"/>
              <w:rPr>
                <w:color w:val="000000"/>
                <w:sz w:val="16"/>
                <w:szCs w:val="16"/>
              </w:rPr>
            </w:pP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$1 - $10</w:t>
            </w:r>
          </w:p>
        </w:tc>
        <w:tc>
          <w:tcPr>
            <w:tcW w:w="567" w:type="dxa"/>
          </w:tcPr>
          <w:p w:rsidR="00BE2C60" w:rsidRPr="00BE2C60" w:rsidRDefault="009E0BD9" w:rsidP="00F952D3">
            <w:pPr>
              <w:adjustRightInd w:val="0"/>
              <w:spacing w:before="20"/>
              <w:jc w:val="right"/>
              <w:rPr>
                <w:color w:val="000000"/>
                <w:sz w:val="16"/>
                <w:szCs w:val="16"/>
              </w:rPr>
            </w:pPr>
            <w:r>
              <w:rPr>
                <w:color w:val="000000"/>
                <w:sz w:val="16"/>
                <w:szCs w:val="16"/>
              </w:rPr>
              <w:t>3.1</w:t>
            </w:r>
          </w:p>
        </w:tc>
        <w:tc>
          <w:tcPr>
            <w:tcW w:w="1134" w:type="dxa"/>
            <w:vAlign w:val="center"/>
          </w:tcPr>
          <w:p w:rsidR="00BE2C60" w:rsidRPr="00BE2C60" w:rsidRDefault="00BE2C60" w:rsidP="00F952D3">
            <w:pPr>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spacing w:before="20"/>
              <w:jc w:val="right"/>
              <w:rPr>
                <w:color w:val="000000"/>
                <w:sz w:val="16"/>
                <w:szCs w:val="16"/>
              </w:rPr>
            </w:pPr>
          </w:p>
        </w:tc>
        <w:tc>
          <w:tcPr>
            <w:tcW w:w="387" w:type="dxa"/>
            <w:vAlign w:val="center"/>
          </w:tcPr>
          <w:p w:rsidR="00BE2C60" w:rsidRPr="00BE2C60" w:rsidRDefault="00BE2C60" w:rsidP="00F952D3">
            <w:pPr>
              <w:spacing w:before="20"/>
              <w:jc w:val="right"/>
              <w:rPr>
                <w:color w:val="000000"/>
                <w:sz w:val="16"/>
                <w:szCs w:val="16"/>
              </w:rPr>
            </w:pPr>
          </w:p>
        </w:tc>
        <w:tc>
          <w:tcPr>
            <w:tcW w:w="747" w:type="dxa"/>
            <w:vAlign w:val="center"/>
          </w:tcPr>
          <w:p w:rsidR="00BE2C60" w:rsidRPr="00BE2C60" w:rsidRDefault="00BE2C60"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$11 - $20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3.2</w:t>
            </w:r>
          </w:p>
        </w:tc>
        <w:tc>
          <w:tcPr>
            <w:tcW w:w="1134" w:type="dxa"/>
          </w:tcPr>
          <w:p w:rsidR="001262EE" w:rsidRPr="00BE2C60" w:rsidRDefault="001262EE" w:rsidP="00F952D3">
            <w:pPr>
              <w:keepNext/>
              <w:adjustRightInd w:val="0"/>
              <w:spacing w:before="20"/>
              <w:jc w:val="right"/>
              <w:rPr>
                <w:color w:val="000000"/>
                <w:sz w:val="16"/>
                <w:szCs w:val="16"/>
              </w:rPr>
            </w:pPr>
            <w:r w:rsidRPr="00BE2C60">
              <w:rPr>
                <w:color w:val="000000"/>
                <w:sz w:val="16"/>
                <w:szCs w:val="16"/>
              </w:rPr>
              <w:t>1.05</w:t>
            </w:r>
          </w:p>
        </w:tc>
        <w:tc>
          <w:tcPr>
            <w:tcW w:w="1096" w:type="dxa"/>
            <w:gridSpan w:val="2"/>
          </w:tcPr>
          <w:p w:rsidR="001262EE" w:rsidRPr="00BE2C60" w:rsidRDefault="00F952D3" w:rsidP="00F952D3">
            <w:pPr>
              <w:keepNext/>
              <w:adjustRightInd w:val="0"/>
              <w:spacing w:before="20"/>
              <w:jc w:val="right"/>
              <w:rPr>
                <w:color w:val="000000"/>
                <w:sz w:val="16"/>
                <w:szCs w:val="16"/>
              </w:rPr>
            </w:pPr>
            <w:r>
              <w:rPr>
                <w:color w:val="000000"/>
                <w:sz w:val="16"/>
                <w:szCs w:val="16"/>
              </w:rPr>
              <w:t>(</w:t>
            </w:r>
            <w:r w:rsidR="001262EE" w:rsidRPr="00BE2C60">
              <w:rPr>
                <w:color w:val="000000"/>
                <w:sz w:val="16"/>
                <w:szCs w:val="16"/>
              </w:rPr>
              <w:t>0.44</w:t>
            </w:r>
            <w:r w:rsidR="001262EE">
              <w:rPr>
                <w:color w:val="000000"/>
                <w:sz w:val="16"/>
                <w:szCs w:val="16"/>
              </w:rPr>
              <w:t xml:space="preserve"> - </w:t>
            </w:r>
            <w:r w:rsidR="001262EE" w:rsidRPr="00BE2C60">
              <w:rPr>
                <w:color w:val="000000"/>
                <w:sz w:val="16"/>
                <w:szCs w:val="16"/>
              </w:rPr>
              <w:t>2.51</w:t>
            </w:r>
            <w:r>
              <w:rPr>
                <w:color w:val="000000"/>
                <w:sz w:val="16"/>
                <w:szCs w:val="16"/>
              </w:rPr>
              <w:t>)</w:t>
            </w:r>
          </w:p>
        </w:tc>
        <w:tc>
          <w:tcPr>
            <w:tcW w:w="747" w:type="dxa"/>
            <w:vAlign w:val="center"/>
          </w:tcPr>
          <w:p w:rsidR="001262EE" w:rsidRPr="00BE2C60" w:rsidRDefault="001262EE"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$21 - $30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3.9</w:t>
            </w:r>
          </w:p>
        </w:tc>
        <w:tc>
          <w:tcPr>
            <w:tcW w:w="1134" w:type="dxa"/>
          </w:tcPr>
          <w:p w:rsidR="001262EE" w:rsidRPr="00BE2C60" w:rsidRDefault="001262EE" w:rsidP="00F952D3">
            <w:pPr>
              <w:adjustRightInd w:val="0"/>
              <w:spacing w:before="20"/>
              <w:jc w:val="right"/>
              <w:rPr>
                <w:color w:val="000000"/>
                <w:sz w:val="16"/>
                <w:szCs w:val="16"/>
              </w:rPr>
            </w:pPr>
            <w:r w:rsidRPr="00BE2C60">
              <w:rPr>
                <w:color w:val="000000"/>
                <w:sz w:val="16"/>
                <w:szCs w:val="16"/>
              </w:rPr>
              <w:t>1.26</w:t>
            </w:r>
          </w:p>
        </w:tc>
        <w:tc>
          <w:tcPr>
            <w:tcW w:w="1096" w:type="dxa"/>
            <w:gridSpan w:val="2"/>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0.50</w:t>
            </w:r>
            <w:r w:rsidR="001262EE">
              <w:rPr>
                <w:color w:val="000000"/>
                <w:sz w:val="16"/>
                <w:szCs w:val="16"/>
              </w:rPr>
              <w:t xml:space="preserve"> - </w:t>
            </w:r>
            <w:r w:rsidR="001262EE" w:rsidRPr="00BE2C60">
              <w:rPr>
                <w:color w:val="000000"/>
                <w:sz w:val="16"/>
                <w:szCs w:val="16"/>
              </w:rPr>
              <w:t>3.17</w:t>
            </w:r>
            <w:r>
              <w:rPr>
                <w:color w:val="000000"/>
                <w:sz w:val="16"/>
                <w:szCs w:val="16"/>
              </w:rPr>
              <w:t>)</w:t>
            </w:r>
          </w:p>
        </w:tc>
        <w:tc>
          <w:tcPr>
            <w:tcW w:w="747" w:type="dxa"/>
            <w:vAlign w:val="center"/>
          </w:tcPr>
          <w:p w:rsidR="001262EE" w:rsidRPr="00BE2C60" w:rsidRDefault="001262EE"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$31 - $50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5.3</w:t>
            </w:r>
          </w:p>
        </w:tc>
        <w:tc>
          <w:tcPr>
            <w:tcW w:w="1134" w:type="dxa"/>
          </w:tcPr>
          <w:p w:rsidR="001262EE" w:rsidRPr="00BE2C60" w:rsidRDefault="001262EE" w:rsidP="00F952D3">
            <w:pPr>
              <w:adjustRightInd w:val="0"/>
              <w:spacing w:before="20"/>
              <w:jc w:val="right"/>
              <w:rPr>
                <w:color w:val="000000"/>
                <w:sz w:val="16"/>
                <w:szCs w:val="16"/>
              </w:rPr>
            </w:pPr>
            <w:r w:rsidRPr="00BE2C60">
              <w:rPr>
                <w:color w:val="000000"/>
                <w:sz w:val="16"/>
                <w:szCs w:val="16"/>
              </w:rPr>
              <w:t>1.75</w:t>
            </w:r>
          </w:p>
        </w:tc>
        <w:tc>
          <w:tcPr>
            <w:tcW w:w="1096" w:type="dxa"/>
            <w:gridSpan w:val="2"/>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0.75</w:t>
            </w:r>
            <w:r w:rsidR="001262EE">
              <w:rPr>
                <w:color w:val="000000"/>
                <w:sz w:val="16"/>
                <w:szCs w:val="16"/>
              </w:rPr>
              <w:t xml:space="preserve"> - </w:t>
            </w:r>
            <w:r w:rsidR="001262EE" w:rsidRPr="00BE2C60">
              <w:rPr>
                <w:color w:val="000000"/>
                <w:sz w:val="16"/>
                <w:szCs w:val="16"/>
              </w:rPr>
              <w:t>4.12</w:t>
            </w:r>
            <w:r>
              <w:rPr>
                <w:color w:val="000000"/>
                <w:sz w:val="16"/>
                <w:szCs w:val="16"/>
              </w:rPr>
              <w:t>)</w:t>
            </w:r>
          </w:p>
        </w:tc>
        <w:tc>
          <w:tcPr>
            <w:tcW w:w="747" w:type="dxa"/>
            <w:vAlign w:val="center"/>
          </w:tcPr>
          <w:p w:rsidR="001262EE" w:rsidRPr="00BE2C60" w:rsidRDefault="001262EE"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$51 - $100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9.9</w:t>
            </w:r>
          </w:p>
        </w:tc>
        <w:tc>
          <w:tcPr>
            <w:tcW w:w="1134" w:type="dxa"/>
          </w:tcPr>
          <w:p w:rsidR="001262EE" w:rsidRPr="00BE2C60" w:rsidRDefault="001262EE" w:rsidP="00F952D3">
            <w:pPr>
              <w:keepNext/>
              <w:adjustRightInd w:val="0"/>
              <w:spacing w:before="20"/>
              <w:jc w:val="right"/>
              <w:rPr>
                <w:color w:val="000000"/>
                <w:sz w:val="16"/>
                <w:szCs w:val="16"/>
              </w:rPr>
            </w:pPr>
            <w:r w:rsidRPr="00BE2C60">
              <w:rPr>
                <w:color w:val="000000"/>
                <w:sz w:val="16"/>
                <w:szCs w:val="16"/>
              </w:rPr>
              <w:t>3.42</w:t>
            </w:r>
          </w:p>
        </w:tc>
        <w:tc>
          <w:tcPr>
            <w:tcW w:w="1096" w:type="dxa"/>
            <w:gridSpan w:val="2"/>
          </w:tcPr>
          <w:p w:rsidR="001262EE" w:rsidRPr="00BE2C60" w:rsidRDefault="00F952D3" w:rsidP="00F952D3">
            <w:pPr>
              <w:keepNext/>
              <w:adjustRightInd w:val="0"/>
              <w:spacing w:before="20"/>
              <w:jc w:val="right"/>
              <w:rPr>
                <w:color w:val="000000"/>
                <w:sz w:val="16"/>
                <w:szCs w:val="16"/>
              </w:rPr>
            </w:pPr>
            <w:r>
              <w:rPr>
                <w:color w:val="000000"/>
                <w:sz w:val="16"/>
                <w:szCs w:val="16"/>
              </w:rPr>
              <w:t>(</w:t>
            </w:r>
            <w:r w:rsidR="001262EE" w:rsidRPr="00BE2C60">
              <w:rPr>
                <w:color w:val="000000"/>
                <w:sz w:val="16"/>
                <w:szCs w:val="16"/>
              </w:rPr>
              <w:t>1.55</w:t>
            </w:r>
            <w:r w:rsidR="001262EE">
              <w:rPr>
                <w:color w:val="000000"/>
                <w:sz w:val="16"/>
                <w:szCs w:val="16"/>
              </w:rPr>
              <w:t xml:space="preserve"> - </w:t>
            </w:r>
            <w:r w:rsidR="001262EE" w:rsidRPr="00BE2C60">
              <w:rPr>
                <w:color w:val="000000"/>
                <w:sz w:val="16"/>
                <w:szCs w:val="16"/>
              </w:rPr>
              <w:t>7.55</w:t>
            </w:r>
            <w:r>
              <w:rPr>
                <w:color w:val="000000"/>
                <w:sz w:val="16"/>
                <w:szCs w:val="16"/>
              </w:rPr>
              <w:t>)</w:t>
            </w:r>
          </w:p>
        </w:tc>
        <w:tc>
          <w:tcPr>
            <w:tcW w:w="747" w:type="dxa"/>
            <w:vAlign w:val="center"/>
          </w:tcPr>
          <w:p w:rsidR="001262EE" w:rsidRPr="00BE2C60" w:rsidRDefault="001262EE"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$101 - $500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14.8</w:t>
            </w:r>
          </w:p>
        </w:tc>
        <w:tc>
          <w:tcPr>
            <w:tcW w:w="1134" w:type="dxa"/>
          </w:tcPr>
          <w:p w:rsidR="001262EE" w:rsidRPr="00BE2C60" w:rsidRDefault="001262EE" w:rsidP="00F952D3">
            <w:pPr>
              <w:adjustRightInd w:val="0"/>
              <w:spacing w:before="20"/>
              <w:jc w:val="right"/>
              <w:rPr>
                <w:color w:val="000000"/>
                <w:sz w:val="16"/>
                <w:szCs w:val="16"/>
              </w:rPr>
            </w:pPr>
            <w:r w:rsidRPr="00BE2C60">
              <w:rPr>
                <w:color w:val="000000"/>
                <w:sz w:val="16"/>
                <w:szCs w:val="16"/>
              </w:rPr>
              <w:t>5.45</w:t>
            </w:r>
          </w:p>
        </w:tc>
        <w:tc>
          <w:tcPr>
            <w:tcW w:w="1096" w:type="dxa"/>
            <w:gridSpan w:val="2"/>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2.45</w:t>
            </w:r>
            <w:r w:rsidR="001262EE">
              <w:rPr>
                <w:color w:val="000000"/>
                <w:sz w:val="16"/>
                <w:szCs w:val="16"/>
              </w:rPr>
              <w:t xml:space="preserve"> - </w:t>
            </w:r>
            <w:r w:rsidR="001262EE" w:rsidRPr="00BE2C60">
              <w:rPr>
                <w:color w:val="000000"/>
                <w:sz w:val="16"/>
                <w:szCs w:val="16"/>
              </w:rPr>
              <w:t>12.05</w:t>
            </w:r>
            <w:r>
              <w:rPr>
                <w:color w:val="000000"/>
                <w:sz w:val="16"/>
                <w:szCs w:val="16"/>
              </w:rPr>
              <w:t>)</w:t>
            </w:r>
          </w:p>
        </w:tc>
        <w:tc>
          <w:tcPr>
            <w:tcW w:w="747" w:type="dxa"/>
            <w:vAlign w:val="center"/>
          </w:tcPr>
          <w:p w:rsidR="001262EE" w:rsidRPr="00BE2C60" w:rsidRDefault="001262EE" w:rsidP="00F952D3">
            <w:pPr>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&gt;$500</w:t>
            </w:r>
          </w:p>
        </w:tc>
        <w:tc>
          <w:tcPr>
            <w:tcW w:w="567" w:type="dxa"/>
          </w:tcPr>
          <w:p w:rsidR="001262EE" w:rsidRPr="00BE2C60" w:rsidRDefault="001262EE" w:rsidP="00F952D3">
            <w:pPr>
              <w:adjustRightInd w:val="0"/>
              <w:spacing w:before="20"/>
              <w:jc w:val="right"/>
              <w:rPr>
                <w:color w:val="000000"/>
                <w:sz w:val="16"/>
                <w:szCs w:val="16"/>
              </w:rPr>
            </w:pPr>
            <w:r>
              <w:rPr>
                <w:color w:val="000000"/>
                <w:sz w:val="16"/>
                <w:szCs w:val="16"/>
              </w:rPr>
              <w:t>13.7</w:t>
            </w:r>
          </w:p>
        </w:tc>
        <w:tc>
          <w:tcPr>
            <w:tcW w:w="1134" w:type="dxa"/>
          </w:tcPr>
          <w:p w:rsidR="001262EE" w:rsidRPr="00BE2C60" w:rsidRDefault="001262EE" w:rsidP="00F952D3">
            <w:pPr>
              <w:adjustRightInd w:val="0"/>
              <w:spacing w:before="20"/>
              <w:jc w:val="right"/>
              <w:rPr>
                <w:color w:val="000000"/>
                <w:sz w:val="16"/>
                <w:szCs w:val="16"/>
              </w:rPr>
            </w:pPr>
            <w:r w:rsidRPr="00BE2C60">
              <w:rPr>
                <w:color w:val="000000"/>
                <w:sz w:val="16"/>
                <w:szCs w:val="16"/>
              </w:rPr>
              <w:t>4.96</w:t>
            </w:r>
          </w:p>
        </w:tc>
        <w:tc>
          <w:tcPr>
            <w:tcW w:w="1096" w:type="dxa"/>
            <w:gridSpan w:val="2"/>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1.28</w:t>
            </w:r>
            <w:r w:rsidR="001262EE">
              <w:rPr>
                <w:color w:val="000000"/>
                <w:sz w:val="16"/>
                <w:szCs w:val="16"/>
              </w:rPr>
              <w:t xml:space="preserve"> - </w:t>
            </w:r>
            <w:r w:rsidR="001262EE" w:rsidRPr="00BE2C60">
              <w:rPr>
                <w:color w:val="000000"/>
                <w:sz w:val="16"/>
                <w:szCs w:val="16"/>
              </w:rPr>
              <w:t>19.23</w:t>
            </w:r>
            <w:r>
              <w:rPr>
                <w:color w:val="000000"/>
                <w:sz w:val="16"/>
                <w:szCs w:val="16"/>
              </w:rPr>
              <w:t>)</w:t>
            </w:r>
          </w:p>
        </w:tc>
        <w:tc>
          <w:tcPr>
            <w:tcW w:w="747" w:type="dxa"/>
            <w:shd w:val="clear" w:color="auto" w:fill="D9D9D9" w:themeFill="background1" w:themeFillShade="D9"/>
            <w:vAlign w:val="center"/>
          </w:tcPr>
          <w:p w:rsidR="001262EE" w:rsidRPr="00BE2C60" w:rsidRDefault="001262EE" w:rsidP="00F952D3">
            <w:pPr>
              <w:spacing w:before="20"/>
              <w:jc w:val="right"/>
              <w:rPr>
                <w:color w:val="000000"/>
                <w:sz w:val="16"/>
                <w:szCs w:val="16"/>
              </w:rPr>
            </w:pPr>
            <w:r w:rsidRPr="00BE2C60">
              <w:rPr>
                <w:color w:val="000000"/>
                <w:sz w:val="16"/>
                <w:szCs w:val="16"/>
              </w:rPr>
              <w:t>&lt;</w:t>
            </w:r>
            <w:r>
              <w:rPr>
                <w:color w:val="000000"/>
                <w:sz w:val="16"/>
                <w:szCs w:val="16"/>
              </w:rPr>
              <w:t>0</w:t>
            </w:r>
            <w:r w:rsidRPr="00BE2C60">
              <w:rPr>
                <w:color w:val="000000"/>
                <w:sz w:val="16"/>
                <w:szCs w:val="16"/>
              </w:rPr>
              <w:t>.0001</w:t>
            </w:r>
          </w:p>
        </w:tc>
      </w:tr>
      <w:tr w:rsidR="00BE2C60" w:rsidRPr="009B1415" w:rsidTr="00F959A8">
        <w:tc>
          <w:tcPr>
            <w:tcW w:w="4928" w:type="dxa"/>
            <w:vAlign w:val="bottom"/>
          </w:tcPr>
          <w:p w:rsidR="00BE2C60" w:rsidRPr="009B1415" w:rsidRDefault="00BE2C60" w:rsidP="00BE2C60">
            <w:pPr>
              <w:spacing w:before="20"/>
              <w:jc w:val="both"/>
              <w:rPr>
                <w:b/>
                <w:sz w:val="16"/>
                <w:szCs w:val="16"/>
              </w:rPr>
            </w:pPr>
            <w:r w:rsidRPr="009B1415">
              <w:rPr>
                <w:b/>
                <w:sz w:val="16"/>
                <w:szCs w:val="16"/>
              </w:rPr>
              <w:t>Cards games - annual</w:t>
            </w:r>
          </w:p>
        </w:tc>
        <w:tc>
          <w:tcPr>
            <w:tcW w:w="567" w:type="dxa"/>
            <w:vAlign w:val="center"/>
          </w:tcPr>
          <w:p w:rsidR="00BE2C60" w:rsidRPr="00BE2C60" w:rsidRDefault="00BE2C60" w:rsidP="00F952D3">
            <w:pPr>
              <w:adjustRightInd w:val="0"/>
              <w:spacing w:before="20"/>
              <w:jc w:val="right"/>
              <w:rPr>
                <w:color w:val="000000"/>
                <w:sz w:val="16"/>
                <w:szCs w:val="16"/>
              </w:rPr>
            </w:pPr>
          </w:p>
        </w:tc>
        <w:tc>
          <w:tcPr>
            <w:tcW w:w="1134" w:type="dxa"/>
            <w:vAlign w:val="center"/>
          </w:tcPr>
          <w:p w:rsidR="00BE2C60" w:rsidRPr="00BE2C60" w:rsidRDefault="00BE2C60" w:rsidP="00F952D3">
            <w:pPr>
              <w:adjustRightInd w:val="0"/>
              <w:spacing w:before="20"/>
              <w:jc w:val="right"/>
              <w:rPr>
                <w:color w:val="000000"/>
                <w:sz w:val="16"/>
                <w:szCs w:val="16"/>
              </w:rPr>
            </w:pP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6.2</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Yes</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10.3</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1.73</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0.84</w:t>
            </w:r>
            <w:r w:rsidR="001262EE">
              <w:rPr>
                <w:color w:val="000000"/>
                <w:sz w:val="16"/>
                <w:szCs w:val="16"/>
              </w:rPr>
              <w:t xml:space="preserve"> - </w:t>
            </w:r>
            <w:r w:rsidR="001262EE" w:rsidRPr="00BE2C60">
              <w:rPr>
                <w:color w:val="000000"/>
                <w:sz w:val="16"/>
                <w:szCs w:val="16"/>
              </w:rPr>
              <w:t>3.55</w:t>
            </w:r>
            <w:r>
              <w:rPr>
                <w:color w:val="000000"/>
                <w:sz w:val="16"/>
                <w:szCs w:val="16"/>
              </w:rPr>
              <w:t>)</w:t>
            </w:r>
          </w:p>
        </w:tc>
        <w:tc>
          <w:tcPr>
            <w:tcW w:w="747"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0.14</w:t>
            </w:r>
          </w:p>
        </w:tc>
      </w:tr>
      <w:tr w:rsidR="00B41811" w:rsidRPr="009B1415" w:rsidTr="00F959A8">
        <w:tc>
          <w:tcPr>
            <w:tcW w:w="4928" w:type="dxa"/>
            <w:vAlign w:val="bottom"/>
          </w:tcPr>
          <w:p w:rsidR="00B41811" w:rsidRPr="009B1415" w:rsidRDefault="00B41811" w:rsidP="00B41811">
            <w:pPr>
              <w:spacing w:before="20"/>
              <w:jc w:val="both"/>
              <w:rPr>
                <w:b/>
                <w:sz w:val="16"/>
                <w:szCs w:val="16"/>
              </w:rPr>
            </w:pPr>
            <w:r w:rsidRPr="009B1415">
              <w:rPr>
                <w:b/>
                <w:sz w:val="16"/>
                <w:szCs w:val="16"/>
              </w:rPr>
              <w:t>Bets with friends/workmates - annual</w:t>
            </w:r>
          </w:p>
        </w:tc>
        <w:tc>
          <w:tcPr>
            <w:tcW w:w="567" w:type="dxa"/>
            <w:vAlign w:val="center"/>
          </w:tcPr>
          <w:p w:rsidR="00B41811" w:rsidRPr="00CB35E8" w:rsidRDefault="00B41811" w:rsidP="00F952D3">
            <w:pPr>
              <w:adjustRightInd w:val="0"/>
              <w:spacing w:before="20"/>
              <w:jc w:val="right"/>
              <w:rPr>
                <w:color w:val="000000"/>
                <w:sz w:val="16"/>
                <w:szCs w:val="16"/>
              </w:rPr>
            </w:pPr>
          </w:p>
        </w:tc>
        <w:tc>
          <w:tcPr>
            <w:tcW w:w="1134" w:type="dxa"/>
            <w:vAlign w:val="center"/>
          </w:tcPr>
          <w:p w:rsidR="00B41811" w:rsidRPr="00CB35E8" w:rsidRDefault="00B41811" w:rsidP="00F952D3">
            <w:pPr>
              <w:adjustRightInd w:val="0"/>
              <w:spacing w:before="20"/>
              <w:jc w:val="right"/>
              <w:rPr>
                <w:color w:val="000000"/>
                <w:sz w:val="16"/>
                <w:szCs w:val="16"/>
              </w:rPr>
            </w:pPr>
          </w:p>
        </w:tc>
        <w:tc>
          <w:tcPr>
            <w:tcW w:w="709" w:type="dxa"/>
            <w:vAlign w:val="center"/>
          </w:tcPr>
          <w:p w:rsidR="00B41811" w:rsidRPr="00CB35E8" w:rsidRDefault="00B41811" w:rsidP="00F952D3">
            <w:pPr>
              <w:adjustRightInd w:val="0"/>
              <w:spacing w:before="20"/>
              <w:jc w:val="right"/>
              <w:rPr>
                <w:color w:val="000000"/>
                <w:sz w:val="16"/>
                <w:szCs w:val="16"/>
              </w:rPr>
            </w:pPr>
          </w:p>
        </w:tc>
        <w:tc>
          <w:tcPr>
            <w:tcW w:w="387" w:type="dxa"/>
            <w:vAlign w:val="center"/>
          </w:tcPr>
          <w:p w:rsidR="00B41811" w:rsidRPr="00CB35E8" w:rsidRDefault="00B41811" w:rsidP="00F952D3">
            <w:pPr>
              <w:adjustRightInd w:val="0"/>
              <w:spacing w:before="20"/>
              <w:jc w:val="right"/>
              <w:rPr>
                <w:color w:val="000000"/>
                <w:sz w:val="16"/>
                <w:szCs w:val="16"/>
              </w:rPr>
            </w:pPr>
          </w:p>
        </w:tc>
        <w:tc>
          <w:tcPr>
            <w:tcW w:w="747" w:type="dxa"/>
            <w:vAlign w:val="center"/>
          </w:tcPr>
          <w:p w:rsidR="00B41811" w:rsidRPr="00CB35E8" w:rsidRDefault="00B41811"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6.0</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Yes</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8.2</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1.40</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0.91</w:t>
            </w:r>
            <w:r w:rsidR="001262EE">
              <w:rPr>
                <w:color w:val="000000"/>
                <w:sz w:val="16"/>
                <w:szCs w:val="16"/>
              </w:rPr>
              <w:t xml:space="preserve"> - </w:t>
            </w:r>
            <w:r w:rsidR="001262EE" w:rsidRPr="00BE2C60">
              <w:rPr>
                <w:color w:val="000000"/>
                <w:sz w:val="16"/>
                <w:szCs w:val="16"/>
              </w:rPr>
              <w:t>2.17</w:t>
            </w:r>
            <w:r>
              <w:rPr>
                <w:color w:val="000000"/>
                <w:sz w:val="16"/>
                <w:szCs w:val="16"/>
              </w:rPr>
              <w:t>)</w:t>
            </w:r>
          </w:p>
        </w:tc>
        <w:tc>
          <w:tcPr>
            <w:tcW w:w="747"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0.13</w:t>
            </w:r>
          </w:p>
        </w:tc>
      </w:tr>
      <w:tr w:rsidR="00BE2C60" w:rsidRPr="009B1415" w:rsidTr="00F959A8">
        <w:tc>
          <w:tcPr>
            <w:tcW w:w="4928" w:type="dxa"/>
            <w:vAlign w:val="bottom"/>
          </w:tcPr>
          <w:p w:rsidR="00BE2C60" w:rsidRPr="009B1415" w:rsidRDefault="00BE2C60" w:rsidP="00BE2C60">
            <w:pPr>
              <w:spacing w:before="20"/>
              <w:jc w:val="both"/>
              <w:rPr>
                <w:b/>
                <w:sz w:val="16"/>
                <w:szCs w:val="16"/>
              </w:rPr>
            </w:pPr>
            <w:r w:rsidRPr="009B1415">
              <w:rPr>
                <w:b/>
                <w:sz w:val="16"/>
                <w:szCs w:val="16"/>
              </w:rPr>
              <w:t>Text game or competition - annual</w:t>
            </w:r>
          </w:p>
        </w:tc>
        <w:tc>
          <w:tcPr>
            <w:tcW w:w="567" w:type="dxa"/>
            <w:vAlign w:val="center"/>
          </w:tcPr>
          <w:p w:rsidR="00BE2C60" w:rsidRPr="00BE2C60" w:rsidRDefault="00BE2C60" w:rsidP="00F952D3">
            <w:pPr>
              <w:adjustRightInd w:val="0"/>
              <w:spacing w:before="20"/>
              <w:jc w:val="right"/>
              <w:rPr>
                <w:color w:val="000000"/>
                <w:sz w:val="16"/>
                <w:szCs w:val="16"/>
              </w:rPr>
            </w:pPr>
          </w:p>
        </w:tc>
        <w:tc>
          <w:tcPr>
            <w:tcW w:w="1134" w:type="dxa"/>
            <w:vAlign w:val="center"/>
          </w:tcPr>
          <w:p w:rsidR="00BE2C60" w:rsidRPr="00BE2C60" w:rsidRDefault="00BE2C60" w:rsidP="00F952D3">
            <w:pPr>
              <w:adjustRightInd w:val="0"/>
              <w:spacing w:before="20"/>
              <w:jc w:val="right"/>
              <w:rPr>
                <w:color w:val="000000"/>
                <w:sz w:val="16"/>
                <w:szCs w:val="16"/>
              </w:rPr>
            </w:pP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6.</w:t>
            </w:r>
            <w:r w:rsidR="00BE2C60" w:rsidRPr="00BE2C60">
              <w:rPr>
                <w:color w:val="000000"/>
                <w:sz w:val="16"/>
                <w:szCs w:val="16"/>
              </w:rPr>
              <w:t>6</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Yes</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1.7</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0.24</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0.07</w:t>
            </w:r>
            <w:r w:rsidR="001262EE">
              <w:rPr>
                <w:color w:val="000000"/>
                <w:sz w:val="16"/>
                <w:szCs w:val="16"/>
              </w:rPr>
              <w:t xml:space="preserve"> - </w:t>
            </w:r>
            <w:r w:rsidR="001262EE" w:rsidRPr="00BE2C60">
              <w:rPr>
                <w:color w:val="000000"/>
                <w:sz w:val="16"/>
                <w:szCs w:val="16"/>
              </w:rPr>
              <w:t>0.82</w:t>
            </w:r>
            <w:r>
              <w:rPr>
                <w:color w:val="000000"/>
                <w:sz w:val="16"/>
                <w:szCs w:val="16"/>
              </w:rPr>
              <w:t>)</w:t>
            </w:r>
          </w:p>
        </w:tc>
        <w:tc>
          <w:tcPr>
            <w:tcW w:w="747" w:type="dxa"/>
            <w:shd w:val="clear" w:color="auto" w:fill="D9D9D9" w:themeFill="background1" w:themeFillShade="D9"/>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0.02</w:t>
            </w:r>
          </w:p>
        </w:tc>
      </w:tr>
      <w:tr w:rsidR="00BE2C60" w:rsidRPr="009B1415" w:rsidTr="00F959A8">
        <w:tc>
          <w:tcPr>
            <w:tcW w:w="4928" w:type="dxa"/>
            <w:vAlign w:val="bottom"/>
          </w:tcPr>
          <w:p w:rsidR="00BE2C60" w:rsidRPr="009B1415" w:rsidRDefault="00BE2C60" w:rsidP="00BE2C60">
            <w:pPr>
              <w:spacing w:before="20"/>
              <w:jc w:val="both"/>
              <w:rPr>
                <w:b/>
                <w:sz w:val="16"/>
                <w:szCs w:val="16"/>
              </w:rPr>
            </w:pPr>
            <w:r w:rsidRPr="009B1415">
              <w:rPr>
                <w:b/>
                <w:sz w:val="16"/>
                <w:szCs w:val="16"/>
              </w:rPr>
              <w:t>Raffle/lottery (NZ/overseas) - annual</w:t>
            </w:r>
          </w:p>
        </w:tc>
        <w:tc>
          <w:tcPr>
            <w:tcW w:w="567" w:type="dxa"/>
            <w:vAlign w:val="center"/>
          </w:tcPr>
          <w:p w:rsidR="00BE2C60" w:rsidRPr="00BE2C60" w:rsidRDefault="00BE2C60" w:rsidP="00F952D3">
            <w:pPr>
              <w:adjustRightInd w:val="0"/>
              <w:spacing w:before="20"/>
              <w:jc w:val="right"/>
              <w:rPr>
                <w:color w:val="000000"/>
                <w:sz w:val="16"/>
                <w:szCs w:val="16"/>
              </w:rPr>
            </w:pPr>
          </w:p>
        </w:tc>
        <w:tc>
          <w:tcPr>
            <w:tcW w:w="1134" w:type="dxa"/>
            <w:vAlign w:val="center"/>
          </w:tcPr>
          <w:p w:rsidR="00BE2C60" w:rsidRPr="00BE2C60" w:rsidRDefault="00BE2C60" w:rsidP="00F952D3">
            <w:pPr>
              <w:adjustRightInd w:val="0"/>
              <w:spacing w:before="20"/>
              <w:jc w:val="right"/>
              <w:rPr>
                <w:color w:val="000000"/>
                <w:sz w:val="16"/>
                <w:szCs w:val="16"/>
              </w:rPr>
            </w:pP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6.4</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1262EE" w:rsidRPr="009B1415" w:rsidTr="00F959A8">
        <w:tc>
          <w:tcPr>
            <w:tcW w:w="4928" w:type="dxa"/>
          </w:tcPr>
          <w:p w:rsidR="001262EE" w:rsidRPr="009B1415" w:rsidRDefault="001262EE" w:rsidP="00BE2C60">
            <w:pPr>
              <w:spacing w:before="20"/>
              <w:ind w:left="176"/>
              <w:jc w:val="both"/>
              <w:rPr>
                <w:sz w:val="16"/>
                <w:szCs w:val="16"/>
              </w:rPr>
            </w:pPr>
            <w:r w:rsidRPr="009B1415">
              <w:rPr>
                <w:sz w:val="16"/>
                <w:szCs w:val="16"/>
              </w:rPr>
              <w:t>Yes</w:t>
            </w:r>
          </w:p>
        </w:tc>
        <w:tc>
          <w:tcPr>
            <w:tcW w:w="567" w:type="dxa"/>
            <w:vAlign w:val="center"/>
          </w:tcPr>
          <w:p w:rsidR="001262EE" w:rsidRPr="00BE2C60" w:rsidRDefault="001262EE" w:rsidP="00F952D3">
            <w:pPr>
              <w:adjustRightInd w:val="0"/>
              <w:spacing w:before="20"/>
              <w:jc w:val="right"/>
              <w:rPr>
                <w:color w:val="000000"/>
                <w:sz w:val="16"/>
                <w:szCs w:val="16"/>
              </w:rPr>
            </w:pPr>
            <w:r>
              <w:rPr>
                <w:color w:val="000000"/>
                <w:sz w:val="16"/>
                <w:szCs w:val="16"/>
              </w:rPr>
              <w:t>6.4</w:t>
            </w:r>
          </w:p>
        </w:tc>
        <w:tc>
          <w:tcPr>
            <w:tcW w:w="1134"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1.00</w:t>
            </w:r>
          </w:p>
        </w:tc>
        <w:tc>
          <w:tcPr>
            <w:tcW w:w="1096" w:type="dxa"/>
            <w:gridSpan w:val="2"/>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0.68</w:t>
            </w:r>
            <w:r w:rsidR="001262EE">
              <w:rPr>
                <w:color w:val="000000"/>
                <w:sz w:val="16"/>
                <w:szCs w:val="16"/>
              </w:rPr>
              <w:t xml:space="preserve"> - </w:t>
            </w:r>
            <w:r w:rsidR="001262EE" w:rsidRPr="00BE2C60">
              <w:rPr>
                <w:color w:val="000000"/>
                <w:sz w:val="16"/>
                <w:szCs w:val="16"/>
              </w:rPr>
              <w:t>1.46</w:t>
            </w:r>
            <w:r>
              <w:rPr>
                <w:color w:val="000000"/>
                <w:sz w:val="16"/>
                <w:szCs w:val="16"/>
              </w:rPr>
              <w:t>)</w:t>
            </w:r>
          </w:p>
        </w:tc>
        <w:tc>
          <w:tcPr>
            <w:tcW w:w="747" w:type="dxa"/>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0.99</w:t>
            </w:r>
          </w:p>
        </w:tc>
      </w:tr>
      <w:tr w:rsidR="00B41811" w:rsidRPr="009B1415" w:rsidTr="00F959A8">
        <w:tc>
          <w:tcPr>
            <w:tcW w:w="4928" w:type="dxa"/>
            <w:vAlign w:val="bottom"/>
          </w:tcPr>
          <w:p w:rsidR="00B41811" w:rsidRPr="009B1415" w:rsidRDefault="00B41811" w:rsidP="00B41811">
            <w:pPr>
              <w:keepNext/>
              <w:spacing w:before="20"/>
              <w:jc w:val="both"/>
              <w:rPr>
                <w:b/>
                <w:sz w:val="16"/>
                <w:szCs w:val="16"/>
              </w:rPr>
            </w:pPr>
            <w:r w:rsidRPr="009B1415">
              <w:rPr>
                <w:b/>
                <w:sz w:val="16"/>
                <w:szCs w:val="16"/>
              </w:rPr>
              <w:t>Lotto - annual</w:t>
            </w:r>
          </w:p>
        </w:tc>
        <w:tc>
          <w:tcPr>
            <w:tcW w:w="567" w:type="dxa"/>
            <w:vAlign w:val="center"/>
          </w:tcPr>
          <w:p w:rsidR="00B41811" w:rsidRPr="00CB35E8" w:rsidRDefault="00B41811" w:rsidP="00F952D3">
            <w:pPr>
              <w:adjustRightInd w:val="0"/>
              <w:spacing w:before="20"/>
              <w:jc w:val="right"/>
              <w:rPr>
                <w:color w:val="000000"/>
                <w:sz w:val="16"/>
                <w:szCs w:val="16"/>
              </w:rPr>
            </w:pPr>
          </w:p>
        </w:tc>
        <w:tc>
          <w:tcPr>
            <w:tcW w:w="1134" w:type="dxa"/>
            <w:vAlign w:val="center"/>
          </w:tcPr>
          <w:p w:rsidR="00B41811" w:rsidRPr="00CB35E8" w:rsidRDefault="00B41811" w:rsidP="00F952D3">
            <w:pPr>
              <w:adjustRightInd w:val="0"/>
              <w:spacing w:before="20"/>
              <w:jc w:val="right"/>
              <w:rPr>
                <w:color w:val="000000"/>
                <w:sz w:val="16"/>
                <w:szCs w:val="16"/>
              </w:rPr>
            </w:pPr>
          </w:p>
        </w:tc>
        <w:tc>
          <w:tcPr>
            <w:tcW w:w="709" w:type="dxa"/>
            <w:vAlign w:val="center"/>
          </w:tcPr>
          <w:p w:rsidR="00B41811" w:rsidRPr="00CB35E8" w:rsidRDefault="00B41811" w:rsidP="00F952D3">
            <w:pPr>
              <w:adjustRightInd w:val="0"/>
              <w:spacing w:before="20"/>
              <w:jc w:val="right"/>
              <w:rPr>
                <w:color w:val="000000"/>
                <w:sz w:val="16"/>
                <w:szCs w:val="16"/>
              </w:rPr>
            </w:pPr>
          </w:p>
        </w:tc>
        <w:tc>
          <w:tcPr>
            <w:tcW w:w="387" w:type="dxa"/>
            <w:vAlign w:val="center"/>
          </w:tcPr>
          <w:p w:rsidR="00B41811" w:rsidRPr="00CB35E8" w:rsidRDefault="00B41811" w:rsidP="00F952D3">
            <w:pPr>
              <w:adjustRightInd w:val="0"/>
              <w:spacing w:before="20"/>
              <w:jc w:val="right"/>
              <w:rPr>
                <w:color w:val="000000"/>
                <w:sz w:val="16"/>
                <w:szCs w:val="16"/>
              </w:rPr>
            </w:pPr>
          </w:p>
        </w:tc>
        <w:tc>
          <w:tcPr>
            <w:tcW w:w="747" w:type="dxa"/>
            <w:vAlign w:val="center"/>
          </w:tcPr>
          <w:p w:rsidR="00B41811" w:rsidRPr="00CB35E8" w:rsidRDefault="00B41811" w:rsidP="00F952D3">
            <w:pPr>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4.7</w:t>
            </w:r>
          </w:p>
        </w:tc>
        <w:tc>
          <w:tcPr>
            <w:tcW w:w="1134" w:type="dxa"/>
            <w:vAlign w:val="center"/>
          </w:tcPr>
          <w:p w:rsidR="00BE2C60" w:rsidRPr="00BE2C60" w:rsidRDefault="00BE2C60" w:rsidP="00F952D3">
            <w:pPr>
              <w:adjustRightInd w:val="0"/>
              <w:spacing w:before="20"/>
              <w:jc w:val="right"/>
              <w:rPr>
                <w:color w:val="000000"/>
                <w:sz w:val="16"/>
                <w:szCs w:val="16"/>
              </w:rPr>
            </w:pPr>
            <w:r w:rsidRPr="00BE2C60">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1262EE" w:rsidRPr="009B1415" w:rsidTr="00F959A8">
        <w:tc>
          <w:tcPr>
            <w:tcW w:w="4928" w:type="dxa"/>
            <w:tcBorders>
              <w:bottom w:val="single" w:sz="4" w:space="0" w:color="auto"/>
            </w:tcBorders>
          </w:tcPr>
          <w:p w:rsidR="001262EE" w:rsidRPr="009B1415" w:rsidRDefault="001262EE" w:rsidP="00BE2C60">
            <w:pPr>
              <w:spacing w:before="20"/>
              <w:ind w:left="176"/>
              <w:jc w:val="both"/>
              <w:rPr>
                <w:sz w:val="16"/>
                <w:szCs w:val="16"/>
              </w:rPr>
            </w:pPr>
            <w:r w:rsidRPr="009B1415">
              <w:rPr>
                <w:sz w:val="16"/>
                <w:szCs w:val="16"/>
              </w:rPr>
              <w:t>Yes</w:t>
            </w:r>
          </w:p>
        </w:tc>
        <w:tc>
          <w:tcPr>
            <w:tcW w:w="567" w:type="dxa"/>
            <w:tcBorders>
              <w:bottom w:val="single" w:sz="4" w:space="0" w:color="auto"/>
            </w:tcBorders>
            <w:vAlign w:val="center"/>
          </w:tcPr>
          <w:p w:rsidR="001262EE" w:rsidRPr="00BE2C60" w:rsidRDefault="001262EE" w:rsidP="00F952D3">
            <w:pPr>
              <w:adjustRightInd w:val="0"/>
              <w:spacing w:before="20"/>
              <w:jc w:val="right"/>
              <w:rPr>
                <w:color w:val="000000"/>
                <w:sz w:val="16"/>
                <w:szCs w:val="16"/>
              </w:rPr>
            </w:pPr>
            <w:r>
              <w:rPr>
                <w:color w:val="000000"/>
                <w:sz w:val="16"/>
                <w:szCs w:val="16"/>
              </w:rPr>
              <w:t>6.8</w:t>
            </w:r>
          </w:p>
        </w:tc>
        <w:tc>
          <w:tcPr>
            <w:tcW w:w="1134" w:type="dxa"/>
            <w:tcBorders>
              <w:bottom w:val="single" w:sz="4" w:space="0" w:color="auto"/>
            </w:tcBorders>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1.46</w:t>
            </w:r>
          </w:p>
        </w:tc>
        <w:tc>
          <w:tcPr>
            <w:tcW w:w="1096" w:type="dxa"/>
            <w:gridSpan w:val="2"/>
            <w:tcBorders>
              <w:bottom w:val="single" w:sz="4" w:space="0" w:color="auto"/>
            </w:tcBorders>
            <w:vAlign w:val="center"/>
          </w:tcPr>
          <w:p w:rsidR="001262EE" w:rsidRPr="00BE2C60" w:rsidRDefault="00F952D3" w:rsidP="00F952D3">
            <w:pPr>
              <w:adjustRightInd w:val="0"/>
              <w:spacing w:before="20"/>
              <w:jc w:val="right"/>
              <w:rPr>
                <w:color w:val="000000"/>
                <w:sz w:val="16"/>
                <w:szCs w:val="16"/>
              </w:rPr>
            </w:pPr>
            <w:r>
              <w:rPr>
                <w:color w:val="000000"/>
                <w:sz w:val="16"/>
                <w:szCs w:val="16"/>
              </w:rPr>
              <w:t>(</w:t>
            </w:r>
            <w:r w:rsidR="001262EE" w:rsidRPr="00BE2C60">
              <w:rPr>
                <w:color w:val="000000"/>
                <w:sz w:val="16"/>
                <w:szCs w:val="16"/>
              </w:rPr>
              <w:t>0.83</w:t>
            </w:r>
            <w:r w:rsidR="006C6924">
              <w:rPr>
                <w:color w:val="000000"/>
                <w:sz w:val="16"/>
                <w:szCs w:val="16"/>
              </w:rPr>
              <w:t xml:space="preserve"> - </w:t>
            </w:r>
            <w:r w:rsidR="001262EE" w:rsidRPr="00BE2C60">
              <w:rPr>
                <w:color w:val="000000"/>
                <w:sz w:val="16"/>
                <w:szCs w:val="16"/>
              </w:rPr>
              <w:t>2.58</w:t>
            </w:r>
            <w:r>
              <w:rPr>
                <w:color w:val="000000"/>
                <w:sz w:val="16"/>
                <w:szCs w:val="16"/>
              </w:rPr>
              <w:t>)</w:t>
            </w:r>
          </w:p>
        </w:tc>
        <w:tc>
          <w:tcPr>
            <w:tcW w:w="747" w:type="dxa"/>
            <w:tcBorders>
              <w:bottom w:val="single" w:sz="4" w:space="0" w:color="auto"/>
            </w:tcBorders>
            <w:vAlign w:val="center"/>
          </w:tcPr>
          <w:p w:rsidR="001262EE" w:rsidRPr="00BE2C60" w:rsidRDefault="001262EE" w:rsidP="00F952D3">
            <w:pPr>
              <w:adjustRightInd w:val="0"/>
              <w:spacing w:before="20"/>
              <w:jc w:val="right"/>
              <w:rPr>
                <w:color w:val="000000"/>
                <w:sz w:val="16"/>
                <w:szCs w:val="16"/>
              </w:rPr>
            </w:pPr>
            <w:r w:rsidRPr="00BE2C60">
              <w:rPr>
                <w:color w:val="000000"/>
                <w:sz w:val="16"/>
                <w:szCs w:val="16"/>
              </w:rPr>
              <w:t>0.19</w:t>
            </w:r>
          </w:p>
        </w:tc>
      </w:tr>
      <w:tr w:rsidR="00B41811" w:rsidRPr="009B1415" w:rsidTr="00F959A8">
        <w:tc>
          <w:tcPr>
            <w:tcW w:w="4928" w:type="dxa"/>
            <w:tcBorders>
              <w:top w:val="single" w:sz="4" w:space="0" w:color="auto"/>
            </w:tcBorders>
            <w:vAlign w:val="bottom"/>
          </w:tcPr>
          <w:p w:rsidR="00B41811" w:rsidRPr="009B1415" w:rsidRDefault="00B41811" w:rsidP="00B41811">
            <w:pPr>
              <w:keepNext/>
              <w:spacing w:before="20"/>
              <w:jc w:val="both"/>
              <w:rPr>
                <w:b/>
                <w:sz w:val="16"/>
                <w:szCs w:val="16"/>
              </w:rPr>
            </w:pPr>
            <w:r w:rsidRPr="009B1415">
              <w:rPr>
                <w:b/>
                <w:sz w:val="16"/>
                <w:szCs w:val="16"/>
              </w:rPr>
              <w:lastRenderedPageBreak/>
              <w:t>Keno overall - annual</w:t>
            </w:r>
          </w:p>
        </w:tc>
        <w:tc>
          <w:tcPr>
            <w:tcW w:w="56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1134"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709"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38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c>
          <w:tcPr>
            <w:tcW w:w="747" w:type="dxa"/>
            <w:tcBorders>
              <w:top w:val="single" w:sz="4" w:space="0" w:color="auto"/>
            </w:tcBorders>
            <w:vAlign w:val="center"/>
          </w:tcPr>
          <w:p w:rsidR="00B41811" w:rsidRPr="00CB35E8" w:rsidRDefault="00B41811" w:rsidP="00F952D3">
            <w:pPr>
              <w:keepNext/>
              <w:adjustRightInd w:val="0"/>
              <w:spacing w:before="20"/>
              <w:jc w:val="right"/>
              <w:rPr>
                <w:color w:val="000000"/>
                <w:sz w:val="16"/>
                <w:szCs w:val="16"/>
              </w:rPr>
            </w:pPr>
          </w:p>
        </w:tc>
      </w:tr>
      <w:tr w:rsidR="00BE2C60" w:rsidRPr="009B1415" w:rsidTr="00F959A8">
        <w:tc>
          <w:tcPr>
            <w:tcW w:w="4928" w:type="dxa"/>
          </w:tcPr>
          <w:p w:rsidR="00BE2C60" w:rsidRPr="009B1415" w:rsidRDefault="00BE2C60" w:rsidP="00BE2C60">
            <w:pPr>
              <w:keepNext/>
              <w:spacing w:before="20"/>
              <w:ind w:left="176"/>
              <w:jc w:val="both"/>
              <w:rPr>
                <w:sz w:val="16"/>
                <w:szCs w:val="16"/>
              </w:rPr>
            </w:pPr>
            <w:r w:rsidRPr="009B1415">
              <w:rPr>
                <w:sz w:val="16"/>
                <w:szCs w:val="16"/>
              </w:rPr>
              <w:t>No</w:t>
            </w:r>
          </w:p>
        </w:tc>
        <w:tc>
          <w:tcPr>
            <w:tcW w:w="567" w:type="dxa"/>
            <w:vAlign w:val="center"/>
          </w:tcPr>
          <w:p w:rsidR="00BE2C60" w:rsidRPr="00BE2C60" w:rsidRDefault="009E0BD9" w:rsidP="00F952D3">
            <w:pPr>
              <w:adjustRightInd w:val="0"/>
              <w:spacing w:before="20"/>
              <w:jc w:val="right"/>
              <w:rPr>
                <w:color w:val="000000"/>
                <w:sz w:val="16"/>
                <w:szCs w:val="16"/>
              </w:rPr>
            </w:pPr>
            <w:r>
              <w:rPr>
                <w:color w:val="000000"/>
                <w:sz w:val="16"/>
                <w:szCs w:val="16"/>
              </w:rPr>
              <w:t>6.1</w:t>
            </w:r>
          </w:p>
        </w:tc>
        <w:tc>
          <w:tcPr>
            <w:tcW w:w="1134" w:type="dxa"/>
            <w:vAlign w:val="center"/>
          </w:tcPr>
          <w:p w:rsidR="00BE2C60"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BE2C60">
            <w:pPr>
              <w:spacing w:before="20"/>
              <w:ind w:left="176"/>
              <w:jc w:val="both"/>
              <w:rPr>
                <w:sz w:val="16"/>
                <w:szCs w:val="16"/>
              </w:rPr>
            </w:pPr>
            <w:r w:rsidRPr="009B1415">
              <w:rPr>
                <w:sz w:val="16"/>
                <w:szCs w:val="16"/>
              </w:rPr>
              <w:t>Yes</w:t>
            </w:r>
          </w:p>
        </w:tc>
        <w:tc>
          <w:tcPr>
            <w:tcW w:w="567" w:type="dxa"/>
            <w:vAlign w:val="center"/>
          </w:tcPr>
          <w:p w:rsidR="006C6924" w:rsidRPr="00BE2C60" w:rsidRDefault="006C6924" w:rsidP="00F952D3">
            <w:pPr>
              <w:adjustRightInd w:val="0"/>
              <w:spacing w:before="20"/>
              <w:jc w:val="right"/>
              <w:rPr>
                <w:color w:val="000000"/>
                <w:sz w:val="16"/>
                <w:szCs w:val="16"/>
              </w:rPr>
            </w:pPr>
            <w:r>
              <w:rPr>
                <w:color w:val="000000"/>
                <w:sz w:val="16"/>
                <w:szCs w:val="16"/>
              </w:rPr>
              <w:t>15.1</w:t>
            </w:r>
          </w:p>
        </w:tc>
        <w:tc>
          <w:tcPr>
            <w:tcW w:w="1134" w:type="dxa"/>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2.73</w:t>
            </w:r>
          </w:p>
        </w:tc>
        <w:tc>
          <w:tcPr>
            <w:tcW w:w="1096" w:type="dxa"/>
            <w:gridSpan w:val="2"/>
            <w:vAlign w:val="center"/>
          </w:tcPr>
          <w:p w:rsidR="006C6924" w:rsidRPr="00BE2C60" w:rsidRDefault="00F952D3" w:rsidP="00F952D3">
            <w:pPr>
              <w:adjustRightInd w:val="0"/>
              <w:spacing w:before="20"/>
              <w:jc w:val="right"/>
              <w:rPr>
                <w:color w:val="000000"/>
                <w:sz w:val="16"/>
                <w:szCs w:val="16"/>
              </w:rPr>
            </w:pPr>
            <w:r>
              <w:rPr>
                <w:color w:val="000000"/>
                <w:sz w:val="16"/>
                <w:szCs w:val="16"/>
              </w:rPr>
              <w:t>(</w:t>
            </w:r>
            <w:r w:rsidR="006C6924" w:rsidRPr="00BE2C60">
              <w:rPr>
                <w:color w:val="000000"/>
                <w:sz w:val="16"/>
                <w:szCs w:val="16"/>
              </w:rPr>
              <w:t>1.45</w:t>
            </w:r>
            <w:r w:rsidR="006C6924">
              <w:rPr>
                <w:color w:val="000000"/>
                <w:sz w:val="16"/>
                <w:szCs w:val="16"/>
              </w:rPr>
              <w:t xml:space="preserve"> - </w:t>
            </w:r>
            <w:r w:rsidR="006C6924" w:rsidRPr="00BE2C60">
              <w:rPr>
                <w:color w:val="000000"/>
                <w:sz w:val="16"/>
                <w:szCs w:val="16"/>
              </w:rPr>
              <w:t>5.17</w:t>
            </w:r>
            <w:r>
              <w:rPr>
                <w:color w:val="000000"/>
                <w:sz w:val="16"/>
                <w:szCs w:val="16"/>
              </w:rPr>
              <w:t>)</w:t>
            </w:r>
          </w:p>
        </w:tc>
        <w:tc>
          <w:tcPr>
            <w:tcW w:w="747" w:type="dxa"/>
            <w:shd w:val="clear" w:color="auto" w:fill="D9D9D9" w:themeFill="background1" w:themeFillShade="D9"/>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0.002</w:t>
            </w:r>
          </w:p>
        </w:tc>
      </w:tr>
      <w:tr w:rsidR="00BE2C60" w:rsidRPr="009B1415" w:rsidTr="00F959A8">
        <w:tc>
          <w:tcPr>
            <w:tcW w:w="4928" w:type="dxa"/>
            <w:vAlign w:val="bottom"/>
          </w:tcPr>
          <w:p w:rsidR="00BE2C60" w:rsidRPr="009B1415" w:rsidRDefault="00BE2C60" w:rsidP="00BE2C60">
            <w:pPr>
              <w:spacing w:before="20"/>
              <w:jc w:val="both"/>
              <w:rPr>
                <w:b/>
                <w:sz w:val="16"/>
                <w:szCs w:val="16"/>
              </w:rPr>
            </w:pPr>
            <w:r w:rsidRPr="009B1415">
              <w:rPr>
                <w:b/>
                <w:sz w:val="16"/>
                <w:szCs w:val="16"/>
              </w:rPr>
              <w:t>Instant Kiwi/other scratch tickets - annual</w:t>
            </w:r>
          </w:p>
        </w:tc>
        <w:tc>
          <w:tcPr>
            <w:tcW w:w="567" w:type="dxa"/>
            <w:vAlign w:val="center"/>
          </w:tcPr>
          <w:p w:rsidR="00BE2C60" w:rsidRPr="00BE2C60" w:rsidRDefault="00BE2C60" w:rsidP="00F952D3">
            <w:pPr>
              <w:adjustRightInd w:val="0"/>
              <w:spacing w:before="20"/>
              <w:jc w:val="right"/>
              <w:rPr>
                <w:color w:val="000000"/>
                <w:sz w:val="16"/>
                <w:szCs w:val="16"/>
              </w:rPr>
            </w:pPr>
          </w:p>
        </w:tc>
        <w:tc>
          <w:tcPr>
            <w:tcW w:w="1134" w:type="dxa"/>
            <w:vAlign w:val="center"/>
          </w:tcPr>
          <w:p w:rsidR="00BE2C60" w:rsidRPr="00BE2C60" w:rsidRDefault="00BE2C60" w:rsidP="00F952D3">
            <w:pPr>
              <w:adjustRightInd w:val="0"/>
              <w:spacing w:before="20"/>
              <w:jc w:val="right"/>
              <w:rPr>
                <w:color w:val="000000"/>
                <w:sz w:val="16"/>
                <w:szCs w:val="16"/>
              </w:rPr>
            </w:pPr>
          </w:p>
        </w:tc>
        <w:tc>
          <w:tcPr>
            <w:tcW w:w="709" w:type="dxa"/>
            <w:vAlign w:val="center"/>
          </w:tcPr>
          <w:p w:rsidR="00BE2C60" w:rsidRPr="00BE2C60" w:rsidRDefault="00BE2C60" w:rsidP="00F952D3">
            <w:pPr>
              <w:adjustRightInd w:val="0"/>
              <w:spacing w:before="20"/>
              <w:jc w:val="right"/>
              <w:rPr>
                <w:color w:val="000000"/>
                <w:sz w:val="16"/>
                <w:szCs w:val="16"/>
              </w:rPr>
            </w:pPr>
          </w:p>
        </w:tc>
        <w:tc>
          <w:tcPr>
            <w:tcW w:w="387" w:type="dxa"/>
            <w:vAlign w:val="center"/>
          </w:tcPr>
          <w:p w:rsidR="00BE2C60" w:rsidRPr="00BE2C60" w:rsidRDefault="00BE2C60" w:rsidP="00F952D3">
            <w:pPr>
              <w:adjustRightInd w:val="0"/>
              <w:spacing w:before="20"/>
              <w:jc w:val="right"/>
              <w:rPr>
                <w:color w:val="000000"/>
                <w:sz w:val="16"/>
                <w:szCs w:val="16"/>
              </w:rPr>
            </w:pPr>
          </w:p>
        </w:tc>
        <w:tc>
          <w:tcPr>
            <w:tcW w:w="747" w:type="dxa"/>
            <w:vAlign w:val="center"/>
          </w:tcPr>
          <w:p w:rsidR="00BE2C60" w:rsidRPr="00BE2C60" w:rsidRDefault="00BE2C60"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BE2C60" w:rsidRDefault="009E0BD9" w:rsidP="00F952D3">
            <w:pPr>
              <w:adjustRightInd w:val="0"/>
              <w:spacing w:before="20"/>
              <w:jc w:val="right"/>
              <w:rPr>
                <w:color w:val="000000"/>
                <w:sz w:val="16"/>
                <w:szCs w:val="16"/>
              </w:rPr>
            </w:pPr>
            <w:r>
              <w:rPr>
                <w:color w:val="000000"/>
                <w:sz w:val="16"/>
                <w:szCs w:val="16"/>
              </w:rPr>
              <w:t>5.3</w:t>
            </w:r>
          </w:p>
        </w:tc>
        <w:tc>
          <w:tcPr>
            <w:tcW w:w="1134" w:type="dxa"/>
            <w:vAlign w:val="center"/>
          </w:tcPr>
          <w:p w:rsidR="00C55321"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BE2C60" w:rsidRDefault="00C55321" w:rsidP="00F952D3">
            <w:pPr>
              <w:adjustRightInd w:val="0"/>
              <w:spacing w:before="20"/>
              <w:jc w:val="right"/>
              <w:rPr>
                <w:color w:val="000000"/>
                <w:sz w:val="16"/>
                <w:szCs w:val="16"/>
              </w:rPr>
            </w:pPr>
          </w:p>
        </w:tc>
        <w:tc>
          <w:tcPr>
            <w:tcW w:w="387" w:type="dxa"/>
            <w:vAlign w:val="center"/>
          </w:tcPr>
          <w:p w:rsidR="00C55321" w:rsidRPr="00BE2C60" w:rsidRDefault="00C55321" w:rsidP="00F952D3">
            <w:pPr>
              <w:adjustRightInd w:val="0"/>
              <w:spacing w:before="20"/>
              <w:jc w:val="right"/>
              <w:rPr>
                <w:color w:val="000000"/>
                <w:sz w:val="16"/>
                <w:szCs w:val="16"/>
              </w:rPr>
            </w:pPr>
          </w:p>
        </w:tc>
        <w:tc>
          <w:tcPr>
            <w:tcW w:w="747" w:type="dxa"/>
            <w:vAlign w:val="center"/>
          </w:tcPr>
          <w:p w:rsidR="00C55321" w:rsidRPr="00BE2C60"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BE2C60" w:rsidRDefault="006C6924" w:rsidP="00F952D3">
            <w:pPr>
              <w:adjustRightInd w:val="0"/>
              <w:spacing w:before="20"/>
              <w:jc w:val="right"/>
              <w:rPr>
                <w:color w:val="000000"/>
                <w:sz w:val="16"/>
                <w:szCs w:val="16"/>
              </w:rPr>
            </w:pPr>
            <w:r>
              <w:rPr>
                <w:color w:val="000000"/>
                <w:sz w:val="16"/>
                <w:szCs w:val="16"/>
              </w:rPr>
              <w:t>8.0</w:t>
            </w:r>
          </w:p>
        </w:tc>
        <w:tc>
          <w:tcPr>
            <w:tcW w:w="1134" w:type="dxa"/>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1.56</w:t>
            </w:r>
          </w:p>
        </w:tc>
        <w:tc>
          <w:tcPr>
            <w:tcW w:w="1096" w:type="dxa"/>
            <w:gridSpan w:val="2"/>
            <w:vAlign w:val="center"/>
          </w:tcPr>
          <w:p w:rsidR="006C6924" w:rsidRPr="00BE2C60" w:rsidRDefault="00F952D3" w:rsidP="00F952D3">
            <w:pPr>
              <w:adjustRightInd w:val="0"/>
              <w:spacing w:before="20"/>
              <w:jc w:val="right"/>
              <w:rPr>
                <w:color w:val="000000"/>
                <w:sz w:val="16"/>
                <w:szCs w:val="16"/>
              </w:rPr>
            </w:pPr>
            <w:r>
              <w:rPr>
                <w:color w:val="000000"/>
                <w:sz w:val="16"/>
                <w:szCs w:val="16"/>
              </w:rPr>
              <w:t>(</w:t>
            </w:r>
            <w:r w:rsidR="006C6924" w:rsidRPr="00BE2C60">
              <w:rPr>
                <w:color w:val="000000"/>
                <w:sz w:val="16"/>
                <w:szCs w:val="16"/>
              </w:rPr>
              <w:t>1.09</w:t>
            </w:r>
            <w:r w:rsidR="006C6924">
              <w:rPr>
                <w:color w:val="000000"/>
                <w:sz w:val="16"/>
                <w:szCs w:val="16"/>
              </w:rPr>
              <w:t xml:space="preserve"> - </w:t>
            </w:r>
            <w:r w:rsidR="006C6924" w:rsidRPr="00BE2C60">
              <w:rPr>
                <w:color w:val="000000"/>
                <w:sz w:val="16"/>
                <w:szCs w:val="16"/>
              </w:rPr>
              <w:t>2.24</w:t>
            </w:r>
            <w:r>
              <w:rPr>
                <w:color w:val="000000"/>
                <w:sz w:val="16"/>
                <w:szCs w:val="16"/>
              </w:rPr>
              <w:t>)</w:t>
            </w:r>
          </w:p>
        </w:tc>
        <w:tc>
          <w:tcPr>
            <w:tcW w:w="747" w:type="dxa"/>
            <w:shd w:val="clear" w:color="auto" w:fill="D9D9D9" w:themeFill="background1" w:themeFillShade="D9"/>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Housie or bingo - annual</w:t>
            </w:r>
          </w:p>
        </w:tc>
        <w:tc>
          <w:tcPr>
            <w:tcW w:w="567" w:type="dxa"/>
            <w:vAlign w:val="center"/>
          </w:tcPr>
          <w:p w:rsidR="00C55321" w:rsidRPr="00BE2C60" w:rsidRDefault="00C55321" w:rsidP="00F952D3">
            <w:pPr>
              <w:adjustRightInd w:val="0"/>
              <w:spacing w:before="20"/>
              <w:jc w:val="right"/>
              <w:rPr>
                <w:color w:val="000000"/>
                <w:sz w:val="16"/>
                <w:szCs w:val="16"/>
              </w:rPr>
            </w:pPr>
          </w:p>
        </w:tc>
        <w:tc>
          <w:tcPr>
            <w:tcW w:w="1134" w:type="dxa"/>
            <w:vAlign w:val="center"/>
          </w:tcPr>
          <w:p w:rsidR="00C55321" w:rsidRPr="00BE2C60" w:rsidRDefault="00C55321" w:rsidP="00F952D3">
            <w:pPr>
              <w:adjustRightInd w:val="0"/>
              <w:spacing w:before="20"/>
              <w:jc w:val="right"/>
              <w:rPr>
                <w:color w:val="000000"/>
                <w:sz w:val="16"/>
                <w:szCs w:val="16"/>
              </w:rPr>
            </w:pPr>
          </w:p>
        </w:tc>
        <w:tc>
          <w:tcPr>
            <w:tcW w:w="709" w:type="dxa"/>
            <w:vAlign w:val="center"/>
          </w:tcPr>
          <w:p w:rsidR="00C55321" w:rsidRPr="00BE2C60" w:rsidRDefault="00C55321" w:rsidP="00F952D3">
            <w:pPr>
              <w:adjustRightInd w:val="0"/>
              <w:spacing w:before="20"/>
              <w:jc w:val="right"/>
              <w:rPr>
                <w:color w:val="000000"/>
                <w:sz w:val="16"/>
                <w:szCs w:val="16"/>
              </w:rPr>
            </w:pPr>
          </w:p>
        </w:tc>
        <w:tc>
          <w:tcPr>
            <w:tcW w:w="387" w:type="dxa"/>
            <w:vAlign w:val="center"/>
          </w:tcPr>
          <w:p w:rsidR="00C55321" w:rsidRPr="00BE2C60" w:rsidRDefault="00C55321" w:rsidP="00F952D3">
            <w:pPr>
              <w:adjustRightInd w:val="0"/>
              <w:spacing w:before="20"/>
              <w:jc w:val="right"/>
              <w:rPr>
                <w:color w:val="000000"/>
                <w:sz w:val="16"/>
                <w:szCs w:val="16"/>
              </w:rPr>
            </w:pPr>
          </w:p>
        </w:tc>
        <w:tc>
          <w:tcPr>
            <w:tcW w:w="747" w:type="dxa"/>
            <w:vAlign w:val="center"/>
          </w:tcPr>
          <w:p w:rsidR="00C55321" w:rsidRPr="00BE2C60"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BE2C60" w:rsidRDefault="009E0BD9"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BE2C60" w:rsidRDefault="00C55321" w:rsidP="00F952D3">
            <w:pPr>
              <w:adjustRightInd w:val="0"/>
              <w:spacing w:before="20"/>
              <w:jc w:val="right"/>
              <w:rPr>
                <w:color w:val="000000"/>
                <w:sz w:val="16"/>
                <w:szCs w:val="16"/>
              </w:rPr>
            </w:pPr>
          </w:p>
        </w:tc>
        <w:tc>
          <w:tcPr>
            <w:tcW w:w="387" w:type="dxa"/>
            <w:vAlign w:val="center"/>
          </w:tcPr>
          <w:p w:rsidR="00C55321" w:rsidRPr="00BE2C60" w:rsidRDefault="00C55321" w:rsidP="00F952D3">
            <w:pPr>
              <w:adjustRightInd w:val="0"/>
              <w:spacing w:before="20"/>
              <w:jc w:val="right"/>
              <w:rPr>
                <w:color w:val="000000"/>
                <w:sz w:val="16"/>
                <w:szCs w:val="16"/>
              </w:rPr>
            </w:pPr>
          </w:p>
        </w:tc>
        <w:tc>
          <w:tcPr>
            <w:tcW w:w="747" w:type="dxa"/>
            <w:vAlign w:val="center"/>
          </w:tcPr>
          <w:p w:rsidR="00C55321" w:rsidRPr="00BE2C60"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BE2C60" w:rsidRDefault="006C6924" w:rsidP="00F952D3">
            <w:pPr>
              <w:adjustRightInd w:val="0"/>
              <w:spacing w:before="20"/>
              <w:jc w:val="right"/>
              <w:rPr>
                <w:color w:val="000000"/>
                <w:sz w:val="16"/>
                <w:szCs w:val="16"/>
              </w:rPr>
            </w:pPr>
            <w:r>
              <w:rPr>
                <w:color w:val="000000"/>
                <w:sz w:val="16"/>
                <w:szCs w:val="16"/>
              </w:rPr>
              <w:t>15.4</w:t>
            </w:r>
          </w:p>
        </w:tc>
        <w:tc>
          <w:tcPr>
            <w:tcW w:w="1134" w:type="dxa"/>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2.73</w:t>
            </w:r>
          </w:p>
        </w:tc>
        <w:tc>
          <w:tcPr>
            <w:tcW w:w="1096" w:type="dxa"/>
            <w:gridSpan w:val="2"/>
            <w:vAlign w:val="center"/>
          </w:tcPr>
          <w:p w:rsidR="006C6924" w:rsidRPr="00BE2C60" w:rsidRDefault="00F952D3" w:rsidP="00F952D3">
            <w:pPr>
              <w:adjustRightInd w:val="0"/>
              <w:spacing w:before="20"/>
              <w:jc w:val="right"/>
              <w:rPr>
                <w:color w:val="000000"/>
                <w:sz w:val="16"/>
                <w:szCs w:val="16"/>
              </w:rPr>
            </w:pPr>
            <w:r>
              <w:rPr>
                <w:color w:val="000000"/>
                <w:sz w:val="16"/>
                <w:szCs w:val="16"/>
              </w:rPr>
              <w:t>(</w:t>
            </w:r>
            <w:r w:rsidR="006C6924" w:rsidRPr="00BE2C60">
              <w:rPr>
                <w:color w:val="000000"/>
                <w:sz w:val="16"/>
                <w:szCs w:val="16"/>
              </w:rPr>
              <w:t>1.22</w:t>
            </w:r>
            <w:r w:rsidR="006C6924">
              <w:rPr>
                <w:color w:val="000000"/>
                <w:sz w:val="16"/>
                <w:szCs w:val="16"/>
              </w:rPr>
              <w:t xml:space="preserve"> - </w:t>
            </w:r>
            <w:r w:rsidR="006C6924" w:rsidRPr="00BE2C60">
              <w:rPr>
                <w:color w:val="000000"/>
                <w:sz w:val="16"/>
                <w:szCs w:val="16"/>
              </w:rPr>
              <w:t>6.11</w:t>
            </w:r>
            <w:r>
              <w:rPr>
                <w:color w:val="000000"/>
                <w:sz w:val="16"/>
                <w:szCs w:val="16"/>
              </w:rPr>
              <w:t>)</w:t>
            </w:r>
          </w:p>
        </w:tc>
        <w:tc>
          <w:tcPr>
            <w:tcW w:w="747" w:type="dxa"/>
            <w:shd w:val="clear" w:color="auto" w:fill="D9D9D9" w:themeFill="background1" w:themeFillShade="D9"/>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Horse/dog race betting - annual</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BE2C60" w:rsidRDefault="009E0BD9" w:rsidP="00F952D3">
            <w:pPr>
              <w:adjustRightInd w:val="0"/>
              <w:spacing w:before="20"/>
              <w:jc w:val="right"/>
              <w:rPr>
                <w:color w:val="000000"/>
                <w:sz w:val="16"/>
                <w:szCs w:val="16"/>
              </w:rPr>
            </w:pPr>
            <w:r>
              <w:rPr>
                <w:color w:val="000000"/>
                <w:sz w:val="16"/>
                <w:szCs w:val="16"/>
              </w:rPr>
              <w:t>6.0</w:t>
            </w:r>
          </w:p>
        </w:tc>
        <w:tc>
          <w:tcPr>
            <w:tcW w:w="1134" w:type="dxa"/>
            <w:vAlign w:val="center"/>
          </w:tcPr>
          <w:p w:rsidR="00C55321"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BE2C60" w:rsidRDefault="00C55321" w:rsidP="00F952D3">
            <w:pPr>
              <w:adjustRightInd w:val="0"/>
              <w:spacing w:before="20"/>
              <w:jc w:val="right"/>
              <w:rPr>
                <w:color w:val="000000"/>
                <w:sz w:val="16"/>
                <w:szCs w:val="16"/>
              </w:rPr>
            </w:pPr>
          </w:p>
        </w:tc>
        <w:tc>
          <w:tcPr>
            <w:tcW w:w="387" w:type="dxa"/>
            <w:vAlign w:val="center"/>
          </w:tcPr>
          <w:p w:rsidR="00C55321" w:rsidRPr="00BE2C60" w:rsidRDefault="00C55321" w:rsidP="00F952D3">
            <w:pPr>
              <w:adjustRightInd w:val="0"/>
              <w:spacing w:before="20"/>
              <w:jc w:val="right"/>
              <w:rPr>
                <w:color w:val="000000"/>
                <w:sz w:val="16"/>
                <w:szCs w:val="16"/>
              </w:rPr>
            </w:pPr>
          </w:p>
        </w:tc>
        <w:tc>
          <w:tcPr>
            <w:tcW w:w="747" w:type="dxa"/>
            <w:vAlign w:val="center"/>
          </w:tcPr>
          <w:p w:rsidR="00C55321" w:rsidRPr="00BE2C60"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BE2C60" w:rsidRDefault="006C6924" w:rsidP="00F952D3">
            <w:pPr>
              <w:adjustRightInd w:val="0"/>
              <w:spacing w:before="20"/>
              <w:jc w:val="right"/>
              <w:rPr>
                <w:color w:val="000000"/>
                <w:sz w:val="16"/>
                <w:szCs w:val="16"/>
              </w:rPr>
            </w:pPr>
            <w:r>
              <w:rPr>
                <w:color w:val="000000"/>
                <w:sz w:val="16"/>
                <w:szCs w:val="16"/>
              </w:rPr>
              <w:t>12.</w:t>
            </w:r>
            <w:r w:rsidRPr="00BE2C60">
              <w:rPr>
                <w:color w:val="000000"/>
                <w:sz w:val="16"/>
                <w:szCs w:val="16"/>
              </w:rPr>
              <w:t>8</w:t>
            </w:r>
          </w:p>
        </w:tc>
        <w:tc>
          <w:tcPr>
            <w:tcW w:w="1134" w:type="dxa"/>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2.31</w:t>
            </w:r>
          </w:p>
        </w:tc>
        <w:tc>
          <w:tcPr>
            <w:tcW w:w="1096" w:type="dxa"/>
            <w:gridSpan w:val="2"/>
            <w:vAlign w:val="center"/>
          </w:tcPr>
          <w:p w:rsidR="006C6924" w:rsidRPr="00BE2C60" w:rsidRDefault="00F952D3" w:rsidP="00F952D3">
            <w:pPr>
              <w:adjustRightInd w:val="0"/>
              <w:spacing w:before="20"/>
              <w:jc w:val="right"/>
              <w:rPr>
                <w:color w:val="000000"/>
                <w:sz w:val="16"/>
                <w:szCs w:val="16"/>
              </w:rPr>
            </w:pPr>
            <w:r>
              <w:rPr>
                <w:color w:val="000000"/>
                <w:sz w:val="16"/>
                <w:szCs w:val="16"/>
              </w:rPr>
              <w:t>(</w:t>
            </w:r>
            <w:r w:rsidR="006C6924" w:rsidRPr="00BE2C60">
              <w:rPr>
                <w:color w:val="000000"/>
                <w:sz w:val="16"/>
                <w:szCs w:val="16"/>
              </w:rPr>
              <w:t>1.31</w:t>
            </w:r>
            <w:r w:rsidR="006C6924">
              <w:rPr>
                <w:color w:val="000000"/>
                <w:sz w:val="16"/>
                <w:szCs w:val="16"/>
              </w:rPr>
              <w:t xml:space="preserve"> - </w:t>
            </w:r>
            <w:r w:rsidR="006C6924" w:rsidRPr="00BE2C60">
              <w:rPr>
                <w:color w:val="000000"/>
                <w:sz w:val="16"/>
                <w:szCs w:val="16"/>
              </w:rPr>
              <w:t>4.09</w:t>
            </w:r>
            <w:r>
              <w:rPr>
                <w:color w:val="000000"/>
                <w:sz w:val="16"/>
                <w:szCs w:val="16"/>
              </w:rPr>
              <w:t>)</w:t>
            </w:r>
          </w:p>
        </w:tc>
        <w:tc>
          <w:tcPr>
            <w:tcW w:w="747" w:type="dxa"/>
            <w:shd w:val="clear" w:color="auto" w:fill="D9D9D9" w:themeFill="background1" w:themeFillShade="D9"/>
            <w:vAlign w:val="center"/>
          </w:tcPr>
          <w:p w:rsidR="006C6924" w:rsidRPr="00BE2C60" w:rsidRDefault="006C6924" w:rsidP="00F952D3">
            <w:pPr>
              <w:adjustRightInd w:val="0"/>
              <w:spacing w:before="20"/>
              <w:jc w:val="right"/>
              <w:rPr>
                <w:color w:val="000000"/>
                <w:sz w:val="16"/>
                <w:szCs w:val="16"/>
              </w:rPr>
            </w:pPr>
            <w:r w:rsidRPr="00BE2C60">
              <w:rPr>
                <w:color w:val="000000"/>
                <w:sz w:val="16"/>
                <w:szCs w:val="16"/>
              </w:rPr>
              <w:t>0.004</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Sports betting - annual</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9E0BD9" w:rsidP="00F952D3">
            <w:pPr>
              <w:adjustRightInd w:val="0"/>
              <w:spacing w:before="20"/>
              <w:jc w:val="right"/>
              <w:rPr>
                <w:color w:val="000000"/>
                <w:sz w:val="16"/>
                <w:szCs w:val="16"/>
              </w:rPr>
            </w:pPr>
            <w:r>
              <w:rPr>
                <w:color w:val="000000"/>
                <w:sz w:val="16"/>
                <w:szCs w:val="16"/>
              </w:rPr>
              <w:t>6.1</w:t>
            </w:r>
          </w:p>
        </w:tc>
        <w:tc>
          <w:tcPr>
            <w:tcW w:w="1134" w:type="dxa"/>
            <w:vAlign w:val="center"/>
          </w:tcPr>
          <w:p w:rsidR="00C55321"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12.4</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2.17</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1.08</w:t>
            </w:r>
            <w:r w:rsidR="006C6924">
              <w:rPr>
                <w:color w:val="000000"/>
                <w:sz w:val="16"/>
                <w:szCs w:val="16"/>
              </w:rPr>
              <w:t xml:space="preserve"> - </w:t>
            </w:r>
            <w:r w:rsidR="006C6924" w:rsidRPr="00C55321">
              <w:rPr>
                <w:color w:val="000000"/>
                <w:sz w:val="16"/>
                <w:szCs w:val="16"/>
              </w:rPr>
              <w:t>4.37</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0.03</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table games or EGMs (overseas)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9E0BD9"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BE2C60"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9.2</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1.50</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0.62</w:t>
            </w:r>
            <w:r w:rsidR="006C6924">
              <w:rPr>
                <w:color w:val="000000"/>
                <w:sz w:val="16"/>
                <w:szCs w:val="16"/>
              </w:rPr>
              <w:t xml:space="preserve"> - </w:t>
            </w:r>
            <w:r w:rsidR="006C6924" w:rsidRPr="00C55321">
              <w:rPr>
                <w:color w:val="000000"/>
                <w:sz w:val="16"/>
                <w:szCs w:val="16"/>
              </w:rPr>
              <w:t>3.66</w:t>
            </w:r>
            <w:r>
              <w:rPr>
                <w:color w:val="000000"/>
                <w:sz w:val="16"/>
                <w:szCs w:val="16"/>
              </w:rPr>
              <w:t>)</w:t>
            </w:r>
          </w:p>
        </w:tc>
        <w:tc>
          <w:tcPr>
            <w:tcW w:w="747" w:type="dxa"/>
            <w:shd w:val="clear" w:color="auto" w:fill="auto"/>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0.37</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table games or EGMs (NZ) - annual</w:t>
            </w:r>
          </w:p>
        </w:tc>
        <w:tc>
          <w:tcPr>
            <w:tcW w:w="567" w:type="dxa"/>
            <w:vAlign w:val="center"/>
          </w:tcPr>
          <w:p w:rsidR="00C55321" w:rsidRPr="00DC2775" w:rsidRDefault="00C55321" w:rsidP="00F952D3">
            <w:pPr>
              <w:adjustRightInd w:val="0"/>
              <w:spacing w:before="20"/>
              <w:jc w:val="right"/>
              <w:rPr>
                <w:color w:val="000000"/>
                <w:sz w:val="16"/>
                <w:szCs w:val="16"/>
              </w:rPr>
            </w:pPr>
          </w:p>
        </w:tc>
        <w:tc>
          <w:tcPr>
            <w:tcW w:w="1134" w:type="dxa"/>
            <w:vAlign w:val="center"/>
          </w:tcPr>
          <w:p w:rsidR="00C55321" w:rsidRPr="00DC2775" w:rsidRDefault="00C55321" w:rsidP="00F952D3">
            <w:pPr>
              <w:adjustRightInd w:val="0"/>
              <w:spacing w:before="20"/>
              <w:jc w:val="right"/>
              <w:rPr>
                <w:color w:val="000000"/>
                <w:sz w:val="16"/>
                <w:szCs w:val="16"/>
              </w:rPr>
            </w:pPr>
          </w:p>
        </w:tc>
        <w:tc>
          <w:tcPr>
            <w:tcW w:w="709" w:type="dxa"/>
            <w:vAlign w:val="center"/>
          </w:tcPr>
          <w:p w:rsidR="00C55321" w:rsidRPr="00DC2775" w:rsidRDefault="00C55321" w:rsidP="00F952D3">
            <w:pPr>
              <w:adjustRightInd w:val="0"/>
              <w:spacing w:before="20"/>
              <w:jc w:val="right"/>
              <w:rPr>
                <w:color w:val="000000"/>
                <w:sz w:val="16"/>
                <w:szCs w:val="16"/>
              </w:rPr>
            </w:pPr>
          </w:p>
        </w:tc>
        <w:tc>
          <w:tcPr>
            <w:tcW w:w="387" w:type="dxa"/>
            <w:vAlign w:val="center"/>
          </w:tcPr>
          <w:p w:rsidR="00C55321" w:rsidRPr="00DC2775" w:rsidRDefault="00C55321" w:rsidP="00F952D3">
            <w:pPr>
              <w:adjustRightInd w:val="0"/>
              <w:spacing w:before="20"/>
              <w:jc w:val="right"/>
              <w:rPr>
                <w:color w:val="000000"/>
                <w:sz w:val="16"/>
                <w:szCs w:val="16"/>
              </w:rPr>
            </w:pPr>
          </w:p>
        </w:tc>
        <w:tc>
          <w:tcPr>
            <w:tcW w:w="747" w:type="dxa"/>
            <w:vAlign w:val="center"/>
          </w:tcPr>
          <w:p w:rsidR="00C55321" w:rsidRPr="00DC2775"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9E0BD9" w:rsidP="00F952D3">
            <w:pPr>
              <w:adjustRightInd w:val="0"/>
              <w:spacing w:before="20"/>
              <w:jc w:val="right"/>
              <w:rPr>
                <w:color w:val="000000"/>
                <w:sz w:val="16"/>
                <w:szCs w:val="16"/>
              </w:rPr>
            </w:pPr>
            <w:r>
              <w:rPr>
                <w:color w:val="000000"/>
                <w:sz w:val="16"/>
                <w:szCs w:val="16"/>
              </w:rPr>
              <w:t>5.7</w:t>
            </w:r>
          </w:p>
        </w:tc>
        <w:tc>
          <w:tcPr>
            <w:tcW w:w="1134" w:type="dxa"/>
            <w:vAlign w:val="center"/>
          </w:tcPr>
          <w:p w:rsidR="00C55321" w:rsidRPr="00C55321" w:rsidRDefault="00C55321" w:rsidP="00F952D3">
            <w:pPr>
              <w:adjustRightInd w:val="0"/>
              <w:spacing w:before="20"/>
              <w:jc w:val="right"/>
              <w:rPr>
                <w:color w:val="000000"/>
                <w:sz w:val="16"/>
                <w:szCs w:val="16"/>
              </w:rPr>
            </w:pPr>
            <w:r>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12.8</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2.42</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1.48</w:t>
            </w:r>
            <w:r w:rsidR="006C6924">
              <w:rPr>
                <w:color w:val="000000"/>
                <w:sz w:val="16"/>
                <w:szCs w:val="16"/>
              </w:rPr>
              <w:t xml:space="preserve"> - </w:t>
            </w:r>
            <w:r w:rsidR="006C6924" w:rsidRPr="00C55321">
              <w:rPr>
                <w:color w:val="000000"/>
                <w:sz w:val="16"/>
                <w:szCs w:val="16"/>
              </w:rPr>
              <w:t>3.95</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0.0004</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table games (NZ)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9E0BD9" w:rsidP="00F952D3">
            <w:pPr>
              <w:adjustRightInd w:val="0"/>
              <w:spacing w:before="20"/>
              <w:jc w:val="right"/>
              <w:rPr>
                <w:color w:val="000000"/>
                <w:sz w:val="16"/>
                <w:szCs w:val="16"/>
              </w:rPr>
            </w:pPr>
            <w:r>
              <w:rPr>
                <w:color w:val="000000"/>
                <w:sz w:val="16"/>
                <w:szCs w:val="16"/>
              </w:rPr>
              <w:t>6.1</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14.1</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2.52</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1.22</w:t>
            </w:r>
            <w:r w:rsidR="006C6924">
              <w:rPr>
                <w:color w:val="000000"/>
                <w:sz w:val="16"/>
                <w:szCs w:val="16"/>
              </w:rPr>
              <w:t xml:space="preserve"> - </w:t>
            </w:r>
            <w:r w:rsidR="006C6924" w:rsidRPr="00C55321">
              <w:rPr>
                <w:color w:val="000000"/>
                <w:sz w:val="16"/>
                <w:szCs w:val="16"/>
              </w:rPr>
              <w:t>5.22</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EGMs (NZ)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9E0BD9" w:rsidP="00F952D3">
            <w:pPr>
              <w:adjustRightInd w:val="0"/>
              <w:spacing w:before="20"/>
              <w:jc w:val="right"/>
              <w:rPr>
                <w:color w:val="000000"/>
                <w:sz w:val="16"/>
                <w:szCs w:val="16"/>
              </w:rPr>
            </w:pPr>
            <w:r>
              <w:rPr>
                <w:color w:val="000000"/>
                <w:sz w:val="16"/>
                <w:szCs w:val="16"/>
              </w:rPr>
              <w:t>5.8</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13.1</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2.47</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1.47</w:t>
            </w:r>
            <w:r w:rsidR="006C6924">
              <w:rPr>
                <w:color w:val="000000"/>
                <w:sz w:val="16"/>
                <w:szCs w:val="16"/>
              </w:rPr>
              <w:t xml:space="preserve"> - </w:t>
            </w:r>
            <w:r w:rsidR="006C6924" w:rsidRPr="00C55321">
              <w:rPr>
                <w:color w:val="000000"/>
                <w:sz w:val="16"/>
                <w:szCs w:val="16"/>
              </w:rPr>
              <w:t>4.13</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Pub EGMs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4.9</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16.8</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3.89</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2.54</w:t>
            </w:r>
            <w:r w:rsidR="006C6924">
              <w:rPr>
                <w:color w:val="000000"/>
                <w:sz w:val="16"/>
                <w:szCs w:val="16"/>
              </w:rPr>
              <w:t xml:space="preserve"> - </w:t>
            </w:r>
            <w:r w:rsidR="006C6924" w:rsidRPr="00C55321">
              <w:rPr>
                <w:color w:val="000000"/>
                <w:sz w:val="16"/>
                <w:szCs w:val="16"/>
              </w:rPr>
              <w:t>5.96</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Club EGM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5.7</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16.2</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3.18</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1.88</w:t>
            </w:r>
            <w:r w:rsidR="006C6924">
              <w:rPr>
                <w:color w:val="000000"/>
                <w:sz w:val="16"/>
                <w:szCs w:val="16"/>
              </w:rPr>
              <w:t xml:space="preserve"> - </w:t>
            </w:r>
            <w:r w:rsidR="006C6924" w:rsidRPr="00C55321">
              <w:rPr>
                <w:color w:val="000000"/>
                <w:sz w:val="16"/>
                <w:szCs w:val="16"/>
              </w:rPr>
              <w:t>5.37</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EGMs overall - annual</w:t>
            </w:r>
          </w:p>
        </w:tc>
        <w:tc>
          <w:tcPr>
            <w:tcW w:w="567" w:type="dxa"/>
            <w:vAlign w:val="center"/>
          </w:tcPr>
          <w:p w:rsidR="00C55321" w:rsidRPr="00DC2775" w:rsidRDefault="00C55321" w:rsidP="00F952D3">
            <w:pPr>
              <w:adjustRightInd w:val="0"/>
              <w:spacing w:before="20"/>
              <w:jc w:val="right"/>
              <w:rPr>
                <w:color w:val="000000"/>
                <w:sz w:val="16"/>
                <w:szCs w:val="16"/>
              </w:rPr>
            </w:pPr>
          </w:p>
        </w:tc>
        <w:tc>
          <w:tcPr>
            <w:tcW w:w="1134" w:type="dxa"/>
            <w:vAlign w:val="center"/>
          </w:tcPr>
          <w:p w:rsidR="00C55321" w:rsidRPr="00DC2775" w:rsidRDefault="00C55321" w:rsidP="00F952D3">
            <w:pPr>
              <w:adjustRightInd w:val="0"/>
              <w:spacing w:before="20"/>
              <w:jc w:val="right"/>
              <w:rPr>
                <w:color w:val="000000"/>
                <w:sz w:val="16"/>
                <w:szCs w:val="16"/>
              </w:rPr>
            </w:pPr>
          </w:p>
        </w:tc>
        <w:tc>
          <w:tcPr>
            <w:tcW w:w="709" w:type="dxa"/>
            <w:vAlign w:val="center"/>
          </w:tcPr>
          <w:p w:rsidR="00C55321" w:rsidRPr="00DC2775" w:rsidRDefault="00C55321" w:rsidP="00F952D3">
            <w:pPr>
              <w:adjustRightInd w:val="0"/>
              <w:spacing w:before="20"/>
              <w:jc w:val="right"/>
              <w:rPr>
                <w:color w:val="000000"/>
                <w:sz w:val="16"/>
                <w:szCs w:val="16"/>
              </w:rPr>
            </w:pPr>
          </w:p>
        </w:tc>
        <w:tc>
          <w:tcPr>
            <w:tcW w:w="387" w:type="dxa"/>
            <w:vAlign w:val="center"/>
          </w:tcPr>
          <w:p w:rsidR="00C55321" w:rsidRPr="00DC2775"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DC2775"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5.6</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18.3</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3.76</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2.23</w:t>
            </w:r>
            <w:r w:rsidR="006C6924">
              <w:rPr>
                <w:color w:val="000000"/>
                <w:sz w:val="16"/>
                <w:szCs w:val="16"/>
              </w:rPr>
              <w:t xml:space="preserve"> - </w:t>
            </w:r>
            <w:r w:rsidR="006C6924" w:rsidRPr="00C55321">
              <w:rPr>
                <w:color w:val="000000"/>
                <w:sz w:val="16"/>
                <w:szCs w:val="16"/>
              </w:rPr>
              <w:t>6.35</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Short-term speculative investments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4.6</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13.9</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3.37</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2.30</w:t>
            </w:r>
            <w:r w:rsidR="006C6924">
              <w:rPr>
                <w:color w:val="000000"/>
                <w:sz w:val="16"/>
                <w:szCs w:val="16"/>
              </w:rPr>
              <w:t xml:space="preserve"> - </w:t>
            </w:r>
            <w:r w:rsidR="006C6924" w:rsidRPr="00C55321">
              <w:rPr>
                <w:color w:val="000000"/>
                <w:sz w:val="16"/>
                <w:szCs w:val="16"/>
              </w:rPr>
              <w:t>4.95</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Overseas internet gambling - annual</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6.5</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2.0</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0.30</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0.07</w:t>
            </w:r>
            <w:r w:rsidR="006C6924">
              <w:rPr>
                <w:color w:val="000000"/>
                <w:sz w:val="16"/>
                <w:szCs w:val="16"/>
              </w:rPr>
              <w:t xml:space="preserve"> - </w:t>
            </w:r>
            <w:r w:rsidR="006C6924" w:rsidRPr="00C55321">
              <w:rPr>
                <w:color w:val="000000"/>
                <w:sz w:val="16"/>
                <w:szCs w:val="16"/>
              </w:rPr>
              <w:t>1.29</w:t>
            </w:r>
            <w:r>
              <w:rPr>
                <w:color w:val="000000"/>
                <w:sz w:val="16"/>
                <w:szCs w:val="16"/>
              </w:rPr>
              <w:t>)</w:t>
            </w:r>
          </w:p>
        </w:tc>
        <w:tc>
          <w:tcPr>
            <w:tcW w:w="747"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0.11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Card games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18.3</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3.35</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1.22</w:t>
            </w:r>
            <w:r w:rsidR="006C6924">
              <w:rPr>
                <w:color w:val="000000"/>
                <w:sz w:val="16"/>
                <w:szCs w:val="16"/>
              </w:rPr>
              <w:t xml:space="preserve"> - </w:t>
            </w:r>
            <w:r w:rsidR="006C6924" w:rsidRPr="00C55321">
              <w:rPr>
                <w:color w:val="000000"/>
                <w:sz w:val="16"/>
                <w:szCs w:val="16"/>
              </w:rPr>
              <w:t>9.26</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0.02</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Bets with friends/workmates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6.2</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17.2</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3.11</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1.17</w:t>
            </w:r>
            <w:r w:rsidR="006C6924">
              <w:rPr>
                <w:color w:val="000000"/>
                <w:sz w:val="16"/>
                <w:szCs w:val="16"/>
              </w:rPr>
              <w:t xml:space="preserve"> - </w:t>
            </w:r>
            <w:r w:rsidR="006C6924" w:rsidRPr="00C55321">
              <w:rPr>
                <w:color w:val="000000"/>
                <w:sz w:val="16"/>
                <w:szCs w:val="16"/>
              </w:rPr>
              <w:t>8.25</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0.02</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Text game or competition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6.4</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3.4</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0.51</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0.06</w:t>
            </w:r>
            <w:r w:rsidR="006C6924">
              <w:rPr>
                <w:color w:val="000000"/>
                <w:sz w:val="16"/>
                <w:szCs w:val="16"/>
              </w:rPr>
              <w:t xml:space="preserve"> - </w:t>
            </w:r>
            <w:r w:rsidR="006C6924" w:rsidRPr="00C55321">
              <w:rPr>
                <w:color w:val="000000"/>
                <w:sz w:val="16"/>
                <w:szCs w:val="16"/>
              </w:rPr>
              <w:t>4.08</w:t>
            </w:r>
            <w:r>
              <w:rPr>
                <w:color w:val="000000"/>
                <w:sz w:val="16"/>
                <w:szCs w:val="16"/>
              </w:rPr>
              <w:t>)</w:t>
            </w:r>
          </w:p>
        </w:tc>
        <w:tc>
          <w:tcPr>
            <w:tcW w:w="747"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0.52</w:t>
            </w:r>
          </w:p>
        </w:tc>
      </w:tr>
      <w:tr w:rsidR="00C55321" w:rsidRPr="009B1415" w:rsidTr="00F959A8">
        <w:tc>
          <w:tcPr>
            <w:tcW w:w="4928" w:type="dxa"/>
            <w:vAlign w:val="bottom"/>
          </w:tcPr>
          <w:p w:rsidR="00C55321" w:rsidRPr="009B1415" w:rsidRDefault="00C55321" w:rsidP="00C55321">
            <w:pPr>
              <w:keepNext/>
              <w:spacing w:before="20"/>
              <w:jc w:val="both"/>
              <w:rPr>
                <w:b/>
                <w:sz w:val="16"/>
                <w:szCs w:val="16"/>
              </w:rPr>
            </w:pPr>
            <w:r w:rsidRPr="009B1415">
              <w:rPr>
                <w:b/>
                <w:sz w:val="16"/>
                <w:szCs w:val="16"/>
              </w:rPr>
              <w:t>Raffle/lottery (NZ/overseas) - monthly</w:t>
            </w:r>
          </w:p>
        </w:tc>
        <w:tc>
          <w:tcPr>
            <w:tcW w:w="567" w:type="dxa"/>
            <w:vAlign w:val="center"/>
          </w:tcPr>
          <w:p w:rsidR="00C55321" w:rsidRPr="009B12FA" w:rsidRDefault="00C55321" w:rsidP="00F952D3">
            <w:pPr>
              <w:adjustRightInd w:val="0"/>
              <w:spacing w:before="20"/>
              <w:jc w:val="right"/>
              <w:rPr>
                <w:color w:val="000000"/>
                <w:sz w:val="16"/>
                <w:szCs w:val="16"/>
              </w:rPr>
            </w:pPr>
          </w:p>
        </w:tc>
        <w:tc>
          <w:tcPr>
            <w:tcW w:w="1134" w:type="dxa"/>
            <w:vAlign w:val="center"/>
          </w:tcPr>
          <w:p w:rsidR="00C55321" w:rsidRPr="009B12FA" w:rsidRDefault="00C55321" w:rsidP="00F952D3">
            <w:pPr>
              <w:adjustRightInd w:val="0"/>
              <w:spacing w:before="20"/>
              <w:jc w:val="right"/>
              <w:rPr>
                <w:color w:val="000000"/>
                <w:sz w:val="16"/>
                <w:szCs w:val="16"/>
              </w:rPr>
            </w:pP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keepNext/>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5.</w:t>
            </w:r>
            <w:r w:rsidR="00C55321" w:rsidRPr="00C55321">
              <w:rPr>
                <w:color w:val="000000"/>
                <w:sz w:val="16"/>
                <w:szCs w:val="16"/>
              </w:rPr>
              <w:t>9</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keepNext/>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9.5</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1.68</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1.09</w:t>
            </w:r>
            <w:r w:rsidR="006C6924">
              <w:rPr>
                <w:color w:val="000000"/>
                <w:sz w:val="16"/>
                <w:szCs w:val="16"/>
              </w:rPr>
              <w:t xml:space="preserve"> - </w:t>
            </w:r>
            <w:r w:rsidR="006C6924" w:rsidRPr="00C55321">
              <w:rPr>
                <w:color w:val="000000"/>
                <w:sz w:val="16"/>
                <w:szCs w:val="16"/>
              </w:rPr>
              <w:t>2.58</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0.02</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Lotto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4.7</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Borders>
              <w:bottom w:val="single" w:sz="4" w:space="0" w:color="auto"/>
            </w:tcBorders>
          </w:tcPr>
          <w:p w:rsidR="006C6924" w:rsidRPr="009B1415" w:rsidRDefault="006C6924" w:rsidP="00C55321">
            <w:pPr>
              <w:spacing w:before="20"/>
              <w:ind w:left="176"/>
              <w:jc w:val="both"/>
              <w:rPr>
                <w:sz w:val="16"/>
                <w:szCs w:val="16"/>
              </w:rPr>
            </w:pPr>
            <w:r w:rsidRPr="009B1415">
              <w:rPr>
                <w:sz w:val="16"/>
                <w:szCs w:val="16"/>
              </w:rPr>
              <w:t>Yes</w:t>
            </w:r>
          </w:p>
        </w:tc>
        <w:tc>
          <w:tcPr>
            <w:tcW w:w="567" w:type="dxa"/>
            <w:tcBorders>
              <w:bottom w:val="single" w:sz="4" w:space="0" w:color="auto"/>
            </w:tcBorders>
            <w:vAlign w:val="center"/>
          </w:tcPr>
          <w:p w:rsidR="006C6924" w:rsidRPr="00C55321" w:rsidRDefault="006C6924" w:rsidP="00F952D3">
            <w:pPr>
              <w:adjustRightInd w:val="0"/>
              <w:spacing w:before="20"/>
              <w:jc w:val="right"/>
              <w:rPr>
                <w:color w:val="000000"/>
                <w:sz w:val="16"/>
                <w:szCs w:val="16"/>
              </w:rPr>
            </w:pPr>
            <w:r>
              <w:rPr>
                <w:color w:val="000000"/>
                <w:sz w:val="16"/>
                <w:szCs w:val="16"/>
              </w:rPr>
              <w:t>8.3</w:t>
            </w:r>
          </w:p>
        </w:tc>
        <w:tc>
          <w:tcPr>
            <w:tcW w:w="1134" w:type="dxa"/>
            <w:tcBorders>
              <w:bottom w:val="single" w:sz="4" w:space="0" w:color="auto"/>
            </w:tcBorders>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1.82</w:t>
            </w:r>
          </w:p>
        </w:tc>
        <w:tc>
          <w:tcPr>
            <w:tcW w:w="1096" w:type="dxa"/>
            <w:gridSpan w:val="2"/>
            <w:tcBorders>
              <w:bottom w:val="single" w:sz="4" w:space="0" w:color="auto"/>
            </w:tcBorders>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1.25</w:t>
            </w:r>
            <w:r w:rsidR="006C6924">
              <w:rPr>
                <w:color w:val="000000"/>
                <w:sz w:val="16"/>
                <w:szCs w:val="16"/>
              </w:rPr>
              <w:t xml:space="preserve"> - </w:t>
            </w:r>
            <w:r w:rsidR="006C6924" w:rsidRPr="00C55321">
              <w:rPr>
                <w:color w:val="000000"/>
                <w:sz w:val="16"/>
                <w:szCs w:val="16"/>
              </w:rPr>
              <w:t>2.64</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0.002</w:t>
            </w:r>
          </w:p>
        </w:tc>
      </w:tr>
      <w:tr w:rsidR="00C55321" w:rsidRPr="009B1415" w:rsidTr="00F959A8">
        <w:tc>
          <w:tcPr>
            <w:tcW w:w="4928" w:type="dxa"/>
            <w:tcBorders>
              <w:top w:val="single" w:sz="4" w:space="0" w:color="auto"/>
            </w:tcBorders>
            <w:vAlign w:val="bottom"/>
          </w:tcPr>
          <w:p w:rsidR="00C55321" w:rsidRPr="009B1415" w:rsidRDefault="00C55321" w:rsidP="00C55321">
            <w:pPr>
              <w:keepNext/>
              <w:spacing w:before="20"/>
              <w:jc w:val="both"/>
              <w:rPr>
                <w:b/>
                <w:sz w:val="16"/>
                <w:szCs w:val="16"/>
              </w:rPr>
            </w:pPr>
            <w:r w:rsidRPr="009B1415">
              <w:rPr>
                <w:b/>
                <w:sz w:val="16"/>
                <w:szCs w:val="16"/>
              </w:rPr>
              <w:lastRenderedPageBreak/>
              <w:t>Keno - monthly</w:t>
            </w:r>
          </w:p>
        </w:tc>
        <w:tc>
          <w:tcPr>
            <w:tcW w:w="567" w:type="dxa"/>
            <w:tcBorders>
              <w:top w:val="single" w:sz="4" w:space="0" w:color="auto"/>
            </w:tcBorders>
            <w:vAlign w:val="center"/>
          </w:tcPr>
          <w:p w:rsidR="00C55321" w:rsidRPr="00CB35E8" w:rsidRDefault="00C55321" w:rsidP="00F952D3">
            <w:pPr>
              <w:keepNext/>
              <w:adjustRightInd w:val="0"/>
              <w:spacing w:before="20"/>
              <w:jc w:val="right"/>
              <w:rPr>
                <w:color w:val="000000"/>
                <w:sz w:val="16"/>
                <w:szCs w:val="16"/>
              </w:rPr>
            </w:pPr>
          </w:p>
        </w:tc>
        <w:tc>
          <w:tcPr>
            <w:tcW w:w="1134" w:type="dxa"/>
            <w:tcBorders>
              <w:top w:val="single" w:sz="4" w:space="0" w:color="auto"/>
            </w:tcBorders>
            <w:vAlign w:val="center"/>
          </w:tcPr>
          <w:p w:rsidR="00C55321" w:rsidRPr="00CB35E8" w:rsidRDefault="00C55321" w:rsidP="00F952D3">
            <w:pPr>
              <w:keepNext/>
              <w:adjustRightInd w:val="0"/>
              <w:spacing w:before="20"/>
              <w:jc w:val="right"/>
              <w:rPr>
                <w:color w:val="000000"/>
                <w:sz w:val="16"/>
                <w:szCs w:val="16"/>
              </w:rPr>
            </w:pPr>
          </w:p>
        </w:tc>
        <w:tc>
          <w:tcPr>
            <w:tcW w:w="709" w:type="dxa"/>
            <w:tcBorders>
              <w:top w:val="single" w:sz="4" w:space="0" w:color="auto"/>
            </w:tcBorders>
            <w:vAlign w:val="center"/>
          </w:tcPr>
          <w:p w:rsidR="00C55321" w:rsidRPr="00CB35E8" w:rsidRDefault="00C55321" w:rsidP="00F952D3">
            <w:pPr>
              <w:keepNext/>
              <w:adjustRightInd w:val="0"/>
              <w:spacing w:before="20"/>
              <w:jc w:val="right"/>
              <w:rPr>
                <w:color w:val="000000"/>
                <w:sz w:val="16"/>
                <w:szCs w:val="16"/>
              </w:rPr>
            </w:pPr>
          </w:p>
        </w:tc>
        <w:tc>
          <w:tcPr>
            <w:tcW w:w="387" w:type="dxa"/>
            <w:tcBorders>
              <w:top w:val="single" w:sz="4" w:space="0" w:color="auto"/>
            </w:tcBorders>
            <w:vAlign w:val="center"/>
          </w:tcPr>
          <w:p w:rsidR="00C55321" w:rsidRPr="00CB35E8" w:rsidRDefault="00C55321" w:rsidP="00F952D3">
            <w:pPr>
              <w:keepNext/>
              <w:adjustRightInd w:val="0"/>
              <w:spacing w:before="20"/>
              <w:jc w:val="right"/>
              <w:rPr>
                <w:color w:val="000000"/>
                <w:sz w:val="16"/>
                <w:szCs w:val="16"/>
              </w:rPr>
            </w:pPr>
          </w:p>
        </w:tc>
        <w:tc>
          <w:tcPr>
            <w:tcW w:w="747" w:type="dxa"/>
            <w:tcBorders>
              <w:top w:val="single" w:sz="4" w:space="0" w:color="auto"/>
            </w:tcBorders>
            <w:vAlign w:val="center"/>
          </w:tcPr>
          <w:p w:rsidR="00C55321" w:rsidRPr="00CB35E8" w:rsidRDefault="00C55321" w:rsidP="00F952D3">
            <w:pPr>
              <w:keepNext/>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keepNext/>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keepNext/>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11.1</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1.85</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0.65</w:t>
            </w:r>
            <w:r w:rsidR="006C6924">
              <w:rPr>
                <w:color w:val="000000"/>
                <w:sz w:val="16"/>
                <w:szCs w:val="16"/>
              </w:rPr>
              <w:t xml:space="preserve"> - </w:t>
            </w:r>
            <w:r w:rsidR="006C6924" w:rsidRPr="00C55321">
              <w:rPr>
                <w:color w:val="000000"/>
                <w:sz w:val="16"/>
                <w:szCs w:val="16"/>
              </w:rPr>
              <w:t>5.28</w:t>
            </w:r>
            <w:r>
              <w:rPr>
                <w:color w:val="000000"/>
                <w:sz w:val="16"/>
                <w:szCs w:val="16"/>
              </w:rPr>
              <w:t>)</w:t>
            </w:r>
          </w:p>
        </w:tc>
        <w:tc>
          <w:tcPr>
            <w:tcW w:w="747"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0.25</w:t>
            </w:r>
          </w:p>
        </w:tc>
      </w:tr>
      <w:tr w:rsidR="00C55321" w:rsidRPr="009B1415" w:rsidTr="00F959A8">
        <w:tc>
          <w:tcPr>
            <w:tcW w:w="4928" w:type="dxa"/>
            <w:vAlign w:val="bottom"/>
          </w:tcPr>
          <w:p w:rsidR="00C55321" w:rsidRPr="009B1415" w:rsidRDefault="00C55321" w:rsidP="00FC1500">
            <w:pPr>
              <w:keepNext/>
              <w:spacing w:before="20"/>
              <w:jc w:val="both"/>
              <w:rPr>
                <w:b/>
                <w:sz w:val="16"/>
                <w:szCs w:val="16"/>
              </w:rPr>
            </w:pPr>
            <w:r w:rsidRPr="009B1415">
              <w:rPr>
                <w:b/>
                <w:sz w:val="16"/>
                <w:szCs w:val="16"/>
              </w:rPr>
              <w:t>Instant Kiwi/other scratch tickets - monthly</w:t>
            </w:r>
          </w:p>
        </w:tc>
        <w:tc>
          <w:tcPr>
            <w:tcW w:w="567" w:type="dxa"/>
            <w:vAlign w:val="center"/>
          </w:tcPr>
          <w:p w:rsidR="00C55321" w:rsidRPr="00CB35E8" w:rsidRDefault="00C55321" w:rsidP="00FC1500">
            <w:pPr>
              <w:keepNext/>
              <w:adjustRightInd w:val="0"/>
              <w:spacing w:before="20"/>
              <w:jc w:val="right"/>
              <w:rPr>
                <w:color w:val="000000"/>
                <w:sz w:val="16"/>
                <w:szCs w:val="16"/>
              </w:rPr>
            </w:pPr>
          </w:p>
        </w:tc>
        <w:tc>
          <w:tcPr>
            <w:tcW w:w="1134" w:type="dxa"/>
            <w:vAlign w:val="center"/>
          </w:tcPr>
          <w:p w:rsidR="00C55321" w:rsidRPr="00CB35E8" w:rsidRDefault="00C55321" w:rsidP="00FC1500">
            <w:pPr>
              <w:keepNext/>
              <w:adjustRightInd w:val="0"/>
              <w:spacing w:before="20"/>
              <w:jc w:val="right"/>
              <w:rPr>
                <w:color w:val="000000"/>
                <w:sz w:val="16"/>
                <w:szCs w:val="16"/>
              </w:rPr>
            </w:pPr>
          </w:p>
        </w:tc>
        <w:tc>
          <w:tcPr>
            <w:tcW w:w="709" w:type="dxa"/>
            <w:vAlign w:val="center"/>
          </w:tcPr>
          <w:p w:rsidR="00C55321" w:rsidRPr="00CB35E8" w:rsidRDefault="00C55321" w:rsidP="00FC1500">
            <w:pPr>
              <w:keepNext/>
              <w:adjustRightInd w:val="0"/>
              <w:spacing w:before="20"/>
              <w:jc w:val="right"/>
              <w:rPr>
                <w:color w:val="000000"/>
                <w:sz w:val="16"/>
                <w:szCs w:val="16"/>
              </w:rPr>
            </w:pPr>
          </w:p>
        </w:tc>
        <w:tc>
          <w:tcPr>
            <w:tcW w:w="387" w:type="dxa"/>
            <w:vAlign w:val="center"/>
          </w:tcPr>
          <w:p w:rsidR="00C55321" w:rsidRPr="00CB35E8" w:rsidRDefault="00C55321" w:rsidP="00FC1500">
            <w:pPr>
              <w:keepNext/>
              <w:adjustRightInd w:val="0"/>
              <w:spacing w:before="20"/>
              <w:jc w:val="right"/>
              <w:rPr>
                <w:color w:val="000000"/>
                <w:sz w:val="16"/>
                <w:szCs w:val="16"/>
              </w:rPr>
            </w:pPr>
          </w:p>
        </w:tc>
        <w:tc>
          <w:tcPr>
            <w:tcW w:w="747" w:type="dxa"/>
            <w:vAlign w:val="center"/>
          </w:tcPr>
          <w:p w:rsidR="00C55321" w:rsidRPr="00CB35E8" w:rsidRDefault="00C55321" w:rsidP="00FC1500">
            <w:pPr>
              <w:keepNext/>
              <w:adjustRightInd w:val="0"/>
              <w:spacing w:before="20"/>
              <w:jc w:val="right"/>
              <w:rPr>
                <w:color w:val="000000"/>
                <w:sz w:val="16"/>
                <w:szCs w:val="16"/>
              </w:rPr>
            </w:pPr>
          </w:p>
        </w:tc>
      </w:tr>
      <w:tr w:rsidR="00C55321" w:rsidRPr="009B1415" w:rsidTr="00F959A8">
        <w:tc>
          <w:tcPr>
            <w:tcW w:w="4928" w:type="dxa"/>
          </w:tcPr>
          <w:p w:rsidR="00C55321" w:rsidRPr="009B1415" w:rsidRDefault="00C55321" w:rsidP="00FC1500">
            <w:pPr>
              <w:keepNext/>
              <w:spacing w:before="20"/>
              <w:ind w:left="176"/>
              <w:jc w:val="both"/>
              <w:rPr>
                <w:sz w:val="16"/>
                <w:szCs w:val="16"/>
              </w:rPr>
            </w:pPr>
            <w:r w:rsidRPr="009B1415">
              <w:rPr>
                <w:sz w:val="16"/>
                <w:szCs w:val="16"/>
              </w:rPr>
              <w:t>No</w:t>
            </w:r>
          </w:p>
        </w:tc>
        <w:tc>
          <w:tcPr>
            <w:tcW w:w="567" w:type="dxa"/>
            <w:vAlign w:val="center"/>
          </w:tcPr>
          <w:p w:rsidR="00C55321" w:rsidRPr="00C55321" w:rsidRDefault="00232878" w:rsidP="00FC1500">
            <w:pPr>
              <w:keepNext/>
              <w:adjustRightInd w:val="0"/>
              <w:spacing w:before="20"/>
              <w:jc w:val="right"/>
              <w:rPr>
                <w:color w:val="000000"/>
                <w:sz w:val="16"/>
                <w:szCs w:val="16"/>
              </w:rPr>
            </w:pPr>
            <w:r>
              <w:rPr>
                <w:color w:val="000000"/>
                <w:sz w:val="16"/>
                <w:szCs w:val="16"/>
              </w:rPr>
              <w:t>5.5</w:t>
            </w:r>
          </w:p>
        </w:tc>
        <w:tc>
          <w:tcPr>
            <w:tcW w:w="1134" w:type="dxa"/>
            <w:vAlign w:val="center"/>
          </w:tcPr>
          <w:p w:rsidR="00C55321" w:rsidRPr="00C55321" w:rsidRDefault="00C55321" w:rsidP="00FC1500">
            <w:pPr>
              <w:keepNext/>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C1500">
            <w:pPr>
              <w:keepNext/>
              <w:adjustRightInd w:val="0"/>
              <w:spacing w:before="20"/>
              <w:jc w:val="right"/>
              <w:rPr>
                <w:color w:val="000000"/>
                <w:sz w:val="16"/>
                <w:szCs w:val="16"/>
              </w:rPr>
            </w:pPr>
          </w:p>
        </w:tc>
        <w:tc>
          <w:tcPr>
            <w:tcW w:w="387" w:type="dxa"/>
            <w:vAlign w:val="center"/>
          </w:tcPr>
          <w:p w:rsidR="00C55321" w:rsidRPr="00C55321" w:rsidRDefault="00C55321" w:rsidP="00FC1500">
            <w:pPr>
              <w:keepNext/>
              <w:adjustRightInd w:val="0"/>
              <w:spacing w:before="20"/>
              <w:jc w:val="right"/>
              <w:rPr>
                <w:color w:val="000000"/>
                <w:sz w:val="16"/>
                <w:szCs w:val="16"/>
              </w:rPr>
            </w:pPr>
          </w:p>
        </w:tc>
        <w:tc>
          <w:tcPr>
            <w:tcW w:w="747" w:type="dxa"/>
            <w:vAlign w:val="center"/>
          </w:tcPr>
          <w:p w:rsidR="00C55321" w:rsidRPr="00C55321" w:rsidRDefault="00C55321" w:rsidP="00FC1500">
            <w:pPr>
              <w:keepNext/>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11.5</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2.21</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1.45</w:t>
            </w:r>
            <w:r w:rsidR="006C6924">
              <w:rPr>
                <w:color w:val="000000"/>
                <w:sz w:val="16"/>
                <w:szCs w:val="16"/>
              </w:rPr>
              <w:t xml:space="preserve"> - </w:t>
            </w:r>
            <w:r w:rsidR="006C6924" w:rsidRPr="00C55321">
              <w:rPr>
                <w:color w:val="000000"/>
                <w:sz w:val="16"/>
                <w:szCs w:val="16"/>
              </w:rPr>
              <w:t>3.38</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0.0002</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Housie or bingo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38.</w:t>
            </w:r>
            <w:r w:rsidRPr="00C55321">
              <w:rPr>
                <w:color w:val="000000"/>
                <w:sz w:val="16"/>
                <w:szCs w:val="16"/>
              </w:rPr>
              <w:t>7</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9.41</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3.24</w:t>
            </w:r>
            <w:r w:rsidR="006C6924">
              <w:rPr>
                <w:color w:val="000000"/>
                <w:sz w:val="16"/>
                <w:szCs w:val="16"/>
              </w:rPr>
              <w:t xml:space="preserve"> - </w:t>
            </w:r>
            <w:r w:rsidR="006C6924" w:rsidRPr="00C55321">
              <w:rPr>
                <w:color w:val="000000"/>
                <w:sz w:val="16"/>
                <w:szCs w:val="16"/>
              </w:rPr>
              <w:t>27.30</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Horse/dog race betting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6.1</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24.3</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4.94</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2.01</w:t>
            </w:r>
            <w:r w:rsidR="006C6924">
              <w:rPr>
                <w:color w:val="000000"/>
                <w:sz w:val="16"/>
                <w:szCs w:val="16"/>
              </w:rPr>
              <w:t xml:space="preserve"> - </w:t>
            </w:r>
            <w:r w:rsidR="006C6924" w:rsidRPr="00C55321">
              <w:rPr>
                <w:color w:val="000000"/>
                <w:sz w:val="16"/>
                <w:szCs w:val="16"/>
              </w:rPr>
              <w:t>12.15</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Sports betting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16.0</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2.84</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0.82</w:t>
            </w:r>
            <w:r w:rsidR="006C6924">
              <w:rPr>
                <w:color w:val="000000"/>
                <w:sz w:val="16"/>
                <w:szCs w:val="16"/>
              </w:rPr>
              <w:t xml:space="preserve"> - </w:t>
            </w:r>
            <w:r w:rsidR="006C6924" w:rsidRPr="00C55321">
              <w:rPr>
                <w:color w:val="000000"/>
                <w:sz w:val="16"/>
                <w:szCs w:val="16"/>
              </w:rPr>
              <w:t>9.82</w:t>
            </w:r>
            <w:r>
              <w:rPr>
                <w:color w:val="000000"/>
                <w:sz w:val="16"/>
                <w:szCs w:val="16"/>
              </w:rPr>
              <w:t>)</w:t>
            </w:r>
          </w:p>
        </w:tc>
        <w:tc>
          <w:tcPr>
            <w:tcW w:w="747"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0.10</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table games or EGMs (overseas)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6.4</w:t>
            </w:r>
          </w:p>
        </w:tc>
        <w:tc>
          <w:tcPr>
            <w:tcW w:w="1134" w:type="dxa"/>
            <w:vAlign w:val="center"/>
          </w:tcPr>
          <w:p w:rsidR="00C55321" w:rsidRPr="00C55321"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Yes</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0.0</w:t>
            </w:r>
          </w:p>
        </w:tc>
        <w:tc>
          <w:tcPr>
            <w:tcW w:w="1134" w:type="dxa"/>
            <w:vAlign w:val="center"/>
          </w:tcPr>
          <w:p w:rsidR="00C55321" w:rsidRPr="00C55321"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vAlign w:val="bottom"/>
          </w:tcPr>
          <w:p w:rsidR="00C55321" w:rsidRPr="009B1415" w:rsidRDefault="00C55321" w:rsidP="00C55321">
            <w:pPr>
              <w:keepNext/>
              <w:spacing w:before="20"/>
              <w:jc w:val="both"/>
              <w:rPr>
                <w:b/>
                <w:sz w:val="16"/>
                <w:szCs w:val="16"/>
              </w:rPr>
            </w:pPr>
            <w:r w:rsidRPr="009B1415">
              <w:rPr>
                <w:b/>
                <w:sz w:val="16"/>
                <w:szCs w:val="16"/>
              </w:rPr>
              <w:t>Casino table games or EGMs (NZ)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6.3</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31.2</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6.77</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1.63</w:t>
            </w:r>
            <w:r w:rsidR="006C6924">
              <w:rPr>
                <w:color w:val="000000"/>
                <w:sz w:val="16"/>
                <w:szCs w:val="16"/>
              </w:rPr>
              <w:t xml:space="preserve"> - </w:t>
            </w:r>
            <w:r w:rsidR="006C6924" w:rsidRPr="00C55321">
              <w:rPr>
                <w:color w:val="000000"/>
                <w:sz w:val="16"/>
                <w:szCs w:val="16"/>
              </w:rPr>
              <w:t>28.22</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table games (NZ)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6.4</w:t>
            </w:r>
          </w:p>
        </w:tc>
        <w:tc>
          <w:tcPr>
            <w:tcW w:w="1134" w:type="dxa"/>
            <w:vAlign w:val="center"/>
          </w:tcPr>
          <w:p w:rsidR="00C55321" w:rsidRPr="00C55321"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Yes</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0.0</w:t>
            </w:r>
          </w:p>
        </w:tc>
        <w:tc>
          <w:tcPr>
            <w:tcW w:w="1134" w:type="dxa"/>
            <w:vAlign w:val="center"/>
          </w:tcPr>
          <w:p w:rsidR="00C55321" w:rsidRPr="00C55321"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Casino EGMs (NZ)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6.2</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49.4</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14.70</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3.38</w:t>
            </w:r>
            <w:r w:rsidR="006C6924">
              <w:rPr>
                <w:color w:val="000000"/>
                <w:sz w:val="16"/>
                <w:szCs w:val="16"/>
              </w:rPr>
              <w:t xml:space="preserve"> - </w:t>
            </w:r>
            <w:r w:rsidR="006C6924" w:rsidRPr="00C55321">
              <w:rPr>
                <w:color w:val="000000"/>
                <w:sz w:val="16"/>
                <w:szCs w:val="16"/>
              </w:rPr>
              <w:t>63.99</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0.0003</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Pub EGMs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5.6</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37.1</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10.05</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5.36</w:t>
            </w:r>
            <w:r w:rsidR="006C6924">
              <w:rPr>
                <w:color w:val="000000"/>
                <w:sz w:val="16"/>
                <w:szCs w:val="16"/>
              </w:rPr>
              <w:t xml:space="preserve"> - </w:t>
            </w:r>
            <w:r w:rsidR="006C6924" w:rsidRPr="00C55321">
              <w:rPr>
                <w:color w:val="000000"/>
                <w:sz w:val="16"/>
                <w:szCs w:val="16"/>
              </w:rPr>
              <w:t>18.84</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Club EGMs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C55321" w:rsidRDefault="00C55321" w:rsidP="00F952D3">
            <w:pPr>
              <w:adjustRightInd w:val="0"/>
              <w:spacing w:before="20"/>
              <w:jc w:val="right"/>
              <w:rPr>
                <w:color w:val="000000"/>
                <w:sz w:val="16"/>
                <w:szCs w:val="16"/>
              </w:rPr>
            </w:pP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6.0</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34.4</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8.22</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3.60</w:t>
            </w:r>
            <w:r w:rsidR="006C6924">
              <w:rPr>
                <w:color w:val="000000"/>
                <w:sz w:val="16"/>
                <w:szCs w:val="16"/>
              </w:rPr>
              <w:t xml:space="preserve"> - </w:t>
            </w:r>
            <w:r w:rsidR="006C6924" w:rsidRPr="00C55321">
              <w:rPr>
                <w:color w:val="000000"/>
                <w:sz w:val="16"/>
                <w:szCs w:val="16"/>
              </w:rPr>
              <w:t>18.79</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EGMs overall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5.2</w:t>
            </w:r>
          </w:p>
        </w:tc>
        <w:tc>
          <w:tcPr>
            <w:tcW w:w="1134" w:type="dxa"/>
            <w:vAlign w:val="center"/>
          </w:tcPr>
          <w:p w:rsidR="00C55321" w:rsidRPr="00C55321" w:rsidRDefault="00C55321" w:rsidP="00F952D3">
            <w:pPr>
              <w:adjustRightInd w:val="0"/>
              <w:spacing w:before="20"/>
              <w:jc w:val="right"/>
              <w:rPr>
                <w:color w:val="000000"/>
                <w:sz w:val="16"/>
                <w:szCs w:val="16"/>
              </w:rPr>
            </w:pPr>
            <w:r w:rsidRPr="00C55321">
              <w:rPr>
                <w:color w:val="000000"/>
                <w:sz w:val="16"/>
                <w:szCs w:val="16"/>
              </w:rPr>
              <w:t>1.00</w:t>
            </w:r>
          </w:p>
        </w:tc>
        <w:tc>
          <w:tcPr>
            <w:tcW w:w="709" w:type="dxa"/>
            <w:vAlign w:val="center"/>
          </w:tcPr>
          <w:p w:rsidR="00C55321" w:rsidRPr="00C55321" w:rsidRDefault="00C55321" w:rsidP="00F952D3">
            <w:pPr>
              <w:adjustRightInd w:val="0"/>
              <w:spacing w:before="20"/>
              <w:jc w:val="right"/>
              <w:rPr>
                <w:color w:val="000000"/>
                <w:sz w:val="16"/>
                <w:szCs w:val="16"/>
              </w:rPr>
            </w:pPr>
          </w:p>
        </w:tc>
        <w:tc>
          <w:tcPr>
            <w:tcW w:w="387" w:type="dxa"/>
            <w:vAlign w:val="center"/>
          </w:tcPr>
          <w:p w:rsidR="00C55321" w:rsidRPr="00C55321"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55321" w:rsidRDefault="00C55321"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C55321">
            <w:pPr>
              <w:spacing w:before="20"/>
              <w:ind w:left="176"/>
              <w:jc w:val="both"/>
              <w:rPr>
                <w:sz w:val="16"/>
                <w:szCs w:val="16"/>
              </w:rPr>
            </w:pPr>
            <w:r w:rsidRPr="009B1415">
              <w:rPr>
                <w:sz w:val="16"/>
                <w:szCs w:val="16"/>
              </w:rPr>
              <w:t>Yes</w:t>
            </w:r>
          </w:p>
        </w:tc>
        <w:tc>
          <w:tcPr>
            <w:tcW w:w="567" w:type="dxa"/>
            <w:vAlign w:val="center"/>
          </w:tcPr>
          <w:p w:rsidR="006C6924" w:rsidRPr="00C55321" w:rsidRDefault="006C6924" w:rsidP="00F952D3">
            <w:pPr>
              <w:adjustRightInd w:val="0"/>
              <w:spacing w:before="20"/>
              <w:jc w:val="right"/>
              <w:rPr>
                <w:color w:val="000000"/>
                <w:sz w:val="16"/>
                <w:szCs w:val="16"/>
              </w:rPr>
            </w:pPr>
            <w:r>
              <w:rPr>
                <w:color w:val="000000"/>
                <w:sz w:val="16"/>
                <w:szCs w:val="16"/>
              </w:rPr>
              <w:t>36.6</w:t>
            </w:r>
          </w:p>
        </w:tc>
        <w:tc>
          <w:tcPr>
            <w:tcW w:w="1134" w:type="dxa"/>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10.62</w:t>
            </w:r>
          </w:p>
        </w:tc>
        <w:tc>
          <w:tcPr>
            <w:tcW w:w="1096" w:type="dxa"/>
            <w:gridSpan w:val="2"/>
            <w:vAlign w:val="center"/>
          </w:tcPr>
          <w:p w:rsidR="006C6924" w:rsidRPr="00C55321" w:rsidRDefault="00F952D3" w:rsidP="00F952D3">
            <w:pPr>
              <w:adjustRightInd w:val="0"/>
              <w:spacing w:before="20"/>
              <w:jc w:val="right"/>
              <w:rPr>
                <w:color w:val="000000"/>
                <w:sz w:val="16"/>
                <w:szCs w:val="16"/>
              </w:rPr>
            </w:pPr>
            <w:r>
              <w:rPr>
                <w:color w:val="000000"/>
                <w:sz w:val="16"/>
                <w:szCs w:val="16"/>
              </w:rPr>
              <w:t>(</w:t>
            </w:r>
            <w:r w:rsidR="006C6924" w:rsidRPr="00C55321">
              <w:rPr>
                <w:color w:val="000000"/>
                <w:sz w:val="16"/>
                <w:szCs w:val="16"/>
              </w:rPr>
              <w:t>6.28</w:t>
            </w:r>
            <w:r w:rsidR="006C6924">
              <w:rPr>
                <w:color w:val="000000"/>
                <w:sz w:val="16"/>
                <w:szCs w:val="16"/>
              </w:rPr>
              <w:t xml:space="preserve"> - </w:t>
            </w:r>
            <w:r w:rsidR="006C6924" w:rsidRPr="00C55321">
              <w:rPr>
                <w:color w:val="000000"/>
                <w:sz w:val="16"/>
                <w:szCs w:val="16"/>
              </w:rPr>
              <w:t>17.97</w:t>
            </w:r>
            <w:r>
              <w:rPr>
                <w:color w:val="000000"/>
                <w:sz w:val="16"/>
                <w:szCs w:val="16"/>
              </w:rPr>
              <w:t>)</w:t>
            </w:r>
          </w:p>
        </w:tc>
        <w:tc>
          <w:tcPr>
            <w:tcW w:w="747" w:type="dxa"/>
            <w:shd w:val="clear" w:color="auto" w:fill="D9D9D9" w:themeFill="background1" w:themeFillShade="D9"/>
            <w:vAlign w:val="center"/>
          </w:tcPr>
          <w:p w:rsidR="006C6924" w:rsidRPr="00C55321" w:rsidRDefault="006C6924" w:rsidP="00F952D3">
            <w:pPr>
              <w:adjustRightInd w:val="0"/>
              <w:spacing w:before="20"/>
              <w:jc w:val="right"/>
              <w:rPr>
                <w:color w:val="000000"/>
                <w:sz w:val="16"/>
                <w:szCs w:val="16"/>
              </w:rPr>
            </w:pPr>
            <w:r w:rsidRPr="00C55321">
              <w:rPr>
                <w:color w:val="000000"/>
                <w:sz w:val="16"/>
                <w:szCs w:val="16"/>
              </w:rPr>
              <w:t>&lt;</w:t>
            </w:r>
            <w:r>
              <w:rPr>
                <w:color w:val="000000"/>
                <w:sz w:val="16"/>
                <w:szCs w:val="16"/>
              </w:rPr>
              <w:t>0</w:t>
            </w:r>
            <w:r w:rsidRPr="00C55321">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Short-term speculative investments - monthly</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CB35E8"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6.4</w:t>
            </w:r>
          </w:p>
        </w:tc>
        <w:tc>
          <w:tcPr>
            <w:tcW w:w="1134" w:type="dxa"/>
            <w:vAlign w:val="center"/>
          </w:tcPr>
          <w:p w:rsidR="00C55321" w:rsidRPr="009B12FA"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Yes</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0.0</w:t>
            </w:r>
          </w:p>
        </w:tc>
        <w:tc>
          <w:tcPr>
            <w:tcW w:w="1134" w:type="dxa"/>
            <w:vAlign w:val="center"/>
          </w:tcPr>
          <w:p w:rsidR="00C55321" w:rsidRPr="009B12FA"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shd w:val="clear" w:color="auto" w:fill="auto"/>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sz w:val="16"/>
                <w:szCs w:val="16"/>
              </w:rPr>
              <w:t>Overseas internet gambling - monthly</w:t>
            </w:r>
          </w:p>
        </w:tc>
        <w:tc>
          <w:tcPr>
            <w:tcW w:w="567" w:type="dxa"/>
            <w:vAlign w:val="center"/>
          </w:tcPr>
          <w:p w:rsidR="00C55321" w:rsidRPr="00C55321" w:rsidRDefault="00C55321" w:rsidP="00F952D3">
            <w:pPr>
              <w:adjustRightInd w:val="0"/>
              <w:spacing w:before="20"/>
              <w:jc w:val="right"/>
              <w:rPr>
                <w:color w:val="000000"/>
                <w:sz w:val="16"/>
                <w:szCs w:val="16"/>
              </w:rPr>
            </w:pPr>
          </w:p>
        </w:tc>
        <w:tc>
          <w:tcPr>
            <w:tcW w:w="1134" w:type="dxa"/>
            <w:vAlign w:val="center"/>
          </w:tcPr>
          <w:p w:rsidR="00C55321" w:rsidRPr="009B12FA" w:rsidRDefault="00C55321" w:rsidP="00F952D3">
            <w:pPr>
              <w:adjustRightInd w:val="0"/>
              <w:spacing w:before="20"/>
              <w:jc w:val="right"/>
              <w:rPr>
                <w:color w:val="000000"/>
                <w:sz w:val="16"/>
                <w:szCs w:val="16"/>
              </w:rPr>
            </w:pP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No</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6.4</w:t>
            </w:r>
          </w:p>
        </w:tc>
        <w:tc>
          <w:tcPr>
            <w:tcW w:w="1134" w:type="dxa"/>
            <w:vAlign w:val="center"/>
          </w:tcPr>
          <w:p w:rsidR="00C55321" w:rsidRPr="009B12FA"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4928" w:type="dxa"/>
          </w:tcPr>
          <w:p w:rsidR="00C55321" w:rsidRPr="009B1415" w:rsidRDefault="00C55321" w:rsidP="00C55321">
            <w:pPr>
              <w:spacing w:before="20"/>
              <w:ind w:left="176"/>
              <w:jc w:val="both"/>
              <w:rPr>
                <w:sz w:val="16"/>
                <w:szCs w:val="16"/>
              </w:rPr>
            </w:pPr>
            <w:r w:rsidRPr="009B1415">
              <w:rPr>
                <w:sz w:val="16"/>
                <w:szCs w:val="16"/>
              </w:rPr>
              <w:t>Yes</w:t>
            </w:r>
          </w:p>
        </w:tc>
        <w:tc>
          <w:tcPr>
            <w:tcW w:w="567" w:type="dxa"/>
            <w:vAlign w:val="center"/>
          </w:tcPr>
          <w:p w:rsidR="00C55321" w:rsidRPr="00C55321" w:rsidRDefault="00232878" w:rsidP="00F952D3">
            <w:pPr>
              <w:adjustRightInd w:val="0"/>
              <w:spacing w:before="20"/>
              <w:jc w:val="right"/>
              <w:rPr>
                <w:color w:val="000000"/>
                <w:sz w:val="16"/>
                <w:szCs w:val="16"/>
              </w:rPr>
            </w:pPr>
            <w:r>
              <w:rPr>
                <w:color w:val="000000"/>
                <w:sz w:val="16"/>
                <w:szCs w:val="16"/>
              </w:rPr>
              <w:t>0.0</w:t>
            </w:r>
          </w:p>
        </w:tc>
        <w:tc>
          <w:tcPr>
            <w:tcW w:w="1134" w:type="dxa"/>
            <w:vAlign w:val="center"/>
          </w:tcPr>
          <w:p w:rsidR="00C55321" w:rsidRPr="009B12FA" w:rsidRDefault="00C55321" w:rsidP="00F952D3">
            <w:pPr>
              <w:adjustRightInd w:val="0"/>
              <w:spacing w:before="20"/>
              <w:jc w:val="right"/>
              <w:rPr>
                <w:color w:val="000000"/>
                <w:sz w:val="16"/>
                <w:szCs w:val="16"/>
              </w:rPr>
            </w:pPr>
            <w:r>
              <w:rPr>
                <w:color w:val="000000"/>
                <w:sz w:val="16"/>
                <w:szCs w:val="16"/>
              </w:rPr>
              <w:t>-</w:t>
            </w:r>
          </w:p>
        </w:tc>
        <w:tc>
          <w:tcPr>
            <w:tcW w:w="709" w:type="dxa"/>
            <w:vAlign w:val="center"/>
          </w:tcPr>
          <w:p w:rsidR="00C55321" w:rsidRPr="009B12FA" w:rsidRDefault="00C55321" w:rsidP="00F952D3">
            <w:pPr>
              <w:adjustRightInd w:val="0"/>
              <w:spacing w:before="20"/>
              <w:jc w:val="right"/>
              <w:rPr>
                <w:color w:val="000000"/>
                <w:sz w:val="16"/>
                <w:szCs w:val="16"/>
              </w:rPr>
            </w:pPr>
          </w:p>
        </w:tc>
        <w:tc>
          <w:tcPr>
            <w:tcW w:w="387" w:type="dxa"/>
            <w:vAlign w:val="center"/>
          </w:tcPr>
          <w:p w:rsidR="00C55321" w:rsidRPr="009B12FA" w:rsidRDefault="00C55321" w:rsidP="00F952D3">
            <w:pPr>
              <w:adjustRightInd w:val="0"/>
              <w:spacing w:before="20"/>
              <w:jc w:val="right"/>
              <w:rPr>
                <w:color w:val="000000"/>
                <w:sz w:val="16"/>
                <w:szCs w:val="16"/>
              </w:rPr>
            </w:pPr>
          </w:p>
        </w:tc>
        <w:tc>
          <w:tcPr>
            <w:tcW w:w="747" w:type="dxa"/>
            <w:vAlign w:val="center"/>
          </w:tcPr>
          <w:p w:rsidR="00C55321" w:rsidRPr="009B12FA" w:rsidRDefault="00C55321" w:rsidP="00F952D3">
            <w:pPr>
              <w:adjustRightInd w:val="0"/>
              <w:spacing w:before="20"/>
              <w:jc w:val="right"/>
              <w:rPr>
                <w:color w:val="000000"/>
                <w:sz w:val="16"/>
                <w:szCs w:val="16"/>
              </w:rPr>
            </w:pPr>
          </w:p>
        </w:tc>
      </w:tr>
      <w:tr w:rsidR="00C55321" w:rsidRPr="009B1415" w:rsidTr="00F959A8">
        <w:tc>
          <w:tcPr>
            <w:tcW w:w="5495" w:type="dxa"/>
            <w:gridSpan w:val="2"/>
            <w:vAlign w:val="bottom"/>
          </w:tcPr>
          <w:p w:rsidR="00C55321" w:rsidRPr="000C1AB9" w:rsidRDefault="00C55321" w:rsidP="00F952D3">
            <w:pPr>
              <w:spacing w:before="20"/>
              <w:rPr>
                <w:rFonts w:ascii="Calibri" w:hAnsi="Calibri"/>
                <w:b/>
                <w:bCs/>
                <w:color w:val="000000"/>
                <w:sz w:val="16"/>
                <w:szCs w:val="16"/>
              </w:rPr>
            </w:pPr>
            <w:r w:rsidRPr="000C1AB9">
              <w:rPr>
                <w:b/>
                <w:bCs/>
                <w:color w:val="000000"/>
                <w:sz w:val="16"/>
                <w:szCs w:val="16"/>
              </w:rPr>
              <w:t>Time spent playing EGMs in an average day (casino)</w:t>
            </w:r>
          </w:p>
        </w:tc>
        <w:tc>
          <w:tcPr>
            <w:tcW w:w="1134" w:type="dxa"/>
            <w:vAlign w:val="center"/>
          </w:tcPr>
          <w:p w:rsidR="00C55321" w:rsidRPr="000C1AB9" w:rsidRDefault="00C55321" w:rsidP="00F952D3">
            <w:pPr>
              <w:spacing w:before="20"/>
              <w:jc w:val="right"/>
              <w:rPr>
                <w:rFonts w:ascii="Calibri" w:hAnsi="Calibri"/>
                <w:b/>
                <w:color w:val="000000"/>
                <w:sz w:val="16"/>
                <w:szCs w:val="16"/>
              </w:rPr>
            </w:pPr>
          </w:p>
        </w:tc>
        <w:tc>
          <w:tcPr>
            <w:tcW w:w="709" w:type="dxa"/>
            <w:vAlign w:val="center"/>
          </w:tcPr>
          <w:p w:rsidR="00C55321" w:rsidRPr="000C1AB9" w:rsidRDefault="00C55321" w:rsidP="00F952D3">
            <w:pPr>
              <w:spacing w:before="20"/>
              <w:jc w:val="right"/>
              <w:rPr>
                <w:rFonts w:ascii="Calibri" w:hAnsi="Calibri"/>
                <w:b/>
                <w:color w:val="000000"/>
                <w:sz w:val="16"/>
                <w:szCs w:val="16"/>
              </w:rPr>
            </w:pPr>
          </w:p>
        </w:tc>
        <w:tc>
          <w:tcPr>
            <w:tcW w:w="387" w:type="dxa"/>
            <w:vAlign w:val="center"/>
          </w:tcPr>
          <w:p w:rsidR="00C55321" w:rsidRPr="000C1AB9" w:rsidRDefault="00C55321" w:rsidP="00F952D3">
            <w:pPr>
              <w:spacing w:before="20"/>
              <w:jc w:val="right"/>
              <w:rPr>
                <w:rFonts w:ascii="Calibri" w:hAnsi="Calibri"/>
                <w:b/>
                <w:color w:val="000000"/>
                <w:sz w:val="16"/>
                <w:szCs w:val="16"/>
              </w:rPr>
            </w:pPr>
          </w:p>
        </w:tc>
        <w:tc>
          <w:tcPr>
            <w:tcW w:w="747" w:type="dxa"/>
            <w:vAlign w:val="center"/>
          </w:tcPr>
          <w:p w:rsidR="00C55321" w:rsidRPr="000C1AB9" w:rsidRDefault="00C55321" w:rsidP="00F952D3">
            <w:pPr>
              <w:spacing w:before="20"/>
              <w:jc w:val="right"/>
              <w:rPr>
                <w:rFonts w:ascii="Calibri" w:hAnsi="Calibri"/>
                <w:b/>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 time</w:t>
            </w:r>
          </w:p>
        </w:tc>
        <w:tc>
          <w:tcPr>
            <w:tcW w:w="567" w:type="dxa"/>
          </w:tcPr>
          <w:p w:rsidR="00EC0F3A" w:rsidRPr="00EC0F3A" w:rsidRDefault="00EC0F3A" w:rsidP="00F952D3">
            <w:pPr>
              <w:adjustRightInd w:val="0"/>
              <w:spacing w:before="20"/>
              <w:jc w:val="right"/>
              <w:rPr>
                <w:color w:val="000000"/>
                <w:sz w:val="16"/>
                <w:szCs w:val="16"/>
              </w:rPr>
            </w:pPr>
            <w:r w:rsidRPr="00EC0F3A">
              <w:rPr>
                <w:color w:val="000000"/>
                <w:sz w:val="16"/>
                <w:szCs w:val="16"/>
              </w:rPr>
              <w:t>5.</w:t>
            </w:r>
            <w:r w:rsidR="00232878">
              <w:rPr>
                <w:color w:val="000000"/>
                <w:sz w:val="16"/>
                <w:szCs w:val="16"/>
              </w:rPr>
              <w:t>8</w:t>
            </w:r>
          </w:p>
        </w:tc>
        <w:tc>
          <w:tcPr>
            <w:tcW w:w="1134" w:type="dxa"/>
            <w:vAlign w:val="center"/>
          </w:tcPr>
          <w:p w:rsidR="00EC0F3A" w:rsidRPr="00EC0F3A" w:rsidRDefault="00EC0F3A" w:rsidP="00F952D3">
            <w:pPr>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spacing w:before="20"/>
              <w:jc w:val="right"/>
              <w:rPr>
                <w:color w:val="000000"/>
                <w:sz w:val="16"/>
                <w:szCs w:val="16"/>
              </w:rPr>
            </w:pPr>
          </w:p>
        </w:tc>
        <w:tc>
          <w:tcPr>
            <w:tcW w:w="387" w:type="dxa"/>
            <w:vAlign w:val="center"/>
          </w:tcPr>
          <w:p w:rsidR="00EC0F3A" w:rsidRPr="00EC0F3A" w:rsidRDefault="00EC0F3A" w:rsidP="00F952D3">
            <w:pPr>
              <w:spacing w:before="20"/>
              <w:jc w:val="right"/>
              <w:rPr>
                <w:color w:val="000000"/>
                <w:sz w:val="16"/>
                <w:szCs w:val="16"/>
              </w:rPr>
            </w:pPr>
          </w:p>
        </w:tc>
        <w:tc>
          <w:tcPr>
            <w:tcW w:w="747" w:type="dxa"/>
            <w:vAlign w:val="center"/>
          </w:tcPr>
          <w:p w:rsidR="00EC0F3A" w:rsidRPr="00EC0F3A" w:rsidRDefault="00EC0F3A"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Up to 15 minutes</w:t>
            </w:r>
          </w:p>
        </w:tc>
        <w:tc>
          <w:tcPr>
            <w:tcW w:w="567" w:type="dxa"/>
          </w:tcPr>
          <w:p w:rsidR="006C6924" w:rsidRPr="00EC0F3A" w:rsidRDefault="006C6924" w:rsidP="00F952D3">
            <w:pPr>
              <w:adjustRightInd w:val="0"/>
              <w:spacing w:before="20"/>
              <w:jc w:val="right"/>
              <w:rPr>
                <w:color w:val="000000"/>
                <w:sz w:val="16"/>
                <w:szCs w:val="16"/>
              </w:rPr>
            </w:pPr>
            <w:r>
              <w:rPr>
                <w:color w:val="000000"/>
                <w:sz w:val="16"/>
                <w:szCs w:val="16"/>
              </w:rPr>
              <w:t>5.0</w:t>
            </w:r>
          </w:p>
        </w:tc>
        <w:tc>
          <w:tcPr>
            <w:tcW w:w="1134" w:type="dxa"/>
          </w:tcPr>
          <w:p w:rsidR="006C6924" w:rsidRPr="00EC0F3A" w:rsidRDefault="006C6924" w:rsidP="00F952D3">
            <w:pPr>
              <w:keepNext/>
              <w:adjustRightInd w:val="0"/>
              <w:spacing w:before="20"/>
              <w:jc w:val="right"/>
              <w:rPr>
                <w:color w:val="000000"/>
                <w:sz w:val="16"/>
                <w:szCs w:val="16"/>
              </w:rPr>
            </w:pPr>
            <w:r w:rsidRPr="00EC0F3A">
              <w:rPr>
                <w:color w:val="000000"/>
                <w:sz w:val="16"/>
                <w:szCs w:val="16"/>
              </w:rPr>
              <w:t>0.86</w:t>
            </w:r>
          </w:p>
        </w:tc>
        <w:tc>
          <w:tcPr>
            <w:tcW w:w="1096" w:type="dxa"/>
            <w:gridSpan w:val="2"/>
          </w:tcPr>
          <w:p w:rsidR="006C6924" w:rsidRPr="00EC0F3A" w:rsidRDefault="00F952D3" w:rsidP="00F952D3">
            <w:pPr>
              <w:keepNext/>
              <w:adjustRightInd w:val="0"/>
              <w:spacing w:before="20"/>
              <w:jc w:val="right"/>
              <w:rPr>
                <w:color w:val="000000"/>
                <w:sz w:val="16"/>
                <w:szCs w:val="16"/>
              </w:rPr>
            </w:pPr>
            <w:r>
              <w:rPr>
                <w:color w:val="000000"/>
                <w:sz w:val="16"/>
                <w:szCs w:val="16"/>
              </w:rPr>
              <w:t>(</w:t>
            </w:r>
            <w:r w:rsidR="006C6924" w:rsidRPr="00EC0F3A">
              <w:rPr>
                <w:color w:val="000000"/>
                <w:sz w:val="16"/>
                <w:szCs w:val="16"/>
              </w:rPr>
              <w:t>0.22</w:t>
            </w:r>
            <w:r w:rsidR="006C6924">
              <w:rPr>
                <w:color w:val="000000"/>
                <w:sz w:val="16"/>
                <w:szCs w:val="16"/>
              </w:rPr>
              <w:t xml:space="preserve"> - </w:t>
            </w:r>
            <w:r w:rsidR="006C6924" w:rsidRPr="00EC0F3A">
              <w:rPr>
                <w:color w:val="000000"/>
                <w:sz w:val="16"/>
                <w:szCs w:val="16"/>
              </w:rPr>
              <w:t>3.36</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16 to 30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11.5</w:t>
            </w:r>
          </w:p>
        </w:tc>
        <w:tc>
          <w:tcPr>
            <w:tcW w:w="1134" w:type="dxa"/>
          </w:tcPr>
          <w:p w:rsidR="006C6924" w:rsidRPr="00EC0F3A" w:rsidRDefault="006C6924" w:rsidP="00F952D3">
            <w:pPr>
              <w:keepNext/>
              <w:adjustRightInd w:val="0"/>
              <w:spacing w:before="20"/>
              <w:jc w:val="right"/>
              <w:rPr>
                <w:color w:val="000000"/>
                <w:sz w:val="16"/>
                <w:szCs w:val="16"/>
              </w:rPr>
            </w:pPr>
            <w:r w:rsidRPr="00EC0F3A">
              <w:rPr>
                <w:color w:val="000000"/>
                <w:sz w:val="16"/>
                <w:szCs w:val="16"/>
              </w:rPr>
              <w:t>2.13</w:t>
            </w:r>
          </w:p>
        </w:tc>
        <w:tc>
          <w:tcPr>
            <w:tcW w:w="1096" w:type="dxa"/>
            <w:gridSpan w:val="2"/>
          </w:tcPr>
          <w:p w:rsidR="006C6924" w:rsidRPr="00EC0F3A" w:rsidRDefault="00F952D3" w:rsidP="00F952D3">
            <w:pPr>
              <w:keepNext/>
              <w:adjustRightInd w:val="0"/>
              <w:spacing w:before="20"/>
              <w:jc w:val="right"/>
              <w:rPr>
                <w:color w:val="000000"/>
                <w:sz w:val="16"/>
                <w:szCs w:val="16"/>
              </w:rPr>
            </w:pPr>
            <w:r>
              <w:rPr>
                <w:color w:val="000000"/>
                <w:sz w:val="16"/>
                <w:szCs w:val="16"/>
              </w:rPr>
              <w:t>(</w:t>
            </w:r>
            <w:r w:rsidR="006C6924" w:rsidRPr="00EC0F3A">
              <w:rPr>
                <w:color w:val="000000"/>
                <w:sz w:val="16"/>
                <w:szCs w:val="16"/>
              </w:rPr>
              <w:t>0.79</w:t>
            </w:r>
            <w:r w:rsidR="006C6924">
              <w:rPr>
                <w:color w:val="000000"/>
                <w:sz w:val="16"/>
                <w:szCs w:val="16"/>
              </w:rPr>
              <w:t xml:space="preserve"> - </w:t>
            </w:r>
            <w:r w:rsidR="006C6924" w:rsidRPr="00EC0F3A">
              <w:rPr>
                <w:color w:val="000000"/>
                <w:sz w:val="16"/>
                <w:szCs w:val="16"/>
              </w:rPr>
              <w:t>5.76</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31 to 60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17.</w:t>
            </w:r>
            <w:r>
              <w:rPr>
                <w:color w:val="000000"/>
                <w:sz w:val="16"/>
                <w:szCs w:val="16"/>
              </w:rPr>
              <w:t>9</w:t>
            </w:r>
          </w:p>
        </w:tc>
        <w:tc>
          <w:tcPr>
            <w:tcW w:w="1134" w:type="dxa"/>
          </w:tcPr>
          <w:p w:rsidR="006C6924" w:rsidRPr="00EC0F3A" w:rsidRDefault="006C6924" w:rsidP="00F952D3">
            <w:pPr>
              <w:adjustRightInd w:val="0"/>
              <w:spacing w:before="20"/>
              <w:jc w:val="right"/>
              <w:rPr>
                <w:color w:val="000000"/>
                <w:sz w:val="16"/>
                <w:szCs w:val="16"/>
              </w:rPr>
            </w:pPr>
            <w:r w:rsidRPr="00EC0F3A">
              <w:rPr>
                <w:color w:val="000000"/>
                <w:sz w:val="16"/>
                <w:szCs w:val="16"/>
              </w:rPr>
              <w:t>3.56</w:t>
            </w:r>
          </w:p>
        </w:tc>
        <w:tc>
          <w:tcPr>
            <w:tcW w:w="1096" w:type="dxa"/>
            <w:gridSpan w:val="2"/>
          </w:tcPr>
          <w:p w:rsidR="006C6924" w:rsidRPr="00EC0F3A" w:rsidRDefault="00F952D3"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1.42</w:t>
            </w:r>
            <w:r w:rsidR="006C6924">
              <w:rPr>
                <w:color w:val="000000"/>
                <w:sz w:val="16"/>
                <w:szCs w:val="16"/>
              </w:rPr>
              <w:t xml:space="preserve"> - </w:t>
            </w:r>
            <w:r w:rsidR="006C6924" w:rsidRPr="00EC0F3A">
              <w:rPr>
                <w:color w:val="000000"/>
                <w:sz w:val="16"/>
                <w:szCs w:val="16"/>
              </w:rPr>
              <w:t>8.93</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&gt;60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19.</w:t>
            </w:r>
            <w:r>
              <w:rPr>
                <w:color w:val="000000"/>
                <w:sz w:val="16"/>
                <w:szCs w:val="16"/>
              </w:rPr>
              <w:t>3</w:t>
            </w:r>
          </w:p>
        </w:tc>
        <w:tc>
          <w:tcPr>
            <w:tcW w:w="1134" w:type="dxa"/>
          </w:tcPr>
          <w:p w:rsidR="006C6924" w:rsidRPr="00EC0F3A" w:rsidRDefault="006C6924" w:rsidP="00F952D3">
            <w:pPr>
              <w:adjustRightInd w:val="0"/>
              <w:spacing w:before="20"/>
              <w:jc w:val="right"/>
              <w:rPr>
                <w:color w:val="000000"/>
                <w:sz w:val="16"/>
                <w:szCs w:val="16"/>
              </w:rPr>
            </w:pPr>
            <w:r w:rsidRPr="00EC0F3A">
              <w:rPr>
                <w:color w:val="000000"/>
                <w:sz w:val="16"/>
                <w:szCs w:val="16"/>
              </w:rPr>
              <w:t>3.90</w:t>
            </w:r>
          </w:p>
        </w:tc>
        <w:tc>
          <w:tcPr>
            <w:tcW w:w="1096" w:type="dxa"/>
            <w:gridSpan w:val="2"/>
          </w:tcPr>
          <w:p w:rsidR="006C6924" w:rsidRPr="00EC0F3A" w:rsidRDefault="00F952D3"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1.69</w:t>
            </w:r>
            <w:r w:rsidR="006C6924">
              <w:rPr>
                <w:color w:val="000000"/>
                <w:sz w:val="16"/>
                <w:szCs w:val="16"/>
              </w:rPr>
              <w:t xml:space="preserve"> - </w:t>
            </w:r>
            <w:r w:rsidR="006C6924" w:rsidRPr="00EC0F3A">
              <w:rPr>
                <w:color w:val="000000"/>
                <w:sz w:val="16"/>
                <w:szCs w:val="16"/>
              </w:rPr>
              <w:t>8.99</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spacing w:before="20"/>
              <w:jc w:val="right"/>
              <w:rPr>
                <w:color w:val="000000"/>
                <w:sz w:val="16"/>
                <w:szCs w:val="16"/>
              </w:rPr>
            </w:pPr>
            <w:r w:rsidRPr="00EC0F3A">
              <w:rPr>
                <w:color w:val="000000"/>
                <w:sz w:val="16"/>
                <w:szCs w:val="16"/>
              </w:rPr>
              <w:t>0</w:t>
            </w:r>
            <w:r>
              <w:rPr>
                <w:color w:val="000000"/>
                <w:sz w:val="16"/>
                <w:szCs w:val="16"/>
              </w:rPr>
              <w:t>.001</w:t>
            </w:r>
          </w:p>
        </w:tc>
      </w:tr>
      <w:tr w:rsidR="00EC0F3A" w:rsidRPr="009B1415" w:rsidTr="00F959A8">
        <w:tc>
          <w:tcPr>
            <w:tcW w:w="4928" w:type="dxa"/>
            <w:vAlign w:val="bottom"/>
          </w:tcPr>
          <w:p w:rsidR="00EC0F3A" w:rsidRPr="009B1415" w:rsidRDefault="00EC0F3A" w:rsidP="003F15C0">
            <w:pPr>
              <w:spacing w:before="20"/>
              <w:rPr>
                <w:rFonts w:ascii="Calibri" w:hAnsi="Calibri"/>
                <w:b/>
                <w:bCs/>
                <w:color w:val="000000"/>
                <w:sz w:val="16"/>
                <w:szCs w:val="16"/>
              </w:rPr>
            </w:pPr>
            <w:r w:rsidRPr="009B1415">
              <w:rPr>
                <w:b/>
                <w:bCs/>
                <w:color w:val="000000"/>
                <w:sz w:val="16"/>
                <w:szCs w:val="16"/>
              </w:rPr>
              <w:t>Time spent playing EGMs in an average day (pub)</w:t>
            </w:r>
          </w:p>
        </w:tc>
        <w:tc>
          <w:tcPr>
            <w:tcW w:w="567" w:type="dxa"/>
            <w:vAlign w:val="center"/>
          </w:tcPr>
          <w:p w:rsidR="00EC0F3A" w:rsidRPr="00EC0F3A" w:rsidRDefault="00EC0F3A" w:rsidP="003F15C0">
            <w:pPr>
              <w:adjustRightInd w:val="0"/>
              <w:spacing w:before="20"/>
              <w:jc w:val="right"/>
              <w:rPr>
                <w:color w:val="000000"/>
                <w:sz w:val="16"/>
                <w:szCs w:val="16"/>
              </w:rPr>
            </w:pPr>
          </w:p>
        </w:tc>
        <w:tc>
          <w:tcPr>
            <w:tcW w:w="1134" w:type="dxa"/>
            <w:vAlign w:val="center"/>
          </w:tcPr>
          <w:p w:rsidR="00EC0F3A" w:rsidRPr="00EC0F3A" w:rsidRDefault="00EC0F3A" w:rsidP="003F15C0">
            <w:pPr>
              <w:adjustRightInd w:val="0"/>
              <w:spacing w:before="20"/>
              <w:jc w:val="right"/>
              <w:rPr>
                <w:color w:val="000000"/>
                <w:sz w:val="16"/>
                <w:szCs w:val="16"/>
              </w:rPr>
            </w:pPr>
          </w:p>
        </w:tc>
        <w:tc>
          <w:tcPr>
            <w:tcW w:w="709" w:type="dxa"/>
            <w:vAlign w:val="center"/>
          </w:tcPr>
          <w:p w:rsidR="00EC0F3A" w:rsidRPr="00EC0F3A" w:rsidRDefault="00EC0F3A" w:rsidP="003F15C0">
            <w:pPr>
              <w:adjustRightInd w:val="0"/>
              <w:spacing w:before="20"/>
              <w:jc w:val="right"/>
              <w:rPr>
                <w:color w:val="000000"/>
                <w:sz w:val="16"/>
                <w:szCs w:val="16"/>
              </w:rPr>
            </w:pPr>
          </w:p>
        </w:tc>
        <w:tc>
          <w:tcPr>
            <w:tcW w:w="387" w:type="dxa"/>
            <w:vAlign w:val="center"/>
          </w:tcPr>
          <w:p w:rsidR="00EC0F3A" w:rsidRPr="00EC0F3A" w:rsidRDefault="00EC0F3A" w:rsidP="003F15C0">
            <w:pPr>
              <w:adjustRightInd w:val="0"/>
              <w:spacing w:before="20"/>
              <w:jc w:val="right"/>
              <w:rPr>
                <w:color w:val="000000"/>
                <w:sz w:val="16"/>
                <w:szCs w:val="16"/>
              </w:rPr>
            </w:pPr>
          </w:p>
        </w:tc>
        <w:tc>
          <w:tcPr>
            <w:tcW w:w="747" w:type="dxa"/>
            <w:vAlign w:val="center"/>
          </w:tcPr>
          <w:p w:rsidR="00EC0F3A" w:rsidRPr="00EC0F3A" w:rsidRDefault="00EC0F3A" w:rsidP="003F15C0">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3F15C0">
            <w:pPr>
              <w:spacing w:before="20"/>
              <w:ind w:left="176"/>
              <w:jc w:val="both"/>
              <w:rPr>
                <w:sz w:val="16"/>
                <w:szCs w:val="16"/>
              </w:rPr>
            </w:pPr>
            <w:r w:rsidRPr="009B1415">
              <w:rPr>
                <w:sz w:val="16"/>
                <w:szCs w:val="16"/>
              </w:rPr>
              <w:t>No time</w:t>
            </w:r>
          </w:p>
        </w:tc>
        <w:tc>
          <w:tcPr>
            <w:tcW w:w="567" w:type="dxa"/>
          </w:tcPr>
          <w:p w:rsidR="00EC0F3A" w:rsidRPr="00EC0F3A" w:rsidRDefault="00EC0F3A" w:rsidP="003F15C0">
            <w:pPr>
              <w:adjustRightInd w:val="0"/>
              <w:spacing w:before="20"/>
              <w:jc w:val="right"/>
              <w:rPr>
                <w:color w:val="000000"/>
                <w:sz w:val="16"/>
                <w:szCs w:val="16"/>
              </w:rPr>
            </w:pPr>
            <w:r w:rsidRPr="00EC0F3A">
              <w:rPr>
                <w:color w:val="000000"/>
                <w:sz w:val="16"/>
                <w:szCs w:val="16"/>
              </w:rPr>
              <w:t>4.9</w:t>
            </w:r>
          </w:p>
        </w:tc>
        <w:tc>
          <w:tcPr>
            <w:tcW w:w="1134" w:type="dxa"/>
            <w:vAlign w:val="center"/>
          </w:tcPr>
          <w:p w:rsidR="00EC0F3A" w:rsidRPr="00EC0F3A" w:rsidRDefault="00EC0F3A" w:rsidP="003F15C0">
            <w:pPr>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3F15C0">
            <w:pPr>
              <w:spacing w:before="20"/>
              <w:jc w:val="right"/>
              <w:rPr>
                <w:color w:val="000000"/>
                <w:sz w:val="16"/>
                <w:szCs w:val="16"/>
              </w:rPr>
            </w:pPr>
          </w:p>
        </w:tc>
        <w:tc>
          <w:tcPr>
            <w:tcW w:w="387" w:type="dxa"/>
            <w:vAlign w:val="center"/>
          </w:tcPr>
          <w:p w:rsidR="00EC0F3A" w:rsidRPr="00EC0F3A" w:rsidRDefault="00EC0F3A" w:rsidP="003F15C0">
            <w:pPr>
              <w:spacing w:before="20"/>
              <w:jc w:val="right"/>
              <w:rPr>
                <w:color w:val="000000"/>
                <w:sz w:val="16"/>
                <w:szCs w:val="16"/>
              </w:rPr>
            </w:pPr>
          </w:p>
        </w:tc>
        <w:tc>
          <w:tcPr>
            <w:tcW w:w="747" w:type="dxa"/>
            <w:vAlign w:val="center"/>
          </w:tcPr>
          <w:p w:rsidR="00EC0F3A" w:rsidRPr="00EC0F3A" w:rsidRDefault="00EC0F3A" w:rsidP="003F15C0">
            <w:pPr>
              <w:spacing w:before="20"/>
              <w:jc w:val="right"/>
              <w:rPr>
                <w:color w:val="000000"/>
                <w:sz w:val="16"/>
                <w:szCs w:val="16"/>
              </w:rPr>
            </w:pPr>
          </w:p>
        </w:tc>
      </w:tr>
      <w:tr w:rsidR="006C6924" w:rsidRPr="009B1415" w:rsidTr="00F959A8">
        <w:tc>
          <w:tcPr>
            <w:tcW w:w="4928" w:type="dxa"/>
          </w:tcPr>
          <w:p w:rsidR="006C6924" w:rsidRPr="009B1415" w:rsidRDefault="006C6924" w:rsidP="003F15C0">
            <w:pPr>
              <w:spacing w:before="20"/>
              <w:ind w:left="176"/>
              <w:jc w:val="both"/>
              <w:rPr>
                <w:sz w:val="16"/>
                <w:szCs w:val="16"/>
              </w:rPr>
            </w:pPr>
            <w:r w:rsidRPr="009B1415">
              <w:rPr>
                <w:sz w:val="16"/>
                <w:szCs w:val="16"/>
              </w:rPr>
              <w:t>Up to 15 minutes</w:t>
            </w:r>
          </w:p>
        </w:tc>
        <w:tc>
          <w:tcPr>
            <w:tcW w:w="567" w:type="dxa"/>
          </w:tcPr>
          <w:p w:rsidR="006C6924" w:rsidRPr="00EC0F3A" w:rsidRDefault="006C6924" w:rsidP="003F15C0">
            <w:pPr>
              <w:adjustRightInd w:val="0"/>
              <w:spacing w:before="20"/>
              <w:jc w:val="right"/>
              <w:rPr>
                <w:color w:val="000000"/>
                <w:sz w:val="16"/>
                <w:szCs w:val="16"/>
              </w:rPr>
            </w:pPr>
            <w:r w:rsidRPr="00EC0F3A">
              <w:rPr>
                <w:color w:val="000000"/>
                <w:sz w:val="16"/>
                <w:szCs w:val="16"/>
              </w:rPr>
              <w:t>12.3</w:t>
            </w:r>
          </w:p>
        </w:tc>
        <w:tc>
          <w:tcPr>
            <w:tcW w:w="1134" w:type="dxa"/>
          </w:tcPr>
          <w:p w:rsidR="006C6924" w:rsidRPr="00EC0F3A" w:rsidRDefault="006C6924" w:rsidP="003F15C0">
            <w:pPr>
              <w:adjustRightInd w:val="0"/>
              <w:spacing w:before="20"/>
              <w:jc w:val="right"/>
              <w:rPr>
                <w:color w:val="000000"/>
                <w:sz w:val="16"/>
                <w:szCs w:val="16"/>
              </w:rPr>
            </w:pPr>
            <w:r w:rsidRPr="00EC0F3A">
              <w:rPr>
                <w:color w:val="000000"/>
                <w:sz w:val="16"/>
                <w:szCs w:val="16"/>
              </w:rPr>
              <w:t>2.71</w:t>
            </w:r>
          </w:p>
        </w:tc>
        <w:tc>
          <w:tcPr>
            <w:tcW w:w="1096" w:type="dxa"/>
            <w:gridSpan w:val="2"/>
          </w:tcPr>
          <w:p w:rsidR="006C6924" w:rsidRPr="00EC0F3A" w:rsidRDefault="00F952D3" w:rsidP="003F15C0">
            <w:pPr>
              <w:adjustRightInd w:val="0"/>
              <w:spacing w:before="20"/>
              <w:jc w:val="right"/>
              <w:rPr>
                <w:color w:val="000000"/>
                <w:sz w:val="16"/>
                <w:szCs w:val="16"/>
              </w:rPr>
            </w:pPr>
            <w:r>
              <w:rPr>
                <w:color w:val="000000"/>
                <w:sz w:val="16"/>
                <w:szCs w:val="16"/>
              </w:rPr>
              <w:t>(</w:t>
            </w:r>
            <w:r w:rsidR="006C6924" w:rsidRPr="00EC0F3A">
              <w:rPr>
                <w:color w:val="000000"/>
                <w:sz w:val="16"/>
                <w:szCs w:val="16"/>
              </w:rPr>
              <w:t>1.21</w:t>
            </w:r>
            <w:r w:rsidR="006C6924">
              <w:rPr>
                <w:color w:val="000000"/>
                <w:sz w:val="16"/>
                <w:szCs w:val="16"/>
              </w:rPr>
              <w:t xml:space="preserve"> - </w:t>
            </w:r>
            <w:r w:rsidR="006C6924" w:rsidRPr="00EC0F3A">
              <w:rPr>
                <w:color w:val="000000"/>
                <w:sz w:val="16"/>
                <w:szCs w:val="16"/>
              </w:rPr>
              <w:t>6.05</w:t>
            </w:r>
            <w:r>
              <w:rPr>
                <w:color w:val="000000"/>
                <w:sz w:val="16"/>
                <w:szCs w:val="16"/>
              </w:rPr>
              <w:t>)</w:t>
            </w:r>
          </w:p>
        </w:tc>
        <w:tc>
          <w:tcPr>
            <w:tcW w:w="747" w:type="dxa"/>
            <w:vAlign w:val="center"/>
          </w:tcPr>
          <w:p w:rsidR="006C6924" w:rsidRPr="00EC0F3A" w:rsidRDefault="006C6924" w:rsidP="003F15C0">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16 to 30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14.1</w:t>
            </w:r>
          </w:p>
        </w:tc>
        <w:tc>
          <w:tcPr>
            <w:tcW w:w="1134" w:type="dxa"/>
          </w:tcPr>
          <w:p w:rsidR="006C6924" w:rsidRPr="00EC0F3A" w:rsidRDefault="006C6924" w:rsidP="00F952D3">
            <w:pPr>
              <w:keepNext/>
              <w:adjustRightInd w:val="0"/>
              <w:spacing w:before="20"/>
              <w:jc w:val="right"/>
              <w:rPr>
                <w:color w:val="000000"/>
                <w:sz w:val="16"/>
                <w:szCs w:val="16"/>
              </w:rPr>
            </w:pPr>
            <w:r w:rsidRPr="00EC0F3A">
              <w:rPr>
                <w:color w:val="000000"/>
                <w:sz w:val="16"/>
                <w:szCs w:val="16"/>
              </w:rPr>
              <w:t>3.16</w:t>
            </w:r>
          </w:p>
        </w:tc>
        <w:tc>
          <w:tcPr>
            <w:tcW w:w="1096" w:type="dxa"/>
            <w:gridSpan w:val="2"/>
          </w:tcPr>
          <w:p w:rsidR="006C6924" w:rsidRPr="00EC0F3A" w:rsidRDefault="00F952D3" w:rsidP="00F952D3">
            <w:pPr>
              <w:keepNext/>
              <w:adjustRightInd w:val="0"/>
              <w:spacing w:before="20"/>
              <w:jc w:val="right"/>
              <w:rPr>
                <w:color w:val="000000"/>
                <w:sz w:val="16"/>
                <w:szCs w:val="16"/>
              </w:rPr>
            </w:pPr>
            <w:r>
              <w:rPr>
                <w:color w:val="000000"/>
                <w:sz w:val="16"/>
                <w:szCs w:val="16"/>
              </w:rPr>
              <w:t>(</w:t>
            </w:r>
            <w:r w:rsidR="006C6924" w:rsidRPr="00EC0F3A">
              <w:rPr>
                <w:color w:val="000000"/>
                <w:sz w:val="16"/>
                <w:szCs w:val="16"/>
              </w:rPr>
              <w:t>1.56</w:t>
            </w:r>
            <w:r w:rsidR="006C6924">
              <w:rPr>
                <w:color w:val="000000"/>
                <w:sz w:val="16"/>
                <w:szCs w:val="16"/>
              </w:rPr>
              <w:t xml:space="preserve"> - </w:t>
            </w:r>
            <w:r w:rsidR="006C6924" w:rsidRPr="00EC0F3A">
              <w:rPr>
                <w:color w:val="000000"/>
                <w:sz w:val="16"/>
                <w:szCs w:val="16"/>
              </w:rPr>
              <w:t>6.41</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31 to 60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23.</w:t>
            </w:r>
            <w:r>
              <w:rPr>
                <w:color w:val="000000"/>
                <w:sz w:val="16"/>
                <w:szCs w:val="16"/>
              </w:rPr>
              <w:t>6</w:t>
            </w:r>
          </w:p>
        </w:tc>
        <w:tc>
          <w:tcPr>
            <w:tcW w:w="1134" w:type="dxa"/>
          </w:tcPr>
          <w:p w:rsidR="006C6924" w:rsidRPr="00EC0F3A" w:rsidRDefault="006C6924" w:rsidP="00F952D3">
            <w:pPr>
              <w:adjustRightInd w:val="0"/>
              <w:spacing w:before="20"/>
              <w:jc w:val="right"/>
              <w:rPr>
                <w:color w:val="000000"/>
                <w:sz w:val="16"/>
                <w:szCs w:val="16"/>
              </w:rPr>
            </w:pPr>
            <w:r w:rsidRPr="00EC0F3A">
              <w:rPr>
                <w:color w:val="000000"/>
                <w:sz w:val="16"/>
                <w:szCs w:val="16"/>
              </w:rPr>
              <w:t>5.94</w:t>
            </w:r>
          </w:p>
        </w:tc>
        <w:tc>
          <w:tcPr>
            <w:tcW w:w="1096" w:type="dxa"/>
            <w:gridSpan w:val="2"/>
          </w:tcPr>
          <w:p w:rsidR="006C6924" w:rsidRPr="00EC0F3A" w:rsidRDefault="00F952D3"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2.89</w:t>
            </w:r>
            <w:r w:rsidR="006C6924">
              <w:rPr>
                <w:color w:val="000000"/>
                <w:sz w:val="16"/>
                <w:szCs w:val="16"/>
              </w:rPr>
              <w:t xml:space="preserve"> - </w:t>
            </w:r>
            <w:r w:rsidR="006C6924" w:rsidRPr="00EC0F3A">
              <w:rPr>
                <w:color w:val="000000"/>
                <w:sz w:val="16"/>
                <w:szCs w:val="16"/>
              </w:rPr>
              <w:t>12.22</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&gt;60 minutes</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33.</w:t>
            </w:r>
            <w:r>
              <w:rPr>
                <w:color w:val="000000"/>
                <w:sz w:val="16"/>
                <w:szCs w:val="16"/>
              </w:rPr>
              <w:t>6</w:t>
            </w:r>
          </w:p>
        </w:tc>
        <w:tc>
          <w:tcPr>
            <w:tcW w:w="1134" w:type="dxa"/>
          </w:tcPr>
          <w:p w:rsidR="006C6924" w:rsidRPr="00EC0F3A" w:rsidRDefault="006C6924" w:rsidP="00F952D3">
            <w:pPr>
              <w:adjustRightInd w:val="0"/>
              <w:spacing w:before="20"/>
              <w:jc w:val="right"/>
              <w:rPr>
                <w:color w:val="000000"/>
                <w:sz w:val="16"/>
                <w:szCs w:val="16"/>
              </w:rPr>
            </w:pPr>
            <w:r w:rsidRPr="00EC0F3A">
              <w:rPr>
                <w:color w:val="000000"/>
                <w:sz w:val="16"/>
                <w:szCs w:val="16"/>
              </w:rPr>
              <w:t>9.73</w:t>
            </w:r>
          </w:p>
        </w:tc>
        <w:tc>
          <w:tcPr>
            <w:tcW w:w="1096" w:type="dxa"/>
            <w:gridSpan w:val="2"/>
          </w:tcPr>
          <w:p w:rsidR="006C6924" w:rsidRPr="00EC0F3A" w:rsidRDefault="00F952D3"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3.90</w:t>
            </w:r>
            <w:r w:rsidR="006C6924">
              <w:rPr>
                <w:color w:val="000000"/>
                <w:sz w:val="16"/>
                <w:szCs w:val="16"/>
              </w:rPr>
              <w:t xml:space="preserve"> - </w:t>
            </w:r>
            <w:r w:rsidR="006C6924" w:rsidRPr="00EC0F3A">
              <w:rPr>
                <w:color w:val="000000"/>
                <w:sz w:val="16"/>
                <w:szCs w:val="16"/>
              </w:rPr>
              <w:t>24.27</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C55321" w:rsidRPr="009B1415" w:rsidTr="00F959A8">
        <w:tc>
          <w:tcPr>
            <w:tcW w:w="4928" w:type="dxa"/>
            <w:vAlign w:val="bottom"/>
          </w:tcPr>
          <w:p w:rsidR="00C55321" w:rsidRPr="009B1415" w:rsidRDefault="00C55321" w:rsidP="003F15C0">
            <w:pPr>
              <w:spacing w:before="20"/>
              <w:jc w:val="both"/>
              <w:rPr>
                <w:b/>
                <w:sz w:val="16"/>
                <w:szCs w:val="16"/>
              </w:rPr>
            </w:pPr>
            <w:r w:rsidRPr="009B1415">
              <w:rPr>
                <w:b/>
                <w:bCs/>
                <w:color w:val="000000"/>
                <w:sz w:val="16"/>
                <w:szCs w:val="16"/>
              </w:rPr>
              <w:t>Time spent playing EGMs in an average day (club)</w:t>
            </w:r>
          </w:p>
        </w:tc>
        <w:tc>
          <w:tcPr>
            <w:tcW w:w="567" w:type="dxa"/>
            <w:vAlign w:val="center"/>
          </w:tcPr>
          <w:p w:rsidR="00C55321" w:rsidRPr="000C1AB9" w:rsidRDefault="00C55321" w:rsidP="003F15C0">
            <w:pPr>
              <w:adjustRightInd w:val="0"/>
              <w:spacing w:before="20"/>
              <w:jc w:val="right"/>
              <w:rPr>
                <w:color w:val="000000"/>
                <w:sz w:val="16"/>
                <w:szCs w:val="16"/>
              </w:rPr>
            </w:pPr>
          </w:p>
        </w:tc>
        <w:tc>
          <w:tcPr>
            <w:tcW w:w="1134" w:type="dxa"/>
            <w:vAlign w:val="center"/>
          </w:tcPr>
          <w:p w:rsidR="00C55321" w:rsidRPr="000C1AB9" w:rsidRDefault="00C55321" w:rsidP="003F15C0">
            <w:pPr>
              <w:adjustRightInd w:val="0"/>
              <w:spacing w:before="20"/>
              <w:jc w:val="right"/>
              <w:rPr>
                <w:color w:val="000000"/>
                <w:sz w:val="16"/>
                <w:szCs w:val="16"/>
              </w:rPr>
            </w:pPr>
          </w:p>
        </w:tc>
        <w:tc>
          <w:tcPr>
            <w:tcW w:w="709" w:type="dxa"/>
            <w:vAlign w:val="center"/>
          </w:tcPr>
          <w:p w:rsidR="00C55321" w:rsidRPr="000C1AB9" w:rsidRDefault="00C55321" w:rsidP="003F15C0">
            <w:pPr>
              <w:adjustRightInd w:val="0"/>
              <w:spacing w:before="20"/>
              <w:jc w:val="right"/>
              <w:rPr>
                <w:color w:val="000000"/>
                <w:sz w:val="16"/>
                <w:szCs w:val="16"/>
              </w:rPr>
            </w:pPr>
          </w:p>
        </w:tc>
        <w:tc>
          <w:tcPr>
            <w:tcW w:w="387" w:type="dxa"/>
            <w:vAlign w:val="center"/>
          </w:tcPr>
          <w:p w:rsidR="00C55321" w:rsidRPr="000C1AB9" w:rsidRDefault="00C55321" w:rsidP="003F15C0">
            <w:pPr>
              <w:adjustRightInd w:val="0"/>
              <w:spacing w:before="20"/>
              <w:jc w:val="right"/>
              <w:rPr>
                <w:color w:val="000000"/>
                <w:sz w:val="16"/>
                <w:szCs w:val="16"/>
              </w:rPr>
            </w:pPr>
          </w:p>
        </w:tc>
        <w:tc>
          <w:tcPr>
            <w:tcW w:w="747" w:type="dxa"/>
            <w:vAlign w:val="center"/>
          </w:tcPr>
          <w:p w:rsidR="00C55321" w:rsidRPr="000C1AB9" w:rsidRDefault="00C55321" w:rsidP="003F15C0">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3F15C0">
            <w:pPr>
              <w:spacing w:before="20"/>
              <w:ind w:left="176"/>
              <w:jc w:val="both"/>
              <w:rPr>
                <w:sz w:val="16"/>
                <w:szCs w:val="16"/>
              </w:rPr>
            </w:pPr>
            <w:r w:rsidRPr="009B1415">
              <w:rPr>
                <w:sz w:val="16"/>
                <w:szCs w:val="16"/>
              </w:rPr>
              <w:t>No time</w:t>
            </w:r>
          </w:p>
        </w:tc>
        <w:tc>
          <w:tcPr>
            <w:tcW w:w="567" w:type="dxa"/>
          </w:tcPr>
          <w:p w:rsidR="00EC0F3A" w:rsidRPr="00EC0F3A" w:rsidRDefault="00EC0F3A" w:rsidP="003F15C0">
            <w:pPr>
              <w:adjustRightInd w:val="0"/>
              <w:spacing w:before="20"/>
              <w:jc w:val="right"/>
              <w:rPr>
                <w:color w:val="000000"/>
                <w:sz w:val="16"/>
                <w:szCs w:val="16"/>
              </w:rPr>
            </w:pPr>
            <w:r w:rsidRPr="00EC0F3A">
              <w:rPr>
                <w:color w:val="000000"/>
                <w:sz w:val="16"/>
                <w:szCs w:val="16"/>
              </w:rPr>
              <w:t>5.7</w:t>
            </w:r>
          </w:p>
        </w:tc>
        <w:tc>
          <w:tcPr>
            <w:tcW w:w="1134" w:type="dxa"/>
            <w:vAlign w:val="center"/>
          </w:tcPr>
          <w:p w:rsidR="00EC0F3A" w:rsidRPr="00EC0F3A" w:rsidRDefault="00EC0F3A" w:rsidP="003F15C0">
            <w:pPr>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3F15C0">
            <w:pPr>
              <w:spacing w:before="20"/>
              <w:jc w:val="right"/>
              <w:rPr>
                <w:color w:val="000000"/>
                <w:sz w:val="16"/>
                <w:szCs w:val="16"/>
              </w:rPr>
            </w:pPr>
          </w:p>
        </w:tc>
        <w:tc>
          <w:tcPr>
            <w:tcW w:w="387" w:type="dxa"/>
            <w:vAlign w:val="center"/>
          </w:tcPr>
          <w:p w:rsidR="00EC0F3A" w:rsidRPr="00EC0F3A" w:rsidRDefault="00EC0F3A" w:rsidP="003F15C0">
            <w:pPr>
              <w:spacing w:before="20"/>
              <w:jc w:val="right"/>
              <w:rPr>
                <w:color w:val="000000"/>
                <w:sz w:val="16"/>
                <w:szCs w:val="16"/>
              </w:rPr>
            </w:pPr>
          </w:p>
        </w:tc>
        <w:tc>
          <w:tcPr>
            <w:tcW w:w="747" w:type="dxa"/>
            <w:vAlign w:val="center"/>
          </w:tcPr>
          <w:p w:rsidR="00EC0F3A" w:rsidRPr="00EC0F3A" w:rsidRDefault="00EC0F3A" w:rsidP="003F15C0">
            <w:pPr>
              <w:spacing w:before="20"/>
              <w:jc w:val="right"/>
              <w:rPr>
                <w:color w:val="000000"/>
                <w:sz w:val="16"/>
                <w:szCs w:val="16"/>
              </w:rPr>
            </w:pPr>
          </w:p>
        </w:tc>
      </w:tr>
      <w:tr w:rsidR="006C6924" w:rsidRPr="009B1415" w:rsidTr="00F959A8">
        <w:tc>
          <w:tcPr>
            <w:tcW w:w="4928" w:type="dxa"/>
          </w:tcPr>
          <w:p w:rsidR="006C6924" w:rsidRPr="009B1415" w:rsidRDefault="006C6924" w:rsidP="003F15C0">
            <w:pPr>
              <w:spacing w:before="20"/>
              <w:ind w:left="176"/>
              <w:jc w:val="both"/>
              <w:rPr>
                <w:sz w:val="16"/>
                <w:szCs w:val="16"/>
              </w:rPr>
            </w:pPr>
            <w:r w:rsidRPr="009B1415">
              <w:rPr>
                <w:sz w:val="16"/>
                <w:szCs w:val="16"/>
              </w:rPr>
              <w:t>Up to 15 minutes</w:t>
            </w:r>
          </w:p>
        </w:tc>
        <w:tc>
          <w:tcPr>
            <w:tcW w:w="567" w:type="dxa"/>
          </w:tcPr>
          <w:p w:rsidR="006C6924" w:rsidRPr="00EC0F3A" w:rsidRDefault="006C6924" w:rsidP="003F15C0">
            <w:pPr>
              <w:adjustRightInd w:val="0"/>
              <w:spacing w:before="20"/>
              <w:jc w:val="right"/>
              <w:rPr>
                <w:color w:val="000000"/>
                <w:sz w:val="16"/>
                <w:szCs w:val="16"/>
              </w:rPr>
            </w:pPr>
            <w:r>
              <w:rPr>
                <w:color w:val="000000"/>
                <w:sz w:val="16"/>
                <w:szCs w:val="16"/>
              </w:rPr>
              <w:t>1.</w:t>
            </w:r>
            <w:r w:rsidRPr="00EC0F3A">
              <w:rPr>
                <w:color w:val="000000"/>
                <w:sz w:val="16"/>
                <w:szCs w:val="16"/>
              </w:rPr>
              <w:t>9</w:t>
            </w:r>
          </w:p>
        </w:tc>
        <w:tc>
          <w:tcPr>
            <w:tcW w:w="1134" w:type="dxa"/>
          </w:tcPr>
          <w:p w:rsidR="006C6924" w:rsidRPr="00EC0F3A" w:rsidRDefault="006C6924" w:rsidP="003F15C0">
            <w:pPr>
              <w:adjustRightInd w:val="0"/>
              <w:spacing w:before="20"/>
              <w:jc w:val="right"/>
              <w:rPr>
                <w:color w:val="000000"/>
                <w:sz w:val="16"/>
                <w:szCs w:val="16"/>
              </w:rPr>
            </w:pPr>
            <w:r w:rsidRPr="00EC0F3A">
              <w:rPr>
                <w:color w:val="000000"/>
                <w:sz w:val="16"/>
                <w:szCs w:val="16"/>
              </w:rPr>
              <w:t>0.32</w:t>
            </w:r>
          </w:p>
        </w:tc>
        <w:tc>
          <w:tcPr>
            <w:tcW w:w="1096" w:type="dxa"/>
            <w:gridSpan w:val="2"/>
          </w:tcPr>
          <w:p w:rsidR="006C6924" w:rsidRPr="00EC0F3A" w:rsidRDefault="00FC1500" w:rsidP="003F15C0">
            <w:pPr>
              <w:adjustRightInd w:val="0"/>
              <w:spacing w:before="20"/>
              <w:jc w:val="right"/>
              <w:rPr>
                <w:color w:val="000000"/>
                <w:sz w:val="16"/>
                <w:szCs w:val="16"/>
              </w:rPr>
            </w:pPr>
            <w:r>
              <w:rPr>
                <w:color w:val="000000"/>
                <w:sz w:val="16"/>
                <w:szCs w:val="16"/>
              </w:rPr>
              <w:t>(</w:t>
            </w:r>
            <w:r w:rsidR="006C6924" w:rsidRPr="00EC0F3A">
              <w:rPr>
                <w:color w:val="000000"/>
                <w:sz w:val="16"/>
                <w:szCs w:val="16"/>
              </w:rPr>
              <w:t>0.07</w:t>
            </w:r>
            <w:r w:rsidR="006C6924">
              <w:rPr>
                <w:color w:val="000000"/>
                <w:sz w:val="16"/>
                <w:szCs w:val="16"/>
              </w:rPr>
              <w:t xml:space="preserve"> - </w:t>
            </w:r>
            <w:r w:rsidR="006C6924" w:rsidRPr="00EC0F3A">
              <w:rPr>
                <w:color w:val="000000"/>
                <w:sz w:val="16"/>
                <w:szCs w:val="16"/>
              </w:rPr>
              <w:t>1.42</w:t>
            </w:r>
            <w:r>
              <w:rPr>
                <w:color w:val="000000"/>
                <w:sz w:val="16"/>
                <w:szCs w:val="16"/>
              </w:rPr>
              <w:t>)</w:t>
            </w:r>
          </w:p>
        </w:tc>
        <w:tc>
          <w:tcPr>
            <w:tcW w:w="747" w:type="dxa"/>
            <w:vAlign w:val="center"/>
          </w:tcPr>
          <w:p w:rsidR="006C6924" w:rsidRPr="00EC0F3A" w:rsidRDefault="006C6924" w:rsidP="003F15C0">
            <w:pPr>
              <w:spacing w:before="20"/>
              <w:jc w:val="right"/>
              <w:rPr>
                <w:color w:val="000000"/>
                <w:sz w:val="16"/>
                <w:szCs w:val="16"/>
              </w:rPr>
            </w:pPr>
          </w:p>
        </w:tc>
      </w:tr>
      <w:tr w:rsidR="006C6924" w:rsidRPr="009B1415" w:rsidTr="00F959A8">
        <w:tc>
          <w:tcPr>
            <w:tcW w:w="4928" w:type="dxa"/>
          </w:tcPr>
          <w:p w:rsidR="006C6924" w:rsidRPr="009B1415" w:rsidRDefault="006C6924" w:rsidP="003F15C0">
            <w:pPr>
              <w:spacing w:before="20"/>
              <w:ind w:left="176"/>
              <w:jc w:val="both"/>
              <w:rPr>
                <w:sz w:val="16"/>
                <w:szCs w:val="16"/>
              </w:rPr>
            </w:pPr>
            <w:r w:rsidRPr="009B1415">
              <w:rPr>
                <w:sz w:val="16"/>
                <w:szCs w:val="16"/>
              </w:rPr>
              <w:t>16 to 30 minutes</w:t>
            </w:r>
          </w:p>
        </w:tc>
        <w:tc>
          <w:tcPr>
            <w:tcW w:w="567" w:type="dxa"/>
          </w:tcPr>
          <w:p w:rsidR="006C6924" w:rsidRPr="00EC0F3A" w:rsidRDefault="006C6924" w:rsidP="003F15C0">
            <w:pPr>
              <w:adjustRightInd w:val="0"/>
              <w:spacing w:before="20"/>
              <w:jc w:val="right"/>
              <w:rPr>
                <w:color w:val="000000"/>
                <w:sz w:val="16"/>
                <w:szCs w:val="16"/>
              </w:rPr>
            </w:pPr>
            <w:r w:rsidRPr="00EC0F3A">
              <w:rPr>
                <w:color w:val="000000"/>
                <w:sz w:val="16"/>
                <w:szCs w:val="16"/>
              </w:rPr>
              <w:t>16.</w:t>
            </w:r>
            <w:r>
              <w:rPr>
                <w:color w:val="000000"/>
                <w:sz w:val="16"/>
                <w:szCs w:val="16"/>
              </w:rPr>
              <w:t>4</w:t>
            </w:r>
          </w:p>
        </w:tc>
        <w:tc>
          <w:tcPr>
            <w:tcW w:w="1134" w:type="dxa"/>
          </w:tcPr>
          <w:p w:rsidR="006C6924" w:rsidRPr="00EC0F3A" w:rsidRDefault="006C6924" w:rsidP="003F15C0">
            <w:pPr>
              <w:adjustRightInd w:val="0"/>
              <w:spacing w:before="20"/>
              <w:jc w:val="right"/>
              <w:rPr>
                <w:color w:val="000000"/>
                <w:sz w:val="16"/>
                <w:szCs w:val="16"/>
              </w:rPr>
            </w:pPr>
            <w:r w:rsidRPr="00EC0F3A">
              <w:rPr>
                <w:color w:val="000000"/>
                <w:sz w:val="16"/>
                <w:szCs w:val="16"/>
              </w:rPr>
              <w:t>3.22</w:t>
            </w:r>
          </w:p>
        </w:tc>
        <w:tc>
          <w:tcPr>
            <w:tcW w:w="1096" w:type="dxa"/>
            <w:gridSpan w:val="2"/>
          </w:tcPr>
          <w:p w:rsidR="006C6924" w:rsidRPr="00EC0F3A" w:rsidRDefault="00FC1500" w:rsidP="003F15C0">
            <w:pPr>
              <w:adjustRightInd w:val="0"/>
              <w:spacing w:before="20"/>
              <w:jc w:val="right"/>
              <w:rPr>
                <w:color w:val="000000"/>
                <w:sz w:val="16"/>
                <w:szCs w:val="16"/>
              </w:rPr>
            </w:pPr>
            <w:r>
              <w:rPr>
                <w:color w:val="000000"/>
                <w:sz w:val="16"/>
                <w:szCs w:val="16"/>
              </w:rPr>
              <w:t>(</w:t>
            </w:r>
            <w:r w:rsidR="006C6924" w:rsidRPr="00EC0F3A">
              <w:rPr>
                <w:color w:val="000000"/>
                <w:sz w:val="16"/>
                <w:szCs w:val="16"/>
              </w:rPr>
              <w:t>1.47</w:t>
            </w:r>
            <w:r w:rsidR="006C6924">
              <w:rPr>
                <w:color w:val="000000"/>
                <w:sz w:val="16"/>
                <w:szCs w:val="16"/>
              </w:rPr>
              <w:t xml:space="preserve"> - </w:t>
            </w:r>
            <w:r w:rsidR="006C6924" w:rsidRPr="00EC0F3A">
              <w:rPr>
                <w:color w:val="000000"/>
                <w:sz w:val="16"/>
                <w:szCs w:val="16"/>
              </w:rPr>
              <w:t>7.06</w:t>
            </w:r>
            <w:r>
              <w:rPr>
                <w:color w:val="000000"/>
                <w:sz w:val="16"/>
                <w:szCs w:val="16"/>
              </w:rPr>
              <w:t>)</w:t>
            </w:r>
          </w:p>
        </w:tc>
        <w:tc>
          <w:tcPr>
            <w:tcW w:w="747" w:type="dxa"/>
            <w:vAlign w:val="center"/>
          </w:tcPr>
          <w:p w:rsidR="006C6924" w:rsidRPr="00EC0F3A" w:rsidRDefault="006C6924" w:rsidP="003F15C0">
            <w:pPr>
              <w:spacing w:before="20"/>
              <w:jc w:val="right"/>
              <w:rPr>
                <w:color w:val="000000"/>
                <w:sz w:val="16"/>
                <w:szCs w:val="16"/>
              </w:rPr>
            </w:pPr>
          </w:p>
        </w:tc>
      </w:tr>
      <w:tr w:rsidR="006C6924" w:rsidRPr="009B1415" w:rsidTr="00F959A8">
        <w:tc>
          <w:tcPr>
            <w:tcW w:w="4928" w:type="dxa"/>
          </w:tcPr>
          <w:p w:rsidR="006C6924" w:rsidRPr="009B1415" w:rsidRDefault="006C6924" w:rsidP="003F15C0">
            <w:pPr>
              <w:spacing w:before="20"/>
              <w:ind w:left="176"/>
              <w:jc w:val="both"/>
              <w:rPr>
                <w:sz w:val="16"/>
                <w:szCs w:val="16"/>
              </w:rPr>
            </w:pPr>
            <w:r w:rsidRPr="009B1415">
              <w:rPr>
                <w:sz w:val="16"/>
                <w:szCs w:val="16"/>
              </w:rPr>
              <w:t>31 to 60 minutes</w:t>
            </w:r>
          </w:p>
        </w:tc>
        <w:tc>
          <w:tcPr>
            <w:tcW w:w="567" w:type="dxa"/>
          </w:tcPr>
          <w:p w:rsidR="006C6924" w:rsidRPr="00EC0F3A" w:rsidRDefault="006C6924" w:rsidP="003F15C0">
            <w:pPr>
              <w:adjustRightInd w:val="0"/>
              <w:spacing w:before="20"/>
              <w:jc w:val="right"/>
              <w:rPr>
                <w:color w:val="000000"/>
                <w:sz w:val="16"/>
                <w:szCs w:val="16"/>
              </w:rPr>
            </w:pPr>
            <w:r w:rsidRPr="00EC0F3A">
              <w:rPr>
                <w:color w:val="000000"/>
                <w:sz w:val="16"/>
                <w:szCs w:val="16"/>
              </w:rPr>
              <w:t>26.</w:t>
            </w:r>
            <w:r>
              <w:rPr>
                <w:color w:val="000000"/>
                <w:sz w:val="16"/>
                <w:szCs w:val="16"/>
              </w:rPr>
              <w:t>7</w:t>
            </w:r>
          </w:p>
        </w:tc>
        <w:tc>
          <w:tcPr>
            <w:tcW w:w="1134" w:type="dxa"/>
          </w:tcPr>
          <w:p w:rsidR="006C6924" w:rsidRPr="00EC0F3A" w:rsidRDefault="006C6924" w:rsidP="003F15C0">
            <w:pPr>
              <w:adjustRightInd w:val="0"/>
              <w:spacing w:before="20"/>
              <w:jc w:val="right"/>
              <w:rPr>
                <w:color w:val="000000"/>
                <w:sz w:val="16"/>
                <w:szCs w:val="16"/>
              </w:rPr>
            </w:pPr>
            <w:r w:rsidRPr="00EC0F3A">
              <w:rPr>
                <w:color w:val="000000"/>
                <w:sz w:val="16"/>
                <w:szCs w:val="16"/>
              </w:rPr>
              <w:t>5.97</w:t>
            </w:r>
          </w:p>
        </w:tc>
        <w:tc>
          <w:tcPr>
            <w:tcW w:w="1096" w:type="dxa"/>
            <w:gridSpan w:val="2"/>
          </w:tcPr>
          <w:p w:rsidR="006C6924" w:rsidRPr="00EC0F3A" w:rsidRDefault="00FC1500" w:rsidP="003F15C0">
            <w:pPr>
              <w:adjustRightInd w:val="0"/>
              <w:spacing w:before="20"/>
              <w:jc w:val="right"/>
              <w:rPr>
                <w:color w:val="000000"/>
                <w:sz w:val="16"/>
                <w:szCs w:val="16"/>
              </w:rPr>
            </w:pPr>
            <w:r>
              <w:rPr>
                <w:color w:val="000000"/>
                <w:sz w:val="16"/>
                <w:szCs w:val="16"/>
              </w:rPr>
              <w:t>(</w:t>
            </w:r>
            <w:r w:rsidR="006C6924" w:rsidRPr="00EC0F3A">
              <w:rPr>
                <w:color w:val="000000"/>
                <w:sz w:val="16"/>
                <w:szCs w:val="16"/>
              </w:rPr>
              <w:t>2.54</w:t>
            </w:r>
            <w:r w:rsidR="006C6924">
              <w:rPr>
                <w:color w:val="000000"/>
                <w:sz w:val="16"/>
                <w:szCs w:val="16"/>
              </w:rPr>
              <w:t xml:space="preserve"> - </w:t>
            </w:r>
            <w:r w:rsidR="006C6924" w:rsidRPr="00EC0F3A">
              <w:rPr>
                <w:color w:val="000000"/>
                <w:sz w:val="16"/>
                <w:szCs w:val="16"/>
              </w:rPr>
              <w:t>14.02</w:t>
            </w:r>
            <w:r>
              <w:rPr>
                <w:color w:val="000000"/>
                <w:sz w:val="16"/>
                <w:szCs w:val="16"/>
              </w:rPr>
              <w:t>)</w:t>
            </w:r>
          </w:p>
        </w:tc>
        <w:tc>
          <w:tcPr>
            <w:tcW w:w="747" w:type="dxa"/>
            <w:shd w:val="clear" w:color="auto" w:fill="auto"/>
            <w:vAlign w:val="center"/>
          </w:tcPr>
          <w:p w:rsidR="006C6924" w:rsidRPr="00EC0F3A" w:rsidRDefault="006C6924" w:rsidP="003F15C0">
            <w:pPr>
              <w:spacing w:before="20"/>
              <w:jc w:val="right"/>
              <w:rPr>
                <w:color w:val="000000"/>
                <w:sz w:val="16"/>
                <w:szCs w:val="16"/>
              </w:rPr>
            </w:pPr>
          </w:p>
        </w:tc>
      </w:tr>
      <w:tr w:rsidR="006C6924" w:rsidRPr="009B1415" w:rsidTr="00F959A8">
        <w:tc>
          <w:tcPr>
            <w:tcW w:w="4928" w:type="dxa"/>
            <w:tcBorders>
              <w:bottom w:val="single" w:sz="4" w:space="0" w:color="auto"/>
            </w:tcBorders>
          </w:tcPr>
          <w:p w:rsidR="006C6924" w:rsidRPr="009B1415" w:rsidRDefault="006C6924" w:rsidP="003F15C0">
            <w:pPr>
              <w:spacing w:before="20"/>
              <w:ind w:left="176"/>
              <w:jc w:val="both"/>
              <w:rPr>
                <w:sz w:val="16"/>
                <w:szCs w:val="16"/>
              </w:rPr>
            </w:pPr>
            <w:r w:rsidRPr="009B1415">
              <w:rPr>
                <w:sz w:val="16"/>
                <w:szCs w:val="16"/>
              </w:rPr>
              <w:t>&gt;60 minutes</w:t>
            </w:r>
          </w:p>
        </w:tc>
        <w:tc>
          <w:tcPr>
            <w:tcW w:w="567" w:type="dxa"/>
            <w:tcBorders>
              <w:bottom w:val="single" w:sz="4" w:space="0" w:color="auto"/>
            </w:tcBorders>
          </w:tcPr>
          <w:p w:rsidR="006C6924" w:rsidRPr="00EC0F3A" w:rsidRDefault="006C6924" w:rsidP="003F15C0">
            <w:pPr>
              <w:adjustRightInd w:val="0"/>
              <w:spacing w:before="20"/>
              <w:jc w:val="right"/>
              <w:rPr>
                <w:color w:val="000000"/>
                <w:sz w:val="16"/>
                <w:szCs w:val="16"/>
              </w:rPr>
            </w:pPr>
            <w:r w:rsidRPr="00EC0F3A">
              <w:rPr>
                <w:color w:val="000000"/>
                <w:sz w:val="16"/>
                <w:szCs w:val="16"/>
              </w:rPr>
              <w:t>39.9</w:t>
            </w:r>
          </w:p>
        </w:tc>
        <w:tc>
          <w:tcPr>
            <w:tcW w:w="1134" w:type="dxa"/>
            <w:tcBorders>
              <w:bottom w:val="single" w:sz="4" w:space="0" w:color="auto"/>
            </w:tcBorders>
          </w:tcPr>
          <w:p w:rsidR="006C6924" w:rsidRPr="00EC0F3A" w:rsidRDefault="006C6924" w:rsidP="003F15C0">
            <w:pPr>
              <w:adjustRightInd w:val="0"/>
              <w:spacing w:before="20"/>
              <w:jc w:val="right"/>
              <w:rPr>
                <w:color w:val="000000"/>
                <w:sz w:val="16"/>
                <w:szCs w:val="16"/>
              </w:rPr>
            </w:pPr>
            <w:r w:rsidRPr="00EC0F3A">
              <w:rPr>
                <w:color w:val="000000"/>
                <w:sz w:val="16"/>
                <w:szCs w:val="16"/>
              </w:rPr>
              <w:t>10.92</w:t>
            </w:r>
          </w:p>
        </w:tc>
        <w:tc>
          <w:tcPr>
            <w:tcW w:w="1096" w:type="dxa"/>
            <w:gridSpan w:val="2"/>
            <w:tcBorders>
              <w:bottom w:val="single" w:sz="4" w:space="0" w:color="auto"/>
            </w:tcBorders>
          </w:tcPr>
          <w:p w:rsidR="006C6924" w:rsidRPr="00EC0F3A" w:rsidRDefault="00FC1500" w:rsidP="003F15C0">
            <w:pPr>
              <w:adjustRightInd w:val="0"/>
              <w:spacing w:before="20"/>
              <w:jc w:val="right"/>
              <w:rPr>
                <w:color w:val="000000"/>
                <w:sz w:val="16"/>
                <w:szCs w:val="16"/>
              </w:rPr>
            </w:pPr>
            <w:r>
              <w:rPr>
                <w:color w:val="000000"/>
                <w:sz w:val="16"/>
                <w:szCs w:val="16"/>
              </w:rPr>
              <w:t>(</w:t>
            </w:r>
            <w:r w:rsidR="006C6924" w:rsidRPr="00EC0F3A">
              <w:rPr>
                <w:color w:val="000000"/>
                <w:sz w:val="16"/>
                <w:szCs w:val="16"/>
              </w:rPr>
              <w:t>2.71</w:t>
            </w:r>
            <w:r w:rsidR="006C6924">
              <w:rPr>
                <w:color w:val="000000"/>
                <w:sz w:val="16"/>
                <w:szCs w:val="16"/>
              </w:rPr>
              <w:t xml:space="preserve"> - </w:t>
            </w:r>
            <w:r w:rsidR="006C6924" w:rsidRPr="00EC0F3A">
              <w:rPr>
                <w:color w:val="000000"/>
                <w:sz w:val="16"/>
                <w:szCs w:val="16"/>
              </w:rPr>
              <w:t>43.95</w:t>
            </w:r>
            <w:r>
              <w:rPr>
                <w:color w:val="000000"/>
                <w:sz w:val="16"/>
                <w:szCs w:val="16"/>
              </w:rPr>
              <w:t>)</w:t>
            </w:r>
          </w:p>
        </w:tc>
        <w:tc>
          <w:tcPr>
            <w:tcW w:w="747" w:type="dxa"/>
            <w:tcBorders>
              <w:bottom w:val="single" w:sz="4" w:space="0" w:color="auto"/>
            </w:tcBorders>
            <w:shd w:val="clear" w:color="auto" w:fill="D9D9D9" w:themeFill="background1" w:themeFillShade="D9"/>
          </w:tcPr>
          <w:p w:rsidR="006C6924" w:rsidRPr="00EC0F3A" w:rsidRDefault="006C6924" w:rsidP="003F15C0">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EC0F3A" w:rsidRPr="009B1415" w:rsidTr="00F959A8">
        <w:tc>
          <w:tcPr>
            <w:tcW w:w="4928" w:type="dxa"/>
            <w:tcBorders>
              <w:top w:val="single" w:sz="4" w:space="0" w:color="auto"/>
            </w:tcBorders>
            <w:vAlign w:val="bottom"/>
          </w:tcPr>
          <w:p w:rsidR="00EC0F3A" w:rsidRPr="009B1415" w:rsidRDefault="00EC0F3A" w:rsidP="003F15C0">
            <w:pPr>
              <w:keepNext/>
              <w:spacing w:before="20"/>
              <w:jc w:val="both"/>
              <w:rPr>
                <w:b/>
                <w:sz w:val="16"/>
                <w:szCs w:val="16"/>
              </w:rPr>
            </w:pPr>
            <w:r w:rsidRPr="009B1415">
              <w:rPr>
                <w:b/>
                <w:bCs/>
                <w:color w:val="000000"/>
                <w:sz w:val="16"/>
                <w:szCs w:val="16"/>
              </w:rPr>
              <w:lastRenderedPageBreak/>
              <w:t>Who spent time with on most enjoyed activity</w:t>
            </w:r>
          </w:p>
        </w:tc>
        <w:tc>
          <w:tcPr>
            <w:tcW w:w="567" w:type="dxa"/>
            <w:tcBorders>
              <w:top w:val="single" w:sz="4" w:space="0" w:color="auto"/>
            </w:tcBorders>
            <w:vAlign w:val="center"/>
          </w:tcPr>
          <w:p w:rsidR="00EC0F3A" w:rsidRPr="00EC0F3A" w:rsidRDefault="00EC0F3A" w:rsidP="003F15C0">
            <w:pPr>
              <w:keepNext/>
              <w:adjustRightInd w:val="0"/>
              <w:spacing w:before="20"/>
              <w:jc w:val="right"/>
              <w:rPr>
                <w:color w:val="000000"/>
                <w:sz w:val="16"/>
                <w:szCs w:val="16"/>
              </w:rPr>
            </w:pPr>
          </w:p>
        </w:tc>
        <w:tc>
          <w:tcPr>
            <w:tcW w:w="1134" w:type="dxa"/>
            <w:tcBorders>
              <w:top w:val="single" w:sz="4" w:space="0" w:color="auto"/>
            </w:tcBorders>
            <w:vAlign w:val="center"/>
          </w:tcPr>
          <w:p w:rsidR="00EC0F3A" w:rsidRPr="00EC0F3A" w:rsidRDefault="00EC0F3A" w:rsidP="003F15C0">
            <w:pPr>
              <w:keepNext/>
              <w:adjustRightInd w:val="0"/>
              <w:spacing w:before="20"/>
              <w:jc w:val="right"/>
              <w:rPr>
                <w:color w:val="000000"/>
                <w:sz w:val="16"/>
                <w:szCs w:val="16"/>
              </w:rPr>
            </w:pPr>
          </w:p>
        </w:tc>
        <w:tc>
          <w:tcPr>
            <w:tcW w:w="709" w:type="dxa"/>
            <w:tcBorders>
              <w:top w:val="single" w:sz="4" w:space="0" w:color="auto"/>
            </w:tcBorders>
            <w:vAlign w:val="center"/>
          </w:tcPr>
          <w:p w:rsidR="00EC0F3A" w:rsidRPr="00EC0F3A" w:rsidRDefault="00EC0F3A" w:rsidP="003F15C0">
            <w:pPr>
              <w:keepNext/>
              <w:adjustRightInd w:val="0"/>
              <w:spacing w:before="20"/>
              <w:jc w:val="right"/>
              <w:rPr>
                <w:color w:val="000000"/>
                <w:sz w:val="16"/>
                <w:szCs w:val="16"/>
              </w:rPr>
            </w:pPr>
          </w:p>
        </w:tc>
        <w:tc>
          <w:tcPr>
            <w:tcW w:w="387" w:type="dxa"/>
            <w:tcBorders>
              <w:top w:val="single" w:sz="4" w:space="0" w:color="auto"/>
            </w:tcBorders>
            <w:vAlign w:val="center"/>
          </w:tcPr>
          <w:p w:rsidR="00EC0F3A" w:rsidRPr="00EC0F3A" w:rsidRDefault="00EC0F3A" w:rsidP="003F15C0">
            <w:pPr>
              <w:keepNext/>
              <w:adjustRightInd w:val="0"/>
              <w:spacing w:before="20"/>
              <w:jc w:val="right"/>
              <w:rPr>
                <w:color w:val="000000"/>
                <w:sz w:val="16"/>
                <w:szCs w:val="16"/>
              </w:rPr>
            </w:pPr>
          </w:p>
        </w:tc>
        <w:tc>
          <w:tcPr>
            <w:tcW w:w="747" w:type="dxa"/>
            <w:tcBorders>
              <w:top w:val="single" w:sz="4" w:space="0" w:color="auto"/>
            </w:tcBorders>
            <w:vAlign w:val="center"/>
          </w:tcPr>
          <w:p w:rsidR="00EC0F3A" w:rsidRPr="00EC0F3A" w:rsidRDefault="00EC0F3A" w:rsidP="003F15C0">
            <w:pPr>
              <w:keepNext/>
              <w:adjustRightInd w:val="0"/>
              <w:spacing w:before="20"/>
              <w:jc w:val="right"/>
              <w:rPr>
                <w:color w:val="000000"/>
                <w:sz w:val="16"/>
                <w:szCs w:val="16"/>
              </w:rPr>
            </w:pPr>
          </w:p>
        </w:tc>
      </w:tr>
      <w:tr w:rsidR="00EC0F3A" w:rsidRPr="009B1415" w:rsidTr="00F959A8">
        <w:tc>
          <w:tcPr>
            <w:tcW w:w="4928" w:type="dxa"/>
          </w:tcPr>
          <w:p w:rsidR="00EC0F3A" w:rsidRPr="009B1415" w:rsidRDefault="00EC0F3A" w:rsidP="003F15C0">
            <w:pPr>
              <w:keepNext/>
              <w:spacing w:before="20"/>
              <w:ind w:left="176"/>
              <w:jc w:val="both"/>
              <w:rPr>
                <w:sz w:val="16"/>
                <w:szCs w:val="16"/>
              </w:rPr>
            </w:pPr>
            <w:r w:rsidRPr="009B1415">
              <w:rPr>
                <w:sz w:val="16"/>
                <w:szCs w:val="16"/>
              </w:rPr>
              <w:t>Alone</w:t>
            </w:r>
          </w:p>
        </w:tc>
        <w:tc>
          <w:tcPr>
            <w:tcW w:w="567" w:type="dxa"/>
          </w:tcPr>
          <w:p w:rsidR="00EC0F3A" w:rsidRPr="00EC0F3A" w:rsidRDefault="00EC0F3A" w:rsidP="003F15C0">
            <w:pPr>
              <w:keepNext/>
              <w:adjustRightInd w:val="0"/>
              <w:spacing w:before="20"/>
              <w:jc w:val="right"/>
              <w:rPr>
                <w:color w:val="000000"/>
                <w:sz w:val="16"/>
                <w:szCs w:val="16"/>
              </w:rPr>
            </w:pPr>
            <w:r w:rsidRPr="00EC0F3A">
              <w:rPr>
                <w:color w:val="000000"/>
                <w:sz w:val="16"/>
                <w:szCs w:val="16"/>
              </w:rPr>
              <w:t>7.8</w:t>
            </w:r>
          </w:p>
        </w:tc>
        <w:tc>
          <w:tcPr>
            <w:tcW w:w="1134" w:type="dxa"/>
            <w:vAlign w:val="center"/>
          </w:tcPr>
          <w:p w:rsidR="00EC0F3A" w:rsidRPr="00EC0F3A" w:rsidRDefault="00EC0F3A" w:rsidP="003F15C0">
            <w:pPr>
              <w:keepNext/>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3F15C0">
            <w:pPr>
              <w:keepNext/>
              <w:spacing w:before="20"/>
              <w:jc w:val="right"/>
              <w:rPr>
                <w:color w:val="000000"/>
                <w:sz w:val="16"/>
                <w:szCs w:val="16"/>
              </w:rPr>
            </w:pPr>
          </w:p>
        </w:tc>
        <w:tc>
          <w:tcPr>
            <w:tcW w:w="387" w:type="dxa"/>
            <w:vAlign w:val="center"/>
          </w:tcPr>
          <w:p w:rsidR="00EC0F3A" w:rsidRPr="00EC0F3A" w:rsidRDefault="00EC0F3A" w:rsidP="003F15C0">
            <w:pPr>
              <w:keepNext/>
              <w:spacing w:before="20"/>
              <w:jc w:val="right"/>
              <w:rPr>
                <w:color w:val="000000"/>
                <w:sz w:val="16"/>
                <w:szCs w:val="16"/>
              </w:rPr>
            </w:pPr>
          </w:p>
        </w:tc>
        <w:tc>
          <w:tcPr>
            <w:tcW w:w="747" w:type="dxa"/>
            <w:vAlign w:val="center"/>
          </w:tcPr>
          <w:p w:rsidR="00EC0F3A" w:rsidRPr="00EC0F3A" w:rsidRDefault="00EC0F3A" w:rsidP="003F15C0">
            <w:pPr>
              <w:keepNext/>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With one person</w:t>
            </w:r>
          </w:p>
        </w:tc>
        <w:tc>
          <w:tcPr>
            <w:tcW w:w="567" w:type="dxa"/>
          </w:tcPr>
          <w:p w:rsidR="006C6924" w:rsidRPr="00EC0F3A" w:rsidRDefault="006C6924" w:rsidP="00F952D3">
            <w:pPr>
              <w:adjustRightInd w:val="0"/>
              <w:spacing w:before="20"/>
              <w:jc w:val="right"/>
              <w:rPr>
                <w:color w:val="000000"/>
                <w:sz w:val="16"/>
                <w:szCs w:val="16"/>
              </w:rPr>
            </w:pPr>
            <w:r>
              <w:rPr>
                <w:color w:val="000000"/>
                <w:sz w:val="16"/>
                <w:szCs w:val="16"/>
              </w:rPr>
              <w:t>6.</w:t>
            </w:r>
            <w:r w:rsidRPr="00EC0F3A">
              <w:rPr>
                <w:color w:val="000000"/>
                <w:sz w:val="16"/>
                <w:szCs w:val="16"/>
              </w:rPr>
              <w:t>9</w:t>
            </w:r>
          </w:p>
        </w:tc>
        <w:tc>
          <w:tcPr>
            <w:tcW w:w="1134" w:type="dxa"/>
          </w:tcPr>
          <w:p w:rsidR="006C6924" w:rsidRPr="00EC0F3A" w:rsidRDefault="006C6924" w:rsidP="00F952D3">
            <w:pPr>
              <w:adjustRightInd w:val="0"/>
              <w:spacing w:before="20"/>
              <w:jc w:val="right"/>
              <w:rPr>
                <w:color w:val="000000"/>
                <w:sz w:val="16"/>
                <w:szCs w:val="16"/>
              </w:rPr>
            </w:pPr>
            <w:r w:rsidRPr="00EC0F3A">
              <w:rPr>
                <w:color w:val="000000"/>
                <w:sz w:val="16"/>
                <w:szCs w:val="16"/>
              </w:rPr>
              <w:t>0.87</w:t>
            </w:r>
          </w:p>
        </w:tc>
        <w:tc>
          <w:tcPr>
            <w:tcW w:w="1096" w:type="dxa"/>
            <w:gridSpan w:val="2"/>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0.52</w:t>
            </w:r>
            <w:r w:rsidR="006C6924">
              <w:rPr>
                <w:color w:val="000000"/>
                <w:sz w:val="16"/>
                <w:szCs w:val="16"/>
              </w:rPr>
              <w:t xml:space="preserve"> - </w:t>
            </w:r>
            <w:r w:rsidR="006C6924" w:rsidRPr="00EC0F3A">
              <w:rPr>
                <w:color w:val="000000"/>
                <w:sz w:val="16"/>
                <w:szCs w:val="16"/>
              </w:rPr>
              <w:t>1.46</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With several people/a group</w:t>
            </w:r>
          </w:p>
        </w:tc>
        <w:tc>
          <w:tcPr>
            <w:tcW w:w="567" w:type="dxa"/>
          </w:tcPr>
          <w:p w:rsidR="006C6924" w:rsidRPr="00EC0F3A" w:rsidRDefault="006C6924" w:rsidP="00F952D3">
            <w:pPr>
              <w:adjustRightInd w:val="0"/>
              <w:spacing w:before="20"/>
              <w:jc w:val="right"/>
              <w:rPr>
                <w:color w:val="000000"/>
                <w:sz w:val="16"/>
                <w:szCs w:val="16"/>
              </w:rPr>
            </w:pPr>
            <w:r w:rsidRPr="00EC0F3A">
              <w:rPr>
                <w:color w:val="000000"/>
                <w:sz w:val="16"/>
                <w:szCs w:val="16"/>
              </w:rPr>
              <w:t>7.6</w:t>
            </w:r>
          </w:p>
        </w:tc>
        <w:tc>
          <w:tcPr>
            <w:tcW w:w="1134" w:type="dxa"/>
          </w:tcPr>
          <w:p w:rsidR="006C6924" w:rsidRPr="00EC0F3A" w:rsidRDefault="006C6924" w:rsidP="00F952D3">
            <w:pPr>
              <w:keepNext/>
              <w:adjustRightInd w:val="0"/>
              <w:spacing w:before="20"/>
              <w:jc w:val="right"/>
              <w:rPr>
                <w:color w:val="000000"/>
                <w:sz w:val="16"/>
                <w:szCs w:val="16"/>
              </w:rPr>
            </w:pPr>
            <w:r w:rsidRPr="00EC0F3A">
              <w:rPr>
                <w:color w:val="000000"/>
                <w:sz w:val="16"/>
                <w:szCs w:val="16"/>
              </w:rPr>
              <w:t>0.97</w:t>
            </w:r>
          </w:p>
        </w:tc>
        <w:tc>
          <w:tcPr>
            <w:tcW w:w="1096" w:type="dxa"/>
            <w:gridSpan w:val="2"/>
          </w:tcPr>
          <w:p w:rsidR="006C6924" w:rsidRPr="00EC0F3A" w:rsidRDefault="00FC1500" w:rsidP="00F952D3">
            <w:pPr>
              <w:keepNext/>
              <w:adjustRightInd w:val="0"/>
              <w:spacing w:before="20"/>
              <w:jc w:val="right"/>
              <w:rPr>
                <w:color w:val="000000"/>
                <w:sz w:val="16"/>
                <w:szCs w:val="16"/>
              </w:rPr>
            </w:pPr>
            <w:r>
              <w:rPr>
                <w:color w:val="000000"/>
                <w:sz w:val="16"/>
                <w:szCs w:val="16"/>
              </w:rPr>
              <w:t>(</w:t>
            </w:r>
            <w:r w:rsidR="006C6924" w:rsidRPr="00EC0F3A">
              <w:rPr>
                <w:color w:val="000000"/>
                <w:sz w:val="16"/>
                <w:szCs w:val="16"/>
              </w:rPr>
              <w:t>0.62</w:t>
            </w:r>
            <w:r w:rsidR="006C6924">
              <w:rPr>
                <w:color w:val="000000"/>
                <w:sz w:val="16"/>
                <w:szCs w:val="16"/>
              </w:rPr>
              <w:t xml:space="preserve"> - </w:t>
            </w:r>
            <w:r w:rsidR="006C6924" w:rsidRPr="00EC0F3A">
              <w:rPr>
                <w:color w:val="000000"/>
                <w:sz w:val="16"/>
                <w:szCs w:val="16"/>
              </w:rPr>
              <w:t>1.53</w:t>
            </w:r>
            <w:r>
              <w:rPr>
                <w:color w:val="000000"/>
                <w:sz w:val="16"/>
                <w:szCs w:val="16"/>
              </w:rPr>
              <w:t>)</w:t>
            </w:r>
          </w:p>
        </w:tc>
        <w:tc>
          <w:tcPr>
            <w:tcW w:w="747" w:type="dxa"/>
            <w:vAlign w:val="center"/>
          </w:tcPr>
          <w:p w:rsidR="006C6924" w:rsidRPr="00EC0F3A" w:rsidRDefault="006C6924" w:rsidP="00F952D3">
            <w:pPr>
              <w:spacing w:before="20"/>
              <w:jc w:val="right"/>
              <w:rPr>
                <w:color w:val="000000"/>
                <w:sz w:val="16"/>
                <w:szCs w:val="16"/>
              </w:rPr>
            </w:pPr>
          </w:p>
        </w:tc>
      </w:tr>
      <w:tr w:rsidR="006C6924" w:rsidRPr="009B1415" w:rsidTr="00F959A8">
        <w:tc>
          <w:tcPr>
            <w:tcW w:w="4928" w:type="dxa"/>
            <w:vAlign w:val="bottom"/>
          </w:tcPr>
          <w:p w:rsidR="006C6924" w:rsidRPr="003B2B9F" w:rsidRDefault="006C6924" w:rsidP="00EC0F3A">
            <w:pPr>
              <w:spacing w:before="20"/>
              <w:ind w:left="176"/>
              <w:jc w:val="both"/>
              <w:rPr>
                <w:sz w:val="16"/>
                <w:szCs w:val="16"/>
              </w:rPr>
            </w:pPr>
            <w:r w:rsidRPr="003B2B9F">
              <w:rPr>
                <w:sz w:val="16"/>
                <w:szCs w:val="16"/>
              </w:rPr>
              <w:t>Not reported</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2.</w:t>
            </w:r>
            <w:r w:rsidRPr="00EC0F3A">
              <w:rPr>
                <w:color w:val="000000"/>
                <w:sz w:val="16"/>
                <w:szCs w:val="16"/>
              </w:rPr>
              <w:t>9</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0.35</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0.20</w:t>
            </w:r>
            <w:r w:rsidR="006C6924">
              <w:rPr>
                <w:color w:val="000000"/>
                <w:sz w:val="16"/>
                <w:szCs w:val="16"/>
              </w:rPr>
              <w:t xml:space="preserve"> - </w:t>
            </w:r>
            <w:r w:rsidR="006C6924" w:rsidRPr="00EC0F3A">
              <w:rPr>
                <w:color w:val="000000"/>
                <w:sz w:val="16"/>
                <w:szCs w:val="16"/>
              </w:rPr>
              <w:t>0.62</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0.003</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bCs/>
                <w:color w:val="000000"/>
                <w:sz w:val="16"/>
                <w:szCs w:val="16"/>
              </w:rPr>
              <w:t>Know people with gambling problems</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5.0</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8.9</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1.84</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1.29</w:t>
            </w:r>
            <w:r w:rsidR="006C6924">
              <w:rPr>
                <w:color w:val="000000"/>
                <w:sz w:val="16"/>
                <w:szCs w:val="16"/>
              </w:rPr>
              <w:t xml:space="preserve"> - </w:t>
            </w:r>
            <w:r w:rsidR="006C6924" w:rsidRPr="00EC0F3A">
              <w:rPr>
                <w:color w:val="000000"/>
                <w:sz w:val="16"/>
                <w:szCs w:val="16"/>
              </w:rPr>
              <w:t>2.64</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0.001</w:t>
            </w:r>
          </w:p>
        </w:tc>
      </w:tr>
      <w:tr w:rsidR="00C55321" w:rsidRPr="009B1415" w:rsidTr="00F959A8">
        <w:tc>
          <w:tcPr>
            <w:tcW w:w="5495" w:type="dxa"/>
            <w:gridSpan w:val="2"/>
            <w:vAlign w:val="bottom"/>
          </w:tcPr>
          <w:p w:rsidR="00C55321" w:rsidRPr="009B1415" w:rsidRDefault="00C55321" w:rsidP="00FC1500">
            <w:pPr>
              <w:spacing w:before="20"/>
              <w:rPr>
                <w:rFonts w:ascii="Calibri" w:hAnsi="Calibri"/>
                <w:b/>
                <w:bCs/>
                <w:color w:val="000000"/>
                <w:sz w:val="16"/>
                <w:szCs w:val="16"/>
              </w:rPr>
            </w:pPr>
            <w:r w:rsidRPr="009B1415">
              <w:rPr>
                <w:b/>
                <w:bCs/>
                <w:color w:val="000000"/>
                <w:sz w:val="16"/>
                <w:szCs w:val="16"/>
              </w:rPr>
              <w:t>Methods - Setting a dollar figure before leaving home</w:t>
            </w:r>
          </w:p>
        </w:tc>
        <w:tc>
          <w:tcPr>
            <w:tcW w:w="1134" w:type="dxa"/>
            <w:vAlign w:val="center"/>
          </w:tcPr>
          <w:p w:rsidR="00C55321" w:rsidRPr="009B1415" w:rsidRDefault="00C55321" w:rsidP="00F952D3">
            <w:pPr>
              <w:spacing w:before="20"/>
              <w:jc w:val="right"/>
              <w:rPr>
                <w:rFonts w:ascii="Calibri" w:hAnsi="Calibri"/>
                <w:color w:val="000000"/>
                <w:sz w:val="16"/>
                <w:szCs w:val="16"/>
              </w:rPr>
            </w:pPr>
          </w:p>
        </w:tc>
        <w:tc>
          <w:tcPr>
            <w:tcW w:w="709" w:type="dxa"/>
            <w:vAlign w:val="center"/>
          </w:tcPr>
          <w:p w:rsidR="00C55321" w:rsidRPr="009B1415" w:rsidRDefault="00C55321" w:rsidP="00F952D3">
            <w:pPr>
              <w:spacing w:before="20"/>
              <w:jc w:val="right"/>
              <w:rPr>
                <w:rFonts w:ascii="Calibri" w:hAnsi="Calibri"/>
                <w:color w:val="000000"/>
                <w:sz w:val="16"/>
                <w:szCs w:val="16"/>
              </w:rPr>
            </w:pPr>
          </w:p>
        </w:tc>
        <w:tc>
          <w:tcPr>
            <w:tcW w:w="387" w:type="dxa"/>
            <w:vAlign w:val="center"/>
          </w:tcPr>
          <w:p w:rsidR="00C55321" w:rsidRPr="009B1415" w:rsidRDefault="00C55321" w:rsidP="00F952D3">
            <w:pPr>
              <w:spacing w:before="20"/>
              <w:jc w:val="right"/>
              <w:rPr>
                <w:rFonts w:ascii="Calibri" w:hAnsi="Calibri"/>
                <w:color w:val="000000"/>
                <w:sz w:val="16"/>
                <w:szCs w:val="16"/>
              </w:rPr>
            </w:pPr>
          </w:p>
        </w:tc>
        <w:tc>
          <w:tcPr>
            <w:tcW w:w="747" w:type="dxa"/>
            <w:vAlign w:val="center"/>
          </w:tcPr>
          <w:p w:rsidR="00C55321" w:rsidRPr="009B1415" w:rsidRDefault="00C55321" w:rsidP="00F952D3">
            <w:pPr>
              <w:spacing w:before="20"/>
              <w:jc w:val="right"/>
              <w:rPr>
                <w:rFonts w:ascii="Calibri" w:hAnsi="Calibri"/>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5.</w:t>
            </w:r>
            <w:r w:rsidR="00232878">
              <w:rPr>
                <w:color w:val="000000"/>
                <w:sz w:val="16"/>
                <w:szCs w:val="16"/>
              </w:rPr>
              <w:t>6</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10.1</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1.92</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1.29</w:t>
            </w:r>
            <w:r w:rsidR="006C6924">
              <w:rPr>
                <w:color w:val="000000"/>
                <w:sz w:val="16"/>
                <w:szCs w:val="16"/>
              </w:rPr>
              <w:t xml:space="preserve"> - </w:t>
            </w:r>
            <w:r w:rsidR="006C6924" w:rsidRPr="00EC0F3A">
              <w:rPr>
                <w:color w:val="000000"/>
                <w:sz w:val="16"/>
                <w:szCs w:val="16"/>
              </w:rPr>
              <w:t>2.86</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0.001</w:t>
            </w:r>
          </w:p>
        </w:tc>
      </w:tr>
      <w:tr w:rsidR="00C55321" w:rsidRPr="009B1415" w:rsidTr="00F959A8">
        <w:tc>
          <w:tcPr>
            <w:tcW w:w="5495" w:type="dxa"/>
            <w:gridSpan w:val="2"/>
            <w:vAlign w:val="bottom"/>
          </w:tcPr>
          <w:p w:rsidR="00C55321" w:rsidRPr="009B1415" w:rsidRDefault="00C55321" w:rsidP="00FC1500">
            <w:pPr>
              <w:spacing w:before="20"/>
              <w:rPr>
                <w:rFonts w:ascii="Calibri" w:hAnsi="Calibri"/>
                <w:b/>
                <w:bCs/>
                <w:color w:val="000000"/>
                <w:sz w:val="16"/>
                <w:szCs w:val="16"/>
              </w:rPr>
            </w:pPr>
            <w:r w:rsidRPr="009B1415">
              <w:rPr>
                <w:b/>
                <w:bCs/>
                <w:color w:val="000000"/>
                <w:sz w:val="16"/>
                <w:szCs w:val="16"/>
              </w:rPr>
              <w:t>Methods - Getting someone you trust to manage the money</w:t>
            </w:r>
          </w:p>
        </w:tc>
        <w:tc>
          <w:tcPr>
            <w:tcW w:w="1134" w:type="dxa"/>
            <w:vAlign w:val="center"/>
          </w:tcPr>
          <w:p w:rsidR="00C55321" w:rsidRPr="009B1415" w:rsidRDefault="00C55321" w:rsidP="00F952D3">
            <w:pPr>
              <w:spacing w:before="20"/>
              <w:jc w:val="right"/>
              <w:rPr>
                <w:rFonts w:ascii="Calibri" w:hAnsi="Calibri"/>
                <w:color w:val="000000"/>
                <w:sz w:val="16"/>
                <w:szCs w:val="16"/>
              </w:rPr>
            </w:pPr>
          </w:p>
        </w:tc>
        <w:tc>
          <w:tcPr>
            <w:tcW w:w="709" w:type="dxa"/>
            <w:vAlign w:val="center"/>
          </w:tcPr>
          <w:p w:rsidR="00C55321" w:rsidRPr="009B1415" w:rsidRDefault="00C55321" w:rsidP="00F952D3">
            <w:pPr>
              <w:spacing w:before="20"/>
              <w:jc w:val="right"/>
              <w:rPr>
                <w:rFonts w:ascii="Calibri" w:hAnsi="Calibri"/>
                <w:color w:val="000000"/>
                <w:sz w:val="16"/>
                <w:szCs w:val="16"/>
              </w:rPr>
            </w:pPr>
          </w:p>
        </w:tc>
        <w:tc>
          <w:tcPr>
            <w:tcW w:w="387" w:type="dxa"/>
            <w:vAlign w:val="center"/>
          </w:tcPr>
          <w:p w:rsidR="00C55321" w:rsidRPr="009B1415" w:rsidRDefault="00C55321" w:rsidP="00F952D3">
            <w:pPr>
              <w:spacing w:before="20"/>
              <w:jc w:val="right"/>
              <w:rPr>
                <w:rFonts w:ascii="Calibri" w:hAnsi="Calibri"/>
                <w:color w:val="000000"/>
                <w:sz w:val="16"/>
                <w:szCs w:val="16"/>
              </w:rPr>
            </w:pPr>
          </w:p>
        </w:tc>
        <w:tc>
          <w:tcPr>
            <w:tcW w:w="747" w:type="dxa"/>
            <w:vAlign w:val="center"/>
          </w:tcPr>
          <w:p w:rsidR="00C55321" w:rsidRPr="009B1415" w:rsidRDefault="00C55321" w:rsidP="00F952D3">
            <w:pPr>
              <w:spacing w:before="20"/>
              <w:jc w:val="right"/>
              <w:rPr>
                <w:rFonts w:ascii="Calibri" w:hAnsi="Calibri"/>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w:t>
            </w:r>
            <w:r w:rsidR="00232878">
              <w:rPr>
                <w:color w:val="000000"/>
                <w:sz w:val="16"/>
                <w:szCs w:val="16"/>
              </w:rPr>
              <w:t>5</w:t>
            </w:r>
          </w:p>
        </w:tc>
        <w:tc>
          <w:tcPr>
            <w:tcW w:w="1134" w:type="dxa"/>
            <w:vAlign w:val="center"/>
          </w:tcPr>
          <w:p w:rsidR="00EC0F3A" w:rsidRPr="000C1AB9" w:rsidRDefault="00EC0F3A" w:rsidP="00F952D3">
            <w:pPr>
              <w:adjustRightInd w:val="0"/>
              <w:spacing w:before="20"/>
              <w:jc w:val="right"/>
              <w:rPr>
                <w:color w:val="000000"/>
                <w:sz w:val="16"/>
                <w:szCs w:val="16"/>
              </w:rPr>
            </w:pPr>
            <w:r>
              <w:rPr>
                <w:color w:val="000000"/>
                <w:sz w:val="16"/>
                <w:szCs w:val="16"/>
              </w:rPr>
              <w:t>-</w:t>
            </w:r>
          </w:p>
        </w:tc>
        <w:tc>
          <w:tcPr>
            <w:tcW w:w="709" w:type="dxa"/>
            <w:vAlign w:val="center"/>
          </w:tcPr>
          <w:p w:rsidR="00EC0F3A" w:rsidRPr="000C1AB9" w:rsidRDefault="00EC0F3A" w:rsidP="00F952D3">
            <w:pPr>
              <w:adjustRightInd w:val="0"/>
              <w:spacing w:before="20"/>
              <w:jc w:val="right"/>
              <w:rPr>
                <w:color w:val="000000"/>
                <w:sz w:val="16"/>
                <w:szCs w:val="16"/>
              </w:rPr>
            </w:pPr>
          </w:p>
        </w:tc>
        <w:tc>
          <w:tcPr>
            <w:tcW w:w="387" w:type="dxa"/>
            <w:vAlign w:val="center"/>
          </w:tcPr>
          <w:p w:rsidR="00EC0F3A" w:rsidRPr="000C1AB9" w:rsidRDefault="00EC0F3A" w:rsidP="00F952D3">
            <w:pPr>
              <w:adjustRightInd w:val="0"/>
              <w:spacing w:before="20"/>
              <w:jc w:val="right"/>
              <w:rPr>
                <w:color w:val="000000"/>
                <w:sz w:val="16"/>
                <w:szCs w:val="16"/>
              </w:rPr>
            </w:pPr>
          </w:p>
        </w:tc>
        <w:tc>
          <w:tcPr>
            <w:tcW w:w="747" w:type="dxa"/>
            <w:vAlign w:val="center"/>
          </w:tcPr>
          <w:p w:rsidR="00EC0F3A" w:rsidRPr="000C1AB9"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Yes</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0.0</w:t>
            </w:r>
          </w:p>
        </w:tc>
        <w:tc>
          <w:tcPr>
            <w:tcW w:w="1134" w:type="dxa"/>
            <w:vAlign w:val="center"/>
          </w:tcPr>
          <w:p w:rsidR="00EC0F3A" w:rsidRPr="000C1AB9" w:rsidRDefault="00EC0F3A" w:rsidP="00F952D3">
            <w:pPr>
              <w:adjustRightInd w:val="0"/>
              <w:spacing w:before="20"/>
              <w:jc w:val="right"/>
              <w:rPr>
                <w:color w:val="000000"/>
                <w:sz w:val="16"/>
                <w:szCs w:val="16"/>
              </w:rPr>
            </w:pPr>
            <w:r>
              <w:rPr>
                <w:color w:val="000000"/>
                <w:sz w:val="16"/>
                <w:szCs w:val="16"/>
              </w:rPr>
              <w:t>-</w:t>
            </w:r>
          </w:p>
        </w:tc>
        <w:tc>
          <w:tcPr>
            <w:tcW w:w="709" w:type="dxa"/>
            <w:vAlign w:val="center"/>
          </w:tcPr>
          <w:p w:rsidR="00EC0F3A" w:rsidRPr="000C1AB9" w:rsidRDefault="00EC0F3A" w:rsidP="00F952D3">
            <w:pPr>
              <w:adjustRightInd w:val="0"/>
              <w:spacing w:before="20"/>
              <w:jc w:val="right"/>
              <w:rPr>
                <w:color w:val="000000"/>
                <w:sz w:val="16"/>
                <w:szCs w:val="16"/>
              </w:rPr>
            </w:pPr>
          </w:p>
        </w:tc>
        <w:tc>
          <w:tcPr>
            <w:tcW w:w="387" w:type="dxa"/>
            <w:vAlign w:val="center"/>
          </w:tcPr>
          <w:p w:rsidR="00EC0F3A" w:rsidRPr="000C1AB9" w:rsidRDefault="00EC0F3A" w:rsidP="00F952D3">
            <w:pPr>
              <w:adjustRightInd w:val="0"/>
              <w:spacing w:before="20"/>
              <w:jc w:val="right"/>
              <w:rPr>
                <w:color w:val="000000"/>
                <w:sz w:val="16"/>
                <w:szCs w:val="16"/>
              </w:rPr>
            </w:pPr>
          </w:p>
        </w:tc>
        <w:tc>
          <w:tcPr>
            <w:tcW w:w="747" w:type="dxa"/>
            <w:vAlign w:val="center"/>
          </w:tcPr>
          <w:p w:rsidR="00EC0F3A" w:rsidRPr="000C1AB9" w:rsidRDefault="00EC0F3A" w:rsidP="00F952D3">
            <w:pPr>
              <w:adjustRightInd w:val="0"/>
              <w:spacing w:before="20"/>
              <w:jc w:val="right"/>
              <w:rPr>
                <w:color w:val="000000"/>
                <w:sz w:val="16"/>
                <w:szCs w:val="16"/>
              </w:rPr>
            </w:pPr>
          </w:p>
        </w:tc>
      </w:tr>
      <w:tr w:rsidR="00C55321" w:rsidRPr="009B1415" w:rsidTr="00F959A8">
        <w:tc>
          <w:tcPr>
            <w:tcW w:w="6629" w:type="dxa"/>
            <w:gridSpan w:val="3"/>
            <w:vAlign w:val="bottom"/>
          </w:tcPr>
          <w:p w:rsidR="00C55321" w:rsidRPr="009B1415" w:rsidRDefault="00C55321" w:rsidP="00FC1500">
            <w:pPr>
              <w:spacing w:before="20"/>
              <w:rPr>
                <w:rFonts w:ascii="Calibri" w:hAnsi="Calibri"/>
                <w:color w:val="000000"/>
                <w:sz w:val="16"/>
                <w:szCs w:val="16"/>
              </w:rPr>
            </w:pPr>
            <w:r w:rsidRPr="009B1415">
              <w:rPr>
                <w:b/>
                <w:bCs/>
                <w:color w:val="000000"/>
                <w:sz w:val="16"/>
                <w:szCs w:val="16"/>
              </w:rPr>
              <w:t>Methods - Separating money for betting from other money and stopping</w:t>
            </w:r>
          </w:p>
        </w:tc>
        <w:tc>
          <w:tcPr>
            <w:tcW w:w="709" w:type="dxa"/>
            <w:vAlign w:val="center"/>
          </w:tcPr>
          <w:p w:rsidR="00C55321" w:rsidRPr="009B1415" w:rsidRDefault="00C55321" w:rsidP="00F952D3">
            <w:pPr>
              <w:spacing w:before="20"/>
              <w:jc w:val="right"/>
              <w:rPr>
                <w:rFonts w:ascii="Calibri" w:hAnsi="Calibri"/>
                <w:color w:val="000000"/>
                <w:sz w:val="16"/>
                <w:szCs w:val="16"/>
              </w:rPr>
            </w:pPr>
          </w:p>
        </w:tc>
        <w:tc>
          <w:tcPr>
            <w:tcW w:w="387" w:type="dxa"/>
            <w:vAlign w:val="center"/>
          </w:tcPr>
          <w:p w:rsidR="00C55321" w:rsidRPr="009B1415" w:rsidRDefault="00C55321" w:rsidP="00F952D3">
            <w:pPr>
              <w:spacing w:before="20"/>
              <w:jc w:val="right"/>
              <w:rPr>
                <w:rFonts w:ascii="Calibri" w:hAnsi="Calibri"/>
                <w:color w:val="000000"/>
                <w:sz w:val="16"/>
                <w:szCs w:val="16"/>
              </w:rPr>
            </w:pPr>
          </w:p>
        </w:tc>
        <w:tc>
          <w:tcPr>
            <w:tcW w:w="747" w:type="dxa"/>
            <w:vAlign w:val="center"/>
          </w:tcPr>
          <w:p w:rsidR="00C55321" w:rsidRPr="009B1415" w:rsidRDefault="00C55321" w:rsidP="00F952D3">
            <w:pPr>
              <w:spacing w:before="20"/>
              <w:jc w:val="right"/>
              <w:rPr>
                <w:rFonts w:ascii="Calibri" w:hAnsi="Calibri"/>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6.0</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17.</w:t>
            </w:r>
            <w:r w:rsidRPr="00EC0F3A">
              <w:rPr>
                <w:color w:val="000000"/>
                <w:sz w:val="16"/>
                <w:szCs w:val="16"/>
              </w:rPr>
              <w:t>7</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3.35</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1.66</w:t>
            </w:r>
            <w:r w:rsidR="006C6924">
              <w:rPr>
                <w:color w:val="000000"/>
                <w:sz w:val="16"/>
                <w:szCs w:val="16"/>
              </w:rPr>
              <w:t xml:space="preserve"> - </w:t>
            </w:r>
            <w:r w:rsidR="006C6924" w:rsidRPr="00EC0F3A">
              <w:rPr>
                <w:color w:val="000000"/>
                <w:sz w:val="16"/>
                <w:szCs w:val="16"/>
              </w:rPr>
              <w:t>6.74</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0.001</w:t>
            </w:r>
          </w:p>
        </w:tc>
      </w:tr>
      <w:tr w:rsidR="00C55321" w:rsidRPr="009B1415" w:rsidTr="00F959A8">
        <w:tc>
          <w:tcPr>
            <w:tcW w:w="4928" w:type="dxa"/>
            <w:vAlign w:val="bottom"/>
          </w:tcPr>
          <w:p w:rsidR="00C55321" w:rsidRPr="009B1415" w:rsidRDefault="00C55321" w:rsidP="00C55321">
            <w:pPr>
              <w:spacing w:before="20"/>
              <w:jc w:val="both"/>
              <w:rPr>
                <w:b/>
                <w:sz w:val="16"/>
                <w:szCs w:val="16"/>
              </w:rPr>
            </w:pPr>
            <w:r w:rsidRPr="009B1415">
              <w:rPr>
                <w:b/>
                <w:bCs/>
                <w:color w:val="000000"/>
                <w:sz w:val="16"/>
                <w:szCs w:val="16"/>
              </w:rPr>
              <w:t>Methods - Leaving ATM and credit cards at home</w:t>
            </w:r>
          </w:p>
        </w:tc>
        <w:tc>
          <w:tcPr>
            <w:tcW w:w="567" w:type="dxa"/>
            <w:vAlign w:val="center"/>
          </w:tcPr>
          <w:p w:rsidR="00C55321" w:rsidRPr="00CB35E8" w:rsidRDefault="00C55321" w:rsidP="00F952D3">
            <w:pPr>
              <w:adjustRightInd w:val="0"/>
              <w:spacing w:before="20"/>
              <w:jc w:val="right"/>
              <w:rPr>
                <w:color w:val="000000"/>
                <w:sz w:val="16"/>
                <w:szCs w:val="16"/>
              </w:rPr>
            </w:pP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w:t>
            </w:r>
            <w:r w:rsidR="00232878">
              <w:rPr>
                <w:color w:val="000000"/>
                <w:sz w:val="16"/>
                <w:szCs w:val="16"/>
              </w:rPr>
              <w:t>4</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15.</w:t>
            </w:r>
            <w:r>
              <w:rPr>
                <w:color w:val="000000"/>
                <w:sz w:val="16"/>
                <w:szCs w:val="16"/>
              </w:rPr>
              <w:t>2</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2.63</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0.70</w:t>
            </w:r>
            <w:r w:rsidR="006C6924">
              <w:rPr>
                <w:color w:val="000000"/>
                <w:sz w:val="16"/>
                <w:szCs w:val="16"/>
              </w:rPr>
              <w:t xml:space="preserve"> - </w:t>
            </w:r>
            <w:r w:rsidR="006C6924" w:rsidRPr="00EC0F3A">
              <w:rPr>
                <w:color w:val="000000"/>
                <w:sz w:val="16"/>
                <w:szCs w:val="16"/>
              </w:rPr>
              <w:t>9.85</w:t>
            </w:r>
            <w:r>
              <w:rPr>
                <w:color w:val="000000"/>
                <w:sz w:val="16"/>
                <w:szCs w:val="16"/>
              </w:rPr>
              <w:t>)</w:t>
            </w:r>
          </w:p>
        </w:tc>
        <w:tc>
          <w:tcPr>
            <w:tcW w:w="747" w:type="dxa"/>
            <w:shd w:val="clear" w:color="auto" w:fill="auto"/>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0.15</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bCs/>
                <w:color w:val="000000"/>
                <w:sz w:val="16"/>
                <w:szCs w:val="16"/>
              </w:rPr>
              <w:t>Methods - Setting a time limit</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w:t>
            </w:r>
            <w:r w:rsidR="00232878">
              <w:rPr>
                <w:color w:val="000000"/>
                <w:sz w:val="16"/>
                <w:szCs w:val="16"/>
              </w:rPr>
              <w:t>3</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20.8</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3.93</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1.53</w:t>
            </w:r>
            <w:r w:rsidR="006C6924">
              <w:rPr>
                <w:color w:val="000000"/>
                <w:sz w:val="16"/>
                <w:szCs w:val="16"/>
              </w:rPr>
              <w:t xml:space="preserve"> - </w:t>
            </w:r>
            <w:r w:rsidR="006C6924" w:rsidRPr="00EC0F3A">
              <w:rPr>
                <w:color w:val="000000"/>
                <w:sz w:val="16"/>
                <w:szCs w:val="16"/>
              </w:rPr>
              <w:t>10.12</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0.005</w:t>
            </w:r>
          </w:p>
        </w:tc>
      </w:tr>
      <w:tr w:rsidR="00C55321" w:rsidRPr="009B1415" w:rsidTr="00F959A8">
        <w:tc>
          <w:tcPr>
            <w:tcW w:w="5495" w:type="dxa"/>
            <w:gridSpan w:val="2"/>
            <w:vAlign w:val="bottom"/>
          </w:tcPr>
          <w:p w:rsidR="00C55321" w:rsidRPr="000C1AB9" w:rsidRDefault="00C55321" w:rsidP="00FC1500">
            <w:pPr>
              <w:adjustRightInd w:val="0"/>
              <w:spacing w:before="20"/>
              <w:rPr>
                <w:b/>
                <w:color w:val="000000"/>
                <w:sz w:val="16"/>
                <w:szCs w:val="16"/>
              </w:rPr>
            </w:pPr>
            <w:r w:rsidRPr="000C1AB9">
              <w:rPr>
                <w:b/>
                <w:color w:val="000000"/>
                <w:sz w:val="16"/>
                <w:szCs w:val="16"/>
              </w:rPr>
              <w:t>Methods - Avoiding places that have betting or gambling</w:t>
            </w:r>
          </w:p>
        </w:tc>
        <w:tc>
          <w:tcPr>
            <w:tcW w:w="1134" w:type="dxa"/>
            <w:vAlign w:val="center"/>
          </w:tcPr>
          <w:p w:rsidR="00C55321" w:rsidRPr="00CB35E8" w:rsidRDefault="00C55321" w:rsidP="00F952D3">
            <w:pPr>
              <w:adjustRightInd w:val="0"/>
              <w:spacing w:before="20"/>
              <w:jc w:val="right"/>
              <w:rPr>
                <w:color w:val="000000"/>
                <w:sz w:val="16"/>
                <w:szCs w:val="16"/>
              </w:rPr>
            </w:pPr>
          </w:p>
        </w:tc>
        <w:tc>
          <w:tcPr>
            <w:tcW w:w="709" w:type="dxa"/>
            <w:vAlign w:val="center"/>
          </w:tcPr>
          <w:p w:rsidR="00C55321" w:rsidRPr="00CB35E8" w:rsidRDefault="00C55321" w:rsidP="00F952D3">
            <w:pPr>
              <w:adjustRightInd w:val="0"/>
              <w:spacing w:before="20"/>
              <w:jc w:val="right"/>
              <w:rPr>
                <w:color w:val="000000"/>
                <w:sz w:val="16"/>
                <w:szCs w:val="16"/>
              </w:rPr>
            </w:pPr>
          </w:p>
        </w:tc>
        <w:tc>
          <w:tcPr>
            <w:tcW w:w="387" w:type="dxa"/>
            <w:vAlign w:val="center"/>
          </w:tcPr>
          <w:p w:rsidR="00C55321" w:rsidRPr="00CB35E8" w:rsidRDefault="00C55321" w:rsidP="00F952D3">
            <w:pPr>
              <w:adjustRightInd w:val="0"/>
              <w:spacing w:before="20"/>
              <w:jc w:val="right"/>
              <w:rPr>
                <w:color w:val="000000"/>
                <w:sz w:val="16"/>
                <w:szCs w:val="16"/>
              </w:rPr>
            </w:pPr>
          </w:p>
        </w:tc>
        <w:tc>
          <w:tcPr>
            <w:tcW w:w="747" w:type="dxa"/>
            <w:vAlign w:val="center"/>
          </w:tcPr>
          <w:p w:rsidR="00C55321" w:rsidRPr="00CB35E8" w:rsidRDefault="00C55321"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6.4</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8.</w:t>
            </w:r>
            <w:r>
              <w:rPr>
                <w:color w:val="000000"/>
                <w:sz w:val="16"/>
                <w:szCs w:val="16"/>
              </w:rPr>
              <w:t>4</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1.33</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0.42</w:t>
            </w:r>
            <w:r w:rsidR="006C6924">
              <w:rPr>
                <w:color w:val="000000"/>
                <w:sz w:val="16"/>
                <w:szCs w:val="16"/>
              </w:rPr>
              <w:t xml:space="preserve"> - </w:t>
            </w:r>
            <w:r w:rsidR="006C6924" w:rsidRPr="00EC0F3A">
              <w:rPr>
                <w:color w:val="000000"/>
                <w:sz w:val="16"/>
                <w:szCs w:val="16"/>
              </w:rPr>
              <w:t>4.24</w:t>
            </w:r>
            <w:r>
              <w:rPr>
                <w:color w:val="000000"/>
                <w:sz w:val="16"/>
                <w:szCs w:val="16"/>
              </w:rPr>
              <w:t>)</w:t>
            </w:r>
          </w:p>
        </w:tc>
        <w:tc>
          <w:tcPr>
            <w:tcW w:w="747" w:type="dxa"/>
            <w:shd w:val="clear" w:color="auto" w:fill="auto"/>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0.63</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sz w:val="16"/>
                <w:szCs w:val="16"/>
              </w:rPr>
              <w:t xml:space="preserve">Sought help </w:t>
            </w:r>
            <w:r w:rsidR="003E1E3A" w:rsidRPr="003E1E3A">
              <w:rPr>
                <w:b/>
                <w:sz w:val="16"/>
                <w:szCs w:val="16"/>
              </w:rPr>
              <w:t xml:space="preserve">(from formal and informal sources) </w:t>
            </w:r>
            <w:r w:rsidRPr="009B1415">
              <w:rPr>
                <w:b/>
                <w:sz w:val="16"/>
                <w:szCs w:val="16"/>
              </w:rPr>
              <w:t>in last year</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6.</w:t>
            </w:r>
            <w:r w:rsidR="00232878">
              <w:rPr>
                <w:color w:val="000000"/>
                <w:sz w:val="16"/>
                <w:szCs w:val="16"/>
              </w:rPr>
              <w:t>4</w:t>
            </w:r>
          </w:p>
        </w:tc>
        <w:tc>
          <w:tcPr>
            <w:tcW w:w="1134" w:type="dxa"/>
            <w:vAlign w:val="center"/>
          </w:tcPr>
          <w:p w:rsidR="00EC0F3A" w:rsidRPr="00EC0F3A" w:rsidRDefault="00EC0F3A" w:rsidP="00F952D3">
            <w:pPr>
              <w:adjustRightInd w:val="0"/>
              <w:spacing w:before="20"/>
              <w:jc w:val="right"/>
              <w:rPr>
                <w:color w:val="000000"/>
                <w:sz w:val="16"/>
                <w:szCs w:val="16"/>
              </w:rPr>
            </w:pPr>
            <w:r>
              <w:rPr>
                <w:color w:val="000000"/>
                <w:sz w:val="16"/>
                <w:szCs w:val="16"/>
              </w:rPr>
              <w:t>-</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Yes</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100.0</w:t>
            </w:r>
          </w:p>
        </w:tc>
        <w:tc>
          <w:tcPr>
            <w:tcW w:w="1134" w:type="dxa"/>
            <w:vAlign w:val="center"/>
          </w:tcPr>
          <w:p w:rsidR="00EC0F3A" w:rsidRPr="00EC0F3A" w:rsidRDefault="00EC0F3A" w:rsidP="00F952D3">
            <w:pPr>
              <w:adjustRightInd w:val="0"/>
              <w:spacing w:before="20"/>
              <w:jc w:val="right"/>
              <w:rPr>
                <w:color w:val="000000"/>
                <w:sz w:val="16"/>
                <w:szCs w:val="16"/>
              </w:rPr>
            </w:pPr>
            <w:r>
              <w:rPr>
                <w:color w:val="000000"/>
                <w:sz w:val="16"/>
                <w:szCs w:val="16"/>
              </w:rPr>
              <w:t>-</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shd w:val="clear" w:color="auto" w:fill="auto"/>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sz w:val="16"/>
                <w:szCs w:val="16"/>
              </w:rPr>
              <w:t>Number of significant life events</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0</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3.</w:t>
            </w:r>
            <w:r w:rsidR="00232878">
              <w:rPr>
                <w:color w:val="000000"/>
                <w:sz w:val="16"/>
                <w:szCs w:val="16"/>
              </w:rPr>
              <w:t>3</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1</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7.</w:t>
            </w:r>
            <w:r>
              <w:rPr>
                <w:color w:val="000000"/>
                <w:sz w:val="16"/>
                <w:szCs w:val="16"/>
              </w:rPr>
              <w:t>6</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2.41</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1.38</w:t>
            </w:r>
            <w:r w:rsidR="006C6924">
              <w:rPr>
                <w:color w:val="000000"/>
                <w:sz w:val="16"/>
                <w:szCs w:val="16"/>
              </w:rPr>
              <w:t xml:space="preserve"> - </w:t>
            </w:r>
            <w:r w:rsidR="006C6924" w:rsidRPr="00EC0F3A">
              <w:rPr>
                <w:color w:val="000000"/>
                <w:sz w:val="16"/>
                <w:szCs w:val="16"/>
              </w:rPr>
              <w:t>4.24</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2</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6.</w:t>
            </w:r>
            <w:r>
              <w:rPr>
                <w:color w:val="000000"/>
                <w:sz w:val="16"/>
                <w:szCs w:val="16"/>
              </w:rPr>
              <w:t>5</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2.03</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1.12</w:t>
            </w:r>
            <w:r w:rsidR="006C6924">
              <w:rPr>
                <w:color w:val="000000"/>
                <w:sz w:val="16"/>
                <w:szCs w:val="16"/>
              </w:rPr>
              <w:t xml:space="preserve"> - </w:t>
            </w:r>
            <w:r w:rsidR="006C6924" w:rsidRPr="00EC0F3A">
              <w:rPr>
                <w:color w:val="000000"/>
                <w:sz w:val="16"/>
                <w:szCs w:val="16"/>
              </w:rPr>
              <w:t>3.71</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3</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7.</w:t>
            </w:r>
            <w:r w:rsidRPr="00EC0F3A">
              <w:rPr>
                <w:color w:val="000000"/>
                <w:sz w:val="16"/>
                <w:szCs w:val="16"/>
              </w:rPr>
              <w:t>5</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2.37</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1.19</w:t>
            </w:r>
            <w:r w:rsidR="006C6924">
              <w:rPr>
                <w:color w:val="000000"/>
                <w:sz w:val="16"/>
                <w:szCs w:val="16"/>
              </w:rPr>
              <w:t xml:space="preserve"> - </w:t>
            </w:r>
            <w:r w:rsidR="006C6924" w:rsidRPr="00EC0F3A">
              <w:rPr>
                <w:color w:val="000000"/>
                <w:sz w:val="16"/>
                <w:szCs w:val="16"/>
              </w:rPr>
              <w:t>4.72</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4</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6.0</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1.89</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0.84</w:t>
            </w:r>
            <w:r w:rsidR="006C6924">
              <w:rPr>
                <w:color w:val="000000"/>
                <w:sz w:val="16"/>
                <w:szCs w:val="16"/>
              </w:rPr>
              <w:t xml:space="preserve"> - </w:t>
            </w:r>
            <w:r w:rsidR="006C6924" w:rsidRPr="00EC0F3A">
              <w:rPr>
                <w:color w:val="000000"/>
                <w:sz w:val="16"/>
                <w:szCs w:val="16"/>
              </w:rPr>
              <w:t>4.27</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5+</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11.4</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3.79</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1.85</w:t>
            </w:r>
            <w:r w:rsidR="006C6924">
              <w:rPr>
                <w:color w:val="000000"/>
                <w:sz w:val="16"/>
                <w:szCs w:val="16"/>
              </w:rPr>
              <w:t xml:space="preserve"> - </w:t>
            </w:r>
            <w:r w:rsidR="006C6924" w:rsidRPr="00EC0F3A">
              <w:rPr>
                <w:color w:val="000000"/>
                <w:sz w:val="16"/>
                <w:szCs w:val="16"/>
              </w:rPr>
              <w:t>7.76</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0.01</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sz w:val="16"/>
                <w:szCs w:val="16"/>
              </w:rPr>
              <w:t>Quality of life (WHOQoL-8)</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Below median ( Score 0 - 24)</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8.</w:t>
            </w:r>
            <w:r>
              <w:rPr>
                <w:color w:val="000000"/>
                <w:sz w:val="16"/>
                <w:szCs w:val="16"/>
              </w:rPr>
              <w:t>6</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2.11</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1.43</w:t>
            </w:r>
            <w:r w:rsidR="006C6924">
              <w:rPr>
                <w:color w:val="000000"/>
                <w:sz w:val="16"/>
                <w:szCs w:val="16"/>
              </w:rPr>
              <w:t xml:space="preserve"> - </w:t>
            </w:r>
            <w:r w:rsidR="006C6924" w:rsidRPr="00EC0F3A">
              <w:rPr>
                <w:color w:val="000000"/>
                <w:sz w:val="16"/>
                <w:szCs w:val="16"/>
              </w:rPr>
              <w:t>3.10</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Median score (Score 25)</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8.0</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1.95</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1.03</w:t>
            </w:r>
            <w:r w:rsidR="006C6924">
              <w:rPr>
                <w:color w:val="000000"/>
                <w:sz w:val="16"/>
                <w:szCs w:val="16"/>
              </w:rPr>
              <w:t xml:space="preserve"> - </w:t>
            </w:r>
            <w:r w:rsidR="006C6924" w:rsidRPr="00EC0F3A">
              <w:rPr>
                <w:color w:val="000000"/>
                <w:sz w:val="16"/>
                <w:szCs w:val="16"/>
              </w:rPr>
              <w:t>3.70</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Above median (Score 26 - 32)</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4.</w:t>
            </w:r>
            <w:r w:rsidR="00232878">
              <w:rPr>
                <w:color w:val="000000"/>
                <w:sz w:val="16"/>
                <w:szCs w:val="16"/>
              </w:rPr>
              <w:t>3</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shd w:val="clear" w:color="auto" w:fill="D9D9D9" w:themeFill="background1" w:themeFillShade="D9"/>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0.001</w:t>
            </w:r>
          </w:p>
        </w:tc>
      </w:tr>
      <w:tr w:rsidR="00EC0F3A" w:rsidRPr="009B1415" w:rsidTr="00F959A8">
        <w:tc>
          <w:tcPr>
            <w:tcW w:w="4928" w:type="dxa"/>
            <w:vAlign w:val="bottom"/>
          </w:tcPr>
          <w:p w:rsidR="00EC0F3A" w:rsidRPr="009B1415" w:rsidRDefault="00EC0F3A" w:rsidP="00EC0F3A">
            <w:pPr>
              <w:keepNext/>
              <w:spacing w:before="20"/>
              <w:jc w:val="both"/>
              <w:rPr>
                <w:b/>
                <w:sz w:val="16"/>
                <w:szCs w:val="16"/>
              </w:rPr>
            </w:pPr>
            <w:r w:rsidRPr="009B1415">
              <w:rPr>
                <w:b/>
                <w:sz w:val="16"/>
                <w:szCs w:val="16"/>
              </w:rPr>
              <w:t>Psychological distress (Kessler-10)</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keepNext/>
              <w:spacing w:before="20"/>
              <w:ind w:left="176"/>
              <w:jc w:val="both"/>
              <w:rPr>
                <w:sz w:val="16"/>
                <w:szCs w:val="16"/>
              </w:rPr>
            </w:pPr>
            <w:r w:rsidRPr="009B1415">
              <w:rPr>
                <w:sz w:val="16"/>
                <w:szCs w:val="16"/>
              </w:rPr>
              <w:t>Score 0 - 5</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5.5</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keepNext/>
              <w:spacing w:before="20"/>
              <w:ind w:left="176"/>
              <w:jc w:val="both"/>
              <w:rPr>
                <w:sz w:val="16"/>
                <w:szCs w:val="16"/>
              </w:rPr>
            </w:pPr>
            <w:r w:rsidRPr="009B1415">
              <w:rPr>
                <w:sz w:val="16"/>
                <w:szCs w:val="16"/>
              </w:rPr>
              <w:t>Score 6 - 11</w:t>
            </w:r>
          </w:p>
        </w:tc>
        <w:tc>
          <w:tcPr>
            <w:tcW w:w="56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7.</w:t>
            </w:r>
            <w:r>
              <w:rPr>
                <w:color w:val="000000"/>
                <w:sz w:val="16"/>
                <w:szCs w:val="16"/>
              </w:rPr>
              <w:t>5</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1.37</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0.88</w:t>
            </w:r>
            <w:r w:rsidR="006C6924">
              <w:rPr>
                <w:color w:val="000000"/>
                <w:sz w:val="16"/>
                <w:szCs w:val="16"/>
              </w:rPr>
              <w:t xml:space="preserve"> - </w:t>
            </w:r>
            <w:r w:rsidR="006C6924" w:rsidRPr="00EC0F3A">
              <w:rPr>
                <w:color w:val="000000"/>
                <w:sz w:val="16"/>
                <w:szCs w:val="16"/>
              </w:rPr>
              <w:t>2.15</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keepNext/>
              <w:spacing w:before="20"/>
              <w:ind w:left="176"/>
              <w:jc w:val="both"/>
              <w:rPr>
                <w:sz w:val="16"/>
                <w:szCs w:val="16"/>
              </w:rPr>
            </w:pPr>
            <w:r w:rsidRPr="009B1415">
              <w:rPr>
                <w:sz w:val="16"/>
                <w:szCs w:val="16"/>
              </w:rPr>
              <w:t>Score 12 - 19</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13.1</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2.56</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1.33</w:t>
            </w:r>
            <w:r w:rsidR="006C6924">
              <w:rPr>
                <w:color w:val="000000"/>
                <w:sz w:val="16"/>
                <w:szCs w:val="16"/>
              </w:rPr>
              <w:t xml:space="preserve"> - </w:t>
            </w:r>
            <w:r w:rsidR="006C6924" w:rsidRPr="00EC0F3A">
              <w:rPr>
                <w:color w:val="000000"/>
                <w:sz w:val="16"/>
                <w:szCs w:val="16"/>
              </w:rPr>
              <w:t>4.94</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keepNext/>
              <w:spacing w:before="20"/>
              <w:ind w:left="176"/>
              <w:jc w:val="both"/>
              <w:rPr>
                <w:sz w:val="16"/>
                <w:szCs w:val="16"/>
              </w:rPr>
            </w:pPr>
            <w:r w:rsidRPr="009B1415">
              <w:rPr>
                <w:sz w:val="16"/>
                <w:szCs w:val="16"/>
              </w:rPr>
              <w:t>Score 20 - 40</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22.9</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5.06</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1.46</w:t>
            </w:r>
            <w:r w:rsidR="006C6924">
              <w:rPr>
                <w:color w:val="000000"/>
                <w:sz w:val="16"/>
                <w:szCs w:val="16"/>
              </w:rPr>
              <w:t xml:space="preserve"> - </w:t>
            </w:r>
            <w:r w:rsidR="006C6924" w:rsidRPr="00EC0F3A">
              <w:rPr>
                <w:color w:val="000000"/>
                <w:sz w:val="16"/>
                <w:szCs w:val="16"/>
              </w:rPr>
              <w:t>17.51</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0.003</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sz w:val="16"/>
                <w:szCs w:val="16"/>
              </w:rPr>
              <w:t xml:space="preserve">Hazardous alcohol consumption (AUDIT-C) </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5.9</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7.2</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1.22</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0.85</w:t>
            </w:r>
            <w:r w:rsidR="006C6924">
              <w:rPr>
                <w:color w:val="000000"/>
                <w:sz w:val="16"/>
                <w:szCs w:val="16"/>
              </w:rPr>
              <w:t xml:space="preserve"> - </w:t>
            </w:r>
            <w:r w:rsidR="006C6924" w:rsidRPr="00EC0F3A">
              <w:rPr>
                <w:color w:val="000000"/>
                <w:sz w:val="16"/>
                <w:szCs w:val="16"/>
              </w:rPr>
              <w:t>1.77</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0.28</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sz w:val="16"/>
                <w:szCs w:val="16"/>
              </w:rPr>
              <w:t>Does not use drugs</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spacing w:before="20"/>
              <w:ind w:left="176"/>
              <w:jc w:val="both"/>
              <w:rPr>
                <w:sz w:val="16"/>
                <w:szCs w:val="16"/>
              </w:rPr>
            </w:pPr>
            <w:r w:rsidRPr="009B1415">
              <w:rPr>
                <w:sz w:val="16"/>
                <w:szCs w:val="16"/>
              </w:rPr>
              <w:t>No</w:t>
            </w:r>
          </w:p>
        </w:tc>
        <w:tc>
          <w:tcPr>
            <w:tcW w:w="567"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13.3</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5.4</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0.37</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0.23</w:t>
            </w:r>
            <w:r w:rsidR="006C6924">
              <w:rPr>
                <w:color w:val="000000"/>
                <w:sz w:val="16"/>
                <w:szCs w:val="16"/>
              </w:rPr>
              <w:t xml:space="preserve"> - </w:t>
            </w:r>
            <w:r w:rsidR="006C6924" w:rsidRPr="00EC0F3A">
              <w:rPr>
                <w:color w:val="000000"/>
                <w:sz w:val="16"/>
                <w:szCs w:val="16"/>
              </w:rPr>
              <w:t>0.59</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C55321" w:rsidRPr="009B1415" w:rsidTr="00F959A8">
        <w:tc>
          <w:tcPr>
            <w:tcW w:w="4928" w:type="dxa"/>
            <w:vAlign w:val="bottom"/>
          </w:tcPr>
          <w:p w:rsidR="00C55321" w:rsidRPr="009B1415" w:rsidRDefault="00C55321" w:rsidP="00EC0F3A">
            <w:pPr>
              <w:keepNext/>
              <w:spacing w:before="20"/>
              <w:jc w:val="both"/>
              <w:rPr>
                <w:b/>
                <w:sz w:val="16"/>
                <w:szCs w:val="16"/>
              </w:rPr>
            </w:pPr>
            <w:r w:rsidRPr="009B1415">
              <w:rPr>
                <w:b/>
                <w:sz w:val="16"/>
                <w:szCs w:val="16"/>
              </w:rPr>
              <w:t>Cannabis</w:t>
            </w:r>
          </w:p>
        </w:tc>
        <w:tc>
          <w:tcPr>
            <w:tcW w:w="567" w:type="dxa"/>
            <w:vAlign w:val="center"/>
          </w:tcPr>
          <w:p w:rsidR="00C55321" w:rsidRPr="00B61EF6" w:rsidRDefault="00C55321" w:rsidP="00F952D3">
            <w:pPr>
              <w:keepNext/>
              <w:adjustRightInd w:val="0"/>
              <w:spacing w:before="20"/>
              <w:jc w:val="right"/>
              <w:rPr>
                <w:color w:val="000000"/>
                <w:sz w:val="16"/>
                <w:szCs w:val="16"/>
              </w:rPr>
            </w:pPr>
          </w:p>
        </w:tc>
        <w:tc>
          <w:tcPr>
            <w:tcW w:w="1134" w:type="dxa"/>
            <w:vAlign w:val="center"/>
          </w:tcPr>
          <w:p w:rsidR="00C55321" w:rsidRPr="00B61EF6" w:rsidRDefault="00C55321" w:rsidP="00F952D3">
            <w:pPr>
              <w:keepNext/>
              <w:adjustRightInd w:val="0"/>
              <w:spacing w:before="20"/>
              <w:jc w:val="right"/>
              <w:rPr>
                <w:color w:val="000000"/>
                <w:sz w:val="16"/>
                <w:szCs w:val="16"/>
              </w:rPr>
            </w:pPr>
          </w:p>
        </w:tc>
        <w:tc>
          <w:tcPr>
            <w:tcW w:w="709" w:type="dxa"/>
            <w:vAlign w:val="center"/>
          </w:tcPr>
          <w:p w:rsidR="00C55321" w:rsidRPr="00B61EF6" w:rsidRDefault="00C55321" w:rsidP="00F952D3">
            <w:pPr>
              <w:keepNext/>
              <w:adjustRightInd w:val="0"/>
              <w:spacing w:before="20"/>
              <w:jc w:val="right"/>
              <w:rPr>
                <w:color w:val="000000"/>
                <w:sz w:val="16"/>
                <w:szCs w:val="16"/>
              </w:rPr>
            </w:pPr>
          </w:p>
        </w:tc>
        <w:tc>
          <w:tcPr>
            <w:tcW w:w="387" w:type="dxa"/>
            <w:vAlign w:val="center"/>
          </w:tcPr>
          <w:p w:rsidR="00C55321" w:rsidRPr="00B61EF6" w:rsidRDefault="00C55321" w:rsidP="00F952D3">
            <w:pPr>
              <w:keepNext/>
              <w:adjustRightInd w:val="0"/>
              <w:spacing w:before="20"/>
              <w:jc w:val="right"/>
              <w:rPr>
                <w:color w:val="000000"/>
                <w:sz w:val="16"/>
                <w:szCs w:val="16"/>
              </w:rPr>
            </w:pPr>
          </w:p>
        </w:tc>
        <w:tc>
          <w:tcPr>
            <w:tcW w:w="747" w:type="dxa"/>
            <w:vAlign w:val="center"/>
          </w:tcPr>
          <w:p w:rsidR="00C55321" w:rsidRPr="00B61EF6" w:rsidRDefault="00C55321" w:rsidP="00F952D3">
            <w:pPr>
              <w:keepNext/>
              <w:adjustRightInd w:val="0"/>
              <w:spacing w:before="20"/>
              <w:jc w:val="right"/>
              <w:rPr>
                <w:color w:val="000000"/>
                <w:sz w:val="16"/>
                <w:szCs w:val="16"/>
              </w:rPr>
            </w:pPr>
          </w:p>
        </w:tc>
      </w:tr>
      <w:tr w:rsidR="00EC0F3A" w:rsidRPr="009B1415" w:rsidTr="00F959A8">
        <w:tc>
          <w:tcPr>
            <w:tcW w:w="4928" w:type="dxa"/>
          </w:tcPr>
          <w:p w:rsidR="00EC0F3A" w:rsidRPr="009B1415" w:rsidRDefault="00EC0F3A" w:rsidP="00EC0F3A">
            <w:pPr>
              <w:keepNext/>
              <w:spacing w:before="20"/>
              <w:ind w:left="176"/>
              <w:jc w:val="both"/>
              <w:rPr>
                <w:sz w:val="16"/>
                <w:szCs w:val="16"/>
              </w:rPr>
            </w:pPr>
            <w:r w:rsidRPr="009B1415">
              <w:rPr>
                <w:sz w:val="16"/>
                <w:szCs w:val="16"/>
              </w:rPr>
              <w:t>No</w:t>
            </w:r>
          </w:p>
        </w:tc>
        <w:tc>
          <w:tcPr>
            <w:tcW w:w="567" w:type="dxa"/>
            <w:vAlign w:val="center"/>
          </w:tcPr>
          <w:p w:rsidR="00EC0F3A" w:rsidRPr="00EC0F3A" w:rsidRDefault="00232878" w:rsidP="00F952D3">
            <w:pPr>
              <w:adjustRightInd w:val="0"/>
              <w:spacing w:before="20"/>
              <w:jc w:val="right"/>
              <w:rPr>
                <w:color w:val="000000"/>
                <w:sz w:val="16"/>
                <w:szCs w:val="16"/>
              </w:rPr>
            </w:pPr>
            <w:r>
              <w:rPr>
                <w:color w:val="000000"/>
                <w:sz w:val="16"/>
                <w:szCs w:val="16"/>
              </w:rPr>
              <w:t>5.5</w:t>
            </w:r>
          </w:p>
        </w:tc>
        <w:tc>
          <w:tcPr>
            <w:tcW w:w="1134" w:type="dxa"/>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keepNext/>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13.9</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2.77</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1.68</w:t>
            </w:r>
            <w:r w:rsidR="006C6924">
              <w:rPr>
                <w:color w:val="000000"/>
                <w:sz w:val="16"/>
                <w:szCs w:val="16"/>
              </w:rPr>
              <w:t xml:space="preserve"> - </w:t>
            </w:r>
            <w:r w:rsidR="006C6924" w:rsidRPr="00EC0F3A">
              <w:rPr>
                <w:color w:val="000000"/>
                <w:sz w:val="16"/>
                <w:szCs w:val="16"/>
              </w:rPr>
              <w:t>4.58</w:t>
            </w:r>
            <w:r>
              <w:rPr>
                <w:color w:val="000000"/>
                <w:sz w:val="16"/>
                <w:szCs w:val="16"/>
              </w:rPr>
              <w:t>)</w:t>
            </w:r>
          </w:p>
        </w:tc>
        <w:tc>
          <w:tcPr>
            <w:tcW w:w="747" w:type="dxa"/>
            <w:shd w:val="clear" w:color="auto" w:fill="D9D9D9" w:themeFill="background1" w:themeFillShade="D9"/>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&lt;</w:t>
            </w:r>
            <w:r>
              <w:rPr>
                <w:color w:val="000000"/>
                <w:sz w:val="16"/>
                <w:szCs w:val="16"/>
              </w:rPr>
              <w:t>0</w:t>
            </w:r>
            <w:r w:rsidRPr="00EC0F3A">
              <w:rPr>
                <w:color w:val="000000"/>
                <w:sz w:val="16"/>
                <w:szCs w:val="16"/>
              </w:rPr>
              <w:t>.0001</w:t>
            </w:r>
          </w:p>
        </w:tc>
      </w:tr>
      <w:tr w:rsidR="00EC0F3A" w:rsidRPr="009B1415" w:rsidTr="00F959A8">
        <w:tc>
          <w:tcPr>
            <w:tcW w:w="4928" w:type="dxa"/>
            <w:vAlign w:val="bottom"/>
          </w:tcPr>
          <w:p w:rsidR="00EC0F3A" w:rsidRPr="009B1415" w:rsidRDefault="00EC0F3A" w:rsidP="00EC0F3A">
            <w:pPr>
              <w:spacing w:before="20"/>
              <w:jc w:val="both"/>
              <w:rPr>
                <w:b/>
                <w:sz w:val="16"/>
                <w:szCs w:val="16"/>
              </w:rPr>
            </w:pPr>
            <w:r w:rsidRPr="009B1415">
              <w:rPr>
                <w:b/>
                <w:bCs/>
                <w:color w:val="000000"/>
                <w:sz w:val="16"/>
                <w:szCs w:val="16"/>
              </w:rPr>
              <w:t>Ever smoked tobacco</w:t>
            </w:r>
          </w:p>
        </w:tc>
        <w:tc>
          <w:tcPr>
            <w:tcW w:w="567" w:type="dxa"/>
            <w:vAlign w:val="center"/>
          </w:tcPr>
          <w:p w:rsidR="00EC0F3A" w:rsidRPr="00EC0F3A" w:rsidRDefault="00EC0F3A" w:rsidP="00F952D3">
            <w:pPr>
              <w:adjustRightInd w:val="0"/>
              <w:spacing w:before="20"/>
              <w:jc w:val="right"/>
              <w:rPr>
                <w:color w:val="000000"/>
                <w:sz w:val="16"/>
                <w:szCs w:val="16"/>
              </w:rPr>
            </w:pPr>
          </w:p>
        </w:tc>
        <w:tc>
          <w:tcPr>
            <w:tcW w:w="1134" w:type="dxa"/>
            <w:vAlign w:val="center"/>
          </w:tcPr>
          <w:p w:rsidR="00EC0F3A" w:rsidRPr="00EC0F3A" w:rsidRDefault="00EC0F3A" w:rsidP="00F952D3">
            <w:pPr>
              <w:adjustRightInd w:val="0"/>
              <w:spacing w:before="20"/>
              <w:jc w:val="right"/>
              <w:rPr>
                <w:color w:val="000000"/>
                <w:sz w:val="16"/>
                <w:szCs w:val="16"/>
              </w:rPr>
            </w:pPr>
          </w:p>
        </w:tc>
        <w:tc>
          <w:tcPr>
            <w:tcW w:w="709" w:type="dxa"/>
            <w:vAlign w:val="center"/>
          </w:tcPr>
          <w:p w:rsidR="00EC0F3A" w:rsidRPr="00EC0F3A" w:rsidRDefault="00EC0F3A" w:rsidP="00F952D3">
            <w:pPr>
              <w:adjustRightInd w:val="0"/>
              <w:spacing w:before="20"/>
              <w:jc w:val="right"/>
              <w:rPr>
                <w:color w:val="000000"/>
                <w:sz w:val="16"/>
                <w:szCs w:val="16"/>
              </w:rPr>
            </w:pPr>
          </w:p>
        </w:tc>
        <w:tc>
          <w:tcPr>
            <w:tcW w:w="387" w:type="dxa"/>
            <w:vAlign w:val="center"/>
          </w:tcPr>
          <w:p w:rsidR="00EC0F3A" w:rsidRPr="00EC0F3A" w:rsidRDefault="00EC0F3A" w:rsidP="00F952D3">
            <w:pPr>
              <w:adjustRightInd w:val="0"/>
              <w:spacing w:before="20"/>
              <w:jc w:val="right"/>
              <w:rPr>
                <w:color w:val="000000"/>
                <w:sz w:val="16"/>
                <w:szCs w:val="16"/>
              </w:rPr>
            </w:pPr>
          </w:p>
        </w:tc>
        <w:tc>
          <w:tcPr>
            <w:tcW w:w="747" w:type="dxa"/>
            <w:vAlign w:val="center"/>
          </w:tcPr>
          <w:p w:rsidR="00EC0F3A" w:rsidRPr="00EC0F3A" w:rsidRDefault="00EC0F3A" w:rsidP="00F952D3">
            <w:pPr>
              <w:adjustRightInd w:val="0"/>
              <w:spacing w:before="20"/>
              <w:jc w:val="right"/>
              <w:rPr>
                <w:color w:val="000000"/>
                <w:sz w:val="16"/>
                <w:szCs w:val="16"/>
              </w:rPr>
            </w:pPr>
          </w:p>
        </w:tc>
      </w:tr>
      <w:tr w:rsidR="006C6924" w:rsidRPr="009B1415" w:rsidTr="00F959A8">
        <w:tc>
          <w:tcPr>
            <w:tcW w:w="4928" w:type="dxa"/>
          </w:tcPr>
          <w:p w:rsidR="006C6924" w:rsidRPr="009B1415" w:rsidRDefault="006C6924" w:rsidP="00EC0F3A">
            <w:pPr>
              <w:spacing w:before="20"/>
              <w:ind w:left="176"/>
              <w:jc w:val="both"/>
              <w:rPr>
                <w:sz w:val="16"/>
                <w:szCs w:val="16"/>
              </w:rPr>
            </w:pPr>
            <w:r w:rsidRPr="009B1415">
              <w:rPr>
                <w:sz w:val="16"/>
                <w:szCs w:val="16"/>
              </w:rPr>
              <w:t>Yes</w:t>
            </w:r>
          </w:p>
        </w:tc>
        <w:tc>
          <w:tcPr>
            <w:tcW w:w="567" w:type="dxa"/>
            <w:vAlign w:val="center"/>
          </w:tcPr>
          <w:p w:rsidR="006C6924" w:rsidRPr="00EC0F3A" w:rsidRDefault="006C6924" w:rsidP="00F952D3">
            <w:pPr>
              <w:adjustRightInd w:val="0"/>
              <w:spacing w:before="20"/>
              <w:jc w:val="right"/>
              <w:rPr>
                <w:color w:val="000000"/>
                <w:sz w:val="16"/>
                <w:szCs w:val="16"/>
              </w:rPr>
            </w:pPr>
            <w:r>
              <w:rPr>
                <w:color w:val="000000"/>
                <w:sz w:val="16"/>
                <w:szCs w:val="16"/>
              </w:rPr>
              <w:t>6.8</w:t>
            </w:r>
          </w:p>
        </w:tc>
        <w:tc>
          <w:tcPr>
            <w:tcW w:w="1134" w:type="dxa"/>
            <w:vAlign w:val="center"/>
          </w:tcPr>
          <w:p w:rsidR="006C6924" w:rsidRPr="00EC0F3A" w:rsidRDefault="006C6924" w:rsidP="00F952D3">
            <w:pPr>
              <w:adjustRightInd w:val="0"/>
              <w:spacing w:before="20"/>
              <w:jc w:val="right"/>
              <w:rPr>
                <w:color w:val="000000"/>
                <w:sz w:val="16"/>
                <w:szCs w:val="16"/>
              </w:rPr>
            </w:pPr>
            <w:r w:rsidRPr="00EC0F3A">
              <w:rPr>
                <w:color w:val="000000"/>
                <w:sz w:val="16"/>
                <w:szCs w:val="16"/>
              </w:rPr>
              <w:t>1.25</w:t>
            </w:r>
          </w:p>
        </w:tc>
        <w:tc>
          <w:tcPr>
            <w:tcW w:w="1096" w:type="dxa"/>
            <w:gridSpan w:val="2"/>
            <w:vAlign w:val="center"/>
          </w:tcPr>
          <w:p w:rsidR="006C6924" w:rsidRPr="00EC0F3A" w:rsidRDefault="00FC1500" w:rsidP="00F952D3">
            <w:pPr>
              <w:adjustRightInd w:val="0"/>
              <w:spacing w:before="20"/>
              <w:jc w:val="right"/>
              <w:rPr>
                <w:color w:val="000000"/>
                <w:sz w:val="16"/>
                <w:szCs w:val="16"/>
              </w:rPr>
            </w:pPr>
            <w:r>
              <w:rPr>
                <w:color w:val="000000"/>
                <w:sz w:val="16"/>
                <w:szCs w:val="16"/>
              </w:rPr>
              <w:t>(</w:t>
            </w:r>
            <w:r w:rsidR="006C6924" w:rsidRPr="00EC0F3A">
              <w:rPr>
                <w:color w:val="000000"/>
                <w:sz w:val="16"/>
                <w:szCs w:val="16"/>
              </w:rPr>
              <w:t>0.85</w:t>
            </w:r>
            <w:r w:rsidR="006C6924">
              <w:rPr>
                <w:color w:val="000000"/>
                <w:sz w:val="16"/>
                <w:szCs w:val="16"/>
              </w:rPr>
              <w:t xml:space="preserve"> - </w:t>
            </w:r>
            <w:r w:rsidR="006C6924" w:rsidRPr="00EC0F3A">
              <w:rPr>
                <w:color w:val="000000"/>
                <w:sz w:val="16"/>
                <w:szCs w:val="16"/>
              </w:rPr>
              <w:t>1.84</w:t>
            </w:r>
            <w:r>
              <w:rPr>
                <w:color w:val="000000"/>
                <w:sz w:val="16"/>
                <w:szCs w:val="16"/>
              </w:rPr>
              <w:t>)</w:t>
            </w:r>
          </w:p>
        </w:tc>
        <w:tc>
          <w:tcPr>
            <w:tcW w:w="747" w:type="dxa"/>
            <w:vAlign w:val="center"/>
          </w:tcPr>
          <w:p w:rsidR="006C6924" w:rsidRPr="00EC0F3A" w:rsidRDefault="006C6924" w:rsidP="00F952D3">
            <w:pPr>
              <w:adjustRightInd w:val="0"/>
              <w:spacing w:before="20"/>
              <w:jc w:val="right"/>
              <w:rPr>
                <w:color w:val="000000"/>
                <w:sz w:val="16"/>
                <w:szCs w:val="16"/>
              </w:rPr>
            </w:pPr>
          </w:p>
        </w:tc>
      </w:tr>
      <w:tr w:rsidR="00EC0F3A" w:rsidRPr="009B1415" w:rsidTr="00F959A8">
        <w:tc>
          <w:tcPr>
            <w:tcW w:w="4928" w:type="dxa"/>
            <w:tcBorders>
              <w:bottom w:val="single" w:sz="4" w:space="0" w:color="auto"/>
            </w:tcBorders>
          </w:tcPr>
          <w:p w:rsidR="00EC0F3A" w:rsidRPr="009B1415" w:rsidRDefault="00EC0F3A" w:rsidP="00EC0F3A">
            <w:pPr>
              <w:spacing w:before="20"/>
              <w:ind w:left="176"/>
              <w:jc w:val="both"/>
              <w:rPr>
                <w:sz w:val="16"/>
                <w:szCs w:val="16"/>
              </w:rPr>
            </w:pPr>
            <w:r w:rsidRPr="009B1415">
              <w:rPr>
                <w:sz w:val="16"/>
                <w:szCs w:val="16"/>
              </w:rPr>
              <w:t>No</w:t>
            </w:r>
          </w:p>
        </w:tc>
        <w:tc>
          <w:tcPr>
            <w:tcW w:w="567" w:type="dxa"/>
            <w:tcBorders>
              <w:bottom w:val="single" w:sz="4" w:space="0" w:color="auto"/>
            </w:tcBorders>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5.5</w:t>
            </w:r>
          </w:p>
        </w:tc>
        <w:tc>
          <w:tcPr>
            <w:tcW w:w="1134" w:type="dxa"/>
            <w:tcBorders>
              <w:bottom w:val="single" w:sz="4" w:space="0" w:color="auto"/>
            </w:tcBorders>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1.00</w:t>
            </w:r>
          </w:p>
        </w:tc>
        <w:tc>
          <w:tcPr>
            <w:tcW w:w="709" w:type="dxa"/>
            <w:tcBorders>
              <w:bottom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387" w:type="dxa"/>
            <w:tcBorders>
              <w:bottom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747" w:type="dxa"/>
            <w:tcBorders>
              <w:bottom w:val="single" w:sz="4" w:space="0" w:color="auto"/>
            </w:tcBorders>
            <w:vAlign w:val="center"/>
          </w:tcPr>
          <w:p w:rsidR="00EC0F3A" w:rsidRPr="00EC0F3A" w:rsidRDefault="00EC0F3A" w:rsidP="00F952D3">
            <w:pPr>
              <w:adjustRightInd w:val="0"/>
              <w:spacing w:before="20"/>
              <w:jc w:val="right"/>
              <w:rPr>
                <w:color w:val="000000"/>
                <w:sz w:val="16"/>
                <w:szCs w:val="16"/>
              </w:rPr>
            </w:pPr>
            <w:r w:rsidRPr="00EC0F3A">
              <w:rPr>
                <w:color w:val="000000"/>
                <w:sz w:val="16"/>
                <w:szCs w:val="16"/>
              </w:rPr>
              <w:t>0.26</w:t>
            </w:r>
          </w:p>
        </w:tc>
      </w:tr>
      <w:tr w:rsidR="00EC0F3A" w:rsidRPr="009B1415" w:rsidTr="00F959A8">
        <w:tc>
          <w:tcPr>
            <w:tcW w:w="4928" w:type="dxa"/>
            <w:tcBorders>
              <w:top w:val="single" w:sz="4" w:space="0" w:color="auto"/>
            </w:tcBorders>
            <w:vAlign w:val="bottom"/>
          </w:tcPr>
          <w:p w:rsidR="00EC0F3A" w:rsidRPr="009B1415" w:rsidRDefault="00EC0F3A" w:rsidP="00EC0F3A">
            <w:pPr>
              <w:keepNext/>
              <w:spacing w:before="20"/>
              <w:jc w:val="both"/>
              <w:rPr>
                <w:b/>
                <w:sz w:val="16"/>
                <w:szCs w:val="16"/>
              </w:rPr>
            </w:pPr>
            <w:r w:rsidRPr="009B1415">
              <w:rPr>
                <w:b/>
                <w:bCs/>
                <w:color w:val="000000"/>
                <w:sz w:val="16"/>
                <w:szCs w:val="16"/>
              </w:rPr>
              <w:lastRenderedPageBreak/>
              <w:t>Ever smoked more than 100 cigarettes in lifetime</w:t>
            </w:r>
          </w:p>
        </w:tc>
        <w:tc>
          <w:tcPr>
            <w:tcW w:w="567" w:type="dxa"/>
            <w:tcBorders>
              <w:top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1134" w:type="dxa"/>
            <w:tcBorders>
              <w:top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709" w:type="dxa"/>
            <w:tcBorders>
              <w:top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387" w:type="dxa"/>
            <w:tcBorders>
              <w:top w:val="single" w:sz="4" w:space="0" w:color="auto"/>
            </w:tcBorders>
            <w:vAlign w:val="center"/>
          </w:tcPr>
          <w:p w:rsidR="00EC0F3A" w:rsidRPr="00EC0F3A" w:rsidRDefault="00EC0F3A" w:rsidP="00F952D3">
            <w:pPr>
              <w:adjustRightInd w:val="0"/>
              <w:spacing w:before="20"/>
              <w:jc w:val="right"/>
              <w:rPr>
                <w:color w:val="000000"/>
                <w:sz w:val="16"/>
                <w:szCs w:val="16"/>
              </w:rPr>
            </w:pPr>
          </w:p>
        </w:tc>
        <w:tc>
          <w:tcPr>
            <w:tcW w:w="747" w:type="dxa"/>
            <w:tcBorders>
              <w:top w:val="single" w:sz="4" w:space="0" w:color="auto"/>
            </w:tcBorders>
            <w:vAlign w:val="center"/>
          </w:tcPr>
          <w:p w:rsidR="00EC0F3A" w:rsidRPr="00EC0F3A" w:rsidRDefault="00EC0F3A" w:rsidP="00F952D3">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keepNext/>
              <w:spacing w:before="20"/>
              <w:ind w:left="176"/>
              <w:jc w:val="both"/>
              <w:rPr>
                <w:sz w:val="16"/>
                <w:szCs w:val="16"/>
              </w:rPr>
            </w:pPr>
            <w:r w:rsidRPr="009B1415">
              <w:rPr>
                <w:sz w:val="16"/>
                <w:szCs w:val="16"/>
              </w:rPr>
              <w:t>Yes</w:t>
            </w:r>
          </w:p>
        </w:tc>
        <w:tc>
          <w:tcPr>
            <w:tcW w:w="567"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7.0</w:t>
            </w:r>
          </w:p>
        </w:tc>
        <w:tc>
          <w:tcPr>
            <w:tcW w:w="1134"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1.21</w:t>
            </w:r>
          </w:p>
        </w:tc>
        <w:tc>
          <w:tcPr>
            <w:tcW w:w="1096" w:type="dxa"/>
            <w:gridSpan w:val="2"/>
            <w:vAlign w:val="center"/>
          </w:tcPr>
          <w:p w:rsidR="00875675" w:rsidRPr="00EC0F3A" w:rsidRDefault="00875675" w:rsidP="00875675">
            <w:pPr>
              <w:adjustRightInd w:val="0"/>
              <w:spacing w:before="20"/>
              <w:jc w:val="right"/>
              <w:rPr>
                <w:color w:val="000000"/>
                <w:sz w:val="16"/>
                <w:szCs w:val="16"/>
              </w:rPr>
            </w:pPr>
            <w:r>
              <w:rPr>
                <w:color w:val="000000"/>
                <w:sz w:val="16"/>
                <w:szCs w:val="16"/>
              </w:rPr>
              <w:t>(</w:t>
            </w:r>
            <w:r w:rsidRPr="00EC0F3A">
              <w:rPr>
                <w:color w:val="000000"/>
                <w:sz w:val="16"/>
                <w:szCs w:val="16"/>
              </w:rPr>
              <w:t>0.84</w:t>
            </w:r>
            <w:r>
              <w:rPr>
                <w:color w:val="000000"/>
                <w:sz w:val="16"/>
                <w:szCs w:val="16"/>
              </w:rPr>
              <w:t xml:space="preserve"> - </w:t>
            </w:r>
            <w:r w:rsidRPr="00EC0F3A">
              <w:rPr>
                <w:color w:val="000000"/>
                <w:sz w:val="16"/>
                <w:szCs w:val="16"/>
              </w:rPr>
              <w:t>1.73</w:t>
            </w:r>
            <w:r>
              <w:rPr>
                <w:color w:val="000000"/>
                <w:sz w:val="16"/>
                <w:szCs w:val="16"/>
              </w:rPr>
              <w:t>)</w:t>
            </w:r>
          </w:p>
        </w:tc>
        <w:tc>
          <w:tcPr>
            <w:tcW w:w="747" w:type="dxa"/>
            <w:vAlign w:val="center"/>
          </w:tcPr>
          <w:p w:rsidR="00875675" w:rsidRPr="00EC0F3A"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keepNext/>
              <w:spacing w:before="20"/>
              <w:ind w:left="176"/>
              <w:jc w:val="both"/>
              <w:rPr>
                <w:sz w:val="16"/>
                <w:szCs w:val="16"/>
              </w:rPr>
            </w:pPr>
            <w:r w:rsidRPr="009B1415">
              <w:rPr>
                <w:sz w:val="16"/>
                <w:szCs w:val="16"/>
              </w:rPr>
              <w:t>No</w:t>
            </w:r>
          </w:p>
        </w:tc>
        <w:tc>
          <w:tcPr>
            <w:tcW w:w="567" w:type="dxa"/>
            <w:vAlign w:val="center"/>
          </w:tcPr>
          <w:p w:rsidR="00875675" w:rsidRPr="00EC0F3A" w:rsidRDefault="00875675" w:rsidP="00875675">
            <w:pPr>
              <w:adjustRightInd w:val="0"/>
              <w:spacing w:before="20"/>
              <w:jc w:val="right"/>
              <w:rPr>
                <w:color w:val="000000"/>
                <w:sz w:val="16"/>
                <w:szCs w:val="16"/>
              </w:rPr>
            </w:pPr>
            <w:r>
              <w:rPr>
                <w:color w:val="000000"/>
                <w:sz w:val="16"/>
                <w:szCs w:val="16"/>
              </w:rPr>
              <w:t>5.9</w:t>
            </w:r>
          </w:p>
        </w:tc>
        <w:tc>
          <w:tcPr>
            <w:tcW w:w="1134" w:type="dxa"/>
            <w:vAlign w:val="center"/>
          </w:tcPr>
          <w:p w:rsidR="00875675" w:rsidRPr="00EC0F3A" w:rsidRDefault="00875675" w:rsidP="00875675">
            <w:pPr>
              <w:adjustRightInd w:val="0"/>
              <w:spacing w:before="20"/>
              <w:jc w:val="right"/>
              <w:rPr>
                <w:color w:val="000000"/>
                <w:sz w:val="16"/>
                <w:szCs w:val="16"/>
              </w:rPr>
            </w:pPr>
            <w:r>
              <w:rPr>
                <w:color w:val="000000"/>
                <w:sz w:val="16"/>
                <w:szCs w:val="16"/>
              </w:rPr>
              <w:t>1.00</w:t>
            </w:r>
          </w:p>
        </w:tc>
        <w:tc>
          <w:tcPr>
            <w:tcW w:w="1096" w:type="dxa"/>
            <w:gridSpan w:val="2"/>
            <w:vAlign w:val="center"/>
          </w:tcPr>
          <w:p w:rsidR="00875675" w:rsidRPr="00EC0F3A" w:rsidRDefault="00875675" w:rsidP="00875675">
            <w:pPr>
              <w:adjustRightInd w:val="0"/>
              <w:spacing w:before="20"/>
              <w:jc w:val="right"/>
              <w:rPr>
                <w:color w:val="000000"/>
                <w:sz w:val="16"/>
                <w:szCs w:val="16"/>
              </w:rPr>
            </w:pPr>
          </w:p>
        </w:tc>
        <w:tc>
          <w:tcPr>
            <w:tcW w:w="747"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0.30</w:t>
            </w:r>
          </w:p>
        </w:tc>
      </w:tr>
      <w:tr w:rsidR="00875675" w:rsidRPr="009B1415" w:rsidTr="00F959A8">
        <w:tc>
          <w:tcPr>
            <w:tcW w:w="4928" w:type="dxa"/>
            <w:vAlign w:val="bottom"/>
          </w:tcPr>
          <w:p w:rsidR="00875675" w:rsidRPr="009B1415" w:rsidRDefault="00875675" w:rsidP="00875675">
            <w:pPr>
              <w:spacing w:before="20"/>
              <w:jc w:val="both"/>
              <w:rPr>
                <w:b/>
                <w:sz w:val="16"/>
                <w:szCs w:val="16"/>
              </w:rPr>
            </w:pPr>
            <w:r w:rsidRPr="009B1415">
              <w:rPr>
                <w:b/>
                <w:bCs/>
                <w:color w:val="000000"/>
                <w:sz w:val="16"/>
                <w:szCs w:val="16"/>
              </w:rPr>
              <w:t>Ever smoked daily for a period of time</w:t>
            </w:r>
          </w:p>
        </w:tc>
        <w:tc>
          <w:tcPr>
            <w:tcW w:w="567" w:type="dxa"/>
            <w:vAlign w:val="center"/>
          </w:tcPr>
          <w:p w:rsidR="00875675" w:rsidRPr="00EC0F3A" w:rsidRDefault="00875675" w:rsidP="00875675">
            <w:pPr>
              <w:adjustRightInd w:val="0"/>
              <w:spacing w:before="20"/>
              <w:jc w:val="right"/>
              <w:rPr>
                <w:color w:val="000000"/>
                <w:sz w:val="16"/>
                <w:szCs w:val="16"/>
              </w:rPr>
            </w:pPr>
          </w:p>
        </w:tc>
        <w:tc>
          <w:tcPr>
            <w:tcW w:w="1134" w:type="dxa"/>
            <w:vAlign w:val="center"/>
          </w:tcPr>
          <w:p w:rsidR="00875675" w:rsidRPr="00EC0F3A" w:rsidRDefault="00875675" w:rsidP="00875675">
            <w:pPr>
              <w:adjustRightInd w:val="0"/>
              <w:spacing w:before="20"/>
              <w:jc w:val="right"/>
              <w:rPr>
                <w:color w:val="000000"/>
                <w:sz w:val="16"/>
                <w:szCs w:val="16"/>
              </w:rPr>
            </w:pPr>
          </w:p>
        </w:tc>
        <w:tc>
          <w:tcPr>
            <w:tcW w:w="709" w:type="dxa"/>
            <w:vAlign w:val="center"/>
          </w:tcPr>
          <w:p w:rsidR="00875675" w:rsidRPr="00EC0F3A" w:rsidRDefault="00875675" w:rsidP="00875675">
            <w:pPr>
              <w:adjustRightInd w:val="0"/>
              <w:spacing w:before="20"/>
              <w:jc w:val="right"/>
              <w:rPr>
                <w:color w:val="000000"/>
                <w:sz w:val="16"/>
                <w:szCs w:val="16"/>
              </w:rPr>
            </w:pPr>
          </w:p>
        </w:tc>
        <w:tc>
          <w:tcPr>
            <w:tcW w:w="387" w:type="dxa"/>
            <w:vAlign w:val="center"/>
          </w:tcPr>
          <w:p w:rsidR="00875675" w:rsidRPr="00EC0F3A" w:rsidRDefault="00875675" w:rsidP="00875675">
            <w:pPr>
              <w:adjustRightInd w:val="0"/>
              <w:spacing w:before="20"/>
              <w:jc w:val="right"/>
              <w:rPr>
                <w:color w:val="000000"/>
                <w:sz w:val="16"/>
                <w:szCs w:val="16"/>
              </w:rPr>
            </w:pPr>
          </w:p>
        </w:tc>
        <w:tc>
          <w:tcPr>
            <w:tcW w:w="747" w:type="dxa"/>
            <w:vAlign w:val="center"/>
          </w:tcPr>
          <w:p w:rsidR="00875675" w:rsidRPr="00EC0F3A"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sidRPr="009B1415">
              <w:rPr>
                <w:sz w:val="16"/>
                <w:szCs w:val="16"/>
              </w:rPr>
              <w:t>Yes</w:t>
            </w:r>
          </w:p>
        </w:tc>
        <w:tc>
          <w:tcPr>
            <w:tcW w:w="567"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7.2</w:t>
            </w:r>
          </w:p>
        </w:tc>
        <w:tc>
          <w:tcPr>
            <w:tcW w:w="1134"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1.27</w:t>
            </w:r>
          </w:p>
        </w:tc>
        <w:tc>
          <w:tcPr>
            <w:tcW w:w="1096" w:type="dxa"/>
            <w:gridSpan w:val="2"/>
            <w:vAlign w:val="center"/>
          </w:tcPr>
          <w:p w:rsidR="00875675" w:rsidRPr="00EC0F3A" w:rsidRDefault="00875675" w:rsidP="00875675">
            <w:pPr>
              <w:adjustRightInd w:val="0"/>
              <w:spacing w:before="20"/>
              <w:jc w:val="right"/>
              <w:rPr>
                <w:color w:val="000000"/>
                <w:sz w:val="16"/>
                <w:szCs w:val="16"/>
              </w:rPr>
            </w:pPr>
            <w:r>
              <w:rPr>
                <w:color w:val="000000"/>
                <w:sz w:val="16"/>
                <w:szCs w:val="16"/>
              </w:rPr>
              <w:t>(</w:t>
            </w:r>
            <w:r w:rsidRPr="00EC0F3A">
              <w:rPr>
                <w:color w:val="000000"/>
                <w:sz w:val="16"/>
                <w:szCs w:val="16"/>
              </w:rPr>
              <w:t>0.89</w:t>
            </w:r>
            <w:r>
              <w:rPr>
                <w:color w:val="000000"/>
                <w:sz w:val="16"/>
                <w:szCs w:val="16"/>
              </w:rPr>
              <w:t xml:space="preserve"> - </w:t>
            </w:r>
            <w:r w:rsidRPr="00EC0F3A">
              <w:rPr>
                <w:color w:val="000000"/>
                <w:sz w:val="16"/>
                <w:szCs w:val="16"/>
              </w:rPr>
              <w:t>1.82</w:t>
            </w:r>
            <w:r>
              <w:rPr>
                <w:color w:val="000000"/>
                <w:sz w:val="16"/>
                <w:szCs w:val="16"/>
              </w:rPr>
              <w:t>)</w:t>
            </w:r>
          </w:p>
        </w:tc>
        <w:tc>
          <w:tcPr>
            <w:tcW w:w="747" w:type="dxa"/>
            <w:vAlign w:val="center"/>
          </w:tcPr>
          <w:p w:rsidR="00875675" w:rsidRPr="00EC0F3A"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sidRPr="009B1415">
              <w:rPr>
                <w:sz w:val="16"/>
                <w:szCs w:val="16"/>
              </w:rPr>
              <w:t>No</w:t>
            </w:r>
          </w:p>
        </w:tc>
        <w:tc>
          <w:tcPr>
            <w:tcW w:w="567" w:type="dxa"/>
            <w:vAlign w:val="center"/>
          </w:tcPr>
          <w:p w:rsidR="00875675" w:rsidRPr="00EC0F3A" w:rsidRDefault="00875675" w:rsidP="00875675">
            <w:pPr>
              <w:adjustRightInd w:val="0"/>
              <w:spacing w:before="20"/>
              <w:jc w:val="right"/>
              <w:rPr>
                <w:color w:val="000000"/>
                <w:sz w:val="16"/>
                <w:szCs w:val="16"/>
              </w:rPr>
            </w:pPr>
            <w:r>
              <w:rPr>
                <w:color w:val="000000"/>
                <w:sz w:val="16"/>
                <w:szCs w:val="16"/>
              </w:rPr>
              <w:t>5.8</w:t>
            </w:r>
          </w:p>
        </w:tc>
        <w:tc>
          <w:tcPr>
            <w:tcW w:w="1134" w:type="dxa"/>
            <w:vAlign w:val="center"/>
          </w:tcPr>
          <w:p w:rsidR="00875675" w:rsidRPr="00EC0F3A" w:rsidRDefault="00875675" w:rsidP="00875675">
            <w:pPr>
              <w:adjustRightInd w:val="0"/>
              <w:spacing w:before="20"/>
              <w:jc w:val="right"/>
              <w:rPr>
                <w:color w:val="000000"/>
                <w:sz w:val="16"/>
                <w:szCs w:val="16"/>
              </w:rPr>
            </w:pPr>
            <w:r>
              <w:rPr>
                <w:color w:val="000000"/>
                <w:sz w:val="16"/>
                <w:szCs w:val="16"/>
              </w:rPr>
              <w:t>1.00</w:t>
            </w:r>
          </w:p>
        </w:tc>
        <w:tc>
          <w:tcPr>
            <w:tcW w:w="1096" w:type="dxa"/>
            <w:gridSpan w:val="2"/>
            <w:vAlign w:val="center"/>
          </w:tcPr>
          <w:p w:rsidR="00875675" w:rsidRPr="00EC0F3A" w:rsidRDefault="00875675" w:rsidP="00875675">
            <w:pPr>
              <w:adjustRightInd w:val="0"/>
              <w:spacing w:before="20"/>
              <w:jc w:val="right"/>
              <w:rPr>
                <w:color w:val="000000"/>
                <w:sz w:val="16"/>
                <w:szCs w:val="16"/>
              </w:rPr>
            </w:pPr>
          </w:p>
        </w:tc>
        <w:tc>
          <w:tcPr>
            <w:tcW w:w="747" w:type="dxa"/>
            <w:vAlign w:val="center"/>
          </w:tcPr>
          <w:p w:rsidR="00875675" w:rsidRPr="00EC0F3A" w:rsidRDefault="00875675" w:rsidP="00875675">
            <w:pPr>
              <w:adjustRightInd w:val="0"/>
              <w:spacing w:before="20"/>
              <w:jc w:val="right"/>
              <w:rPr>
                <w:color w:val="000000"/>
                <w:sz w:val="16"/>
                <w:szCs w:val="16"/>
              </w:rPr>
            </w:pPr>
            <w:r w:rsidRPr="00EC0F3A">
              <w:rPr>
                <w:color w:val="000000"/>
                <w:sz w:val="16"/>
                <w:szCs w:val="16"/>
              </w:rPr>
              <w:t>0.19</w:t>
            </w:r>
          </w:p>
        </w:tc>
      </w:tr>
      <w:tr w:rsidR="00875675" w:rsidRPr="009B1415" w:rsidTr="00F959A8">
        <w:tc>
          <w:tcPr>
            <w:tcW w:w="4928" w:type="dxa"/>
            <w:vAlign w:val="bottom"/>
          </w:tcPr>
          <w:p w:rsidR="00875675" w:rsidRPr="009B1415" w:rsidRDefault="00875675" w:rsidP="00875675">
            <w:pPr>
              <w:spacing w:before="20"/>
              <w:jc w:val="both"/>
              <w:rPr>
                <w:b/>
                <w:sz w:val="16"/>
                <w:szCs w:val="16"/>
              </w:rPr>
            </w:pPr>
            <w:r w:rsidRPr="009B1415">
              <w:rPr>
                <w:b/>
                <w:bCs/>
                <w:color w:val="000000"/>
                <w:sz w:val="16"/>
                <w:szCs w:val="16"/>
              </w:rPr>
              <w:t>Current tobacco use</w:t>
            </w:r>
          </w:p>
        </w:tc>
        <w:tc>
          <w:tcPr>
            <w:tcW w:w="567" w:type="dxa"/>
            <w:vAlign w:val="center"/>
          </w:tcPr>
          <w:p w:rsidR="00875675" w:rsidRPr="00B61EF6" w:rsidRDefault="00875675" w:rsidP="00875675">
            <w:pPr>
              <w:adjustRightInd w:val="0"/>
              <w:spacing w:before="20"/>
              <w:jc w:val="right"/>
              <w:rPr>
                <w:color w:val="000000"/>
                <w:sz w:val="16"/>
                <w:szCs w:val="16"/>
              </w:rPr>
            </w:pPr>
          </w:p>
        </w:tc>
        <w:tc>
          <w:tcPr>
            <w:tcW w:w="1134" w:type="dxa"/>
            <w:vAlign w:val="center"/>
          </w:tcPr>
          <w:p w:rsidR="00875675" w:rsidRPr="00B61EF6" w:rsidRDefault="00875675" w:rsidP="00875675">
            <w:pPr>
              <w:adjustRightInd w:val="0"/>
              <w:spacing w:before="20"/>
              <w:jc w:val="right"/>
              <w:rPr>
                <w:color w:val="000000"/>
                <w:sz w:val="16"/>
                <w:szCs w:val="16"/>
              </w:rPr>
            </w:pPr>
          </w:p>
        </w:tc>
        <w:tc>
          <w:tcPr>
            <w:tcW w:w="709" w:type="dxa"/>
            <w:vAlign w:val="center"/>
          </w:tcPr>
          <w:p w:rsidR="00875675" w:rsidRPr="00B61EF6" w:rsidRDefault="00875675" w:rsidP="00875675">
            <w:pPr>
              <w:adjustRightInd w:val="0"/>
              <w:spacing w:before="20"/>
              <w:jc w:val="right"/>
              <w:rPr>
                <w:color w:val="000000"/>
                <w:sz w:val="16"/>
                <w:szCs w:val="16"/>
              </w:rPr>
            </w:pPr>
          </w:p>
        </w:tc>
        <w:tc>
          <w:tcPr>
            <w:tcW w:w="387" w:type="dxa"/>
            <w:vAlign w:val="center"/>
          </w:tcPr>
          <w:p w:rsidR="00875675" w:rsidRPr="00B61EF6" w:rsidRDefault="00875675" w:rsidP="00875675">
            <w:pPr>
              <w:adjustRightInd w:val="0"/>
              <w:spacing w:before="20"/>
              <w:jc w:val="right"/>
              <w:rPr>
                <w:color w:val="000000"/>
                <w:sz w:val="16"/>
                <w:szCs w:val="16"/>
              </w:rPr>
            </w:pPr>
          </w:p>
        </w:tc>
        <w:tc>
          <w:tcPr>
            <w:tcW w:w="747" w:type="dxa"/>
            <w:vAlign w:val="center"/>
          </w:tcPr>
          <w:p w:rsidR="00875675" w:rsidRPr="00B61EF6"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sidRPr="009B1415">
              <w:rPr>
                <w:sz w:val="16"/>
                <w:szCs w:val="16"/>
              </w:rPr>
              <w:t>Does not smoke now</w:t>
            </w:r>
          </w:p>
        </w:tc>
        <w:tc>
          <w:tcPr>
            <w:tcW w:w="567"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4.9</w:t>
            </w:r>
          </w:p>
        </w:tc>
        <w:tc>
          <w:tcPr>
            <w:tcW w:w="1134"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0.83</w:t>
            </w:r>
          </w:p>
        </w:tc>
        <w:tc>
          <w:tcPr>
            <w:tcW w:w="1096" w:type="dxa"/>
            <w:gridSpan w:val="2"/>
            <w:vAlign w:val="center"/>
          </w:tcPr>
          <w:p w:rsidR="00875675" w:rsidRPr="007E574F" w:rsidRDefault="00875675" w:rsidP="00875675">
            <w:pPr>
              <w:adjustRightInd w:val="0"/>
              <w:spacing w:before="20"/>
              <w:jc w:val="right"/>
              <w:rPr>
                <w:color w:val="000000"/>
                <w:sz w:val="16"/>
                <w:szCs w:val="16"/>
              </w:rPr>
            </w:pPr>
            <w:r>
              <w:rPr>
                <w:color w:val="000000"/>
                <w:sz w:val="16"/>
                <w:szCs w:val="16"/>
              </w:rPr>
              <w:t>(</w:t>
            </w:r>
            <w:r w:rsidRPr="007E574F">
              <w:rPr>
                <w:color w:val="000000"/>
                <w:sz w:val="16"/>
                <w:szCs w:val="16"/>
              </w:rPr>
              <w:t>0.53</w:t>
            </w:r>
            <w:r>
              <w:rPr>
                <w:color w:val="000000"/>
                <w:sz w:val="16"/>
                <w:szCs w:val="16"/>
              </w:rPr>
              <w:t xml:space="preserve"> - </w:t>
            </w:r>
            <w:r w:rsidRPr="007E574F">
              <w:rPr>
                <w:color w:val="000000"/>
                <w:sz w:val="16"/>
                <w:szCs w:val="16"/>
              </w:rPr>
              <w:t>1.31</w:t>
            </w:r>
            <w:r>
              <w:rPr>
                <w:color w:val="000000"/>
                <w:sz w:val="16"/>
                <w:szCs w:val="16"/>
              </w:rPr>
              <w:t>)</w:t>
            </w:r>
          </w:p>
        </w:tc>
        <w:tc>
          <w:tcPr>
            <w:tcW w:w="747" w:type="dxa"/>
            <w:vAlign w:val="center"/>
          </w:tcPr>
          <w:p w:rsidR="00875675" w:rsidRPr="007E574F"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Pr>
                <w:sz w:val="16"/>
                <w:szCs w:val="16"/>
              </w:rPr>
              <w:t>Smokes at least once a day</w:t>
            </w:r>
          </w:p>
        </w:tc>
        <w:tc>
          <w:tcPr>
            <w:tcW w:w="567"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11.9</w:t>
            </w:r>
          </w:p>
        </w:tc>
        <w:tc>
          <w:tcPr>
            <w:tcW w:w="1134"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2.17</w:t>
            </w:r>
          </w:p>
        </w:tc>
        <w:tc>
          <w:tcPr>
            <w:tcW w:w="1096" w:type="dxa"/>
            <w:gridSpan w:val="2"/>
            <w:vAlign w:val="center"/>
          </w:tcPr>
          <w:p w:rsidR="00875675" w:rsidRPr="007E574F" w:rsidRDefault="00875675" w:rsidP="00875675">
            <w:pPr>
              <w:adjustRightInd w:val="0"/>
              <w:spacing w:before="20"/>
              <w:jc w:val="right"/>
              <w:rPr>
                <w:color w:val="000000"/>
                <w:sz w:val="16"/>
                <w:szCs w:val="16"/>
              </w:rPr>
            </w:pPr>
            <w:r>
              <w:rPr>
                <w:color w:val="000000"/>
                <w:sz w:val="16"/>
                <w:szCs w:val="16"/>
              </w:rPr>
              <w:t>(</w:t>
            </w:r>
            <w:r w:rsidRPr="007E574F">
              <w:rPr>
                <w:color w:val="000000"/>
                <w:sz w:val="16"/>
                <w:szCs w:val="16"/>
              </w:rPr>
              <w:t>1.39</w:t>
            </w:r>
            <w:r>
              <w:rPr>
                <w:color w:val="000000"/>
                <w:sz w:val="16"/>
                <w:szCs w:val="16"/>
              </w:rPr>
              <w:t xml:space="preserve"> - </w:t>
            </w:r>
            <w:r w:rsidRPr="007E574F">
              <w:rPr>
                <w:color w:val="000000"/>
                <w:sz w:val="16"/>
                <w:szCs w:val="16"/>
              </w:rPr>
              <w:t>3.39</w:t>
            </w:r>
            <w:r>
              <w:rPr>
                <w:color w:val="000000"/>
                <w:sz w:val="16"/>
                <w:szCs w:val="16"/>
              </w:rPr>
              <w:t>)</w:t>
            </w:r>
          </w:p>
        </w:tc>
        <w:tc>
          <w:tcPr>
            <w:tcW w:w="747" w:type="dxa"/>
            <w:vAlign w:val="center"/>
          </w:tcPr>
          <w:p w:rsidR="00875675" w:rsidRPr="007E574F"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Pr>
                <w:sz w:val="16"/>
                <w:szCs w:val="16"/>
              </w:rPr>
              <w:t>Smokes at least once a week</w:t>
            </w:r>
          </w:p>
        </w:tc>
        <w:tc>
          <w:tcPr>
            <w:tcW w:w="567" w:type="dxa"/>
            <w:vAlign w:val="center"/>
          </w:tcPr>
          <w:p w:rsidR="00875675" w:rsidRPr="007E574F" w:rsidRDefault="00875675" w:rsidP="00875675">
            <w:pPr>
              <w:adjustRightInd w:val="0"/>
              <w:spacing w:before="20"/>
              <w:jc w:val="right"/>
              <w:rPr>
                <w:color w:val="000000"/>
                <w:sz w:val="16"/>
                <w:szCs w:val="16"/>
              </w:rPr>
            </w:pPr>
            <w:r>
              <w:rPr>
                <w:color w:val="000000"/>
                <w:sz w:val="16"/>
                <w:szCs w:val="16"/>
              </w:rPr>
              <w:t>5.8</w:t>
            </w:r>
          </w:p>
        </w:tc>
        <w:tc>
          <w:tcPr>
            <w:tcW w:w="1134"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0.99</w:t>
            </w:r>
          </w:p>
        </w:tc>
        <w:tc>
          <w:tcPr>
            <w:tcW w:w="1096" w:type="dxa"/>
            <w:gridSpan w:val="2"/>
            <w:vAlign w:val="center"/>
          </w:tcPr>
          <w:p w:rsidR="00875675" w:rsidRPr="007E574F" w:rsidRDefault="00875675" w:rsidP="00875675">
            <w:pPr>
              <w:adjustRightInd w:val="0"/>
              <w:spacing w:before="20"/>
              <w:jc w:val="right"/>
              <w:rPr>
                <w:color w:val="000000"/>
                <w:sz w:val="16"/>
                <w:szCs w:val="16"/>
              </w:rPr>
            </w:pPr>
            <w:r>
              <w:rPr>
                <w:color w:val="000000"/>
                <w:sz w:val="16"/>
                <w:szCs w:val="16"/>
              </w:rPr>
              <w:t>(</w:t>
            </w:r>
            <w:r w:rsidRPr="007E574F">
              <w:rPr>
                <w:color w:val="000000"/>
                <w:sz w:val="16"/>
                <w:szCs w:val="16"/>
              </w:rPr>
              <w:t>0.20</w:t>
            </w:r>
            <w:r>
              <w:rPr>
                <w:color w:val="000000"/>
                <w:sz w:val="16"/>
                <w:szCs w:val="16"/>
              </w:rPr>
              <w:t xml:space="preserve"> - </w:t>
            </w:r>
            <w:r w:rsidRPr="007E574F">
              <w:rPr>
                <w:color w:val="000000"/>
                <w:sz w:val="16"/>
                <w:szCs w:val="16"/>
              </w:rPr>
              <w:t>4.92</w:t>
            </w:r>
            <w:r>
              <w:rPr>
                <w:color w:val="000000"/>
                <w:sz w:val="16"/>
                <w:szCs w:val="16"/>
              </w:rPr>
              <w:t>)</w:t>
            </w:r>
          </w:p>
        </w:tc>
        <w:tc>
          <w:tcPr>
            <w:tcW w:w="747" w:type="dxa"/>
            <w:vAlign w:val="center"/>
          </w:tcPr>
          <w:p w:rsidR="00875675" w:rsidRPr="007E574F" w:rsidRDefault="00875675" w:rsidP="00875675">
            <w:pPr>
              <w:adjustRightInd w:val="0"/>
              <w:spacing w:before="20"/>
              <w:jc w:val="right"/>
              <w:rPr>
                <w:color w:val="000000"/>
                <w:sz w:val="16"/>
                <w:szCs w:val="16"/>
              </w:rPr>
            </w:pPr>
          </w:p>
        </w:tc>
      </w:tr>
      <w:tr w:rsidR="00875675" w:rsidRPr="009B1415" w:rsidTr="00F959A8">
        <w:tc>
          <w:tcPr>
            <w:tcW w:w="4928" w:type="dxa"/>
          </w:tcPr>
          <w:p w:rsidR="00875675" w:rsidRPr="009B1415" w:rsidRDefault="00875675" w:rsidP="00875675">
            <w:pPr>
              <w:spacing w:before="20"/>
              <w:ind w:left="176"/>
              <w:jc w:val="both"/>
              <w:rPr>
                <w:sz w:val="16"/>
                <w:szCs w:val="16"/>
              </w:rPr>
            </w:pPr>
            <w:r>
              <w:rPr>
                <w:sz w:val="16"/>
                <w:szCs w:val="16"/>
              </w:rPr>
              <w:t>Smokes at least once a month</w:t>
            </w:r>
          </w:p>
        </w:tc>
        <w:tc>
          <w:tcPr>
            <w:tcW w:w="567"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1.7</w:t>
            </w:r>
          </w:p>
        </w:tc>
        <w:tc>
          <w:tcPr>
            <w:tcW w:w="1134" w:type="dxa"/>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0.28</w:t>
            </w:r>
          </w:p>
        </w:tc>
        <w:tc>
          <w:tcPr>
            <w:tcW w:w="1096" w:type="dxa"/>
            <w:gridSpan w:val="2"/>
            <w:vAlign w:val="center"/>
          </w:tcPr>
          <w:p w:rsidR="00875675" w:rsidRPr="007E574F" w:rsidRDefault="00875675" w:rsidP="00875675">
            <w:pPr>
              <w:adjustRightInd w:val="0"/>
              <w:spacing w:before="20"/>
              <w:jc w:val="right"/>
              <w:rPr>
                <w:color w:val="000000"/>
                <w:sz w:val="16"/>
                <w:szCs w:val="16"/>
              </w:rPr>
            </w:pPr>
            <w:r>
              <w:rPr>
                <w:color w:val="000000"/>
                <w:sz w:val="16"/>
                <w:szCs w:val="16"/>
              </w:rPr>
              <w:t>(</w:t>
            </w:r>
            <w:r w:rsidRPr="007E574F">
              <w:rPr>
                <w:color w:val="000000"/>
                <w:sz w:val="16"/>
                <w:szCs w:val="16"/>
              </w:rPr>
              <w:t>0.04</w:t>
            </w:r>
            <w:r>
              <w:rPr>
                <w:color w:val="000000"/>
                <w:sz w:val="16"/>
                <w:szCs w:val="16"/>
              </w:rPr>
              <w:t xml:space="preserve"> - </w:t>
            </w:r>
            <w:r w:rsidRPr="007E574F">
              <w:rPr>
                <w:color w:val="000000"/>
                <w:sz w:val="16"/>
                <w:szCs w:val="16"/>
              </w:rPr>
              <w:t>2.19</w:t>
            </w:r>
            <w:r>
              <w:rPr>
                <w:color w:val="000000"/>
                <w:sz w:val="16"/>
                <w:szCs w:val="16"/>
              </w:rPr>
              <w:t>)</w:t>
            </w:r>
          </w:p>
        </w:tc>
        <w:tc>
          <w:tcPr>
            <w:tcW w:w="747" w:type="dxa"/>
            <w:vAlign w:val="center"/>
          </w:tcPr>
          <w:p w:rsidR="00875675" w:rsidRPr="007E574F" w:rsidRDefault="00875675" w:rsidP="00875675">
            <w:pPr>
              <w:adjustRightInd w:val="0"/>
              <w:spacing w:before="20"/>
              <w:jc w:val="right"/>
              <w:rPr>
                <w:color w:val="000000"/>
                <w:sz w:val="16"/>
                <w:szCs w:val="16"/>
              </w:rPr>
            </w:pPr>
          </w:p>
        </w:tc>
      </w:tr>
      <w:tr w:rsidR="00875675" w:rsidRPr="009B1415" w:rsidTr="00F959A8">
        <w:tc>
          <w:tcPr>
            <w:tcW w:w="4928" w:type="dxa"/>
            <w:tcBorders>
              <w:bottom w:val="single" w:sz="4" w:space="0" w:color="auto"/>
            </w:tcBorders>
          </w:tcPr>
          <w:p w:rsidR="00875675" w:rsidRPr="009B1415" w:rsidRDefault="00875675" w:rsidP="00875675">
            <w:pPr>
              <w:spacing w:before="20"/>
              <w:ind w:left="176"/>
              <w:jc w:val="both"/>
              <w:rPr>
                <w:sz w:val="16"/>
                <w:szCs w:val="16"/>
              </w:rPr>
            </w:pPr>
            <w:r w:rsidRPr="009B1415">
              <w:rPr>
                <w:sz w:val="16"/>
                <w:szCs w:val="16"/>
              </w:rPr>
              <w:t>Never smoked</w:t>
            </w:r>
          </w:p>
        </w:tc>
        <w:tc>
          <w:tcPr>
            <w:tcW w:w="567" w:type="dxa"/>
            <w:tcBorders>
              <w:bottom w:val="single" w:sz="4" w:space="0" w:color="auto"/>
            </w:tcBorders>
            <w:vAlign w:val="center"/>
          </w:tcPr>
          <w:p w:rsidR="00875675" w:rsidRPr="007E574F" w:rsidRDefault="00875675" w:rsidP="00875675">
            <w:pPr>
              <w:adjustRightInd w:val="0"/>
              <w:spacing w:before="20"/>
              <w:jc w:val="right"/>
              <w:rPr>
                <w:color w:val="000000"/>
                <w:sz w:val="16"/>
                <w:szCs w:val="16"/>
              </w:rPr>
            </w:pPr>
            <w:r>
              <w:rPr>
                <w:color w:val="000000"/>
                <w:sz w:val="16"/>
                <w:szCs w:val="16"/>
              </w:rPr>
              <w:t>5.9</w:t>
            </w:r>
          </w:p>
        </w:tc>
        <w:tc>
          <w:tcPr>
            <w:tcW w:w="1134" w:type="dxa"/>
            <w:tcBorders>
              <w:bottom w:val="single" w:sz="4" w:space="0" w:color="auto"/>
            </w:tcBorders>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1.00</w:t>
            </w:r>
          </w:p>
        </w:tc>
        <w:tc>
          <w:tcPr>
            <w:tcW w:w="709" w:type="dxa"/>
            <w:tcBorders>
              <w:bottom w:val="single" w:sz="4" w:space="0" w:color="auto"/>
            </w:tcBorders>
            <w:vAlign w:val="center"/>
          </w:tcPr>
          <w:p w:rsidR="00875675" w:rsidRPr="007E574F" w:rsidRDefault="00875675" w:rsidP="00875675">
            <w:pPr>
              <w:adjustRightInd w:val="0"/>
              <w:spacing w:before="20"/>
              <w:jc w:val="right"/>
              <w:rPr>
                <w:color w:val="000000"/>
                <w:sz w:val="16"/>
                <w:szCs w:val="16"/>
              </w:rPr>
            </w:pPr>
          </w:p>
        </w:tc>
        <w:tc>
          <w:tcPr>
            <w:tcW w:w="387" w:type="dxa"/>
            <w:tcBorders>
              <w:bottom w:val="single" w:sz="4" w:space="0" w:color="auto"/>
            </w:tcBorders>
            <w:vAlign w:val="center"/>
          </w:tcPr>
          <w:p w:rsidR="00875675" w:rsidRPr="007E574F" w:rsidRDefault="00875675" w:rsidP="00875675">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875675" w:rsidRPr="007E574F" w:rsidRDefault="00875675" w:rsidP="00875675">
            <w:pPr>
              <w:adjustRightInd w:val="0"/>
              <w:spacing w:before="20"/>
              <w:jc w:val="right"/>
              <w:rPr>
                <w:color w:val="000000"/>
                <w:sz w:val="16"/>
                <w:szCs w:val="16"/>
              </w:rPr>
            </w:pPr>
            <w:r w:rsidRPr="007E574F">
              <w:rPr>
                <w:color w:val="000000"/>
                <w:sz w:val="16"/>
                <w:szCs w:val="16"/>
              </w:rPr>
              <w:t>&lt;</w:t>
            </w:r>
            <w:r>
              <w:rPr>
                <w:color w:val="000000"/>
                <w:sz w:val="16"/>
                <w:szCs w:val="16"/>
              </w:rPr>
              <w:t>0</w:t>
            </w:r>
            <w:r w:rsidRPr="007E574F">
              <w:rPr>
                <w:color w:val="000000"/>
                <w:sz w:val="16"/>
                <w:szCs w:val="16"/>
              </w:rPr>
              <w:t>.0001</w:t>
            </w:r>
          </w:p>
        </w:tc>
      </w:tr>
    </w:tbl>
    <w:p w:rsidR="00B41811" w:rsidRPr="0034241E" w:rsidRDefault="00B41811" w:rsidP="00B41811">
      <w:pPr>
        <w:rPr>
          <w:sz w:val="18"/>
        </w:rPr>
      </w:pPr>
      <w:r>
        <w:rPr>
          <w:sz w:val="18"/>
        </w:rPr>
        <w:t>Data</w:t>
      </w:r>
      <w:r w:rsidRPr="0034241E">
        <w:rPr>
          <w:sz w:val="18"/>
        </w:rPr>
        <w:t xml:space="preserve"> weighted for 2013 Census data (both Waves) and attrition (Wave 2)</w:t>
      </w:r>
    </w:p>
    <w:p w:rsidR="00A523AC" w:rsidRDefault="00A523AC">
      <w:r>
        <w:br w:type="page"/>
      </w:r>
    </w:p>
    <w:p w:rsidR="00A523AC" w:rsidRDefault="00A523AC" w:rsidP="00A523AC">
      <w:pPr>
        <w:pStyle w:val="Heading3b"/>
        <w:numPr>
          <w:ilvl w:val="0"/>
          <w:numId w:val="0"/>
        </w:numPr>
        <w:spacing w:before="0" w:after="0"/>
        <w:jc w:val="both"/>
        <w:rPr>
          <w:rFonts w:ascii="Times New Roman" w:hAnsi="Times New Roman" w:cs="Times New Roman"/>
          <w:b/>
          <w:i w:val="0"/>
        </w:rPr>
      </w:pPr>
      <w:bookmarkStart w:id="279" w:name="_Toc420392635"/>
      <w:r w:rsidRPr="00F860F1">
        <w:rPr>
          <w:rFonts w:ascii="Times New Roman" w:hAnsi="Times New Roman" w:cs="Times New Roman"/>
          <w:b/>
          <w:i w:val="0"/>
        </w:rPr>
        <w:lastRenderedPageBreak/>
        <w:t xml:space="preserve">Appendix </w:t>
      </w:r>
      <w:r w:rsidRPr="00F860F1">
        <w:rPr>
          <w:rFonts w:ascii="Times New Roman" w:hAnsi="Times New Roman" w:cs="Times New Roman"/>
          <w:b/>
          <w:i w:val="0"/>
        </w:rPr>
        <w:fldChar w:fldCharType="begin"/>
      </w:r>
      <w:r w:rsidRPr="00F860F1">
        <w:rPr>
          <w:rFonts w:ascii="Times New Roman" w:hAnsi="Times New Roman" w:cs="Times New Roman"/>
          <w:b/>
          <w:i w:val="0"/>
        </w:rPr>
        <w:instrText xml:space="preserve"> SEQ Appendix \* ARABIC </w:instrText>
      </w:r>
      <w:r w:rsidRPr="00F860F1">
        <w:rPr>
          <w:rFonts w:ascii="Times New Roman" w:hAnsi="Times New Roman" w:cs="Times New Roman"/>
          <w:b/>
          <w:i w:val="0"/>
        </w:rPr>
        <w:fldChar w:fldCharType="separate"/>
      </w:r>
      <w:r w:rsidR="00B2175B">
        <w:rPr>
          <w:rFonts w:ascii="Times New Roman" w:hAnsi="Times New Roman" w:cs="Times New Roman"/>
          <w:b/>
          <w:i w:val="0"/>
          <w:noProof/>
        </w:rPr>
        <w:t>12</w:t>
      </w:r>
      <w:r w:rsidRPr="00F860F1">
        <w:rPr>
          <w:rFonts w:ascii="Times New Roman" w:hAnsi="Times New Roman" w:cs="Times New Roman"/>
          <w:b/>
          <w:i w:val="0"/>
        </w:rPr>
        <w:fldChar w:fldCharType="end"/>
      </w:r>
      <w:r w:rsidRPr="00F860F1">
        <w:rPr>
          <w:rFonts w:ascii="Times New Roman" w:hAnsi="Times New Roman" w:cs="Times New Roman"/>
          <w:b/>
          <w:i w:val="0"/>
        </w:rPr>
        <w:t xml:space="preserve">: </w:t>
      </w:r>
      <w:r w:rsidR="007F2FB4">
        <w:rPr>
          <w:rFonts w:ascii="Times New Roman" w:hAnsi="Times New Roman" w:cs="Times New Roman"/>
          <w:b/>
          <w:i w:val="0"/>
        </w:rPr>
        <w:t>B</w:t>
      </w:r>
      <w:r w:rsidR="00961354">
        <w:rPr>
          <w:rFonts w:ascii="Times New Roman" w:hAnsi="Times New Roman" w:cs="Times New Roman"/>
          <w:b/>
          <w:i w:val="0"/>
        </w:rPr>
        <w:t xml:space="preserve">ivariate </w:t>
      </w:r>
      <w:r w:rsidR="007F2FB4">
        <w:rPr>
          <w:rFonts w:ascii="Times New Roman" w:hAnsi="Times New Roman" w:cs="Times New Roman"/>
          <w:b/>
          <w:i w:val="0"/>
        </w:rPr>
        <w:t>associations</w:t>
      </w:r>
      <w:r w:rsidRPr="00F860F1">
        <w:rPr>
          <w:rFonts w:ascii="Times New Roman" w:hAnsi="Times New Roman" w:cs="Times New Roman"/>
          <w:b/>
          <w:i w:val="0"/>
        </w:rPr>
        <w:t xml:space="preserve"> for staying as low-risk/moderate-risk/problem gambler </w:t>
      </w:r>
      <w:r w:rsidR="007C56C7">
        <w:rPr>
          <w:rFonts w:ascii="Times New Roman" w:hAnsi="Times New Roman" w:cs="Times New Roman"/>
          <w:b/>
          <w:i w:val="0"/>
        </w:rPr>
        <w:t>in</w:t>
      </w:r>
      <w:r w:rsidRPr="00F860F1">
        <w:rPr>
          <w:rFonts w:ascii="Times New Roman" w:hAnsi="Times New Roman" w:cs="Times New Roman"/>
          <w:b/>
          <w:i w:val="0"/>
        </w:rPr>
        <w:t xml:space="preserve"> Wave 2</w:t>
      </w:r>
      <w:bookmarkEnd w:id="279"/>
    </w:p>
    <w:p w:rsidR="00CB35E8" w:rsidRDefault="00CB35E8" w:rsidP="00370C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972"/>
        <w:gridCol w:w="1108"/>
        <w:gridCol w:w="831"/>
        <w:gridCol w:w="382"/>
        <w:gridCol w:w="747"/>
      </w:tblGrid>
      <w:tr w:rsidR="00A523AC" w:rsidRPr="009B1415" w:rsidTr="00F959A8">
        <w:trPr>
          <w:tblHeader/>
        </w:trPr>
        <w:tc>
          <w:tcPr>
            <w:tcW w:w="4266" w:type="dxa"/>
            <w:tcBorders>
              <w:top w:val="single" w:sz="4" w:space="0" w:color="auto"/>
              <w:bottom w:val="single" w:sz="4" w:space="0" w:color="auto"/>
            </w:tcBorders>
            <w:vAlign w:val="bottom"/>
          </w:tcPr>
          <w:p w:rsidR="00A523AC" w:rsidRPr="009B1415" w:rsidRDefault="00A523AC" w:rsidP="00B80631">
            <w:pPr>
              <w:spacing w:before="20"/>
              <w:jc w:val="both"/>
              <w:rPr>
                <w:b/>
                <w:sz w:val="16"/>
                <w:szCs w:val="16"/>
              </w:rPr>
            </w:pPr>
            <w:r w:rsidRPr="009B1415">
              <w:rPr>
                <w:b/>
                <w:sz w:val="16"/>
                <w:szCs w:val="16"/>
              </w:rPr>
              <w:t>Variable</w:t>
            </w:r>
          </w:p>
        </w:tc>
        <w:tc>
          <w:tcPr>
            <w:tcW w:w="972" w:type="dxa"/>
            <w:tcBorders>
              <w:top w:val="single" w:sz="4" w:space="0" w:color="auto"/>
              <w:bottom w:val="single" w:sz="4" w:space="0" w:color="auto"/>
            </w:tcBorders>
            <w:vAlign w:val="center"/>
          </w:tcPr>
          <w:p w:rsidR="00A523AC" w:rsidRPr="003F15C0" w:rsidRDefault="00A523AC" w:rsidP="00BF4D66">
            <w:pPr>
              <w:spacing w:before="20"/>
              <w:jc w:val="right"/>
              <w:rPr>
                <w:b/>
                <w:bCs/>
                <w:color w:val="000000"/>
                <w:sz w:val="16"/>
                <w:szCs w:val="16"/>
              </w:rPr>
            </w:pPr>
            <w:r w:rsidRPr="003F15C0">
              <w:rPr>
                <w:b/>
                <w:bCs/>
                <w:color w:val="000000"/>
                <w:sz w:val="16"/>
                <w:szCs w:val="16"/>
              </w:rPr>
              <w:t>%</w:t>
            </w:r>
          </w:p>
        </w:tc>
        <w:tc>
          <w:tcPr>
            <w:tcW w:w="1108" w:type="dxa"/>
            <w:tcBorders>
              <w:top w:val="single" w:sz="4" w:space="0" w:color="auto"/>
              <w:bottom w:val="single" w:sz="4" w:space="0" w:color="auto"/>
            </w:tcBorders>
            <w:vAlign w:val="center"/>
          </w:tcPr>
          <w:p w:rsidR="00A523AC" w:rsidRPr="003F15C0" w:rsidRDefault="00A523AC" w:rsidP="00BF4D66">
            <w:pPr>
              <w:spacing w:before="20"/>
              <w:jc w:val="right"/>
              <w:rPr>
                <w:b/>
                <w:color w:val="000000"/>
                <w:sz w:val="16"/>
                <w:szCs w:val="16"/>
              </w:rPr>
            </w:pPr>
            <w:r w:rsidRPr="003F15C0">
              <w:rPr>
                <w:b/>
                <w:color w:val="000000"/>
                <w:sz w:val="16"/>
                <w:szCs w:val="16"/>
              </w:rPr>
              <w:t>Odds Ratio</w:t>
            </w:r>
          </w:p>
        </w:tc>
        <w:tc>
          <w:tcPr>
            <w:tcW w:w="1213" w:type="dxa"/>
            <w:gridSpan w:val="2"/>
            <w:tcBorders>
              <w:top w:val="single" w:sz="4" w:space="0" w:color="auto"/>
              <w:bottom w:val="single" w:sz="4" w:space="0" w:color="auto"/>
            </w:tcBorders>
            <w:vAlign w:val="center"/>
          </w:tcPr>
          <w:p w:rsidR="00A523AC" w:rsidRPr="003F15C0" w:rsidRDefault="002E5C0E" w:rsidP="00BF4D66">
            <w:pPr>
              <w:spacing w:before="20"/>
              <w:jc w:val="right"/>
              <w:rPr>
                <w:b/>
                <w:color w:val="000000"/>
                <w:sz w:val="16"/>
                <w:szCs w:val="16"/>
              </w:rPr>
            </w:pPr>
            <w:r w:rsidRPr="003F15C0">
              <w:rPr>
                <w:b/>
                <w:color w:val="000000"/>
                <w:sz w:val="16"/>
                <w:szCs w:val="16"/>
              </w:rPr>
              <w:t>(</w:t>
            </w:r>
            <w:r w:rsidR="00A523AC" w:rsidRPr="003F15C0">
              <w:rPr>
                <w:b/>
                <w:color w:val="000000"/>
                <w:sz w:val="16"/>
                <w:szCs w:val="16"/>
              </w:rPr>
              <w:t>95% CI</w:t>
            </w:r>
            <w:r w:rsidRPr="003F15C0">
              <w:rPr>
                <w:b/>
                <w:color w:val="000000"/>
                <w:sz w:val="16"/>
                <w:szCs w:val="16"/>
              </w:rPr>
              <w:t>)</w:t>
            </w:r>
          </w:p>
        </w:tc>
        <w:tc>
          <w:tcPr>
            <w:tcW w:w="747" w:type="dxa"/>
            <w:tcBorders>
              <w:top w:val="single" w:sz="4" w:space="0" w:color="auto"/>
              <w:bottom w:val="single" w:sz="4" w:space="0" w:color="auto"/>
            </w:tcBorders>
            <w:vAlign w:val="center"/>
          </w:tcPr>
          <w:p w:rsidR="00A523AC" w:rsidRPr="003F15C0" w:rsidRDefault="00A523AC" w:rsidP="00BF4D66">
            <w:pPr>
              <w:spacing w:before="20"/>
              <w:jc w:val="right"/>
              <w:rPr>
                <w:b/>
                <w:color w:val="000000"/>
                <w:sz w:val="16"/>
                <w:szCs w:val="16"/>
              </w:rPr>
            </w:pPr>
            <w:r w:rsidRPr="003F15C0">
              <w:rPr>
                <w:b/>
                <w:color w:val="000000"/>
                <w:sz w:val="16"/>
                <w:szCs w:val="16"/>
              </w:rPr>
              <w:t>p-value</w:t>
            </w:r>
          </w:p>
        </w:tc>
      </w:tr>
      <w:tr w:rsidR="00A523AC" w:rsidRPr="009B1415" w:rsidTr="00F959A8">
        <w:tc>
          <w:tcPr>
            <w:tcW w:w="4266" w:type="dxa"/>
            <w:tcBorders>
              <w:top w:val="single" w:sz="4" w:space="0" w:color="auto"/>
            </w:tcBorders>
            <w:vAlign w:val="bottom"/>
          </w:tcPr>
          <w:p w:rsidR="00A523AC" w:rsidRPr="009B1415" w:rsidRDefault="00A523AC" w:rsidP="00B80631">
            <w:pPr>
              <w:spacing w:before="20"/>
              <w:jc w:val="both"/>
              <w:rPr>
                <w:b/>
                <w:sz w:val="16"/>
                <w:szCs w:val="16"/>
              </w:rPr>
            </w:pPr>
            <w:r w:rsidRPr="009B1415">
              <w:rPr>
                <w:b/>
                <w:sz w:val="16"/>
                <w:szCs w:val="16"/>
              </w:rPr>
              <w:t>Age group (years)</w:t>
            </w:r>
          </w:p>
        </w:tc>
        <w:tc>
          <w:tcPr>
            <w:tcW w:w="972" w:type="dxa"/>
            <w:tcBorders>
              <w:top w:val="single" w:sz="4" w:space="0" w:color="auto"/>
            </w:tcBorders>
            <w:vAlign w:val="center"/>
          </w:tcPr>
          <w:p w:rsidR="00A523AC" w:rsidRPr="009B1415" w:rsidRDefault="00A523AC" w:rsidP="00BF4D66">
            <w:pPr>
              <w:spacing w:before="20"/>
              <w:jc w:val="right"/>
              <w:rPr>
                <w:rFonts w:ascii="Calibri" w:hAnsi="Calibri"/>
                <w:b/>
                <w:bCs/>
                <w:color w:val="000000"/>
                <w:sz w:val="16"/>
                <w:szCs w:val="16"/>
              </w:rPr>
            </w:pPr>
          </w:p>
        </w:tc>
        <w:tc>
          <w:tcPr>
            <w:tcW w:w="1108" w:type="dxa"/>
            <w:tcBorders>
              <w:top w:val="single" w:sz="4" w:space="0" w:color="auto"/>
            </w:tcBorders>
            <w:vAlign w:val="center"/>
          </w:tcPr>
          <w:p w:rsidR="00A523AC" w:rsidRPr="009B1415" w:rsidRDefault="00A523AC" w:rsidP="00BF4D66">
            <w:pPr>
              <w:spacing w:before="20"/>
              <w:jc w:val="right"/>
              <w:rPr>
                <w:rFonts w:ascii="Calibri" w:hAnsi="Calibri"/>
                <w:b/>
                <w:color w:val="000000"/>
                <w:sz w:val="16"/>
                <w:szCs w:val="16"/>
              </w:rPr>
            </w:pPr>
          </w:p>
        </w:tc>
        <w:tc>
          <w:tcPr>
            <w:tcW w:w="831" w:type="dxa"/>
            <w:tcBorders>
              <w:top w:val="single" w:sz="4" w:space="0" w:color="auto"/>
            </w:tcBorders>
            <w:vAlign w:val="center"/>
          </w:tcPr>
          <w:p w:rsidR="00A523AC" w:rsidRPr="009B1415" w:rsidRDefault="00A523AC" w:rsidP="00BF4D66">
            <w:pPr>
              <w:spacing w:before="20"/>
              <w:jc w:val="right"/>
              <w:rPr>
                <w:rFonts w:ascii="Calibri" w:hAnsi="Calibri"/>
                <w:b/>
                <w:color w:val="000000"/>
                <w:sz w:val="16"/>
                <w:szCs w:val="16"/>
              </w:rPr>
            </w:pPr>
          </w:p>
        </w:tc>
        <w:tc>
          <w:tcPr>
            <w:tcW w:w="382" w:type="dxa"/>
            <w:tcBorders>
              <w:top w:val="single" w:sz="4" w:space="0" w:color="auto"/>
            </w:tcBorders>
            <w:vAlign w:val="center"/>
          </w:tcPr>
          <w:p w:rsidR="00A523AC" w:rsidRPr="009B1415" w:rsidRDefault="00A523AC" w:rsidP="00BF4D66">
            <w:pPr>
              <w:spacing w:before="20"/>
              <w:jc w:val="right"/>
              <w:rPr>
                <w:rFonts w:ascii="Calibri" w:hAnsi="Calibri"/>
                <w:b/>
                <w:color w:val="000000"/>
                <w:sz w:val="16"/>
                <w:szCs w:val="16"/>
              </w:rPr>
            </w:pPr>
          </w:p>
        </w:tc>
        <w:tc>
          <w:tcPr>
            <w:tcW w:w="747" w:type="dxa"/>
            <w:tcBorders>
              <w:top w:val="single" w:sz="4" w:space="0" w:color="auto"/>
            </w:tcBorders>
            <w:vAlign w:val="center"/>
          </w:tcPr>
          <w:p w:rsidR="00A523AC" w:rsidRPr="009B1415" w:rsidRDefault="00A523AC" w:rsidP="00BF4D66">
            <w:pPr>
              <w:spacing w:before="20"/>
              <w:jc w:val="right"/>
              <w:rPr>
                <w:rFonts w:ascii="Calibri" w:hAnsi="Calibri"/>
                <w:b/>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sidRPr="009B1415">
              <w:rPr>
                <w:sz w:val="16"/>
                <w:szCs w:val="16"/>
              </w:rPr>
              <w:t>18 - 24</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35.9</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25 - 34</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40.0</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1.19</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0.32</w:t>
            </w:r>
            <w:r w:rsidR="002E5C0E">
              <w:rPr>
                <w:color w:val="000000"/>
                <w:sz w:val="16"/>
                <w:szCs w:val="16"/>
              </w:rPr>
              <w:t xml:space="preserve"> - </w:t>
            </w:r>
            <w:r w:rsidR="002E5C0E" w:rsidRPr="00F952D3">
              <w:rPr>
                <w:color w:val="000000"/>
                <w:sz w:val="16"/>
                <w:szCs w:val="16"/>
              </w:rPr>
              <w:t>4.48</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35 - 44</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48.5</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1.68</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0.44</w:t>
            </w:r>
            <w:r w:rsidR="002E5C0E">
              <w:rPr>
                <w:color w:val="000000"/>
                <w:sz w:val="16"/>
                <w:szCs w:val="16"/>
              </w:rPr>
              <w:t xml:space="preserve"> - </w:t>
            </w:r>
            <w:r w:rsidR="002E5C0E" w:rsidRPr="00F952D3">
              <w:rPr>
                <w:color w:val="000000"/>
                <w:sz w:val="16"/>
                <w:szCs w:val="16"/>
              </w:rPr>
              <w:t>6.40</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45 - 54</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59.3</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2.60</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0.67</w:t>
            </w:r>
            <w:r w:rsidR="002E5C0E">
              <w:rPr>
                <w:color w:val="000000"/>
                <w:sz w:val="16"/>
                <w:szCs w:val="16"/>
              </w:rPr>
              <w:t xml:space="preserve"> - </w:t>
            </w:r>
            <w:r w:rsidR="002E5C0E" w:rsidRPr="00F952D3">
              <w:rPr>
                <w:color w:val="000000"/>
                <w:sz w:val="16"/>
                <w:szCs w:val="16"/>
              </w:rPr>
              <w:t>10.07</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55</w:t>
            </w:r>
            <w:r>
              <w:rPr>
                <w:sz w:val="16"/>
                <w:szCs w:val="16"/>
              </w:rPr>
              <w:t xml:space="preserve"> - 64</w:t>
            </w:r>
            <w:r w:rsidRPr="009B1415">
              <w:rPr>
                <w:sz w:val="16"/>
                <w:szCs w:val="16"/>
              </w:rPr>
              <w:t xml:space="preserve"> </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57.1</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2.37</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0.57</w:t>
            </w:r>
            <w:r w:rsidR="002E5C0E">
              <w:rPr>
                <w:color w:val="000000"/>
                <w:sz w:val="16"/>
                <w:szCs w:val="16"/>
              </w:rPr>
              <w:t xml:space="preserve"> - </w:t>
            </w:r>
            <w:r w:rsidR="002E5C0E" w:rsidRPr="00F952D3">
              <w:rPr>
                <w:color w:val="000000"/>
                <w:sz w:val="16"/>
                <w:szCs w:val="16"/>
              </w:rPr>
              <w:t>9.79</w:t>
            </w:r>
            <w:r>
              <w:rPr>
                <w:color w:val="000000"/>
                <w:sz w:val="16"/>
                <w:szCs w:val="16"/>
              </w:rPr>
              <w:t>)</w:t>
            </w:r>
          </w:p>
        </w:tc>
        <w:tc>
          <w:tcPr>
            <w:tcW w:w="747" w:type="dxa"/>
            <w:shd w:val="clear" w:color="auto" w:fill="auto"/>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Pr>
                <w:sz w:val="16"/>
                <w:szCs w:val="16"/>
              </w:rPr>
              <w:t>65+</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62.3</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2.94</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0.68</w:t>
            </w:r>
            <w:r w:rsidR="002E5C0E">
              <w:rPr>
                <w:color w:val="000000"/>
                <w:sz w:val="16"/>
                <w:szCs w:val="16"/>
              </w:rPr>
              <w:t xml:space="preserve"> - </w:t>
            </w:r>
            <w:r w:rsidR="002E5C0E" w:rsidRPr="00F952D3">
              <w:rPr>
                <w:color w:val="000000"/>
                <w:sz w:val="16"/>
                <w:szCs w:val="16"/>
              </w:rPr>
              <w:t>12.71</w:t>
            </w:r>
            <w:r>
              <w:rPr>
                <w:color w:val="000000"/>
                <w:sz w:val="16"/>
                <w:szCs w:val="16"/>
              </w:rPr>
              <w:t>)</w:t>
            </w:r>
          </w:p>
        </w:tc>
        <w:tc>
          <w:tcPr>
            <w:tcW w:w="747" w:type="dxa"/>
            <w:shd w:val="clear" w:color="auto" w:fill="auto"/>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0.36</w:t>
            </w:r>
          </w:p>
        </w:tc>
      </w:tr>
      <w:tr w:rsidR="00F952D3" w:rsidRPr="009B1415" w:rsidTr="00F959A8">
        <w:tc>
          <w:tcPr>
            <w:tcW w:w="4266" w:type="dxa"/>
            <w:vAlign w:val="bottom"/>
          </w:tcPr>
          <w:p w:rsidR="00F952D3" w:rsidRPr="009B1415" w:rsidRDefault="00F952D3" w:rsidP="00F952D3">
            <w:pPr>
              <w:spacing w:before="20"/>
              <w:jc w:val="both"/>
              <w:rPr>
                <w:b/>
                <w:sz w:val="16"/>
                <w:szCs w:val="16"/>
              </w:rPr>
            </w:pPr>
            <w:r w:rsidRPr="009B1415">
              <w:rPr>
                <w:b/>
                <w:sz w:val="16"/>
                <w:szCs w:val="16"/>
              </w:rPr>
              <w:t>Gender</w:t>
            </w:r>
          </w:p>
        </w:tc>
        <w:tc>
          <w:tcPr>
            <w:tcW w:w="972" w:type="dxa"/>
            <w:vAlign w:val="center"/>
          </w:tcPr>
          <w:p w:rsidR="00F952D3" w:rsidRPr="00F952D3" w:rsidRDefault="00F952D3" w:rsidP="00BF4D66">
            <w:pPr>
              <w:adjustRightInd w:val="0"/>
              <w:spacing w:before="20"/>
              <w:jc w:val="right"/>
              <w:rPr>
                <w:color w:val="000000"/>
                <w:sz w:val="16"/>
                <w:szCs w:val="16"/>
              </w:rPr>
            </w:pPr>
          </w:p>
        </w:tc>
        <w:tc>
          <w:tcPr>
            <w:tcW w:w="1108" w:type="dxa"/>
            <w:vAlign w:val="center"/>
          </w:tcPr>
          <w:p w:rsidR="00F952D3" w:rsidRPr="00F952D3" w:rsidRDefault="00F952D3" w:rsidP="00BF4D66">
            <w:pPr>
              <w:adjustRightInd w:val="0"/>
              <w:spacing w:before="20"/>
              <w:jc w:val="right"/>
              <w:rPr>
                <w:color w:val="000000"/>
                <w:sz w:val="16"/>
                <w:szCs w:val="16"/>
              </w:rPr>
            </w:pP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Male</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44.5</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0.70</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0.37</w:t>
            </w:r>
            <w:r w:rsidR="002E5C0E">
              <w:rPr>
                <w:color w:val="000000"/>
                <w:sz w:val="16"/>
                <w:szCs w:val="16"/>
              </w:rPr>
              <w:t xml:space="preserve"> - </w:t>
            </w:r>
            <w:r w:rsidR="002E5C0E" w:rsidRPr="00F952D3">
              <w:rPr>
                <w:color w:val="000000"/>
                <w:sz w:val="16"/>
                <w:szCs w:val="16"/>
              </w:rPr>
              <w:t>1.33</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sidRPr="009B1415">
              <w:rPr>
                <w:sz w:val="16"/>
                <w:szCs w:val="16"/>
              </w:rPr>
              <w:t>Female</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53.4</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0.27</w:t>
            </w:r>
          </w:p>
        </w:tc>
      </w:tr>
      <w:tr w:rsidR="00F952D3" w:rsidRPr="009B1415" w:rsidTr="00F959A8">
        <w:tc>
          <w:tcPr>
            <w:tcW w:w="4266" w:type="dxa"/>
            <w:vAlign w:val="bottom"/>
          </w:tcPr>
          <w:p w:rsidR="00F952D3" w:rsidRPr="009B1415" w:rsidRDefault="00F952D3" w:rsidP="00F952D3">
            <w:pPr>
              <w:spacing w:before="20"/>
              <w:jc w:val="both"/>
              <w:rPr>
                <w:b/>
                <w:sz w:val="16"/>
                <w:szCs w:val="16"/>
              </w:rPr>
            </w:pPr>
            <w:r w:rsidRPr="009B1415">
              <w:rPr>
                <w:b/>
                <w:sz w:val="16"/>
                <w:szCs w:val="16"/>
              </w:rPr>
              <w:t>Ethnic group (prioritised)</w:t>
            </w:r>
          </w:p>
        </w:tc>
        <w:tc>
          <w:tcPr>
            <w:tcW w:w="972" w:type="dxa"/>
            <w:vAlign w:val="center"/>
          </w:tcPr>
          <w:p w:rsidR="00F952D3" w:rsidRPr="00F952D3" w:rsidRDefault="00F952D3" w:rsidP="00BF4D66">
            <w:pPr>
              <w:adjustRightInd w:val="0"/>
              <w:spacing w:before="20"/>
              <w:jc w:val="right"/>
              <w:rPr>
                <w:color w:val="000000"/>
                <w:sz w:val="16"/>
                <w:szCs w:val="16"/>
              </w:rPr>
            </w:pPr>
          </w:p>
        </w:tc>
        <w:tc>
          <w:tcPr>
            <w:tcW w:w="1108" w:type="dxa"/>
            <w:vAlign w:val="center"/>
          </w:tcPr>
          <w:p w:rsidR="00F952D3" w:rsidRPr="00F952D3" w:rsidRDefault="00F952D3" w:rsidP="00BF4D66">
            <w:pPr>
              <w:adjustRightInd w:val="0"/>
              <w:spacing w:before="20"/>
              <w:jc w:val="right"/>
              <w:rPr>
                <w:color w:val="000000"/>
                <w:sz w:val="16"/>
                <w:szCs w:val="16"/>
              </w:rPr>
            </w:pP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Māori</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68.3</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2.90</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1.41</w:t>
            </w:r>
            <w:r w:rsidR="002E5C0E">
              <w:rPr>
                <w:color w:val="000000"/>
                <w:sz w:val="16"/>
                <w:szCs w:val="16"/>
              </w:rPr>
              <w:t xml:space="preserve"> - </w:t>
            </w:r>
            <w:r w:rsidR="002E5C0E" w:rsidRPr="00F952D3">
              <w:rPr>
                <w:color w:val="000000"/>
                <w:sz w:val="16"/>
                <w:szCs w:val="16"/>
              </w:rPr>
              <w:t>5.99</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Pacific</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46.8</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1.19</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0.55</w:t>
            </w:r>
            <w:r w:rsidR="002E5C0E">
              <w:rPr>
                <w:color w:val="000000"/>
                <w:sz w:val="16"/>
                <w:szCs w:val="16"/>
              </w:rPr>
              <w:t xml:space="preserve"> - </w:t>
            </w:r>
            <w:r w:rsidR="002E5C0E" w:rsidRPr="00F952D3">
              <w:rPr>
                <w:color w:val="000000"/>
                <w:sz w:val="16"/>
                <w:szCs w:val="16"/>
              </w:rPr>
              <w:t>2.57</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Asian</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44.3</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1.08</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0.32</w:t>
            </w:r>
            <w:r w:rsidR="002E5C0E">
              <w:rPr>
                <w:color w:val="000000"/>
                <w:sz w:val="16"/>
                <w:szCs w:val="16"/>
              </w:rPr>
              <w:t xml:space="preserve"> - </w:t>
            </w:r>
            <w:r w:rsidR="002E5C0E" w:rsidRPr="00F952D3">
              <w:rPr>
                <w:color w:val="000000"/>
                <w:sz w:val="16"/>
                <w:szCs w:val="16"/>
              </w:rPr>
              <w:t>3.61</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sidRPr="009B1415">
              <w:rPr>
                <w:sz w:val="16"/>
                <w:szCs w:val="16"/>
              </w:rPr>
              <w:t>European/Other</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42.5</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shd w:val="clear" w:color="auto" w:fill="D9D9D9" w:themeFill="background1" w:themeFillShade="D9"/>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0.02</w:t>
            </w:r>
          </w:p>
        </w:tc>
      </w:tr>
      <w:tr w:rsidR="00F952D3" w:rsidRPr="009B1415" w:rsidTr="00F959A8">
        <w:tc>
          <w:tcPr>
            <w:tcW w:w="4266" w:type="dxa"/>
            <w:vAlign w:val="bottom"/>
          </w:tcPr>
          <w:p w:rsidR="00F952D3" w:rsidRPr="009B1415" w:rsidRDefault="00F952D3" w:rsidP="00F952D3">
            <w:pPr>
              <w:spacing w:before="20"/>
              <w:jc w:val="both"/>
              <w:rPr>
                <w:b/>
                <w:sz w:val="16"/>
                <w:szCs w:val="16"/>
              </w:rPr>
            </w:pPr>
            <w:r w:rsidRPr="009B1415">
              <w:rPr>
                <w:b/>
                <w:sz w:val="16"/>
                <w:szCs w:val="16"/>
              </w:rPr>
              <w:t>Arrival in NZ</w:t>
            </w:r>
          </w:p>
        </w:tc>
        <w:tc>
          <w:tcPr>
            <w:tcW w:w="972" w:type="dxa"/>
            <w:vAlign w:val="center"/>
          </w:tcPr>
          <w:p w:rsidR="00F952D3" w:rsidRPr="00F952D3" w:rsidRDefault="00F952D3" w:rsidP="00BF4D66">
            <w:pPr>
              <w:adjustRightInd w:val="0"/>
              <w:spacing w:before="20"/>
              <w:jc w:val="right"/>
              <w:rPr>
                <w:color w:val="000000"/>
                <w:sz w:val="16"/>
                <w:szCs w:val="16"/>
              </w:rPr>
            </w:pPr>
          </w:p>
        </w:tc>
        <w:tc>
          <w:tcPr>
            <w:tcW w:w="1108" w:type="dxa"/>
            <w:vAlign w:val="center"/>
          </w:tcPr>
          <w:p w:rsidR="00F952D3" w:rsidRPr="00F952D3" w:rsidRDefault="00F952D3" w:rsidP="00BF4D66">
            <w:pPr>
              <w:adjustRightInd w:val="0"/>
              <w:spacing w:before="20"/>
              <w:jc w:val="right"/>
              <w:rPr>
                <w:color w:val="000000"/>
                <w:sz w:val="16"/>
                <w:szCs w:val="16"/>
              </w:rPr>
            </w:pP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sidRPr="009B1415">
              <w:rPr>
                <w:sz w:val="16"/>
                <w:szCs w:val="16"/>
              </w:rPr>
              <w:t>NZ born</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49.5</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before 2008</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45.9</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0.87</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0.42</w:t>
            </w:r>
            <w:r w:rsidR="002E5C0E">
              <w:rPr>
                <w:color w:val="000000"/>
                <w:sz w:val="16"/>
                <w:szCs w:val="16"/>
              </w:rPr>
              <w:t xml:space="preserve"> - </w:t>
            </w:r>
            <w:r w:rsidR="002E5C0E" w:rsidRPr="00F952D3">
              <w:rPr>
                <w:color w:val="000000"/>
                <w:sz w:val="16"/>
                <w:szCs w:val="16"/>
              </w:rPr>
              <w:t>1.77</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since 2008</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40.2</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0.69</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0.13</w:t>
            </w:r>
            <w:r w:rsidR="002E5C0E">
              <w:rPr>
                <w:color w:val="000000"/>
                <w:sz w:val="16"/>
                <w:szCs w:val="16"/>
              </w:rPr>
              <w:t xml:space="preserve"> - </w:t>
            </w:r>
            <w:r w:rsidR="002E5C0E" w:rsidRPr="00F952D3">
              <w:rPr>
                <w:color w:val="000000"/>
                <w:sz w:val="16"/>
                <w:szCs w:val="16"/>
              </w:rPr>
              <w:t>3.53</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0.85</w:t>
            </w:r>
          </w:p>
        </w:tc>
      </w:tr>
      <w:tr w:rsidR="00F952D3" w:rsidRPr="009B1415" w:rsidTr="00F959A8">
        <w:tc>
          <w:tcPr>
            <w:tcW w:w="4266" w:type="dxa"/>
            <w:vAlign w:val="bottom"/>
          </w:tcPr>
          <w:p w:rsidR="00F952D3" w:rsidRPr="009B1415" w:rsidRDefault="00F952D3" w:rsidP="00C41FBE">
            <w:pPr>
              <w:spacing w:before="20"/>
              <w:jc w:val="both"/>
              <w:rPr>
                <w:b/>
                <w:sz w:val="16"/>
                <w:szCs w:val="16"/>
              </w:rPr>
            </w:pPr>
            <w:r w:rsidRPr="009B1415">
              <w:rPr>
                <w:b/>
                <w:sz w:val="16"/>
                <w:szCs w:val="16"/>
              </w:rPr>
              <w:t xml:space="preserve">Country of </w:t>
            </w:r>
            <w:r w:rsidR="00C41FBE">
              <w:rPr>
                <w:b/>
                <w:sz w:val="16"/>
                <w:szCs w:val="16"/>
              </w:rPr>
              <w:t>b</w:t>
            </w:r>
            <w:r w:rsidRPr="009B1415">
              <w:rPr>
                <w:b/>
                <w:sz w:val="16"/>
                <w:szCs w:val="16"/>
              </w:rPr>
              <w:t>irth</w:t>
            </w:r>
          </w:p>
        </w:tc>
        <w:tc>
          <w:tcPr>
            <w:tcW w:w="972" w:type="dxa"/>
            <w:vAlign w:val="center"/>
          </w:tcPr>
          <w:p w:rsidR="00F952D3" w:rsidRPr="00F952D3" w:rsidRDefault="00F952D3" w:rsidP="00BF4D66">
            <w:pPr>
              <w:adjustRightInd w:val="0"/>
              <w:spacing w:before="20"/>
              <w:jc w:val="right"/>
              <w:rPr>
                <w:color w:val="000000"/>
                <w:sz w:val="16"/>
                <w:szCs w:val="16"/>
              </w:rPr>
            </w:pPr>
          </w:p>
        </w:tc>
        <w:tc>
          <w:tcPr>
            <w:tcW w:w="1108" w:type="dxa"/>
            <w:vAlign w:val="center"/>
          </w:tcPr>
          <w:p w:rsidR="00F952D3" w:rsidRPr="00F952D3" w:rsidRDefault="00F952D3" w:rsidP="00BF4D66">
            <w:pPr>
              <w:adjustRightInd w:val="0"/>
              <w:spacing w:before="20"/>
              <w:jc w:val="right"/>
              <w:rPr>
                <w:color w:val="000000"/>
                <w:sz w:val="16"/>
                <w:szCs w:val="16"/>
              </w:rPr>
            </w:pP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sidRPr="009B1415">
              <w:rPr>
                <w:sz w:val="16"/>
                <w:szCs w:val="16"/>
              </w:rPr>
              <w:t>NZ</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49.5</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Other</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45.0</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0.84</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0.42</w:t>
            </w:r>
            <w:r w:rsidR="002E5C0E">
              <w:rPr>
                <w:color w:val="000000"/>
                <w:sz w:val="16"/>
                <w:szCs w:val="16"/>
              </w:rPr>
              <w:t xml:space="preserve"> - </w:t>
            </w:r>
            <w:r w:rsidR="002E5C0E" w:rsidRPr="00F952D3">
              <w:rPr>
                <w:color w:val="000000"/>
                <w:sz w:val="16"/>
                <w:szCs w:val="16"/>
              </w:rPr>
              <w:t>1.65</w:t>
            </w:r>
            <w:r>
              <w:rPr>
                <w:color w:val="000000"/>
                <w:sz w:val="16"/>
                <w:szCs w:val="16"/>
              </w:rPr>
              <w:t>)</w:t>
            </w:r>
          </w:p>
        </w:tc>
        <w:tc>
          <w:tcPr>
            <w:tcW w:w="747" w:type="dxa"/>
            <w:shd w:val="clear" w:color="auto" w:fill="auto"/>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0.60</w:t>
            </w:r>
          </w:p>
        </w:tc>
      </w:tr>
      <w:tr w:rsidR="00F952D3" w:rsidRPr="009B1415" w:rsidTr="00F959A8">
        <w:tc>
          <w:tcPr>
            <w:tcW w:w="4266" w:type="dxa"/>
            <w:vAlign w:val="bottom"/>
          </w:tcPr>
          <w:p w:rsidR="00F952D3" w:rsidRPr="009B1415" w:rsidRDefault="00F952D3" w:rsidP="00F952D3">
            <w:pPr>
              <w:spacing w:before="20"/>
              <w:jc w:val="both"/>
              <w:rPr>
                <w:b/>
                <w:sz w:val="16"/>
                <w:szCs w:val="16"/>
              </w:rPr>
            </w:pPr>
            <w:r w:rsidRPr="009B1415">
              <w:rPr>
                <w:b/>
                <w:sz w:val="16"/>
                <w:szCs w:val="16"/>
              </w:rPr>
              <w:t>Religion</w:t>
            </w:r>
          </w:p>
        </w:tc>
        <w:tc>
          <w:tcPr>
            <w:tcW w:w="972" w:type="dxa"/>
            <w:vAlign w:val="center"/>
          </w:tcPr>
          <w:p w:rsidR="00F952D3" w:rsidRPr="00F952D3" w:rsidRDefault="00F952D3" w:rsidP="00BF4D66">
            <w:pPr>
              <w:adjustRightInd w:val="0"/>
              <w:spacing w:before="20"/>
              <w:jc w:val="right"/>
              <w:rPr>
                <w:color w:val="000000"/>
                <w:sz w:val="16"/>
                <w:szCs w:val="16"/>
              </w:rPr>
            </w:pPr>
          </w:p>
        </w:tc>
        <w:tc>
          <w:tcPr>
            <w:tcW w:w="1108" w:type="dxa"/>
            <w:vAlign w:val="center"/>
          </w:tcPr>
          <w:p w:rsidR="00F952D3" w:rsidRPr="00F952D3" w:rsidRDefault="00F952D3" w:rsidP="00BF4D66">
            <w:pPr>
              <w:adjustRightInd w:val="0"/>
              <w:spacing w:before="20"/>
              <w:jc w:val="right"/>
              <w:rPr>
                <w:color w:val="000000"/>
                <w:sz w:val="16"/>
                <w:szCs w:val="16"/>
              </w:rPr>
            </w:pP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F952D3" w:rsidRPr="009B1415" w:rsidTr="00F959A8">
        <w:tc>
          <w:tcPr>
            <w:tcW w:w="4266" w:type="dxa"/>
          </w:tcPr>
          <w:p w:rsidR="00F952D3" w:rsidRPr="009B1415" w:rsidRDefault="00F952D3" w:rsidP="00F952D3">
            <w:pPr>
              <w:spacing w:before="20"/>
              <w:ind w:left="176"/>
              <w:jc w:val="both"/>
              <w:rPr>
                <w:sz w:val="16"/>
                <w:szCs w:val="16"/>
              </w:rPr>
            </w:pPr>
            <w:r>
              <w:rPr>
                <w:sz w:val="16"/>
                <w:szCs w:val="16"/>
              </w:rPr>
              <w:t>No r</w:t>
            </w:r>
            <w:r w:rsidRPr="009B1415">
              <w:rPr>
                <w:sz w:val="16"/>
                <w:szCs w:val="16"/>
              </w:rPr>
              <w:t>eligion</w:t>
            </w:r>
          </w:p>
        </w:tc>
        <w:tc>
          <w:tcPr>
            <w:tcW w:w="972"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45.7</w:t>
            </w:r>
          </w:p>
        </w:tc>
        <w:tc>
          <w:tcPr>
            <w:tcW w:w="1108" w:type="dxa"/>
            <w:vAlign w:val="center"/>
          </w:tcPr>
          <w:p w:rsidR="00F952D3" w:rsidRPr="00F952D3" w:rsidRDefault="00F952D3" w:rsidP="00BF4D66">
            <w:pPr>
              <w:adjustRightInd w:val="0"/>
              <w:spacing w:before="20"/>
              <w:jc w:val="right"/>
              <w:rPr>
                <w:color w:val="000000"/>
                <w:sz w:val="16"/>
                <w:szCs w:val="16"/>
              </w:rPr>
            </w:pPr>
            <w:r w:rsidRPr="00F952D3">
              <w:rPr>
                <w:color w:val="000000"/>
                <w:sz w:val="16"/>
                <w:szCs w:val="16"/>
              </w:rPr>
              <w:t>1.00</w:t>
            </w:r>
          </w:p>
        </w:tc>
        <w:tc>
          <w:tcPr>
            <w:tcW w:w="831" w:type="dxa"/>
            <w:vAlign w:val="center"/>
          </w:tcPr>
          <w:p w:rsidR="00F952D3" w:rsidRPr="00F952D3" w:rsidRDefault="00F952D3" w:rsidP="00BF4D66">
            <w:pPr>
              <w:adjustRightInd w:val="0"/>
              <w:spacing w:before="20"/>
              <w:jc w:val="right"/>
              <w:rPr>
                <w:color w:val="000000"/>
                <w:sz w:val="16"/>
                <w:szCs w:val="16"/>
              </w:rPr>
            </w:pPr>
          </w:p>
        </w:tc>
        <w:tc>
          <w:tcPr>
            <w:tcW w:w="382" w:type="dxa"/>
            <w:vAlign w:val="center"/>
          </w:tcPr>
          <w:p w:rsidR="00F952D3" w:rsidRPr="00F952D3" w:rsidRDefault="00F952D3" w:rsidP="00BF4D66">
            <w:pPr>
              <w:adjustRightInd w:val="0"/>
              <w:spacing w:before="20"/>
              <w:jc w:val="right"/>
              <w:rPr>
                <w:color w:val="000000"/>
                <w:sz w:val="16"/>
                <w:szCs w:val="16"/>
              </w:rPr>
            </w:pPr>
          </w:p>
        </w:tc>
        <w:tc>
          <w:tcPr>
            <w:tcW w:w="747" w:type="dxa"/>
            <w:vAlign w:val="center"/>
          </w:tcPr>
          <w:p w:rsidR="00F952D3" w:rsidRPr="00F952D3" w:rsidRDefault="00F952D3"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Anglican</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44.0</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0.94</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0.28</w:t>
            </w:r>
            <w:r w:rsidR="002E5C0E">
              <w:rPr>
                <w:color w:val="000000"/>
                <w:sz w:val="16"/>
                <w:szCs w:val="16"/>
              </w:rPr>
              <w:t xml:space="preserve"> - </w:t>
            </w:r>
            <w:r w:rsidR="002E5C0E" w:rsidRPr="00F952D3">
              <w:rPr>
                <w:color w:val="000000"/>
                <w:sz w:val="16"/>
                <w:szCs w:val="16"/>
              </w:rPr>
              <w:t>3.14</w:t>
            </w:r>
            <w:r>
              <w:rPr>
                <w:color w:val="000000"/>
                <w:sz w:val="16"/>
                <w:szCs w:val="16"/>
              </w:rPr>
              <w:t>0</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Catholic</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56.9</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1.57</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0.64</w:t>
            </w:r>
            <w:r w:rsidR="002E5C0E">
              <w:rPr>
                <w:color w:val="000000"/>
                <w:sz w:val="16"/>
                <w:szCs w:val="16"/>
              </w:rPr>
              <w:t xml:space="preserve"> - </w:t>
            </w:r>
            <w:r w:rsidR="002E5C0E" w:rsidRPr="00F952D3">
              <w:rPr>
                <w:color w:val="000000"/>
                <w:sz w:val="16"/>
                <w:szCs w:val="16"/>
              </w:rPr>
              <w:t>3.88</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Presbyterian</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72.4</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3.12</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0.85</w:t>
            </w:r>
            <w:r w:rsidR="002E5C0E">
              <w:rPr>
                <w:color w:val="000000"/>
                <w:sz w:val="16"/>
                <w:szCs w:val="16"/>
              </w:rPr>
              <w:t xml:space="preserve"> - </w:t>
            </w:r>
            <w:r w:rsidR="002E5C0E" w:rsidRPr="00F952D3">
              <w:rPr>
                <w:color w:val="000000"/>
                <w:sz w:val="16"/>
                <w:szCs w:val="16"/>
              </w:rPr>
              <w:t>11.47</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sidRPr="009B1415">
              <w:rPr>
                <w:sz w:val="16"/>
                <w:szCs w:val="16"/>
              </w:rPr>
              <w:t>Other Christian</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48.0</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1.10</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0.47</w:t>
            </w:r>
            <w:r w:rsidR="002E5C0E">
              <w:rPr>
                <w:color w:val="000000"/>
                <w:sz w:val="16"/>
                <w:szCs w:val="16"/>
              </w:rPr>
              <w:t xml:space="preserve"> - </w:t>
            </w:r>
            <w:r w:rsidR="002E5C0E" w:rsidRPr="00F952D3">
              <w:rPr>
                <w:color w:val="000000"/>
                <w:sz w:val="16"/>
                <w:szCs w:val="16"/>
              </w:rPr>
              <w:t>2.55</w:t>
            </w:r>
            <w:r>
              <w:rPr>
                <w:color w:val="000000"/>
                <w:sz w:val="16"/>
                <w:szCs w:val="16"/>
              </w:rPr>
              <w:t>)</w:t>
            </w:r>
          </w:p>
        </w:tc>
        <w:tc>
          <w:tcPr>
            <w:tcW w:w="747" w:type="dxa"/>
            <w:vAlign w:val="center"/>
          </w:tcPr>
          <w:p w:rsidR="002E5C0E" w:rsidRPr="00F952D3"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F952D3">
            <w:pPr>
              <w:spacing w:before="20"/>
              <w:ind w:left="176"/>
              <w:jc w:val="both"/>
              <w:rPr>
                <w:sz w:val="16"/>
                <w:szCs w:val="16"/>
              </w:rPr>
            </w:pPr>
            <w:r>
              <w:rPr>
                <w:sz w:val="16"/>
                <w:szCs w:val="16"/>
              </w:rPr>
              <w:t>Other r</w:t>
            </w:r>
            <w:r w:rsidRPr="009B1415">
              <w:rPr>
                <w:sz w:val="16"/>
                <w:szCs w:val="16"/>
              </w:rPr>
              <w:t>eligion</w:t>
            </w:r>
          </w:p>
        </w:tc>
        <w:tc>
          <w:tcPr>
            <w:tcW w:w="972"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32.7</w:t>
            </w:r>
          </w:p>
        </w:tc>
        <w:tc>
          <w:tcPr>
            <w:tcW w:w="1108" w:type="dxa"/>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0.58</w:t>
            </w:r>
          </w:p>
        </w:tc>
        <w:tc>
          <w:tcPr>
            <w:tcW w:w="1213" w:type="dxa"/>
            <w:gridSpan w:val="2"/>
            <w:vAlign w:val="center"/>
          </w:tcPr>
          <w:p w:rsidR="002E5C0E" w:rsidRPr="00F952D3" w:rsidRDefault="00BF4D66" w:rsidP="00BF4D66">
            <w:pPr>
              <w:adjustRightInd w:val="0"/>
              <w:spacing w:before="20"/>
              <w:jc w:val="right"/>
              <w:rPr>
                <w:color w:val="000000"/>
                <w:sz w:val="16"/>
                <w:szCs w:val="16"/>
              </w:rPr>
            </w:pPr>
            <w:r>
              <w:rPr>
                <w:color w:val="000000"/>
                <w:sz w:val="16"/>
                <w:szCs w:val="16"/>
              </w:rPr>
              <w:t>(</w:t>
            </w:r>
            <w:r w:rsidR="002E5C0E" w:rsidRPr="00F952D3">
              <w:rPr>
                <w:color w:val="000000"/>
                <w:sz w:val="16"/>
                <w:szCs w:val="16"/>
              </w:rPr>
              <w:t>0.18</w:t>
            </w:r>
            <w:r w:rsidR="002E5C0E">
              <w:rPr>
                <w:color w:val="000000"/>
                <w:sz w:val="16"/>
                <w:szCs w:val="16"/>
              </w:rPr>
              <w:t xml:space="preserve"> - </w:t>
            </w:r>
            <w:r w:rsidR="002E5C0E" w:rsidRPr="00F952D3">
              <w:rPr>
                <w:color w:val="000000"/>
                <w:sz w:val="16"/>
                <w:szCs w:val="16"/>
              </w:rPr>
              <w:t>1.90</w:t>
            </w:r>
            <w:r>
              <w:rPr>
                <w:color w:val="000000"/>
                <w:sz w:val="16"/>
                <w:szCs w:val="16"/>
              </w:rPr>
              <w:t>)</w:t>
            </w:r>
          </w:p>
        </w:tc>
        <w:tc>
          <w:tcPr>
            <w:tcW w:w="747" w:type="dxa"/>
            <w:shd w:val="clear" w:color="auto" w:fill="auto"/>
            <w:vAlign w:val="center"/>
          </w:tcPr>
          <w:p w:rsidR="002E5C0E" w:rsidRPr="00F952D3" w:rsidRDefault="002E5C0E" w:rsidP="00BF4D66">
            <w:pPr>
              <w:adjustRightInd w:val="0"/>
              <w:spacing w:before="20"/>
              <w:jc w:val="right"/>
              <w:rPr>
                <w:color w:val="000000"/>
                <w:sz w:val="16"/>
                <w:szCs w:val="16"/>
              </w:rPr>
            </w:pPr>
            <w:r w:rsidRPr="00F952D3">
              <w:rPr>
                <w:color w:val="000000"/>
                <w:sz w:val="16"/>
                <w:szCs w:val="16"/>
              </w:rPr>
              <w:t>0.38</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Highest qualification</w:t>
            </w:r>
          </w:p>
        </w:tc>
        <w:tc>
          <w:tcPr>
            <w:tcW w:w="972" w:type="dxa"/>
            <w:vAlign w:val="center"/>
          </w:tcPr>
          <w:p w:rsidR="00A523AC" w:rsidRPr="00B41811" w:rsidRDefault="00A523AC" w:rsidP="00BF4D66">
            <w:pPr>
              <w:adjustRightInd w:val="0"/>
              <w:spacing w:before="20"/>
              <w:jc w:val="right"/>
              <w:rPr>
                <w:color w:val="000000"/>
                <w:sz w:val="16"/>
                <w:szCs w:val="16"/>
              </w:rPr>
            </w:pPr>
          </w:p>
        </w:tc>
        <w:tc>
          <w:tcPr>
            <w:tcW w:w="1108" w:type="dxa"/>
            <w:vAlign w:val="center"/>
          </w:tcPr>
          <w:p w:rsidR="00A523AC" w:rsidRPr="00B41811" w:rsidRDefault="00A523AC" w:rsidP="00BF4D66">
            <w:pPr>
              <w:adjustRightInd w:val="0"/>
              <w:spacing w:before="20"/>
              <w:jc w:val="right"/>
              <w:rPr>
                <w:color w:val="000000"/>
                <w:sz w:val="16"/>
                <w:szCs w:val="16"/>
              </w:rPr>
            </w:pPr>
          </w:p>
        </w:tc>
        <w:tc>
          <w:tcPr>
            <w:tcW w:w="831" w:type="dxa"/>
            <w:vAlign w:val="center"/>
          </w:tcPr>
          <w:p w:rsidR="00A523AC" w:rsidRPr="00B41811" w:rsidRDefault="00A523AC" w:rsidP="00BF4D66">
            <w:pPr>
              <w:adjustRightInd w:val="0"/>
              <w:spacing w:before="20"/>
              <w:jc w:val="right"/>
              <w:rPr>
                <w:color w:val="000000"/>
                <w:sz w:val="16"/>
                <w:szCs w:val="16"/>
              </w:rPr>
            </w:pPr>
          </w:p>
        </w:tc>
        <w:tc>
          <w:tcPr>
            <w:tcW w:w="382" w:type="dxa"/>
            <w:vAlign w:val="center"/>
          </w:tcPr>
          <w:p w:rsidR="00A523AC" w:rsidRPr="00B41811" w:rsidRDefault="00A523AC" w:rsidP="00BF4D66">
            <w:pPr>
              <w:adjustRightInd w:val="0"/>
              <w:spacing w:before="20"/>
              <w:jc w:val="right"/>
              <w:rPr>
                <w:color w:val="000000"/>
                <w:sz w:val="16"/>
                <w:szCs w:val="16"/>
              </w:rPr>
            </w:pPr>
          </w:p>
        </w:tc>
        <w:tc>
          <w:tcPr>
            <w:tcW w:w="747" w:type="dxa"/>
            <w:vAlign w:val="center"/>
          </w:tcPr>
          <w:p w:rsidR="00A523AC" w:rsidRPr="00B41811" w:rsidRDefault="00A523AC"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No formal qualification</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65.8</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Pr>
                <w:sz w:val="16"/>
                <w:szCs w:val="16"/>
              </w:rPr>
              <w:t>Secondary s</w:t>
            </w:r>
            <w:r w:rsidRPr="009B1415">
              <w:rPr>
                <w:sz w:val="16"/>
                <w:szCs w:val="16"/>
              </w:rPr>
              <w:t>chool qualification</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35.0</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0.28</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0.11</w:t>
            </w:r>
            <w:r w:rsidR="002E5C0E">
              <w:rPr>
                <w:color w:val="000000"/>
                <w:sz w:val="16"/>
                <w:szCs w:val="16"/>
              </w:rPr>
              <w:t xml:space="preserve"> - </w:t>
            </w:r>
            <w:r w:rsidR="002E5C0E" w:rsidRPr="000B3B9A">
              <w:rPr>
                <w:color w:val="000000"/>
                <w:sz w:val="16"/>
                <w:szCs w:val="16"/>
              </w:rPr>
              <w:t>0.73</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Vocational or Trade qualification</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56.8</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0.69</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0.28</w:t>
            </w:r>
            <w:r w:rsidR="002E5C0E">
              <w:rPr>
                <w:color w:val="000000"/>
                <w:sz w:val="16"/>
                <w:szCs w:val="16"/>
              </w:rPr>
              <w:t xml:space="preserve"> - </w:t>
            </w:r>
            <w:r w:rsidR="002E5C0E" w:rsidRPr="000B3B9A">
              <w:rPr>
                <w:color w:val="000000"/>
                <w:sz w:val="16"/>
                <w:szCs w:val="16"/>
              </w:rPr>
              <w:t>1.70</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Universi</w:t>
            </w:r>
            <w:r>
              <w:rPr>
                <w:sz w:val="16"/>
                <w:szCs w:val="16"/>
              </w:rPr>
              <w:t>ty d</w:t>
            </w:r>
            <w:r w:rsidRPr="009B1415">
              <w:rPr>
                <w:sz w:val="16"/>
                <w:szCs w:val="16"/>
              </w:rPr>
              <w:t>egree or higher</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43.3</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0.40</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0.15</w:t>
            </w:r>
            <w:r w:rsidR="002E5C0E">
              <w:rPr>
                <w:color w:val="000000"/>
                <w:sz w:val="16"/>
                <w:szCs w:val="16"/>
              </w:rPr>
              <w:t xml:space="preserve"> - </w:t>
            </w:r>
            <w:r w:rsidR="002E5C0E" w:rsidRPr="000B3B9A">
              <w:rPr>
                <w:color w:val="000000"/>
                <w:sz w:val="16"/>
                <w:szCs w:val="16"/>
              </w:rPr>
              <w:t>1.02</w:t>
            </w:r>
            <w:r>
              <w:rPr>
                <w:color w:val="000000"/>
                <w:sz w:val="16"/>
                <w:szCs w:val="16"/>
              </w:rPr>
              <w:t>)</w:t>
            </w:r>
          </w:p>
        </w:tc>
        <w:tc>
          <w:tcPr>
            <w:tcW w:w="747" w:type="dxa"/>
            <w:shd w:val="clear" w:color="auto" w:fill="D9D9D9" w:themeFill="background1" w:themeFillShade="D9"/>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0.04</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Labour force status</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Employed</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45.5</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Unemployed</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54.9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1.46</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0.64</w:t>
            </w:r>
            <w:r w:rsidR="002E5C0E">
              <w:rPr>
                <w:color w:val="000000"/>
                <w:sz w:val="16"/>
                <w:szCs w:val="16"/>
              </w:rPr>
              <w:t xml:space="preserve"> - </w:t>
            </w:r>
            <w:r w:rsidR="002E5C0E" w:rsidRPr="000B3B9A">
              <w:rPr>
                <w:color w:val="000000"/>
                <w:sz w:val="16"/>
                <w:szCs w:val="16"/>
              </w:rPr>
              <w:t>3.31</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Student/Homemaker/Retired</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52.2</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1.31</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0.50</w:t>
            </w:r>
            <w:r w:rsidR="002E5C0E">
              <w:rPr>
                <w:color w:val="000000"/>
                <w:sz w:val="16"/>
                <w:szCs w:val="16"/>
              </w:rPr>
              <w:t xml:space="preserve"> - </w:t>
            </w:r>
            <w:r w:rsidR="002E5C0E" w:rsidRPr="000B3B9A">
              <w:rPr>
                <w:color w:val="000000"/>
                <w:sz w:val="16"/>
                <w:szCs w:val="16"/>
              </w:rPr>
              <w:t>3.40</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0.62</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Household size</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1</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59.6</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2</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55.5</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0.85</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0.33</w:t>
            </w:r>
            <w:r w:rsidR="002E5C0E">
              <w:rPr>
                <w:color w:val="000000"/>
                <w:sz w:val="16"/>
                <w:szCs w:val="16"/>
              </w:rPr>
              <w:t xml:space="preserve"> - </w:t>
            </w:r>
            <w:r w:rsidR="002E5C0E" w:rsidRPr="000B3B9A">
              <w:rPr>
                <w:color w:val="000000"/>
                <w:sz w:val="16"/>
                <w:szCs w:val="16"/>
              </w:rPr>
              <w:t>2.18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3</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57.7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0.93</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0.30</w:t>
            </w:r>
            <w:r w:rsidR="002E5C0E">
              <w:rPr>
                <w:color w:val="000000"/>
                <w:sz w:val="16"/>
                <w:szCs w:val="16"/>
              </w:rPr>
              <w:t xml:space="preserve"> - </w:t>
            </w:r>
            <w:r w:rsidR="002E5C0E" w:rsidRPr="000B3B9A">
              <w:rPr>
                <w:color w:val="000000"/>
                <w:sz w:val="16"/>
                <w:szCs w:val="16"/>
              </w:rPr>
              <w:t>2.90</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4</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44.5</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0.54</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0.20</w:t>
            </w:r>
            <w:r w:rsidR="002E5C0E">
              <w:rPr>
                <w:color w:val="000000"/>
                <w:sz w:val="16"/>
                <w:szCs w:val="16"/>
              </w:rPr>
              <w:t xml:space="preserve"> - </w:t>
            </w:r>
            <w:r w:rsidR="002E5C0E" w:rsidRPr="000B3B9A">
              <w:rPr>
                <w:color w:val="000000"/>
                <w:sz w:val="16"/>
                <w:szCs w:val="16"/>
              </w:rPr>
              <w:t>1.52</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5+</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36.7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0.39</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0.13</w:t>
            </w:r>
            <w:r w:rsidR="002E5C0E">
              <w:rPr>
                <w:color w:val="000000"/>
                <w:sz w:val="16"/>
                <w:szCs w:val="16"/>
              </w:rPr>
              <w:t xml:space="preserve"> - </w:t>
            </w:r>
            <w:r w:rsidR="002E5C0E" w:rsidRPr="000B3B9A">
              <w:rPr>
                <w:color w:val="000000"/>
                <w:sz w:val="16"/>
                <w:szCs w:val="16"/>
              </w:rPr>
              <w:t>1.16</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0.35</w:t>
            </w:r>
          </w:p>
        </w:tc>
      </w:tr>
      <w:tr w:rsidR="000B3B9A" w:rsidRPr="009B1415" w:rsidTr="00F959A8">
        <w:tc>
          <w:tcPr>
            <w:tcW w:w="4266" w:type="dxa"/>
            <w:vAlign w:val="bottom"/>
          </w:tcPr>
          <w:p w:rsidR="000B3B9A" w:rsidRPr="009B1415" w:rsidRDefault="000B3B9A" w:rsidP="000B3B9A">
            <w:pPr>
              <w:keepNext/>
              <w:spacing w:before="20"/>
              <w:jc w:val="both"/>
              <w:rPr>
                <w:b/>
                <w:sz w:val="16"/>
                <w:szCs w:val="16"/>
              </w:rPr>
            </w:pPr>
            <w:r w:rsidRPr="009B1415">
              <w:rPr>
                <w:b/>
                <w:sz w:val="16"/>
                <w:szCs w:val="16"/>
              </w:rPr>
              <w:t>Personal income</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&lt;$20,000</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49.8</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$20,001 - $40,000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58.6</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1.42</w:t>
            </w:r>
          </w:p>
        </w:tc>
        <w:tc>
          <w:tcPr>
            <w:tcW w:w="1213" w:type="dxa"/>
            <w:gridSpan w:val="2"/>
            <w:vAlign w:val="center"/>
          </w:tcPr>
          <w:p w:rsidR="002E5C0E" w:rsidRPr="000B3B9A" w:rsidRDefault="00BF4D66"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0.60</w:t>
            </w:r>
            <w:r w:rsidR="002E5C0E">
              <w:rPr>
                <w:color w:val="000000"/>
                <w:sz w:val="16"/>
                <w:szCs w:val="16"/>
              </w:rPr>
              <w:t xml:space="preserve"> - </w:t>
            </w:r>
            <w:r w:rsidR="002E5C0E" w:rsidRPr="000B3B9A">
              <w:rPr>
                <w:color w:val="000000"/>
                <w:sz w:val="16"/>
                <w:szCs w:val="16"/>
              </w:rPr>
              <w:t>3.38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$40,001 - $60,000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43.4</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0.77</w:t>
            </w:r>
          </w:p>
        </w:tc>
        <w:tc>
          <w:tcPr>
            <w:tcW w:w="1213" w:type="dxa"/>
            <w:gridSpan w:val="2"/>
            <w:vAlign w:val="center"/>
          </w:tcPr>
          <w:p w:rsidR="002E5C0E" w:rsidRPr="000B3B9A" w:rsidRDefault="00BF4D66"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0.30</w:t>
            </w:r>
            <w:r w:rsidR="002E5C0E">
              <w:rPr>
                <w:color w:val="000000"/>
                <w:sz w:val="16"/>
                <w:szCs w:val="16"/>
              </w:rPr>
              <w:t xml:space="preserve"> - </w:t>
            </w:r>
            <w:r w:rsidR="002E5C0E" w:rsidRPr="000B3B9A">
              <w:rPr>
                <w:color w:val="000000"/>
                <w:sz w:val="16"/>
                <w:szCs w:val="16"/>
              </w:rPr>
              <w:t>1.98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$60,001 - $80,000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28.4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0.40</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0.12</w:t>
            </w:r>
            <w:r w:rsidR="002E5C0E">
              <w:rPr>
                <w:color w:val="000000"/>
                <w:sz w:val="16"/>
                <w:szCs w:val="16"/>
              </w:rPr>
              <w:t xml:space="preserve"> - </w:t>
            </w:r>
            <w:r w:rsidR="002E5C0E" w:rsidRPr="000B3B9A">
              <w:rPr>
                <w:color w:val="000000"/>
                <w:sz w:val="16"/>
                <w:szCs w:val="16"/>
              </w:rPr>
              <w:t>1.29</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$80,001 - $100,000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87.8</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7.27</w:t>
            </w:r>
          </w:p>
        </w:tc>
        <w:tc>
          <w:tcPr>
            <w:tcW w:w="1213" w:type="dxa"/>
            <w:gridSpan w:val="2"/>
            <w:vAlign w:val="center"/>
          </w:tcPr>
          <w:p w:rsidR="002E5C0E" w:rsidRPr="000B3B9A" w:rsidRDefault="00BF4D66"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1.71</w:t>
            </w:r>
            <w:r w:rsidR="002E5C0E">
              <w:rPr>
                <w:color w:val="000000"/>
                <w:sz w:val="16"/>
                <w:szCs w:val="16"/>
              </w:rPr>
              <w:t xml:space="preserve"> - </w:t>
            </w:r>
            <w:r w:rsidR="002E5C0E" w:rsidRPr="000B3B9A">
              <w:rPr>
                <w:color w:val="000000"/>
                <w:sz w:val="16"/>
                <w:szCs w:val="16"/>
              </w:rPr>
              <w:t>30.98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B41811" w:rsidRDefault="002E5C0E" w:rsidP="000B3B9A">
            <w:pPr>
              <w:spacing w:before="20"/>
              <w:ind w:left="176"/>
              <w:jc w:val="both"/>
              <w:rPr>
                <w:sz w:val="16"/>
                <w:szCs w:val="16"/>
              </w:rPr>
            </w:pPr>
            <w:r w:rsidRPr="00B41811">
              <w:rPr>
                <w:sz w:val="16"/>
                <w:szCs w:val="16"/>
              </w:rPr>
              <w:t>&gt;$100,000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26.6</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0.37</w:t>
            </w:r>
          </w:p>
        </w:tc>
        <w:tc>
          <w:tcPr>
            <w:tcW w:w="1213" w:type="dxa"/>
            <w:gridSpan w:val="2"/>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0.06</w:t>
            </w:r>
            <w:r w:rsidR="002E5C0E">
              <w:rPr>
                <w:color w:val="000000"/>
                <w:sz w:val="16"/>
                <w:szCs w:val="16"/>
              </w:rPr>
              <w:t xml:space="preserve"> - </w:t>
            </w:r>
            <w:r w:rsidR="002E5C0E" w:rsidRPr="000B3B9A">
              <w:rPr>
                <w:color w:val="000000"/>
                <w:sz w:val="16"/>
                <w:szCs w:val="16"/>
              </w:rPr>
              <w:t>2.14</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Borders>
              <w:bottom w:val="single" w:sz="4" w:space="0" w:color="auto"/>
            </w:tcBorders>
            <w:vAlign w:val="bottom"/>
          </w:tcPr>
          <w:p w:rsidR="002E5C0E" w:rsidRPr="009B1415" w:rsidRDefault="002E5C0E" w:rsidP="000B3B9A">
            <w:pPr>
              <w:spacing w:before="20"/>
              <w:ind w:left="176"/>
              <w:jc w:val="both"/>
              <w:rPr>
                <w:sz w:val="16"/>
                <w:szCs w:val="16"/>
              </w:rPr>
            </w:pPr>
            <w:r w:rsidRPr="009B1415">
              <w:rPr>
                <w:sz w:val="16"/>
                <w:szCs w:val="16"/>
              </w:rPr>
              <w:t>Not reported</w:t>
            </w:r>
          </w:p>
        </w:tc>
        <w:tc>
          <w:tcPr>
            <w:tcW w:w="972" w:type="dxa"/>
            <w:tcBorders>
              <w:bottom w:val="single" w:sz="4" w:space="0" w:color="auto"/>
            </w:tcBorders>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43.2</w:t>
            </w:r>
          </w:p>
        </w:tc>
        <w:tc>
          <w:tcPr>
            <w:tcW w:w="1108" w:type="dxa"/>
            <w:tcBorders>
              <w:bottom w:val="single" w:sz="4" w:space="0" w:color="auto"/>
            </w:tcBorders>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0.77</w:t>
            </w:r>
          </w:p>
        </w:tc>
        <w:tc>
          <w:tcPr>
            <w:tcW w:w="1213" w:type="dxa"/>
            <w:gridSpan w:val="2"/>
            <w:tcBorders>
              <w:bottom w:val="single" w:sz="4" w:space="0" w:color="auto"/>
            </w:tcBorders>
            <w:vAlign w:val="center"/>
          </w:tcPr>
          <w:p w:rsidR="002E5C0E" w:rsidRPr="000B3B9A" w:rsidRDefault="00BF4D66"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0.19</w:t>
            </w:r>
            <w:r w:rsidR="002E5C0E">
              <w:rPr>
                <w:color w:val="000000"/>
                <w:sz w:val="16"/>
                <w:szCs w:val="16"/>
              </w:rPr>
              <w:t xml:space="preserve"> - </w:t>
            </w:r>
            <w:r w:rsidR="002E5C0E" w:rsidRPr="000B3B9A">
              <w:rPr>
                <w:color w:val="000000"/>
                <w:sz w:val="16"/>
                <w:szCs w:val="16"/>
              </w:rPr>
              <w:t>3.73</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0.02</w:t>
            </w:r>
          </w:p>
        </w:tc>
      </w:tr>
      <w:tr w:rsidR="00A523AC" w:rsidRPr="009B1415" w:rsidTr="00F959A8">
        <w:tc>
          <w:tcPr>
            <w:tcW w:w="4266" w:type="dxa"/>
            <w:tcBorders>
              <w:top w:val="single" w:sz="4" w:space="0" w:color="auto"/>
            </w:tcBorders>
            <w:vAlign w:val="bottom"/>
          </w:tcPr>
          <w:p w:rsidR="00A523AC" w:rsidRPr="009B1415" w:rsidRDefault="00A523AC" w:rsidP="00B80631">
            <w:pPr>
              <w:keepNext/>
              <w:spacing w:before="20"/>
              <w:jc w:val="both"/>
              <w:rPr>
                <w:b/>
                <w:sz w:val="16"/>
                <w:szCs w:val="16"/>
              </w:rPr>
            </w:pPr>
            <w:r w:rsidRPr="009B1415">
              <w:rPr>
                <w:b/>
                <w:sz w:val="16"/>
                <w:szCs w:val="16"/>
              </w:rPr>
              <w:lastRenderedPageBreak/>
              <w:t>Household income</w:t>
            </w:r>
          </w:p>
        </w:tc>
        <w:tc>
          <w:tcPr>
            <w:tcW w:w="972" w:type="dxa"/>
            <w:tcBorders>
              <w:top w:val="single" w:sz="4" w:space="0" w:color="auto"/>
            </w:tcBorders>
            <w:vAlign w:val="center"/>
          </w:tcPr>
          <w:p w:rsidR="00A523AC" w:rsidRPr="00CB35E8" w:rsidRDefault="00A523AC" w:rsidP="00BF4D66">
            <w:pPr>
              <w:keepNext/>
              <w:adjustRightInd w:val="0"/>
              <w:spacing w:before="20"/>
              <w:jc w:val="right"/>
              <w:rPr>
                <w:color w:val="000000"/>
                <w:sz w:val="16"/>
                <w:szCs w:val="16"/>
              </w:rPr>
            </w:pPr>
          </w:p>
        </w:tc>
        <w:tc>
          <w:tcPr>
            <w:tcW w:w="1108" w:type="dxa"/>
            <w:tcBorders>
              <w:top w:val="single" w:sz="4" w:space="0" w:color="auto"/>
            </w:tcBorders>
            <w:vAlign w:val="center"/>
          </w:tcPr>
          <w:p w:rsidR="00A523AC" w:rsidRPr="00CB35E8" w:rsidRDefault="00A523AC" w:rsidP="00BF4D66">
            <w:pPr>
              <w:keepNext/>
              <w:adjustRightInd w:val="0"/>
              <w:spacing w:before="20"/>
              <w:jc w:val="right"/>
              <w:rPr>
                <w:color w:val="000000"/>
                <w:sz w:val="16"/>
                <w:szCs w:val="16"/>
              </w:rPr>
            </w:pPr>
          </w:p>
        </w:tc>
        <w:tc>
          <w:tcPr>
            <w:tcW w:w="831" w:type="dxa"/>
            <w:tcBorders>
              <w:top w:val="single" w:sz="4" w:space="0" w:color="auto"/>
            </w:tcBorders>
            <w:vAlign w:val="center"/>
          </w:tcPr>
          <w:p w:rsidR="00A523AC" w:rsidRPr="00CB35E8" w:rsidRDefault="00A523AC" w:rsidP="00BF4D66">
            <w:pPr>
              <w:keepNext/>
              <w:adjustRightInd w:val="0"/>
              <w:spacing w:before="20"/>
              <w:jc w:val="right"/>
              <w:rPr>
                <w:color w:val="000000"/>
                <w:sz w:val="16"/>
                <w:szCs w:val="16"/>
              </w:rPr>
            </w:pPr>
          </w:p>
        </w:tc>
        <w:tc>
          <w:tcPr>
            <w:tcW w:w="382" w:type="dxa"/>
            <w:tcBorders>
              <w:top w:val="single" w:sz="4" w:space="0" w:color="auto"/>
            </w:tcBorders>
            <w:vAlign w:val="center"/>
          </w:tcPr>
          <w:p w:rsidR="00A523AC" w:rsidRPr="00CB35E8" w:rsidRDefault="00A523AC" w:rsidP="00BF4D66">
            <w:pPr>
              <w:keepNext/>
              <w:adjustRightInd w:val="0"/>
              <w:spacing w:before="20"/>
              <w:jc w:val="right"/>
              <w:rPr>
                <w:color w:val="000000"/>
                <w:sz w:val="16"/>
                <w:szCs w:val="16"/>
              </w:rPr>
            </w:pPr>
          </w:p>
        </w:tc>
        <w:tc>
          <w:tcPr>
            <w:tcW w:w="747" w:type="dxa"/>
            <w:tcBorders>
              <w:top w:val="single" w:sz="4" w:space="0" w:color="auto"/>
            </w:tcBorders>
            <w:vAlign w:val="center"/>
          </w:tcPr>
          <w:p w:rsidR="00A523AC" w:rsidRPr="00CB35E8" w:rsidRDefault="00A523AC" w:rsidP="00BF4D66">
            <w:pPr>
              <w:keepNext/>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keepNext/>
              <w:spacing w:before="20"/>
              <w:ind w:left="176"/>
              <w:jc w:val="both"/>
              <w:rPr>
                <w:sz w:val="16"/>
                <w:szCs w:val="16"/>
              </w:rPr>
            </w:pPr>
            <w:r w:rsidRPr="009B1415">
              <w:rPr>
                <w:sz w:val="16"/>
                <w:szCs w:val="16"/>
              </w:rPr>
              <w:t>&lt;$20,000</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48.2</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keepNext/>
              <w:spacing w:before="20"/>
              <w:ind w:left="176"/>
              <w:jc w:val="both"/>
              <w:rPr>
                <w:sz w:val="16"/>
                <w:szCs w:val="16"/>
              </w:rPr>
            </w:pPr>
            <w:r w:rsidRPr="009B1415">
              <w:rPr>
                <w:sz w:val="16"/>
                <w:szCs w:val="16"/>
              </w:rPr>
              <w:t>$20,001 - $40,000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50.6</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1.10</w:t>
            </w:r>
          </w:p>
        </w:tc>
        <w:tc>
          <w:tcPr>
            <w:tcW w:w="1213" w:type="dxa"/>
            <w:gridSpan w:val="2"/>
            <w:vAlign w:val="center"/>
          </w:tcPr>
          <w:p w:rsidR="002E5C0E" w:rsidRPr="000B3B9A" w:rsidRDefault="00407EA4"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0.43</w:t>
            </w:r>
            <w:r w:rsidR="002E5C0E">
              <w:rPr>
                <w:color w:val="000000"/>
                <w:sz w:val="16"/>
                <w:szCs w:val="16"/>
              </w:rPr>
              <w:t xml:space="preserve"> - </w:t>
            </w:r>
            <w:r w:rsidR="002E5C0E" w:rsidRPr="000B3B9A">
              <w:rPr>
                <w:color w:val="000000"/>
                <w:sz w:val="16"/>
                <w:szCs w:val="16"/>
              </w:rPr>
              <w:t>2.86</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keepNext/>
              <w:spacing w:before="20"/>
              <w:ind w:left="176"/>
              <w:jc w:val="both"/>
              <w:rPr>
                <w:sz w:val="16"/>
                <w:szCs w:val="16"/>
              </w:rPr>
            </w:pPr>
            <w:r w:rsidRPr="009B1415">
              <w:rPr>
                <w:sz w:val="16"/>
                <w:szCs w:val="16"/>
              </w:rPr>
              <w:t>$40,001 - $60,000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56.7</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1.41</w:t>
            </w:r>
          </w:p>
        </w:tc>
        <w:tc>
          <w:tcPr>
            <w:tcW w:w="1213" w:type="dxa"/>
            <w:gridSpan w:val="2"/>
            <w:vAlign w:val="center"/>
          </w:tcPr>
          <w:p w:rsidR="002E5C0E" w:rsidRPr="000B3B9A" w:rsidRDefault="00407EA4"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0.50</w:t>
            </w:r>
            <w:r w:rsidR="002E5C0E">
              <w:rPr>
                <w:color w:val="000000"/>
                <w:sz w:val="16"/>
                <w:szCs w:val="16"/>
              </w:rPr>
              <w:t xml:space="preserve"> - </w:t>
            </w:r>
            <w:r w:rsidR="002E5C0E" w:rsidRPr="000B3B9A">
              <w:rPr>
                <w:color w:val="000000"/>
                <w:sz w:val="16"/>
                <w:szCs w:val="16"/>
              </w:rPr>
              <w:t>3.97</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keepNext/>
              <w:spacing w:before="20"/>
              <w:ind w:left="176"/>
              <w:jc w:val="both"/>
              <w:rPr>
                <w:sz w:val="16"/>
                <w:szCs w:val="16"/>
              </w:rPr>
            </w:pPr>
            <w:r w:rsidRPr="009B1415">
              <w:rPr>
                <w:sz w:val="16"/>
                <w:szCs w:val="16"/>
              </w:rPr>
              <w:t>$60,001 - $80,000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42.8</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0.81</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0.26</w:t>
            </w:r>
            <w:r w:rsidR="002E5C0E">
              <w:rPr>
                <w:color w:val="000000"/>
                <w:sz w:val="16"/>
                <w:szCs w:val="16"/>
              </w:rPr>
              <w:t xml:space="preserve"> - </w:t>
            </w:r>
            <w:r w:rsidR="002E5C0E" w:rsidRPr="000B3B9A">
              <w:rPr>
                <w:color w:val="000000"/>
                <w:sz w:val="16"/>
                <w:szCs w:val="16"/>
              </w:rPr>
              <w:t>2.54</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keepNext/>
              <w:spacing w:before="20"/>
              <w:ind w:left="176"/>
              <w:jc w:val="both"/>
              <w:rPr>
                <w:sz w:val="16"/>
                <w:szCs w:val="16"/>
              </w:rPr>
            </w:pPr>
            <w:r w:rsidRPr="009B1415">
              <w:rPr>
                <w:sz w:val="16"/>
                <w:szCs w:val="16"/>
              </w:rPr>
              <w:t>$80,001 - $100,000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62.1</w:t>
            </w:r>
          </w:p>
        </w:tc>
        <w:tc>
          <w:tcPr>
            <w:tcW w:w="1108" w:type="dxa"/>
            <w:vAlign w:val="center"/>
          </w:tcPr>
          <w:p w:rsidR="002E5C0E" w:rsidRPr="000B3B9A" w:rsidRDefault="002E5C0E" w:rsidP="00BF4D66">
            <w:pPr>
              <w:keepNext/>
              <w:adjustRightInd w:val="0"/>
              <w:spacing w:before="20"/>
              <w:jc w:val="right"/>
              <w:rPr>
                <w:color w:val="000000"/>
                <w:sz w:val="16"/>
                <w:szCs w:val="16"/>
              </w:rPr>
            </w:pPr>
            <w:r w:rsidRPr="000B3B9A">
              <w:rPr>
                <w:color w:val="000000"/>
                <w:sz w:val="16"/>
                <w:szCs w:val="16"/>
              </w:rPr>
              <w:t>1.76</w:t>
            </w:r>
          </w:p>
        </w:tc>
        <w:tc>
          <w:tcPr>
            <w:tcW w:w="1213" w:type="dxa"/>
            <w:gridSpan w:val="2"/>
            <w:vAlign w:val="center"/>
          </w:tcPr>
          <w:p w:rsidR="002E5C0E" w:rsidRPr="000B3B9A" w:rsidRDefault="00407EA4" w:rsidP="00BF4D66">
            <w:pPr>
              <w:keepNext/>
              <w:adjustRightInd w:val="0"/>
              <w:spacing w:before="20"/>
              <w:jc w:val="right"/>
              <w:rPr>
                <w:color w:val="000000"/>
                <w:sz w:val="16"/>
                <w:szCs w:val="16"/>
              </w:rPr>
            </w:pPr>
            <w:r>
              <w:rPr>
                <w:color w:val="000000"/>
                <w:sz w:val="16"/>
                <w:szCs w:val="16"/>
              </w:rPr>
              <w:t>(</w:t>
            </w:r>
            <w:r w:rsidR="002E5C0E" w:rsidRPr="000B3B9A">
              <w:rPr>
                <w:color w:val="000000"/>
                <w:sz w:val="16"/>
                <w:szCs w:val="16"/>
              </w:rPr>
              <w:t>0.52</w:t>
            </w:r>
            <w:r w:rsidR="002E5C0E">
              <w:rPr>
                <w:color w:val="000000"/>
                <w:sz w:val="16"/>
                <w:szCs w:val="16"/>
              </w:rPr>
              <w:t xml:space="preserve"> - </w:t>
            </w:r>
            <w:r w:rsidR="002E5C0E" w:rsidRPr="000B3B9A">
              <w:rPr>
                <w:color w:val="000000"/>
                <w:sz w:val="16"/>
                <w:szCs w:val="16"/>
              </w:rPr>
              <w:t>5.94</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vAlign w:val="bottom"/>
          </w:tcPr>
          <w:p w:rsidR="002E5C0E" w:rsidRDefault="002E5C0E" w:rsidP="000B3B9A">
            <w:pPr>
              <w:keepNext/>
              <w:spacing w:before="20"/>
              <w:ind w:left="176"/>
              <w:jc w:val="both"/>
              <w:rPr>
                <w:sz w:val="16"/>
                <w:szCs w:val="16"/>
              </w:rPr>
            </w:pPr>
            <w:r w:rsidRPr="00E02871">
              <w:rPr>
                <w:sz w:val="16"/>
                <w:szCs w:val="16"/>
              </w:rPr>
              <w:t>&gt;$100,000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43.4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0.82</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0.31</w:t>
            </w:r>
            <w:r w:rsidR="002E5C0E">
              <w:rPr>
                <w:color w:val="000000"/>
                <w:sz w:val="16"/>
                <w:szCs w:val="16"/>
              </w:rPr>
              <w:t xml:space="preserve"> - </w:t>
            </w:r>
            <w:r w:rsidR="002E5C0E" w:rsidRPr="000B3B9A">
              <w:rPr>
                <w:color w:val="000000"/>
                <w:sz w:val="16"/>
                <w:szCs w:val="16"/>
              </w:rPr>
              <w:t>2.20</w:t>
            </w:r>
            <w:r>
              <w:rPr>
                <w:color w:val="000000"/>
                <w:sz w:val="16"/>
                <w:szCs w:val="16"/>
              </w:rPr>
              <w:t>)</w:t>
            </w:r>
          </w:p>
        </w:tc>
        <w:tc>
          <w:tcPr>
            <w:tcW w:w="747" w:type="dxa"/>
            <w:shd w:val="clear" w:color="auto" w:fill="auto"/>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vAlign w:val="bottom"/>
          </w:tcPr>
          <w:p w:rsidR="002E5C0E" w:rsidRPr="009B1415" w:rsidRDefault="002E5C0E" w:rsidP="000B3B9A">
            <w:pPr>
              <w:keepNext/>
              <w:spacing w:before="20"/>
              <w:ind w:left="176"/>
              <w:jc w:val="both"/>
              <w:rPr>
                <w:sz w:val="16"/>
                <w:szCs w:val="16"/>
              </w:rPr>
            </w:pPr>
            <w:r>
              <w:rPr>
                <w:sz w:val="16"/>
                <w:szCs w:val="16"/>
              </w:rPr>
              <w:t>Not r</w:t>
            </w:r>
            <w:r w:rsidRPr="009B1415">
              <w:rPr>
                <w:sz w:val="16"/>
                <w:szCs w:val="16"/>
              </w:rPr>
              <w:t>eported</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44.59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0.87</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0.24</w:t>
            </w:r>
            <w:r w:rsidR="002E5C0E">
              <w:rPr>
                <w:color w:val="000000"/>
                <w:sz w:val="16"/>
                <w:szCs w:val="16"/>
              </w:rPr>
              <w:t xml:space="preserve"> - </w:t>
            </w:r>
            <w:r w:rsidR="002E5C0E" w:rsidRPr="000B3B9A">
              <w:rPr>
                <w:color w:val="000000"/>
                <w:sz w:val="16"/>
                <w:szCs w:val="16"/>
              </w:rPr>
              <w:t>3.17</w:t>
            </w:r>
            <w:r>
              <w:rPr>
                <w:color w:val="000000"/>
                <w:sz w:val="16"/>
                <w:szCs w:val="16"/>
              </w:rPr>
              <w:t>)</w:t>
            </w:r>
          </w:p>
        </w:tc>
        <w:tc>
          <w:tcPr>
            <w:tcW w:w="747" w:type="dxa"/>
            <w:shd w:val="clear" w:color="auto" w:fill="auto"/>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0.88</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Area of residence</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Auckland</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52.4</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Wellington</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50.4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0.92</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0.34</w:t>
            </w:r>
            <w:r w:rsidR="002E5C0E">
              <w:rPr>
                <w:color w:val="000000"/>
                <w:sz w:val="16"/>
                <w:szCs w:val="16"/>
              </w:rPr>
              <w:t xml:space="preserve"> - </w:t>
            </w:r>
            <w:r w:rsidR="002E5C0E" w:rsidRPr="000B3B9A">
              <w:rPr>
                <w:color w:val="000000"/>
                <w:sz w:val="16"/>
                <w:szCs w:val="16"/>
              </w:rPr>
              <w:t>2.53</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Christchurch</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40.7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0.62</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0.14</w:t>
            </w:r>
            <w:r w:rsidR="002E5C0E">
              <w:rPr>
                <w:color w:val="000000"/>
                <w:sz w:val="16"/>
                <w:szCs w:val="16"/>
              </w:rPr>
              <w:t xml:space="preserve"> - </w:t>
            </w:r>
            <w:r w:rsidR="002E5C0E" w:rsidRPr="000B3B9A">
              <w:rPr>
                <w:color w:val="000000"/>
                <w:sz w:val="16"/>
                <w:szCs w:val="16"/>
              </w:rPr>
              <w:t>2.72</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Rest of NZ</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47.0</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0.81</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0.40</w:t>
            </w:r>
            <w:r w:rsidR="002E5C0E">
              <w:rPr>
                <w:color w:val="000000"/>
                <w:sz w:val="16"/>
                <w:szCs w:val="16"/>
              </w:rPr>
              <w:t xml:space="preserve"> - </w:t>
            </w:r>
            <w:r w:rsidR="002E5C0E" w:rsidRPr="000B3B9A">
              <w:rPr>
                <w:color w:val="000000"/>
                <w:sz w:val="16"/>
                <w:szCs w:val="16"/>
              </w:rPr>
              <w:t>1.62</w:t>
            </w:r>
            <w:r>
              <w:rPr>
                <w:color w:val="000000"/>
                <w:sz w:val="16"/>
                <w:szCs w:val="16"/>
              </w:rPr>
              <w:t>)</w:t>
            </w:r>
          </w:p>
        </w:tc>
        <w:tc>
          <w:tcPr>
            <w:tcW w:w="747" w:type="dxa"/>
            <w:shd w:val="clear" w:color="auto" w:fill="auto"/>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0.89</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 xml:space="preserve">New Zealand </w:t>
            </w:r>
            <w:r w:rsidR="00280A64">
              <w:rPr>
                <w:b/>
                <w:sz w:val="16"/>
                <w:szCs w:val="16"/>
              </w:rPr>
              <w:t xml:space="preserve">Individual </w:t>
            </w:r>
            <w:r w:rsidRPr="009B1415">
              <w:rPr>
                <w:b/>
                <w:sz w:val="16"/>
                <w:szCs w:val="16"/>
              </w:rPr>
              <w:t>Deprivation Index</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280A64" w:rsidRDefault="000B3B9A" w:rsidP="000B3B9A">
            <w:pPr>
              <w:spacing w:before="20"/>
              <w:ind w:left="176"/>
              <w:jc w:val="both"/>
              <w:rPr>
                <w:sz w:val="16"/>
                <w:szCs w:val="16"/>
              </w:rPr>
            </w:pPr>
            <w:r w:rsidRPr="00280A64">
              <w:rPr>
                <w:sz w:val="16"/>
                <w:szCs w:val="16"/>
              </w:rPr>
              <w:t>0</w:t>
            </w:r>
          </w:p>
        </w:tc>
        <w:tc>
          <w:tcPr>
            <w:tcW w:w="972" w:type="dxa"/>
            <w:vAlign w:val="center"/>
          </w:tcPr>
          <w:p w:rsidR="000B3B9A" w:rsidRPr="00280A64" w:rsidRDefault="000B3B9A" w:rsidP="00BF4D66">
            <w:pPr>
              <w:adjustRightInd w:val="0"/>
              <w:spacing w:before="20"/>
              <w:jc w:val="right"/>
              <w:rPr>
                <w:color w:val="000000"/>
                <w:sz w:val="16"/>
                <w:szCs w:val="16"/>
              </w:rPr>
            </w:pPr>
            <w:r w:rsidRPr="00280A64">
              <w:rPr>
                <w:color w:val="000000"/>
                <w:sz w:val="16"/>
                <w:szCs w:val="16"/>
              </w:rPr>
              <w:t>50.9</w:t>
            </w:r>
          </w:p>
        </w:tc>
        <w:tc>
          <w:tcPr>
            <w:tcW w:w="1108" w:type="dxa"/>
            <w:vAlign w:val="center"/>
          </w:tcPr>
          <w:p w:rsidR="000B3B9A" w:rsidRPr="000B3B9A" w:rsidRDefault="000B3B9A" w:rsidP="00BF4D66">
            <w:pPr>
              <w:adjustRightInd w:val="0"/>
              <w:spacing w:before="20"/>
              <w:jc w:val="right"/>
              <w:rPr>
                <w:color w:val="000000"/>
                <w:sz w:val="16"/>
                <w:szCs w:val="16"/>
              </w:rPr>
            </w:pPr>
            <w:r w:rsidRPr="00280A64">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1</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51.2</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1.01</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0.40</w:t>
            </w:r>
            <w:r w:rsidR="002E5C0E">
              <w:rPr>
                <w:color w:val="000000"/>
                <w:sz w:val="16"/>
                <w:szCs w:val="16"/>
              </w:rPr>
              <w:t xml:space="preserve"> - </w:t>
            </w:r>
            <w:r w:rsidR="002E5C0E" w:rsidRPr="000B3B9A">
              <w:rPr>
                <w:color w:val="000000"/>
                <w:sz w:val="16"/>
                <w:szCs w:val="16"/>
              </w:rPr>
              <w:t>2.55</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2</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37.1</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0.57</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0.24</w:t>
            </w:r>
            <w:r w:rsidR="002E5C0E">
              <w:rPr>
                <w:color w:val="000000"/>
                <w:sz w:val="16"/>
                <w:szCs w:val="16"/>
              </w:rPr>
              <w:t xml:space="preserve"> - </w:t>
            </w:r>
            <w:r w:rsidR="002E5C0E" w:rsidRPr="000B3B9A">
              <w:rPr>
                <w:color w:val="000000"/>
                <w:sz w:val="16"/>
                <w:szCs w:val="16"/>
              </w:rPr>
              <w:t>1.37</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3</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45.5</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0.80</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0.28</w:t>
            </w:r>
            <w:r w:rsidR="002E5C0E">
              <w:rPr>
                <w:color w:val="000000"/>
                <w:sz w:val="16"/>
                <w:szCs w:val="16"/>
              </w:rPr>
              <w:t xml:space="preserve"> - </w:t>
            </w:r>
            <w:r w:rsidR="002E5C0E" w:rsidRPr="000B3B9A">
              <w:rPr>
                <w:color w:val="000000"/>
                <w:sz w:val="16"/>
                <w:szCs w:val="16"/>
              </w:rPr>
              <w:t>2.28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4</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32.4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0.46</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0.13</w:t>
            </w:r>
            <w:r w:rsidR="002E5C0E">
              <w:rPr>
                <w:color w:val="000000"/>
                <w:sz w:val="16"/>
                <w:szCs w:val="16"/>
              </w:rPr>
              <w:t xml:space="preserve"> - </w:t>
            </w:r>
            <w:r w:rsidR="002E5C0E" w:rsidRPr="000B3B9A">
              <w:rPr>
                <w:color w:val="000000"/>
                <w:sz w:val="16"/>
                <w:szCs w:val="16"/>
              </w:rPr>
              <w:t>1.66</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Pr>
                <w:sz w:val="16"/>
                <w:szCs w:val="16"/>
              </w:rPr>
              <w:t>5+</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82.3</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4.49</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1.16</w:t>
            </w:r>
            <w:r w:rsidR="002E5C0E">
              <w:rPr>
                <w:color w:val="000000"/>
                <w:sz w:val="16"/>
                <w:szCs w:val="16"/>
              </w:rPr>
              <w:t xml:space="preserve"> - </w:t>
            </w:r>
            <w:r w:rsidR="002E5C0E" w:rsidRPr="000B3B9A">
              <w:rPr>
                <w:color w:val="000000"/>
                <w:sz w:val="16"/>
                <w:szCs w:val="16"/>
              </w:rPr>
              <w:t>17.31</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0.10</w:t>
            </w:r>
          </w:p>
        </w:tc>
      </w:tr>
      <w:tr w:rsidR="000B3B9A" w:rsidRPr="009B1415" w:rsidTr="00F959A8">
        <w:tc>
          <w:tcPr>
            <w:tcW w:w="4266" w:type="dxa"/>
            <w:vAlign w:val="center"/>
          </w:tcPr>
          <w:p w:rsidR="000B3B9A" w:rsidRPr="009B1415" w:rsidRDefault="000B3B9A" w:rsidP="000B3B9A">
            <w:pPr>
              <w:spacing w:before="20"/>
              <w:rPr>
                <w:rFonts w:eastAsiaTheme="minorEastAsia"/>
                <w:b/>
                <w:sz w:val="16"/>
                <w:szCs w:val="16"/>
                <w:lang w:eastAsia="en-US"/>
              </w:rPr>
            </w:pPr>
            <w:r w:rsidRPr="009B1415">
              <w:rPr>
                <w:rFonts w:eastAsiaTheme="minorEastAsia"/>
                <w:b/>
                <w:sz w:val="16"/>
                <w:szCs w:val="16"/>
                <w:lang w:eastAsia="en-US"/>
              </w:rPr>
              <w:t>Number of gambling activities participated in</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1</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42.5</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2</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39.4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0.88</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0.22</w:t>
            </w:r>
            <w:r w:rsidR="002E5C0E">
              <w:rPr>
                <w:color w:val="000000"/>
                <w:sz w:val="16"/>
                <w:szCs w:val="16"/>
              </w:rPr>
              <w:t xml:space="preserve"> - </w:t>
            </w:r>
            <w:r w:rsidR="002E5C0E" w:rsidRPr="000B3B9A">
              <w:rPr>
                <w:color w:val="000000"/>
                <w:sz w:val="16"/>
                <w:szCs w:val="16"/>
              </w:rPr>
              <w:t>3.59</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3</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44.7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1.09</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0.29</w:t>
            </w:r>
            <w:r w:rsidR="002E5C0E">
              <w:rPr>
                <w:color w:val="000000"/>
                <w:sz w:val="16"/>
                <w:szCs w:val="16"/>
              </w:rPr>
              <w:t xml:space="preserve"> - </w:t>
            </w:r>
            <w:r w:rsidR="002E5C0E" w:rsidRPr="000B3B9A">
              <w:rPr>
                <w:color w:val="000000"/>
                <w:sz w:val="16"/>
                <w:szCs w:val="16"/>
              </w:rPr>
              <w:t>4.18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4-6</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48.7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1.28</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0.35</w:t>
            </w:r>
            <w:r w:rsidR="002E5C0E">
              <w:rPr>
                <w:color w:val="000000"/>
                <w:sz w:val="16"/>
                <w:szCs w:val="16"/>
              </w:rPr>
              <w:t xml:space="preserve"> - </w:t>
            </w:r>
            <w:r w:rsidR="002E5C0E" w:rsidRPr="000B3B9A">
              <w:rPr>
                <w:color w:val="000000"/>
                <w:sz w:val="16"/>
                <w:szCs w:val="16"/>
              </w:rPr>
              <w:t>4.70</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7-9</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56.1</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1.73</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0.44</w:t>
            </w:r>
            <w:r w:rsidR="002E5C0E">
              <w:rPr>
                <w:color w:val="000000"/>
                <w:sz w:val="16"/>
                <w:szCs w:val="16"/>
              </w:rPr>
              <w:t xml:space="preserve"> - </w:t>
            </w:r>
            <w:r w:rsidR="002E5C0E" w:rsidRPr="000B3B9A">
              <w:rPr>
                <w:color w:val="000000"/>
                <w:sz w:val="16"/>
                <w:szCs w:val="16"/>
              </w:rPr>
              <w:t>6.86</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10+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94.9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25.08</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2.34</w:t>
            </w:r>
            <w:r w:rsidR="002E5C0E">
              <w:rPr>
                <w:color w:val="000000"/>
                <w:sz w:val="16"/>
                <w:szCs w:val="16"/>
              </w:rPr>
              <w:t xml:space="preserve"> - </w:t>
            </w:r>
            <w:r w:rsidR="002E5C0E" w:rsidRPr="000B3B9A">
              <w:rPr>
                <w:color w:val="000000"/>
                <w:sz w:val="16"/>
                <w:szCs w:val="16"/>
              </w:rPr>
              <w:t>268.87</w:t>
            </w:r>
            <w:r>
              <w:rPr>
                <w:color w:val="000000"/>
                <w:sz w:val="16"/>
                <w:szCs w:val="16"/>
              </w:rPr>
              <w:t>)</w:t>
            </w:r>
          </w:p>
        </w:tc>
        <w:tc>
          <w:tcPr>
            <w:tcW w:w="747" w:type="dxa"/>
            <w:shd w:val="clear" w:color="auto" w:fill="auto"/>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0.10</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Pattern of participation</w:t>
            </w:r>
          </w:p>
        </w:tc>
        <w:tc>
          <w:tcPr>
            <w:tcW w:w="972" w:type="dxa"/>
            <w:vAlign w:val="center"/>
          </w:tcPr>
          <w:p w:rsidR="00A523AC" w:rsidRPr="00B41811" w:rsidRDefault="00A523AC" w:rsidP="00BF4D66">
            <w:pPr>
              <w:adjustRightInd w:val="0"/>
              <w:spacing w:before="20"/>
              <w:jc w:val="right"/>
              <w:rPr>
                <w:color w:val="000000"/>
                <w:sz w:val="16"/>
                <w:szCs w:val="16"/>
              </w:rPr>
            </w:pPr>
          </w:p>
        </w:tc>
        <w:tc>
          <w:tcPr>
            <w:tcW w:w="1108" w:type="dxa"/>
            <w:vAlign w:val="center"/>
          </w:tcPr>
          <w:p w:rsidR="00A523AC" w:rsidRPr="00B41811" w:rsidRDefault="00A523AC" w:rsidP="00BF4D66">
            <w:pPr>
              <w:adjustRightInd w:val="0"/>
              <w:spacing w:before="20"/>
              <w:jc w:val="right"/>
              <w:rPr>
                <w:color w:val="000000"/>
                <w:sz w:val="16"/>
                <w:szCs w:val="16"/>
              </w:rPr>
            </w:pPr>
          </w:p>
        </w:tc>
        <w:tc>
          <w:tcPr>
            <w:tcW w:w="831" w:type="dxa"/>
            <w:vAlign w:val="center"/>
          </w:tcPr>
          <w:p w:rsidR="00A523AC" w:rsidRPr="00B41811" w:rsidRDefault="00A523AC" w:rsidP="00BF4D66">
            <w:pPr>
              <w:adjustRightInd w:val="0"/>
              <w:spacing w:before="20"/>
              <w:jc w:val="right"/>
              <w:rPr>
                <w:color w:val="000000"/>
                <w:sz w:val="16"/>
                <w:szCs w:val="16"/>
              </w:rPr>
            </w:pPr>
          </w:p>
        </w:tc>
        <w:tc>
          <w:tcPr>
            <w:tcW w:w="382" w:type="dxa"/>
            <w:vAlign w:val="center"/>
          </w:tcPr>
          <w:p w:rsidR="00A523AC" w:rsidRPr="00B41811" w:rsidRDefault="00A523AC" w:rsidP="00BF4D66">
            <w:pPr>
              <w:adjustRightInd w:val="0"/>
              <w:spacing w:before="20"/>
              <w:jc w:val="right"/>
              <w:rPr>
                <w:color w:val="000000"/>
                <w:sz w:val="16"/>
                <w:szCs w:val="16"/>
              </w:rPr>
            </w:pPr>
          </w:p>
        </w:tc>
        <w:tc>
          <w:tcPr>
            <w:tcW w:w="747" w:type="dxa"/>
            <w:vAlign w:val="center"/>
          </w:tcPr>
          <w:p w:rsidR="00A523AC" w:rsidRPr="00B41811" w:rsidRDefault="00A523AC"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Infrequent gambler</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36.8</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Regular non-continuous gambler</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53.4</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1.97</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0.90</w:t>
            </w:r>
            <w:r w:rsidR="002E5C0E">
              <w:rPr>
                <w:color w:val="000000"/>
                <w:sz w:val="16"/>
                <w:szCs w:val="16"/>
              </w:rPr>
              <w:t xml:space="preserve"> - </w:t>
            </w:r>
            <w:r w:rsidR="002E5C0E" w:rsidRPr="000B3B9A">
              <w:rPr>
                <w:color w:val="000000"/>
                <w:sz w:val="16"/>
                <w:szCs w:val="16"/>
              </w:rPr>
              <w:t>4.32</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Regular continuous gambler</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65.9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3.32</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1.54</w:t>
            </w:r>
            <w:r w:rsidR="002E5C0E">
              <w:rPr>
                <w:color w:val="000000"/>
                <w:sz w:val="16"/>
                <w:szCs w:val="16"/>
              </w:rPr>
              <w:t xml:space="preserve"> - </w:t>
            </w:r>
            <w:r w:rsidR="002E5C0E" w:rsidRPr="000B3B9A">
              <w:rPr>
                <w:color w:val="000000"/>
                <w:sz w:val="16"/>
                <w:szCs w:val="16"/>
              </w:rPr>
              <w:t>7.15</w:t>
            </w:r>
            <w:r>
              <w:rPr>
                <w:color w:val="000000"/>
                <w:sz w:val="16"/>
                <w:szCs w:val="16"/>
              </w:rPr>
              <w:t>)</w:t>
            </w:r>
          </w:p>
        </w:tc>
        <w:tc>
          <w:tcPr>
            <w:tcW w:w="747" w:type="dxa"/>
            <w:shd w:val="clear" w:color="auto" w:fill="D9D9D9" w:themeFill="background1" w:themeFillShade="D9"/>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0.01</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Gambling frequency</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At least weekly</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62.0</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6.13</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2.34</w:t>
            </w:r>
            <w:r w:rsidR="002E5C0E">
              <w:rPr>
                <w:color w:val="000000"/>
                <w:sz w:val="16"/>
                <w:szCs w:val="16"/>
              </w:rPr>
              <w:t xml:space="preserve"> - </w:t>
            </w:r>
            <w:r w:rsidR="002E5C0E" w:rsidRPr="000B3B9A">
              <w:rPr>
                <w:color w:val="000000"/>
                <w:sz w:val="16"/>
                <w:szCs w:val="16"/>
              </w:rPr>
              <w:t>16.09</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At least monthly</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47.2</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3.36</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1.14</w:t>
            </w:r>
            <w:r w:rsidR="002E5C0E">
              <w:rPr>
                <w:color w:val="000000"/>
                <w:sz w:val="16"/>
                <w:szCs w:val="16"/>
              </w:rPr>
              <w:t xml:space="preserve"> - </w:t>
            </w:r>
            <w:r w:rsidR="002E5C0E" w:rsidRPr="000B3B9A">
              <w:rPr>
                <w:color w:val="000000"/>
                <w:sz w:val="16"/>
                <w:szCs w:val="16"/>
              </w:rPr>
              <w:t>9.87</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At least once in past year</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21.0</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shd w:val="clear" w:color="auto" w:fill="D9D9D9" w:themeFill="background1" w:themeFillShade="D9"/>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0.001</w:t>
            </w:r>
          </w:p>
        </w:tc>
      </w:tr>
      <w:tr w:rsidR="000B3B9A" w:rsidRPr="009B1415" w:rsidTr="00F959A8">
        <w:tc>
          <w:tcPr>
            <w:tcW w:w="4266" w:type="dxa"/>
            <w:vAlign w:val="bottom"/>
          </w:tcPr>
          <w:p w:rsidR="000B3B9A" w:rsidRPr="009B1415" w:rsidRDefault="000B3B9A" w:rsidP="000B3B9A">
            <w:pPr>
              <w:keepNext/>
              <w:keepLines/>
              <w:spacing w:before="20"/>
              <w:jc w:val="both"/>
              <w:rPr>
                <w:b/>
                <w:sz w:val="16"/>
                <w:szCs w:val="16"/>
              </w:rPr>
            </w:pPr>
            <w:r w:rsidRPr="009B1415">
              <w:rPr>
                <w:rFonts w:eastAsiaTheme="minorEastAsia"/>
                <w:b/>
                <w:sz w:val="16"/>
                <w:szCs w:val="16"/>
                <w:lang w:eastAsia="en-US"/>
              </w:rPr>
              <w:t>Typical monthly gambling expenditure</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$1 - $10</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31.2</w:t>
            </w: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$11 - $20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21.9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0.62</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0.08</w:t>
            </w:r>
            <w:r w:rsidR="002E5C0E">
              <w:rPr>
                <w:color w:val="000000"/>
                <w:sz w:val="16"/>
                <w:szCs w:val="16"/>
              </w:rPr>
              <w:t xml:space="preserve"> - </w:t>
            </w:r>
            <w:r w:rsidR="002E5C0E" w:rsidRPr="000B3B9A">
              <w:rPr>
                <w:color w:val="000000"/>
                <w:sz w:val="16"/>
                <w:szCs w:val="16"/>
              </w:rPr>
              <w:t>4.75</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$21 - $30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21.0</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0.58</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0.10</w:t>
            </w:r>
            <w:r w:rsidR="002E5C0E">
              <w:rPr>
                <w:color w:val="000000"/>
                <w:sz w:val="16"/>
                <w:szCs w:val="16"/>
              </w:rPr>
              <w:t xml:space="preserve"> - </w:t>
            </w:r>
            <w:r w:rsidR="002E5C0E" w:rsidRPr="000B3B9A">
              <w:rPr>
                <w:color w:val="000000"/>
                <w:sz w:val="16"/>
                <w:szCs w:val="16"/>
              </w:rPr>
              <w:t>3.55</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$31 - $50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28.8</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0.89</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0.12</w:t>
            </w:r>
            <w:r w:rsidR="002E5C0E">
              <w:rPr>
                <w:color w:val="000000"/>
                <w:sz w:val="16"/>
                <w:szCs w:val="16"/>
              </w:rPr>
              <w:t xml:space="preserve"> - </w:t>
            </w:r>
            <w:r w:rsidR="002E5C0E" w:rsidRPr="000B3B9A">
              <w:rPr>
                <w:color w:val="000000"/>
                <w:sz w:val="16"/>
                <w:szCs w:val="16"/>
              </w:rPr>
              <w:t>6.87</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$51 - $100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47.1</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1.96</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0.38</w:t>
            </w:r>
            <w:r w:rsidR="002E5C0E">
              <w:rPr>
                <w:color w:val="000000"/>
                <w:sz w:val="16"/>
                <w:szCs w:val="16"/>
              </w:rPr>
              <w:t xml:space="preserve"> - </w:t>
            </w:r>
            <w:r w:rsidR="002E5C0E" w:rsidRPr="000B3B9A">
              <w:rPr>
                <w:color w:val="000000"/>
                <w:sz w:val="16"/>
                <w:szCs w:val="16"/>
              </w:rPr>
              <w:t>9.98</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$101 - $500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58.5</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3.10</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0.68</w:t>
            </w:r>
            <w:r w:rsidR="002E5C0E">
              <w:rPr>
                <w:color w:val="000000"/>
                <w:sz w:val="16"/>
                <w:szCs w:val="16"/>
              </w:rPr>
              <w:t xml:space="preserve"> - </w:t>
            </w:r>
            <w:r w:rsidR="002E5C0E" w:rsidRPr="000B3B9A">
              <w:rPr>
                <w:color w:val="000000"/>
                <w:sz w:val="16"/>
                <w:szCs w:val="16"/>
              </w:rPr>
              <w:t>14.07</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&gt;$500</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75.7</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6.85</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1.19</w:t>
            </w:r>
            <w:r w:rsidR="002E5C0E">
              <w:rPr>
                <w:color w:val="000000"/>
                <w:sz w:val="16"/>
                <w:szCs w:val="16"/>
              </w:rPr>
              <w:t xml:space="preserve"> - </w:t>
            </w:r>
            <w:r w:rsidR="002E5C0E" w:rsidRPr="000B3B9A">
              <w:rPr>
                <w:color w:val="000000"/>
                <w:sz w:val="16"/>
                <w:szCs w:val="16"/>
              </w:rPr>
              <w:t>39.47</w:t>
            </w:r>
            <w:r>
              <w:rPr>
                <w:color w:val="000000"/>
                <w:sz w:val="16"/>
                <w:szCs w:val="16"/>
              </w:rPr>
              <w:t>)</w:t>
            </w:r>
          </w:p>
        </w:tc>
        <w:tc>
          <w:tcPr>
            <w:tcW w:w="747" w:type="dxa"/>
            <w:shd w:val="clear" w:color="auto" w:fill="D9D9D9" w:themeFill="background1" w:themeFillShade="D9"/>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0.006</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Cards games - annual</w:t>
            </w:r>
          </w:p>
        </w:tc>
        <w:tc>
          <w:tcPr>
            <w:tcW w:w="972" w:type="dxa"/>
            <w:vAlign w:val="center"/>
          </w:tcPr>
          <w:p w:rsidR="00A523AC" w:rsidRPr="00BE2C60" w:rsidRDefault="00A523AC" w:rsidP="00BF4D66">
            <w:pPr>
              <w:adjustRightInd w:val="0"/>
              <w:spacing w:before="20"/>
              <w:jc w:val="right"/>
              <w:rPr>
                <w:color w:val="000000"/>
                <w:sz w:val="16"/>
                <w:szCs w:val="16"/>
              </w:rPr>
            </w:pPr>
          </w:p>
        </w:tc>
        <w:tc>
          <w:tcPr>
            <w:tcW w:w="1108" w:type="dxa"/>
            <w:vAlign w:val="center"/>
          </w:tcPr>
          <w:p w:rsidR="00A523AC" w:rsidRPr="00BE2C60" w:rsidRDefault="00A523AC" w:rsidP="00BF4D66">
            <w:pPr>
              <w:adjustRightInd w:val="0"/>
              <w:spacing w:before="20"/>
              <w:jc w:val="right"/>
              <w:rPr>
                <w:color w:val="000000"/>
                <w:sz w:val="16"/>
                <w:szCs w:val="16"/>
              </w:rPr>
            </w:pPr>
          </w:p>
        </w:tc>
        <w:tc>
          <w:tcPr>
            <w:tcW w:w="831" w:type="dxa"/>
            <w:vAlign w:val="center"/>
          </w:tcPr>
          <w:p w:rsidR="00A523AC" w:rsidRPr="00BE2C60" w:rsidRDefault="00A523AC" w:rsidP="00BF4D66">
            <w:pPr>
              <w:adjustRightInd w:val="0"/>
              <w:spacing w:before="20"/>
              <w:jc w:val="right"/>
              <w:rPr>
                <w:color w:val="000000"/>
                <w:sz w:val="16"/>
                <w:szCs w:val="16"/>
              </w:rPr>
            </w:pPr>
          </w:p>
        </w:tc>
        <w:tc>
          <w:tcPr>
            <w:tcW w:w="382" w:type="dxa"/>
            <w:vAlign w:val="center"/>
          </w:tcPr>
          <w:p w:rsidR="00A523AC" w:rsidRPr="00BE2C60" w:rsidRDefault="00A523AC" w:rsidP="00BF4D66">
            <w:pPr>
              <w:adjustRightInd w:val="0"/>
              <w:spacing w:before="20"/>
              <w:jc w:val="right"/>
              <w:rPr>
                <w:color w:val="000000"/>
                <w:sz w:val="16"/>
                <w:szCs w:val="16"/>
              </w:rPr>
            </w:pPr>
          </w:p>
        </w:tc>
        <w:tc>
          <w:tcPr>
            <w:tcW w:w="747" w:type="dxa"/>
            <w:vAlign w:val="center"/>
          </w:tcPr>
          <w:p w:rsidR="00A523AC" w:rsidRPr="00BE2C60" w:rsidRDefault="00A523AC"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No</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47.3</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Yes</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55.9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1.41</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0.59</w:t>
            </w:r>
            <w:r w:rsidR="002E5C0E">
              <w:rPr>
                <w:color w:val="000000"/>
                <w:sz w:val="16"/>
                <w:szCs w:val="16"/>
              </w:rPr>
              <w:t xml:space="preserve"> - </w:t>
            </w:r>
            <w:r w:rsidR="002E5C0E" w:rsidRPr="000B3B9A">
              <w:rPr>
                <w:color w:val="000000"/>
                <w:sz w:val="16"/>
                <w:szCs w:val="16"/>
              </w:rPr>
              <w:t>3.39</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0.44</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Bets with friends/workmates - annual</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No</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51.4</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Yes</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40.9</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0.66</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0.31</w:t>
            </w:r>
            <w:r w:rsidR="002E5C0E">
              <w:rPr>
                <w:color w:val="000000"/>
                <w:sz w:val="16"/>
                <w:szCs w:val="16"/>
              </w:rPr>
              <w:t xml:space="preserve"> - </w:t>
            </w:r>
            <w:r w:rsidR="002E5C0E" w:rsidRPr="000B3B9A">
              <w:rPr>
                <w:color w:val="000000"/>
                <w:sz w:val="16"/>
                <w:szCs w:val="16"/>
              </w:rPr>
              <w:t>1.41</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0.28</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Text game or competition - annual</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No</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49.9</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Yes</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31.3</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0.46</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0.12</w:t>
            </w:r>
            <w:r w:rsidR="002E5C0E">
              <w:rPr>
                <w:color w:val="000000"/>
                <w:sz w:val="16"/>
                <w:szCs w:val="16"/>
              </w:rPr>
              <w:t xml:space="preserve"> - </w:t>
            </w:r>
            <w:r w:rsidR="002E5C0E" w:rsidRPr="000B3B9A">
              <w:rPr>
                <w:color w:val="000000"/>
                <w:sz w:val="16"/>
                <w:szCs w:val="16"/>
              </w:rPr>
              <w:t>1.70</w:t>
            </w:r>
            <w:r>
              <w:rPr>
                <w:color w:val="000000"/>
                <w:sz w:val="16"/>
                <w:szCs w:val="16"/>
              </w:rPr>
              <w:t>)</w:t>
            </w:r>
          </w:p>
        </w:tc>
        <w:tc>
          <w:tcPr>
            <w:tcW w:w="747" w:type="dxa"/>
            <w:shd w:val="clear" w:color="auto" w:fill="auto"/>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0.24</w:t>
            </w:r>
          </w:p>
        </w:tc>
      </w:tr>
      <w:tr w:rsidR="000B3B9A" w:rsidRPr="009B1415" w:rsidTr="00F959A8">
        <w:tc>
          <w:tcPr>
            <w:tcW w:w="4266" w:type="dxa"/>
            <w:vAlign w:val="bottom"/>
          </w:tcPr>
          <w:p w:rsidR="000B3B9A" w:rsidRPr="009B1415" w:rsidRDefault="000B3B9A" w:rsidP="000B3B9A">
            <w:pPr>
              <w:spacing w:before="20"/>
              <w:jc w:val="both"/>
              <w:rPr>
                <w:b/>
                <w:sz w:val="16"/>
                <w:szCs w:val="16"/>
              </w:rPr>
            </w:pPr>
            <w:r w:rsidRPr="009B1415">
              <w:rPr>
                <w:b/>
                <w:sz w:val="16"/>
                <w:szCs w:val="16"/>
              </w:rPr>
              <w:t>Raffle/lottery (NZ/overseas) - annual</w:t>
            </w:r>
          </w:p>
        </w:tc>
        <w:tc>
          <w:tcPr>
            <w:tcW w:w="972" w:type="dxa"/>
            <w:vAlign w:val="center"/>
          </w:tcPr>
          <w:p w:rsidR="000B3B9A" w:rsidRPr="000B3B9A" w:rsidRDefault="000B3B9A" w:rsidP="00BF4D66">
            <w:pPr>
              <w:adjustRightInd w:val="0"/>
              <w:spacing w:before="20"/>
              <w:jc w:val="right"/>
              <w:rPr>
                <w:color w:val="000000"/>
                <w:sz w:val="16"/>
                <w:szCs w:val="16"/>
              </w:rPr>
            </w:pPr>
          </w:p>
        </w:tc>
        <w:tc>
          <w:tcPr>
            <w:tcW w:w="1108" w:type="dxa"/>
            <w:vAlign w:val="center"/>
          </w:tcPr>
          <w:p w:rsidR="000B3B9A" w:rsidRPr="000B3B9A" w:rsidRDefault="000B3B9A" w:rsidP="00BF4D66">
            <w:pPr>
              <w:adjustRightInd w:val="0"/>
              <w:spacing w:before="20"/>
              <w:jc w:val="right"/>
              <w:rPr>
                <w:color w:val="000000"/>
                <w:sz w:val="16"/>
                <w:szCs w:val="16"/>
              </w:rPr>
            </w:pP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0B3B9A" w:rsidRPr="009B1415" w:rsidTr="00F959A8">
        <w:tc>
          <w:tcPr>
            <w:tcW w:w="4266" w:type="dxa"/>
          </w:tcPr>
          <w:p w:rsidR="000B3B9A" w:rsidRPr="009B1415" w:rsidRDefault="000B3B9A" w:rsidP="000B3B9A">
            <w:pPr>
              <w:spacing w:before="20"/>
              <w:ind w:left="176"/>
              <w:jc w:val="both"/>
              <w:rPr>
                <w:sz w:val="16"/>
                <w:szCs w:val="16"/>
              </w:rPr>
            </w:pPr>
            <w:r w:rsidRPr="009B1415">
              <w:rPr>
                <w:sz w:val="16"/>
                <w:szCs w:val="16"/>
              </w:rPr>
              <w:t>No</w:t>
            </w:r>
          </w:p>
        </w:tc>
        <w:tc>
          <w:tcPr>
            <w:tcW w:w="972"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50.6</w:t>
            </w:r>
          </w:p>
        </w:tc>
        <w:tc>
          <w:tcPr>
            <w:tcW w:w="1108" w:type="dxa"/>
            <w:vAlign w:val="center"/>
          </w:tcPr>
          <w:p w:rsidR="000B3B9A" w:rsidRPr="000B3B9A" w:rsidRDefault="000B3B9A" w:rsidP="00BF4D66">
            <w:pPr>
              <w:adjustRightInd w:val="0"/>
              <w:spacing w:before="20"/>
              <w:jc w:val="right"/>
              <w:rPr>
                <w:color w:val="000000"/>
                <w:sz w:val="16"/>
                <w:szCs w:val="16"/>
              </w:rPr>
            </w:pPr>
            <w:r w:rsidRPr="000B3B9A">
              <w:rPr>
                <w:color w:val="000000"/>
                <w:sz w:val="16"/>
                <w:szCs w:val="16"/>
              </w:rPr>
              <w:t>1.00</w:t>
            </w:r>
          </w:p>
        </w:tc>
        <w:tc>
          <w:tcPr>
            <w:tcW w:w="831" w:type="dxa"/>
            <w:vAlign w:val="center"/>
          </w:tcPr>
          <w:p w:rsidR="000B3B9A" w:rsidRPr="000B3B9A" w:rsidRDefault="000B3B9A" w:rsidP="00BF4D66">
            <w:pPr>
              <w:adjustRightInd w:val="0"/>
              <w:spacing w:before="20"/>
              <w:jc w:val="right"/>
              <w:rPr>
                <w:color w:val="000000"/>
                <w:sz w:val="16"/>
                <w:szCs w:val="16"/>
              </w:rPr>
            </w:pPr>
          </w:p>
        </w:tc>
        <w:tc>
          <w:tcPr>
            <w:tcW w:w="382" w:type="dxa"/>
            <w:vAlign w:val="center"/>
          </w:tcPr>
          <w:p w:rsidR="000B3B9A" w:rsidRPr="000B3B9A" w:rsidRDefault="000B3B9A" w:rsidP="00BF4D66">
            <w:pPr>
              <w:adjustRightInd w:val="0"/>
              <w:spacing w:before="20"/>
              <w:jc w:val="right"/>
              <w:rPr>
                <w:color w:val="000000"/>
                <w:sz w:val="16"/>
                <w:szCs w:val="16"/>
              </w:rPr>
            </w:pPr>
          </w:p>
        </w:tc>
        <w:tc>
          <w:tcPr>
            <w:tcW w:w="747" w:type="dxa"/>
            <w:vAlign w:val="center"/>
          </w:tcPr>
          <w:p w:rsidR="000B3B9A" w:rsidRPr="000B3B9A" w:rsidRDefault="000B3B9A"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0B3B9A">
            <w:pPr>
              <w:spacing w:before="20"/>
              <w:ind w:left="176"/>
              <w:jc w:val="both"/>
              <w:rPr>
                <w:sz w:val="16"/>
                <w:szCs w:val="16"/>
              </w:rPr>
            </w:pPr>
            <w:r w:rsidRPr="009B1415">
              <w:rPr>
                <w:sz w:val="16"/>
                <w:szCs w:val="16"/>
              </w:rPr>
              <w:t>Yes</w:t>
            </w:r>
          </w:p>
        </w:tc>
        <w:tc>
          <w:tcPr>
            <w:tcW w:w="972"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47.2</w:t>
            </w:r>
          </w:p>
        </w:tc>
        <w:tc>
          <w:tcPr>
            <w:tcW w:w="1108"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0.87</w:t>
            </w:r>
          </w:p>
        </w:tc>
        <w:tc>
          <w:tcPr>
            <w:tcW w:w="1213" w:type="dxa"/>
            <w:gridSpan w:val="2"/>
            <w:vAlign w:val="center"/>
          </w:tcPr>
          <w:p w:rsidR="002E5C0E" w:rsidRPr="000B3B9A" w:rsidRDefault="00407EA4" w:rsidP="00BF4D66">
            <w:pPr>
              <w:adjustRightInd w:val="0"/>
              <w:spacing w:before="20"/>
              <w:jc w:val="right"/>
              <w:rPr>
                <w:color w:val="000000"/>
                <w:sz w:val="16"/>
                <w:szCs w:val="16"/>
              </w:rPr>
            </w:pPr>
            <w:r>
              <w:rPr>
                <w:color w:val="000000"/>
                <w:sz w:val="16"/>
                <w:szCs w:val="16"/>
              </w:rPr>
              <w:t>(</w:t>
            </w:r>
            <w:r w:rsidR="002E5C0E" w:rsidRPr="000B3B9A">
              <w:rPr>
                <w:color w:val="000000"/>
                <w:sz w:val="16"/>
                <w:szCs w:val="16"/>
              </w:rPr>
              <w:t>0.43</w:t>
            </w:r>
            <w:r w:rsidR="002E5C0E">
              <w:rPr>
                <w:color w:val="000000"/>
                <w:sz w:val="16"/>
                <w:szCs w:val="16"/>
              </w:rPr>
              <w:t xml:space="preserve"> - </w:t>
            </w:r>
            <w:r w:rsidR="002E5C0E" w:rsidRPr="000B3B9A">
              <w:rPr>
                <w:color w:val="000000"/>
                <w:sz w:val="16"/>
                <w:szCs w:val="16"/>
              </w:rPr>
              <w:t>1.75</w:t>
            </w:r>
            <w:r>
              <w:rPr>
                <w:color w:val="000000"/>
                <w:sz w:val="16"/>
                <w:szCs w:val="16"/>
              </w:rPr>
              <w:t>)</w:t>
            </w:r>
          </w:p>
        </w:tc>
        <w:tc>
          <w:tcPr>
            <w:tcW w:w="747" w:type="dxa"/>
            <w:vAlign w:val="center"/>
          </w:tcPr>
          <w:p w:rsidR="002E5C0E" w:rsidRPr="000B3B9A" w:rsidRDefault="002E5C0E" w:rsidP="00BF4D66">
            <w:pPr>
              <w:adjustRightInd w:val="0"/>
              <w:spacing w:before="20"/>
              <w:jc w:val="right"/>
              <w:rPr>
                <w:color w:val="000000"/>
                <w:sz w:val="16"/>
                <w:szCs w:val="16"/>
              </w:rPr>
            </w:pPr>
            <w:r w:rsidRPr="000B3B9A">
              <w:rPr>
                <w:color w:val="000000"/>
                <w:sz w:val="16"/>
                <w:szCs w:val="16"/>
              </w:rPr>
              <w:t>0.70</w:t>
            </w:r>
          </w:p>
        </w:tc>
      </w:tr>
      <w:tr w:rsidR="00A523AC" w:rsidRPr="009B1415" w:rsidTr="00F959A8">
        <w:tc>
          <w:tcPr>
            <w:tcW w:w="4266" w:type="dxa"/>
            <w:vAlign w:val="bottom"/>
          </w:tcPr>
          <w:p w:rsidR="00A523AC" w:rsidRPr="009B1415" w:rsidRDefault="00A523AC" w:rsidP="00B80631">
            <w:pPr>
              <w:keepNext/>
              <w:spacing w:before="20"/>
              <w:jc w:val="both"/>
              <w:rPr>
                <w:b/>
                <w:sz w:val="16"/>
                <w:szCs w:val="16"/>
              </w:rPr>
            </w:pPr>
            <w:r w:rsidRPr="009B1415">
              <w:rPr>
                <w:b/>
                <w:sz w:val="16"/>
                <w:szCs w:val="16"/>
              </w:rPr>
              <w:t>Lotto - annual</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50.7</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48.2</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0.90</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0.37</w:t>
            </w:r>
            <w:r w:rsidR="002E5C0E">
              <w:rPr>
                <w:color w:val="000000"/>
                <w:sz w:val="16"/>
                <w:szCs w:val="16"/>
              </w:rPr>
              <w:t xml:space="preserve"> - </w:t>
            </w:r>
            <w:r w:rsidR="002E5C0E" w:rsidRPr="00E0139F">
              <w:rPr>
                <w:color w:val="000000"/>
                <w:sz w:val="16"/>
                <w:szCs w:val="16"/>
              </w:rPr>
              <w:t>2.22</w:t>
            </w:r>
            <w:r>
              <w:rPr>
                <w:color w:val="000000"/>
                <w:sz w:val="16"/>
                <w:szCs w:val="16"/>
              </w:rPr>
              <w:t>)</w:t>
            </w:r>
          </w:p>
        </w:tc>
        <w:tc>
          <w:tcPr>
            <w:tcW w:w="747"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0.83</w:t>
            </w:r>
          </w:p>
        </w:tc>
      </w:tr>
      <w:tr w:rsidR="00A523AC" w:rsidRPr="009B1415" w:rsidTr="00F959A8">
        <w:tc>
          <w:tcPr>
            <w:tcW w:w="4266" w:type="dxa"/>
            <w:vAlign w:val="bottom"/>
          </w:tcPr>
          <w:p w:rsidR="00A523AC" w:rsidRPr="009B1415" w:rsidRDefault="00A523AC" w:rsidP="00B80631">
            <w:pPr>
              <w:keepNext/>
              <w:spacing w:before="20"/>
              <w:jc w:val="both"/>
              <w:rPr>
                <w:b/>
                <w:sz w:val="16"/>
                <w:szCs w:val="16"/>
              </w:rPr>
            </w:pPr>
            <w:r w:rsidRPr="009B1415">
              <w:rPr>
                <w:b/>
                <w:sz w:val="16"/>
                <w:szCs w:val="16"/>
              </w:rPr>
              <w:t>Keno overall - annual</w:t>
            </w:r>
          </w:p>
        </w:tc>
        <w:tc>
          <w:tcPr>
            <w:tcW w:w="972" w:type="dxa"/>
            <w:vAlign w:val="center"/>
          </w:tcPr>
          <w:p w:rsidR="00A523AC" w:rsidRPr="00CB35E8" w:rsidRDefault="00A523AC" w:rsidP="00BF4D66">
            <w:pPr>
              <w:keepNext/>
              <w:adjustRightInd w:val="0"/>
              <w:spacing w:before="20"/>
              <w:jc w:val="right"/>
              <w:rPr>
                <w:color w:val="000000"/>
                <w:sz w:val="16"/>
                <w:szCs w:val="16"/>
              </w:rPr>
            </w:pPr>
          </w:p>
        </w:tc>
        <w:tc>
          <w:tcPr>
            <w:tcW w:w="1108" w:type="dxa"/>
            <w:vAlign w:val="center"/>
          </w:tcPr>
          <w:p w:rsidR="00A523AC" w:rsidRPr="00CB35E8" w:rsidRDefault="00A523AC" w:rsidP="00BF4D66">
            <w:pPr>
              <w:keepNext/>
              <w:adjustRightInd w:val="0"/>
              <w:spacing w:before="20"/>
              <w:jc w:val="right"/>
              <w:rPr>
                <w:color w:val="000000"/>
                <w:sz w:val="16"/>
                <w:szCs w:val="16"/>
              </w:rPr>
            </w:pPr>
          </w:p>
        </w:tc>
        <w:tc>
          <w:tcPr>
            <w:tcW w:w="831" w:type="dxa"/>
            <w:vAlign w:val="center"/>
          </w:tcPr>
          <w:p w:rsidR="00A523AC" w:rsidRPr="00CB35E8" w:rsidRDefault="00A523AC" w:rsidP="00BF4D66">
            <w:pPr>
              <w:keepNext/>
              <w:adjustRightInd w:val="0"/>
              <w:spacing w:before="20"/>
              <w:jc w:val="right"/>
              <w:rPr>
                <w:color w:val="000000"/>
                <w:sz w:val="16"/>
                <w:szCs w:val="16"/>
              </w:rPr>
            </w:pPr>
          </w:p>
        </w:tc>
        <w:tc>
          <w:tcPr>
            <w:tcW w:w="382" w:type="dxa"/>
            <w:vAlign w:val="center"/>
          </w:tcPr>
          <w:p w:rsidR="00A523AC" w:rsidRPr="00CB35E8" w:rsidRDefault="00A523AC" w:rsidP="00BF4D66">
            <w:pPr>
              <w:keepNext/>
              <w:adjustRightInd w:val="0"/>
              <w:spacing w:before="20"/>
              <w:jc w:val="right"/>
              <w:rPr>
                <w:color w:val="000000"/>
                <w:sz w:val="16"/>
                <w:szCs w:val="16"/>
              </w:rPr>
            </w:pPr>
          </w:p>
        </w:tc>
        <w:tc>
          <w:tcPr>
            <w:tcW w:w="747" w:type="dxa"/>
            <w:vAlign w:val="center"/>
          </w:tcPr>
          <w:p w:rsidR="00A523AC" w:rsidRPr="00CB35E8" w:rsidRDefault="00A523AC" w:rsidP="00BF4D66">
            <w:pPr>
              <w:keepNext/>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keepNext/>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46.8</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Borders>
              <w:bottom w:val="single" w:sz="4" w:space="0" w:color="auto"/>
            </w:tcBorders>
          </w:tcPr>
          <w:p w:rsidR="002E5C0E" w:rsidRPr="009B1415" w:rsidRDefault="002E5C0E" w:rsidP="00E0139F">
            <w:pPr>
              <w:spacing w:before="20"/>
              <w:ind w:left="176"/>
              <w:jc w:val="both"/>
              <w:rPr>
                <w:sz w:val="16"/>
                <w:szCs w:val="16"/>
              </w:rPr>
            </w:pPr>
            <w:r w:rsidRPr="009B1415">
              <w:rPr>
                <w:sz w:val="16"/>
                <w:szCs w:val="16"/>
              </w:rPr>
              <w:t>Yes</w:t>
            </w:r>
          </w:p>
        </w:tc>
        <w:tc>
          <w:tcPr>
            <w:tcW w:w="972" w:type="dxa"/>
            <w:tcBorders>
              <w:bottom w:val="single" w:sz="4" w:space="0" w:color="auto"/>
            </w:tcBorders>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63.0</w:t>
            </w:r>
          </w:p>
        </w:tc>
        <w:tc>
          <w:tcPr>
            <w:tcW w:w="1108" w:type="dxa"/>
            <w:tcBorders>
              <w:bottom w:val="single" w:sz="4" w:space="0" w:color="auto"/>
            </w:tcBorders>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1.94</w:t>
            </w:r>
          </w:p>
        </w:tc>
        <w:tc>
          <w:tcPr>
            <w:tcW w:w="1213" w:type="dxa"/>
            <w:gridSpan w:val="2"/>
            <w:tcBorders>
              <w:bottom w:val="single" w:sz="4" w:space="0" w:color="auto"/>
            </w:tcBorders>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0.60</w:t>
            </w:r>
            <w:r w:rsidR="002E5C0E">
              <w:rPr>
                <w:color w:val="000000"/>
                <w:sz w:val="16"/>
                <w:szCs w:val="16"/>
              </w:rPr>
              <w:t xml:space="preserve"> - </w:t>
            </w:r>
            <w:r w:rsidR="002E5C0E" w:rsidRPr="00E0139F">
              <w:rPr>
                <w:color w:val="000000"/>
                <w:sz w:val="16"/>
                <w:szCs w:val="16"/>
              </w:rPr>
              <w:t>6.25</w:t>
            </w:r>
            <w:r w:rsidR="008A0DFA">
              <w:rPr>
                <w:color w:val="000000"/>
                <w:sz w:val="16"/>
                <w:szCs w:val="16"/>
              </w:rPr>
              <w:t>)</w:t>
            </w:r>
          </w:p>
        </w:tc>
        <w:tc>
          <w:tcPr>
            <w:tcW w:w="747" w:type="dxa"/>
            <w:tcBorders>
              <w:bottom w:val="single" w:sz="4" w:space="0" w:color="auto"/>
            </w:tcBorders>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0.27</w:t>
            </w:r>
          </w:p>
        </w:tc>
      </w:tr>
      <w:tr w:rsidR="00E0139F" w:rsidRPr="009B1415" w:rsidTr="00F959A8">
        <w:tc>
          <w:tcPr>
            <w:tcW w:w="4266" w:type="dxa"/>
            <w:tcBorders>
              <w:top w:val="single" w:sz="4" w:space="0" w:color="auto"/>
            </w:tcBorders>
            <w:vAlign w:val="bottom"/>
          </w:tcPr>
          <w:p w:rsidR="00E0139F" w:rsidRPr="009B1415" w:rsidRDefault="00E0139F" w:rsidP="00E0139F">
            <w:pPr>
              <w:spacing w:before="20"/>
              <w:jc w:val="both"/>
              <w:rPr>
                <w:b/>
                <w:sz w:val="16"/>
                <w:szCs w:val="16"/>
              </w:rPr>
            </w:pPr>
            <w:r w:rsidRPr="009B1415">
              <w:rPr>
                <w:b/>
                <w:sz w:val="16"/>
                <w:szCs w:val="16"/>
              </w:rPr>
              <w:lastRenderedPageBreak/>
              <w:t>Instant Kiwi/other scratch tickets - annual</w:t>
            </w:r>
          </w:p>
        </w:tc>
        <w:tc>
          <w:tcPr>
            <w:tcW w:w="972" w:type="dxa"/>
            <w:tcBorders>
              <w:top w:val="single" w:sz="4" w:space="0" w:color="auto"/>
            </w:tcBorders>
            <w:vAlign w:val="center"/>
          </w:tcPr>
          <w:p w:rsidR="00E0139F" w:rsidRPr="00E0139F" w:rsidRDefault="00E0139F" w:rsidP="00BF4D66">
            <w:pPr>
              <w:adjustRightInd w:val="0"/>
              <w:spacing w:before="20"/>
              <w:jc w:val="right"/>
              <w:rPr>
                <w:color w:val="000000"/>
                <w:sz w:val="16"/>
                <w:szCs w:val="16"/>
              </w:rPr>
            </w:pPr>
          </w:p>
        </w:tc>
        <w:tc>
          <w:tcPr>
            <w:tcW w:w="1108" w:type="dxa"/>
            <w:tcBorders>
              <w:top w:val="single" w:sz="4" w:space="0" w:color="auto"/>
            </w:tcBorders>
            <w:vAlign w:val="center"/>
          </w:tcPr>
          <w:p w:rsidR="00E0139F" w:rsidRPr="00E0139F" w:rsidRDefault="00E0139F" w:rsidP="00BF4D66">
            <w:pPr>
              <w:adjustRightInd w:val="0"/>
              <w:spacing w:before="20"/>
              <w:jc w:val="right"/>
              <w:rPr>
                <w:color w:val="000000"/>
                <w:sz w:val="16"/>
                <w:szCs w:val="16"/>
              </w:rPr>
            </w:pPr>
          </w:p>
        </w:tc>
        <w:tc>
          <w:tcPr>
            <w:tcW w:w="831" w:type="dxa"/>
            <w:tcBorders>
              <w:top w:val="single" w:sz="4" w:space="0" w:color="auto"/>
            </w:tcBorders>
            <w:vAlign w:val="center"/>
          </w:tcPr>
          <w:p w:rsidR="00E0139F" w:rsidRPr="00E0139F" w:rsidRDefault="00E0139F" w:rsidP="00BF4D66">
            <w:pPr>
              <w:adjustRightInd w:val="0"/>
              <w:spacing w:before="20"/>
              <w:jc w:val="right"/>
              <w:rPr>
                <w:color w:val="000000"/>
                <w:sz w:val="16"/>
                <w:szCs w:val="16"/>
              </w:rPr>
            </w:pPr>
          </w:p>
        </w:tc>
        <w:tc>
          <w:tcPr>
            <w:tcW w:w="382" w:type="dxa"/>
            <w:tcBorders>
              <w:top w:val="single" w:sz="4" w:space="0" w:color="auto"/>
            </w:tcBorders>
            <w:vAlign w:val="center"/>
          </w:tcPr>
          <w:p w:rsidR="00E0139F" w:rsidRPr="00E0139F" w:rsidRDefault="00E0139F" w:rsidP="00BF4D66">
            <w:pPr>
              <w:adjustRightInd w:val="0"/>
              <w:spacing w:before="20"/>
              <w:jc w:val="right"/>
              <w:rPr>
                <w:color w:val="000000"/>
                <w:sz w:val="16"/>
                <w:szCs w:val="16"/>
              </w:rPr>
            </w:pPr>
          </w:p>
        </w:tc>
        <w:tc>
          <w:tcPr>
            <w:tcW w:w="747" w:type="dxa"/>
            <w:tcBorders>
              <w:top w:val="single" w:sz="4" w:space="0" w:color="auto"/>
            </w:tcBorders>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47.4</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49.5</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1.09</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0.57</w:t>
            </w:r>
            <w:r w:rsidR="002E5C0E">
              <w:rPr>
                <w:color w:val="000000"/>
                <w:sz w:val="16"/>
                <w:szCs w:val="16"/>
              </w:rPr>
              <w:t xml:space="preserve"> - </w:t>
            </w:r>
            <w:r w:rsidR="002E5C0E" w:rsidRPr="00E0139F">
              <w:rPr>
                <w:color w:val="000000"/>
                <w:sz w:val="16"/>
                <w:szCs w:val="16"/>
              </w:rPr>
              <w:t>2.09</w:t>
            </w:r>
            <w:r w:rsidR="008A0DFA">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0.81</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Housie or bingo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46.1</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79.6</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4.55</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1.50</w:t>
            </w:r>
            <w:r w:rsidR="002E5C0E">
              <w:rPr>
                <w:color w:val="000000"/>
                <w:sz w:val="16"/>
                <w:szCs w:val="16"/>
              </w:rPr>
              <w:t xml:space="preserve"> - </w:t>
            </w:r>
            <w:r w:rsidR="002E5C0E" w:rsidRPr="00E0139F">
              <w:rPr>
                <w:color w:val="000000"/>
                <w:sz w:val="16"/>
                <w:szCs w:val="16"/>
              </w:rPr>
              <w:t>13.77</w:t>
            </w:r>
            <w:r w:rsidR="008A0DFA">
              <w:rPr>
                <w:color w:val="000000"/>
                <w:sz w:val="16"/>
                <w:szCs w:val="16"/>
              </w:rPr>
              <w:t>)</w:t>
            </w:r>
          </w:p>
        </w:tc>
        <w:tc>
          <w:tcPr>
            <w:tcW w:w="747" w:type="dxa"/>
            <w:shd w:val="clear" w:color="auto" w:fill="D9D9D9" w:themeFill="background1" w:themeFillShade="D9"/>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0.01</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Horse/dog race betting - annual</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47.2</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55.6</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1.40</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0.63</w:t>
            </w:r>
            <w:r w:rsidR="002E5C0E">
              <w:rPr>
                <w:color w:val="000000"/>
                <w:sz w:val="16"/>
                <w:szCs w:val="16"/>
              </w:rPr>
              <w:t xml:space="preserve"> - </w:t>
            </w:r>
            <w:r w:rsidR="002E5C0E" w:rsidRPr="00E0139F">
              <w:rPr>
                <w:color w:val="000000"/>
                <w:sz w:val="16"/>
                <w:szCs w:val="16"/>
              </w:rPr>
              <w:t>3.13</w:t>
            </w:r>
            <w:r w:rsidR="008A0DFA">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0.41</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Sports betting - annual</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47.5</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57.4</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1.49</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0.58</w:t>
            </w:r>
            <w:r w:rsidR="002E5C0E">
              <w:rPr>
                <w:color w:val="000000"/>
                <w:sz w:val="16"/>
                <w:szCs w:val="16"/>
              </w:rPr>
              <w:t xml:space="preserve"> - </w:t>
            </w:r>
            <w:r w:rsidR="002E5C0E" w:rsidRPr="00E0139F">
              <w:rPr>
                <w:color w:val="000000"/>
                <w:sz w:val="16"/>
                <w:szCs w:val="16"/>
              </w:rPr>
              <w:t>3.83</w:t>
            </w:r>
            <w:r w:rsidR="008A0DFA">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0.41</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Casino table games or EGMs (overseas) - annual</w:t>
            </w:r>
          </w:p>
        </w:tc>
        <w:tc>
          <w:tcPr>
            <w:tcW w:w="972" w:type="dxa"/>
            <w:vAlign w:val="center"/>
          </w:tcPr>
          <w:p w:rsidR="00A523AC" w:rsidRPr="00C55321" w:rsidRDefault="00A523AC" w:rsidP="00BF4D66">
            <w:pPr>
              <w:adjustRightInd w:val="0"/>
              <w:spacing w:before="20"/>
              <w:jc w:val="right"/>
              <w:rPr>
                <w:color w:val="000000"/>
                <w:sz w:val="16"/>
                <w:szCs w:val="16"/>
              </w:rPr>
            </w:pPr>
          </w:p>
        </w:tc>
        <w:tc>
          <w:tcPr>
            <w:tcW w:w="1108" w:type="dxa"/>
            <w:vAlign w:val="center"/>
          </w:tcPr>
          <w:p w:rsidR="00A523AC" w:rsidRPr="00C55321" w:rsidRDefault="00A523AC" w:rsidP="00BF4D66">
            <w:pPr>
              <w:adjustRightInd w:val="0"/>
              <w:spacing w:before="20"/>
              <w:jc w:val="right"/>
              <w:rPr>
                <w:color w:val="000000"/>
                <w:sz w:val="16"/>
                <w:szCs w:val="16"/>
              </w:rPr>
            </w:pPr>
          </w:p>
        </w:tc>
        <w:tc>
          <w:tcPr>
            <w:tcW w:w="831" w:type="dxa"/>
            <w:vAlign w:val="center"/>
          </w:tcPr>
          <w:p w:rsidR="00A523AC" w:rsidRPr="00C55321" w:rsidRDefault="00A523AC" w:rsidP="00BF4D66">
            <w:pPr>
              <w:adjustRightInd w:val="0"/>
              <w:spacing w:before="20"/>
              <w:jc w:val="right"/>
              <w:rPr>
                <w:color w:val="000000"/>
                <w:sz w:val="16"/>
                <w:szCs w:val="16"/>
              </w:rPr>
            </w:pPr>
          </w:p>
        </w:tc>
        <w:tc>
          <w:tcPr>
            <w:tcW w:w="382" w:type="dxa"/>
            <w:vAlign w:val="center"/>
          </w:tcPr>
          <w:p w:rsidR="00A523AC" w:rsidRPr="00C55321" w:rsidRDefault="00A523AC" w:rsidP="00BF4D66">
            <w:pPr>
              <w:adjustRightInd w:val="0"/>
              <w:spacing w:before="20"/>
              <w:jc w:val="right"/>
              <w:rPr>
                <w:color w:val="000000"/>
                <w:sz w:val="16"/>
                <w:szCs w:val="16"/>
              </w:rPr>
            </w:pPr>
          </w:p>
        </w:tc>
        <w:tc>
          <w:tcPr>
            <w:tcW w:w="747" w:type="dxa"/>
            <w:vAlign w:val="center"/>
          </w:tcPr>
          <w:p w:rsidR="00A523AC" w:rsidRPr="00C55321"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46.5</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64.7</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2.11</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0.71</w:t>
            </w:r>
            <w:r w:rsidR="002E5C0E">
              <w:rPr>
                <w:color w:val="000000"/>
                <w:sz w:val="16"/>
                <w:szCs w:val="16"/>
              </w:rPr>
              <w:t xml:space="preserve"> - </w:t>
            </w:r>
            <w:r w:rsidR="002E5C0E" w:rsidRPr="00E0139F">
              <w:rPr>
                <w:color w:val="000000"/>
                <w:sz w:val="16"/>
                <w:szCs w:val="16"/>
              </w:rPr>
              <w:t>6.32</w:t>
            </w:r>
            <w:r w:rsidR="008A0DFA">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0.18</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table games or EGMs (NZ)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45.6</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54.9</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1.45</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0.72</w:t>
            </w:r>
            <w:r w:rsidR="002E5C0E">
              <w:rPr>
                <w:color w:val="000000"/>
                <w:sz w:val="16"/>
                <w:szCs w:val="16"/>
              </w:rPr>
              <w:t xml:space="preserve"> - </w:t>
            </w:r>
            <w:r w:rsidR="002E5C0E" w:rsidRPr="00E0139F">
              <w:rPr>
                <w:color w:val="000000"/>
                <w:sz w:val="16"/>
                <w:szCs w:val="16"/>
              </w:rPr>
              <w:t>2.95</w:t>
            </w:r>
            <w:r w:rsidR="008A0DFA">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0.30</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table games (NZ)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49.0</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46.2</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0.89</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0.31</w:t>
            </w:r>
            <w:r w:rsidR="002E5C0E">
              <w:rPr>
                <w:color w:val="000000"/>
                <w:sz w:val="16"/>
                <w:szCs w:val="16"/>
              </w:rPr>
              <w:t xml:space="preserve"> - </w:t>
            </w:r>
            <w:r w:rsidR="002E5C0E" w:rsidRPr="00E0139F">
              <w:rPr>
                <w:color w:val="000000"/>
                <w:sz w:val="16"/>
                <w:szCs w:val="16"/>
              </w:rPr>
              <w:t>2.57</w:t>
            </w:r>
            <w:r>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0.84</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EGMs (NZ)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46.0</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55.2</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1.44</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0.69</w:t>
            </w:r>
            <w:r w:rsidR="002E5C0E">
              <w:rPr>
                <w:color w:val="000000"/>
                <w:sz w:val="16"/>
                <w:szCs w:val="16"/>
              </w:rPr>
              <w:t xml:space="preserve"> - </w:t>
            </w:r>
            <w:r w:rsidR="002E5C0E" w:rsidRPr="00E0139F">
              <w:rPr>
                <w:color w:val="000000"/>
                <w:sz w:val="16"/>
                <w:szCs w:val="16"/>
              </w:rPr>
              <w:t>3.00</w:t>
            </w:r>
            <w:r>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0.33</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Pub EGMs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43.0</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56.8</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1.74</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0.86</w:t>
            </w:r>
            <w:r w:rsidR="002E5C0E">
              <w:rPr>
                <w:color w:val="000000"/>
                <w:sz w:val="16"/>
                <w:szCs w:val="16"/>
              </w:rPr>
              <w:t xml:space="preserve"> - </w:t>
            </w:r>
            <w:r w:rsidR="002E5C0E" w:rsidRPr="00E0139F">
              <w:rPr>
                <w:color w:val="000000"/>
                <w:sz w:val="16"/>
                <w:szCs w:val="16"/>
              </w:rPr>
              <w:t>3.53</w:t>
            </w:r>
            <w:r>
              <w:rPr>
                <w:color w:val="000000"/>
                <w:sz w:val="16"/>
                <w:szCs w:val="16"/>
              </w:rPr>
              <w:t>)</w:t>
            </w:r>
          </w:p>
        </w:tc>
        <w:tc>
          <w:tcPr>
            <w:tcW w:w="747" w:type="dxa"/>
            <w:shd w:val="clear" w:color="auto" w:fill="auto"/>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0.12</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Club EGM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42.6</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 xml:space="preserve"> </w:t>
            </w: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E0139F">
            <w:pPr>
              <w:spacing w:before="20"/>
              <w:ind w:left="176"/>
              <w:jc w:val="both"/>
              <w:rPr>
                <w:sz w:val="16"/>
                <w:szCs w:val="16"/>
              </w:rPr>
            </w:pPr>
            <w:r w:rsidRPr="009B1415">
              <w:rPr>
                <w:sz w:val="16"/>
                <w:szCs w:val="16"/>
              </w:rPr>
              <w:t>Yes</w:t>
            </w:r>
          </w:p>
        </w:tc>
        <w:tc>
          <w:tcPr>
            <w:tcW w:w="972"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79.0</w:t>
            </w:r>
          </w:p>
        </w:tc>
        <w:tc>
          <w:tcPr>
            <w:tcW w:w="1108" w:type="dxa"/>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5.07</w:t>
            </w:r>
          </w:p>
        </w:tc>
        <w:tc>
          <w:tcPr>
            <w:tcW w:w="1213" w:type="dxa"/>
            <w:gridSpan w:val="2"/>
            <w:vAlign w:val="center"/>
          </w:tcPr>
          <w:p w:rsidR="002E5C0E" w:rsidRPr="00E0139F" w:rsidRDefault="00407EA4" w:rsidP="00BF4D66">
            <w:pPr>
              <w:adjustRightInd w:val="0"/>
              <w:spacing w:before="20"/>
              <w:jc w:val="right"/>
              <w:rPr>
                <w:color w:val="000000"/>
                <w:sz w:val="16"/>
                <w:szCs w:val="16"/>
              </w:rPr>
            </w:pPr>
            <w:r>
              <w:rPr>
                <w:color w:val="000000"/>
                <w:sz w:val="16"/>
                <w:szCs w:val="16"/>
              </w:rPr>
              <w:t>(</w:t>
            </w:r>
            <w:r w:rsidR="002E5C0E" w:rsidRPr="00E0139F">
              <w:rPr>
                <w:color w:val="000000"/>
                <w:sz w:val="16"/>
                <w:szCs w:val="16"/>
              </w:rPr>
              <w:t>2.00</w:t>
            </w:r>
            <w:r w:rsidR="002E5C0E">
              <w:rPr>
                <w:color w:val="000000"/>
                <w:sz w:val="16"/>
                <w:szCs w:val="16"/>
              </w:rPr>
              <w:t xml:space="preserve"> - </w:t>
            </w:r>
            <w:r w:rsidR="002E5C0E" w:rsidRPr="00E0139F">
              <w:rPr>
                <w:color w:val="000000"/>
                <w:sz w:val="16"/>
                <w:szCs w:val="16"/>
              </w:rPr>
              <w:t>12.83</w:t>
            </w:r>
            <w:r>
              <w:rPr>
                <w:color w:val="000000"/>
                <w:sz w:val="16"/>
                <w:szCs w:val="16"/>
              </w:rPr>
              <w:t>)</w:t>
            </w:r>
          </w:p>
        </w:tc>
        <w:tc>
          <w:tcPr>
            <w:tcW w:w="747" w:type="dxa"/>
            <w:shd w:val="clear" w:color="auto" w:fill="D9D9D9" w:themeFill="background1" w:themeFillShade="D9"/>
            <w:vAlign w:val="center"/>
          </w:tcPr>
          <w:p w:rsidR="002E5C0E" w:rsidRPr="00E0139F" w:rsidRDefault="002E5C0E" w:rsidP="00BF4D66">
            <w:pPr>
              <w:adjustRightInd w:val="0"/>
              <w:spacing w:before="20"/>
              <w:jc w:val="right"/>
              <w:rPr>
                <w:color w:val="000000"/>
                <w:sz w:val="16"/>
                <w:szCs w:val="16"/>
              </w:rPr>
            </w:pPr>
            <w:r w:rsidRPr="00E0139F">
              <w:rPr>
                <w:color w:val="000000"/>
                <w:sz w:val="16"/>
                <w:szCs w:val="16"/>
              </w:rPr>
              <w:t>0.00</w:t>
            </w:r>
            <w:r w:rsidR="00660808">
              <w:rPr>
                <w:color w:val="000000"/>
                <w:sz w:val="16"/>
                <w:szCs w:val="16"/>
              </w:rPr>
              <w:t>06</w:t>
            </w:r>
          </w:p>
        </w:tc>
      </w:tr>
      <w:tr w:rsidR="009E5A0A" w:rsidRPr="009B1415" w:rsidTr="009E5A0A">
        <w:tc>
          <w:tcPr>
            <w:tcW w:w="4266" w:type="dxa"/>
          </w:tcPr>
          <w:p w:rsidR="009E5A0A" w:rsidRPr="009E5A0A" w:rsidRDefault="009E5A0A" w:rsidP="009E5A0A">
            <w:pPr>
              <w:spacing w:before="20"/>
              <w:jc w:val="both"/>
              <w:rPr>
                <w:b/>
                <w:sz w:val="16"/>
                <w:szCs w:val="16"/>
              </w:rPr>
            </w:pPr>
            <w:r w:rsidRPr="009E5A0A">
              <w:rPr>
                <w:b/>
                <w:sz w:val="16"/>
                <w:szCs w:val="16"/>
              </w:rPr>
              <w:t>Non-casino EGM overall - annual</w:t>
            </w:r>
          </w:p>
        </w:tc>
        <w:tc>
          <w:tcPr>
            <w:tcW w:w="972" w:type="dxa"/>
            <w:vAlign w:val="center"/>
          </w:tcPr>
          <w:p w:rsidR="009E5A0A" w:rsidRPr="00E0139F" w:rsidRDefault="009E5A0A" w:rsidP="00BF4D66">
            <w:pPr>
              <w:adjustRightInd w:val="0"/>
              <w:spacing w:before="20"/>
              <w:jc w:val="right"/>
              <w:rPr>
                <w:color w:val="000000"/>
                <w:sz w:val="16"/>
                <w:szCs w:val="16"/>
              </w:rPr>
            </w:pPr>
          </w:p>
        </w:tc>
        <w:tc>
          <w:tcPr>
            <w:tcW w:w="1108" w:type="dxa"/>
            <w:vAlign w:val="center"/>
          </w:tcPr>
          <w:p w:rsidR="009E5A0A" w:rsidRPr="00E0139F" w:rsidRDefault="009E5A0A" w:rsidP="00BF4D66">
            <w:pPr>
              <w:adjustRightInd w:val="0"/>
              <w:spacing w:before="20"/>
              <w:jc w:val="right"/>
              <w:rPr>
                <w:color w:val="000000"/>
                <w:sz w:val="16"/>
                <w:szCs w:val="16"/>
              </w:rPr>
            </w:pPr>
          </w:p>
        </w:tc>
        <w:tc>
          <w:tcPr>
            <w:tcW w:w="1213" w:type="dxa"/>
            <w:gridSpan w:val="2"/>
            <w:vAlign w:val="center"/>
          </w:tcPr>
          <w:p w:rsidR="009E5A0A" w:rsidRDefault="009E5A0A" w:rsidP="00BF4D66">
            <w:pPr>
              <w:adjustRightInd w:val="0"/>
              <w:spacing w:before="20"/>
              <w:jc w:val="right"/>
              <w:rPr>
                <w:color w:val="000000"/>
                <w:sz w:val="16"/>
                <w:szCs w:val="16"/>
              </w:rPr>
            </w:pPr>
          </w:p>
        </w:tc>
        <w:tc>
          <w:tcPr>
            <w:tcW w:w="747" w:type="dxa"/>
            <w:shd w:val="clear" w:color="auto" w:fill="auto"/>
            <w:vAlign w:val="center"/>
          </w:tcPr>
          <w:p w:rsidR="009E5A0A" w:rsidRPr="00E0139F" w:rsidRDefault="009E5A0A" w:rsidP="00BF4D66">
            <w:pPr>
              <w:adjustRightInd w:val="0"/>
              <w:spacing w:before="20"/>
              <w:jc w:val="right"/>
              <w:rPr>
                <w:color w:val="000000"/>
                <w:sz w:val="16"/>
                <w:szCs w:val="16"/>
              </w:rPr>
            </w:pPr>
          </w:p>
        </w:tc>
      </w:tr>
      <w:tr w:rsidR="009E5A0A" w:rsidRPr="009B1415" w:rsidTr="009E5A0A">
        <w:tc>
          <w:tcPr>
            <w:tcW w:w="4266" w:type="dxa"/>
          </w:tcPr>
          <w:p w:rsidR="009E5A0A" w:rsidRPr="009B1415" w:rsidRDefault="009E5A0A" w:rsidP="00E0139F">
            <w:pPr>
              <w:spacing w:before="20"/>
              <w:ind w:left="176"/>
              <w:jc w:val="both"/>
              <w:rPr>
                <w:sz w:val="16"/>
                <w:szCs w:val="16"/>
              </w:rPr>
            </w:pPr>
            <w:r>
              <w:rPr>
                <w:sz w:val="16"/>
                <w:szCs w:val="16"/>
              </w:rPr>
              <w:t>No</w:t>
            </w:r>
          </w:p>
        </w:tc>
        <w:tc>
          <w:tcPr>
            <w:tcW w:w="972" w:type="dxa"/>
            <w:vAlign w:val="center"/>
          </w:tcPr>
          <w:p w:rsidR="009E5A0A" w:rsidRPr="00E0139F" w:rsidRDefault="009E5A0A" w:rsidP="00BF4D66">
            <w:pPr>
              <w:adjustRightInd w:val="0"/>
              <w:spacing w:before="20"/>
              <w:jc w:val="right"/>
              <w:rPr>
                <w:color w:val="000000"/>
                <w:sz w:val="16"/>
                <w:szCs w:val="16"/>
              </w:rPr>
            </w:pPr>
            <w:r>
              <w:rPr>
                <w:color w:val="000000"/>
                <w:sz w:val="16"/>
                <w:szCs w:val="16"/>
              </w:rPr>
              <w:t>41.7</w:t>
            </w:r>
          </w:p>
        </w:tc>
        <w:tc>
          <w:tcPr>
            <w:tcW w:w="1108" w:type="dxa"/>
            <w:vAlign w:val="center"/>
          </w:tcPr>
          <w:p w:rsidR="009E5A0A" w:rsidRPr="00E0139F" w:rsidRDefault="009E5A0A" w:rsidP="00BF4D66">
            <w:pPr>
              <w:adjustRightInd w:val="0"/>
              <w:spacing w:before="20"/>
              <w:jc w:val="right"/>
              <w:rPr>
                <w:color w:val="000000"/>
                <w:sz w:val="16"/>
                <w:szCs w:val="16"/>
              </w:rPr>
            </w:pPr>
            <w:r>
              <w:rPr>
                <w:color w:val="000000"/>
                <w:sz w:val="16"/>
                <w:szCs w:val="16"/>
              </w:rPr>
              <w:t>1.00</w:t>
            </w:r>
          </w:p>
        </w:tc>
        <w:tc>
          <w:tcPr>
            <w:tcW w:w="1213" w:type="dxa"/>
            <w:gridSpan w:val="2"/>
            <w:vAlign w:val="center"/>
          </w:tcPr>
          <w:p w:rsidR="009E5A0A" w:rsidRDefault="009E5A0A" w:rsidP="00BF4D66">
            <w:pPr>
              <w:adjustRightInd w:val="0"/>
              <w:spacing w:before="20"/>
              <w:jc w:val="right"/>
              <w:rPr>
                <w:color w:val="000000"/>
                <w:sz w:val="16"/>
                <w:szCs w:val="16"/>
              </w:rPr>
            </w:pPr>
          </w:p>
        </w:tc>
        <w:tc>
          <w:tcPr>
            <w:tcW w:w="747" w:type="dxa"/>
            <w:shd w:val="clear" w:color="auto" w:fill="auto"/>
            <w:vAlign w:val="center"/>
          </w:tcPr>
          <w:p w:rsidR="009E5A0A" w:rsidRPr="00E0139F" w:rsidRDefault="009E5A0A" w:rsidP="00BF4D66">
            <w:pPr>
              <w:adjustRightInd w:val="0"/>
              <w:spacing w:before="20"/>
              <w:jc w:val="right"/>
              <w:rPr>
                <w:color w:val="000000"/>
                <w:sz w:val="16"/>
                <w:szCs w:val="16"/>
              </w:rPr>
            </w:pPr>
          </w:p>
        </w:tc>
      </w:tr>
      <w:tr w:rsidR="009E5A0A" w:rsidRPr="009B1415" w:rsidTr="00F959A8">
        <w:tc>
          <w:tcPr>
            <w:tcW w:w="4266" w:type="dxa"/>
          </w:tcPr>
          <w:p w:rsidR="009E5A0A" w:rsidRPr="009B1415" w:rsidRDefault="009E5A0A" w:rsidP="00E0139F">
            <w:pPr>
              <w:spacing w:before="20"/>
              <w:ind w:left="176"/>
              <w:jc w:val="both"/>
              <w:rPr>
                <w:sz w:val="16"/>
                <w:szCs w:val="16"/>
              </w:rPr>
            </w:pPr>
            <w:r>
              <w:rPr>
                <w:sz w:val="16"/>
                <w:szCs w:val="16"/>
              </w:rPr>
              <w:t>Yes</w:t>
            </w:r>
          </w:p>
        </w:tc>
        <w:tc>
          <w:tcPr>
            <w:tcW w:w="972" w:type="dxa"/>
            <w:vAlign w:val="center"/>
          </w:tcPr>
          <w:p w:rsidR="009E5A0A" w:rsidRPr="00E0139F" w:rsidRDefault="009E5A0A" w:rsidP="00BF4D66">
            <w:pPr>
              <w:adjustRightInd w:val="0"/>
              <w:spacing w:before="20"/>
              <w:jc w:val="right"/>
              <w:rPr>
                <w:color w:val="000000"/>
                <w:sz w:val="16"/>
                <w:szCs w:val="16"/>
              </w:rPr>
            </w:pPr>
            <w:r>
              <w:rPr>
                <w:color w:val="000000"/>
                <w:sz w:val="16"/>
                <w:szCs w:val="16"/>
              </w:rPr>
              <w:t>73.9</w:t>
            </w:r>
          </w:p>
        </w:tc>
        <w:tc>
          <w:tcPr>
            <w:tcW w:w="1108" w:type="dxa"/>
            <w:vAlign w:val="center"/>
          </w:tcPr>
          <w:p w:rsidR="009E5A0A" w:rsidRPr="00E0139F" w:rsidRDefault="009E5A0A" w:rsidP="00BF4D66">
            <w:pPr>
              <w:adjustRightInd w:val="0"/>
              <w:spacing w:before="20"/>
              <w:jc w:val="right"/>
              <w:rPr>
                <w:color w:val="000000"/>
                <w:sz w:val="16"/>
                <w:szCs w:val="16"/>
              </w:rPr>
            </w:pPr>
            <w:r>
              <w:rPr>
                <w:color w:val="000000"/>
                <w:sz w:val="16"/>
                <w:szCs w:val="16"/>
              </w:rPr>
              <w:t>3.96</w:t>
            </w:r>
          </w:p>
        </w:tc>
        <w:tc>
          <w:tcPr>
            <w:tcW w:w="1213" w:type="dxa"/>
            <w:gridSpan w:val="2"/>
            <w:vAlign w:val="center"/>
          </w:tcPr>
          <w:p w:rsidR="009E5A0A" w:rsidRDefault="009E5A0A" w:rsidP="00BF4D66">
            <w:pPr>
              <w:adjustRightInd w:val="0"/>
              <w:spacing w:before="20"/>
              <w:jc w:val="right"/>
              <w:rPr>
                <w:color w:val="000000"/>
                <w:sz w:val="16"/>
                <w:szCs w:val="16"/>
              </w:rPr>
            </w:pPr>
            <w:r>
              <w:rPr>
                <w:color w:val="000000"/>
                <w:sz w:val="16"/>
                <w:szCs w:val="16"/>
              </w:rPr>
              <w:t>(1.83 - 8.58)</w:t>
            </w:r>
          </w:p>
        </w:tc>
        <w:tc>
          <w:tcPr>
            <w:tcW w:w="747" w:type="dxa"/>
            <w:shd w:val="clear" w:color="auto" w:fill="D9D9D9" w:themeFill="background1" w:themeFillShade="D9"/>
            <w:vAlign w:val="center"/>
          </w:tcPr>
          <w:p w:rsidR="009E5A0A" w:rsidRPr="00E0139F" w:rsidRDefault="009E5A0A" w:rsidP="00BF4D66">
            <w:pPr>
              <w:adjustRightInd w:val="0"/>
              <w:spacing w:before="20"/>
              <w:jc w:val="right"/>
              <w:rPr>
                <w:color w:val="000000"/>
                <w:sz w:val="16"/>
                <w:szCs w:val="16"/>
              </w:rPr>
            </w:pPr>
            <w:r>
              <w:rPr>
                <w:color w:val="000000"/>
                <w:sz w:val="16"/>
                <w:szCs w:val="16"/>
              </w:rPr>
              <w:t>0.0005</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EGMs overall - annual</w:t>
            </w:r>
          </w:p>
        </w:tc>
        <w:tc>
          <w:tcPr>
            <w:tcW w:w="972" w:type="dxa"/>
            <w:vAlign w:val="center"/>
          </w:tcPr>
          <w:p w:rsidR="00A523AC" w:rsidRPr="00DC2775" w:rsidRDefault="00A523AC" w:rsidP="00BF4D66">
            <w:pPr>
              <w:adjustRightInd w:val="0"/>
              <w:spacing w:before="20"/>
              <w:jc w:val="right"/>
              <w:rPr>
                <w:color w:val="000000"/>
                <w:sz w:val="16"/>
                <w:szCs w:val="16"/>
              </w:rPr>
            </w:pPr>
          </w:p>
        </w:tc>
        <w:tc>
          <w:tcPr>
            <w:tcW w:w="1108" w:type="dxa"/>
            <w:vAlign w:val="center"/>
          </w:tcPr>
          <w:p w:rsidR="00A523AC" w:rsidRPr="00DC2775" w:rsidRDefault="00A523AC" w:rsidP="00BF4D66">
            <w:pPr>
              <w:adjustRightInd w:val="0"/>
              <w:spacing w:before="20"/>
              <w:jc w:val="right"/>
              <w:rPr>
                <w:color w:val="000000"/>
                <w:sz w:val="16"/>
                <w:szCs w:val="16"/>
              </w:rPr>
            </w:pPr>
          </w:p>
        </w:tc>
        <w:tc>
          <w:tcPr>
            <w:tcW w:w="831" w:type="dxa"/>
            <w:vAlign w:val="center"/>
          </w:tcPr>
          <w:p w:rsidR="00A523AC" w:rsidRPr="00DC2775" w:rsidRDefault="00A523AC" w:rsidP="00BF4D66">
            <w:pPr>
              <w:adjustRightInd w:val="0"/>
              <w:spacing w:before="20"/>
              <w:jc w:val="right"/>
              <w:rPr>
                <w:color w:val="000000"/>
                <w:sz w:val="16"/>
                <w:szCs w:val="16"/>
              </w:rPr>
            </w:pPr>
          </w:p>
        </w:tc>
        <w:tc>
          <w:tcPr>
            <w:tcW w:w="382" w:type="dxa"/>
            <w:vAlign w:val="center"/>
          </w:tcPr>
          <w:p w:rsidR="00A523AC" w:rsidRPr="00DC2775" w:rsidRDefault="00A523AC" w:rsidP="00BF4D66">
            <w:pPr>
              <w:adjustRightInd w:val="0"/>
              <w:spacing w:before="20"/>
              <w:jc w:val="right"/>
              <w:rPr>
                <w:color w:val="000000"/>
                <w:sz w:val="16"/>
                <w:szCs w:val="16"/>
              </w:rPr>
            </w:pPr>
          </w:p>
        </w:tc>
        <w:tc>
          <w:tcPr>
            <w:tcW w:w="747" w:type="dxa"/>
            <w:shd w:val="clear" w:color="auto" w:fill="auto"/>
            <w:vAlign w:val="center"/>
          </w:tcPr>
          <w:p w:rsidR="00A523AC" w:rsidRPr="00DC2775" w:rsidRDefault="00A523AC" w:rsidP="00BF4D66">
            <w:pPr>
              <w:adjustRightInd w:val="0"/>
              <w:spacing w:before="20"/>
              <w:jc w:val="right"/>
              <w:rPr>
                <w:color w:val="000000"/>
                <w:sz w:val="16"/>
                <w:szCs w:val="16"/>
              </w:rPr>
            </w:pPr>
          </w:p>
        </w:tc>
      </w:tr>
      <w:tr w:rsidR="00395C12" w:rsidRPr="009B1415" w:rsidTr="00F959A8">
        <w:tc>
          <w:tcPr>
            <w:tcW w:w="4266" w:type="dxa"/>
          </w:tcPr>
          <w:p w:rsidR="00395C12" w:rsidRPr="009B1415" w:rsidRDefault="00395C12" w:rsidP="00395C12">
            <w:pPr>
              <w:spacing w:before="20"/>
              <w:ind w:left="176"/>
              <w:jc w:val="both"/>
              <w:rPr>
                <w:sz w:val="16"/>
                <w:szCs w:val="16"/>
              </w:rPr>
            </w:pPr>
            <w:r w:rsidRPr="009B1415">
              <w:rPr>
                <w:sz w:val="16"/>
                <w:szCs w:val="16"/>
              </w:rPr>
              <w:t>No</w:t>
            </w:r>
          </w:p>
        </w:tc>
        <w:tc>
          <w:tcPr>
            <w:tcW w:w="972"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41.9</w:t>
            </w:r>
          </w:p>
        </w:tc>
        <w:tc>
          <w:tcPr>
            <w:tcW w:w="1108"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1.00</w:t>
            </w: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shd w:val="clear" w:color="auto" w:fill="auto"/>
            <w:vAlign w:val="center"/>
          </w:tcPr>
          <w:p w:rsidR="00395C12" w:rsidRPr="00395C12" w:rsidRDefault="00395C12"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395C12">
            <w:pPr>
              <w:spacing w:before="20"/>
              <w:ind w:left="176"/>
              <w:jc w:val="both"/>
              <w:rPr>
                <w:sz w:val="16"/>
                <w:szCs w:val="16"/>
              </w:rPr>
            </w:pPr>
            <w:r w:rsidRPr="009B1415">
              <w:rPr>
                <w:sz w:val="16"/>
                <w:szCs w:val="16"/>
              </w:rPr>
              <w:t>Yes</w:t>
            </w:r>
          </w:p>
        </w:tc>
        <w:tc>
          <w:tcPr>
            <w:tcW w:w="972"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53.6</w:t>
            </w:r>
          </w:p>
        </w:tc>
        <w:tc>
          <w:tcPr>
            <w:tcW w:w="1108"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1.60</w:t>
            </w:r>
          </w:p>
        </w:tc>
        <w:tc>
          <w:tcPr>
            <w:tcW w:w="1213" w:type="dxa"/>
            <w:gridSpan w:val="2"/>
            <w:vAlign w:val="center"/>
          </w:tcPr>
          <w:p w:rsidR="002E5C0E" w:rsidRPr="00395C12" w:rsidRDefault="00407EA4" w:rsidP="00BF4D66">
            <w:pPr>
              <w:adjustRightInd w:val="0"/>
              <w:spacing w:before="20"/>
              <w:jc w:val="right"/>
              <w:rPr>
                <w:color w:val="000000"/>
                <w:sz w:val="16"/>
                <w:szCs w:val="16"/>
              </w:rPr>
            </w:pPr>
            <w:r>
              <w:rPr>
                <w:color w:val="000000"/>
                <w:sz w:val="16"/>
                <w:szCs w:val="16"/>
              </w:rPr>
              <w:t>(</w:t>
            </w:r>
            <w:r w:rsidR="002E5C0E" w:rsidRPr="00395C12">
              <w:rPr>
                <w:color w:val="000000"/>
                <w:sz w:val="16"/>
                <w:szCs w:val="16"/>
              </w:rPr>
              <w:t>0.81</w:t>
            </w:r>
            <w:r w:rsidR="002E5C0E">
              <w:rPr>
                <w:color w:val="000000"/>
                <w:sz w:val="16"/>
                <w:szCs w:val="16"/>
              </w:rPr>
              <w:t xml:space="preserve"> - </w:t>
            </w:r>
            <w:r w:rsidR="002E5C0E" w:rsidRPr="00395C12">
              <w:rPr>
                <w:color w:val="000000"/>
                <w:sz w:val="16"/>
                <w:szCs w:val="16"/>
              </w:rPr>
              <w:t>3.16</w:t>
            </w:r>
            <w:r>
              <w:rPr>
                <w:color w:val="000000"/>
                <w:sz w:val="16"/>
                <w:szCs w:val="16"/>
              </w:rPr>
              <w:t>)</w:t>
            </w:r>
          </w:p>
        </w:tc>
        <w:tc>
          <w:tcPr>
            <w:tcW w:w="747" w:type="dxa"/>
            <w:shd w:val="clear" w:color="auto" w:fill="auto"/>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0.17</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Short-term speculative investments - annual</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395C12" w:rsidRPr="009B1415" w:rsidTr="00F959A8">
        <w:tc>
          <w:tcPr>
            <w:tcW w:w="4266" w:type="dxa"/>
          </w:tcPr>
          <w:p w:rsidR="00395C12" w:rsidRPr="009B1415" w:rsidRDefault="00395C12" w:rsidP="00395C12">
            <w:pPr>
              <w:spacing w:before="20"/>
              <w:ind w:left="176"/>
              <w:jc w:val="both"/>
              <w:rPr>
                <w:sz w:val="16"/>
                <w:szCs w:val="16"/>
              </w:rPr>
            </w:pPr>
            <w:r w:rsidRPr="009B1415">
              <w:rPr>
                <w:sz w:val="16"/>
                <w:szCs w:val="16"/>
              </w:rPr>
              <w:t>No</w:t>
            </w:r>
          </w:p>
        </w:tc>
        <w:tc>
          <w:tcPr>
            <w:tcW w:w="972"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48.2</w:t>
            </w:r>
          </w:p>
        </w:tc>
        <w:tc>
          <w:tcPr>
            <w:tcW w:w="1108"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1.00</w:t>
            </w: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vAlign w:val="center"/>
          </w:tcPr>
          <w:p w:rsidR="00395C12" w:rsidRPr="00395C12" w:rsidRDefault="00395C12"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395C12">
            <w:pPr>
              <w:spacing w:before="20"/>
              <w:ind w:left="176"/>
              <w:jc w:val="both"/>
              <w:rPr>
                <w:sz w:val="16"/>
                <w:szCs w:val="16"/>
              </w:rPr>
            </w:pPr>
            <w:r w:rsidRPr="009B1415">
              <w:rPr>
                <w:sz w:val="16"/>
                <w:szCs w:val="16"/>
              </w:rPr>
              <w:t>Yes</w:t>
            </w:r>
          </w:p>
        </w:tc>
        <w:tc>
          <w:tcPr>
            <w:tcW w:w="972"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77.3</w:t>
            </w:r>
          </w:p>
        </w:tc>
        <w:tc>
          <w:tcPr>
            <w:tcW w:w="1108"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3.67</w:t>
            </w:r>
          </w:p>
        </w:tc>
        <w:tc>
          <w:tcPr>
            <w:tcW w:w="1213" w:type="dxa"/>
            <w:gridSpan w:val="2"/>
            <w:vAlign w:val="center"/>
          </w:tcPr>
          <w:p w:rsidR="002E5C0E" w:rsidRPr="00395C12" w:rsidRDefault="00407EA4" w:rsidP="00BF4D66">
            <w:pPr>
              <w:adjustRightInd w:val="0"/>
              <w:spacing w:before="20"/>
              <w:jc w:val="right"/>
              <w:rPr>
                <w:color w:val="000000"/>
                <w:sz w:val="16"/>
                <w:szCs w:val="16"/>
              </w:rPr>
            </w:pPr>
            <w:r>
              <w:rPr>
                <w:color w:val="000000"/>
                <w:sz w:val="16"/>
                <w:szCs w:val="16"/>
              </w:rPr>
              <w:t>(</w:t>
            </w:r>
            <w:r w:rsidR="002E5C0E" w:rsidRPr="00395C12">
              <w:rPr>
                <w:color w:val="000000"/>
                <w:sz w:val="16"/>
                <w:szCs w:val="16"/>
              </w:rPr>
              <w:t>0.32</w:t>
            </w:r>
            <w:r w:rsidR="00BF4D66">
              <w:rPr>
                <w:color w:val="000000"/>
                <w:sz w:val="16"/>
                <w:szCs w:val="16"/>
              </w:rPr>
              <w:t xml:space="preserve"> - </w:t>
            </w:r>
            <w:r w:rsidR="002E5C0E" w:rsidRPr="00395C12">
              <w:rPr>
                <w:color w:val="000000"/>
                <w:sz w:val="16"/>
                <w:szCs w:val="16"/>
              </w:rPr>
              <w:t>42.17</w:t>
            </w:r>
            <w:r>
              <w:rPr>
                <w:color w:val="000000"/>
                <w:sz w:val="16"/>
                <w:szCs w:val="16"/>
              </w:rPr>
              <w:t>)</w:t>
            </w:r>
          </w:p>
        </w:tc>
        <w:tc>
          <w:tcPr>
            <w:tcW w:w="747" w:type="dxa"/>
            <w:shd w:val="clear" w:color="auto" w:fill="auto"/>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0.30</w:t>
            </w:r>
          </w:p>
        </w:tc>
      </w:tr>
      <w:tr w:rsidR="00395C12" w:rsidRPr="009B1415" w:rsidTr="00F959A8">
        <w:tc>
          <w:tcPr>
            <w:tcW w:w="4266" w:type="dxa"/>
            <w:vAlign w:val="bottom"/>
          </w:tcPr>
          <w:p w:rsidR="00395C12" w:rsidRPr="009B1415" w:rsidRDefault="00395C12" w:rsidP="00395C12">
            <w:pPr>
              <w:spacing w:before="20"/>
              <w:jc w:val="both"/>
              <w:rPr>
                <w:b/>
                <w:sz w:val="16"/>
                <w:szCs w:val="16"/>
              </w:rPr>
            </w:pPr>
            <w:r w:rsidRPr="009B1415">
              <w:rPr>
                <w:b/>
                <w:sz w:val="16"/>
                <w:szCs w:val="16"/>
              </w:rPr>
              <w:t>Overseas internet gambling - annual</w:t>
            </w:r>
          </w:p>
        </w:tc>
        <w:tc>
          <w:tcPr>
            <w:tcW w:w="972" w:type="dxa"/>
            <w:vAlign w:val="center"/>
          </w:tcPr>
          <w:p w:rsidR="00395C12" w:rsidRPr="00395C12" w:rsidRDefault="00395C12" w:rsidP="00BF4D66">
            <w:pPr>
              <w:adjustRightInd w:val="0"/>
              <w:spacing w:before="20"/>
              <w:jc w:val="right"/>
              <w:rPr>
                <w:color w:val="000000"/>
                <w:sz w:val="16"/>
                <w:szCs w:val="16"/>
              </w:rPr>
            </w:pPr>
          </w:p>
        </w:tc>
        <w:tc>
          <w:tcPr>
            <w:tcW w:w="1108" w:type="dxa"/>
            <w:vAlign w:val="center"/>
          </w:tcPr>
          <w:p w:rsidR="00395C12" w:rsidRPr="00395C12" w:rsidRDefault="00395C12" w:rsidP="00BF4D66">
            <w:pPr>
              <w:adjustRightInd w:val="0"/>
              <w:spacing w:before="20"/>
              <w:jc w:val="right"/>
              <w:rPr>
                <w:color w:val="000000"/>
                <w:sz w:val="16"/>
                <w:szCs w:val="16"/>
              </w:rPr>
            </w:pP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vAlign w:val="center"/>
          </w:tcPr>
          <w:p w:rsidR="00395C12" w:rsidRPr="00395C12" w:rsidRDefault="00395C12" w:rsidP="00BF4D66">
            <w:pPr>
              <w:adjustRightInd w:val="0"/>
              <w:spacing w:before="20"/>
              <w:jc w:val="right"/>
              <w:rPr>
                <w:color w:val="000000"/>
                <w:sz w:val="16"/>
                <w:szCs w:val="16"/>
              </w:rPr>
            </w:pPr>
          </w:p>
        </w:tc>
      </w:tr>
      <w:tr w:rsidR="00395C12" w:rsidRPr="009B1415" w:rsidTr="00F959A8">
        <w:tc>
          <w:tcPr>
            <w:tcW w:w="4266" w:type="dxa"/>
          </w:tcPr>
          <w:p w:rsidR="00395C12" w:rsidRPr="009B1415" w:rsidRDefault="00395C12" w:rsidP="00395C12">
            <w:pPr>
              <w:spacing w:before="20"/>
              <w:ind w:left="176"/>
              <w:jc w:val="both"/>
              <w:rPr>
                <w:sz w:val="16"/>
                <w:szCs w:val="16"/>
              </w:rPr>
            </w:pPr>
            <w:r w:rsidRPr="009B1415">
              <w:rPr>
                <w:sz w:val="16"/>
                <w:szCs w:val="16"/>
              </w:rPr>
              <w:t>No</w:t>
            </w:r>
          </w:p>
        </w:tc>
        <w:tc>
          <w:tcPr>
            <w:tcW w:w="972"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47.6</w:t>
            </w:r>
          </w:p>
        </w:tc>
        <w:tc>
          <w:tcPr>
            <w:tcW w:w="1108"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1.00</w:t>
            </w: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vAlign w:val="center"/>
          </w:tcPr>
          <w:p w:rsidR="00395C12" w:rsidRPr="00395C12" w:rsidRDefault="00395C12"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395C12">
            <w:pPr>
              <w:spacing w:before="20"/>
              <w:ind w:left="176"/>
              <w:jc w:val="both"/>
              <w:rPr>
                <w:sz w:val="16"/>
                <w:szCs w:val="16"/>
              </w:rPr>
            </w:pPr>
            <w:r w:rsidRPr="009B1415">
              <w:rPr>
                <w:sz w:val="16"/>
                <w:szCs w:val="16"/>
              </w:rPr>
              <w:t>Yes</w:t>
            </w:r>
          </w:p>
        </w:tc>
        <w:tc>
          <w:tcPr>
            <w:tcW w:w="972"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82.5</w:t>
            </w:r>
          </w:p>
        </w:tc>
        <w:tc>
          <w:tcPr>
            <w:tcW w:w="1108"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5.18</w:t>
            </w:r>
          </w:p>
        </w:tc>
        <w:tc>
          <w:tcPr>
            <w:tcW w:w="1213" w:type="dxa"/>
            <w:gridSpan w:val="2"/>
            <w:vAlign w:val="center"/>
          </w:tcPr>
          <w:p w:rsidR="002E5C0E" w:rsidRPr="00395C12" w:rsidRDefault="00407EA4" w:rsidP="00BF4D66">
            <w:pPr>
              <w:adjustRightInd w:val="0"/>
              <w:spacing w:before="20"/>
              <w:jc w:val="right"/>
              <w:rPr>
                <w:color w:val="000000"/>
                <w:sz w:val="16"/>
                <w:szCs w:val="16"/>
              </w:rPr>
            </w:pPr>
            <w:r>
              <w:rPr>
                <w:color w:val="000000"/>
                <w:sz w:val="16"/>
                <w:szCs w:val="16"/>
              </w:rPr>
              <w:t>(</w:t>
            </w:r>
            <w:r w:rsidR="002E5C0E" w:rsidRPr="00395C12">
              <w:rPr>
                <w:color w:val="000000"/>
                <w:sz w:val="16"/>
                <w:szCs w:val="16"/>
              </w:rPr>
              <w:t>0.94</w:t>
            </w:r>
            <w:r w:rsidR="00BF4D66">
              <w:rPr>
                <w:color w:val="000000"/>
                <w:sz w:val="16"/>
                <w:szCs w:val="16"/>
              </w:rPr>
              <w:t xml:space="preserve"> - </w:t>
            </w:r>
            <w:r w:rsidR="002E5C0E" w:rsidRPr="00395C12">
              <w:rPr>
                <w:color w:val="000000"/>
                <w:sz w:val="16"/>
                <w:szCs w:val="16"/>
              </w:rPr>
              <w:t>28.63</w:t>
            </w:r>
            <w:r>
              <w:rPr>
                <w:color w:val="000000"/>
                <w:sz w:val="16"/>
                <w:szCs w:val="16"/>
              </w:rPr>
              <w:t>)</w:t>
            </w:r>
          </w:p>
        </w:tc>
        <w:tc>
          <w:tcPr>
            <w:tcW w:w="747"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0.06</w:t>
            </w:r>
          </w:p>
        </w:tc>
      </w:tr>
      <w:tr w:rsidR="00395C12" w:rsidRPr="009B1415" w:rsidTr="00F959A8">
        <w:tc>
          <w:tcPr>
            <w:tcW w:w="4266" w:type="dxa"/>
            <w:vAlign w:val="bottom"/>
          </w:tcPr>
          <w:p w:rsidR="00395C12" w:rsidRPr="009B1415" w:rsidRDefault="00395C12" w:rsidP="00395C12">
            <w:pPr>
              <w:spacing w:before="20"/>
              <w:jc w:val="both"/>
              <w:rPr>
                <w:b/>
                <w:sz w:val="16"/>
                <w:szCs w:val="16"/>
              </w:rPr>
            </w:pPr>
            <w:r w:rsidRPr="009B1415">
              <w:rPr>
                <w:b/>
                <w:sz w:val="16"/>
                <w:szCs w:val="16"/>
              </w:rPr>
              <w:t>Card games - monthly</w:t>
            </w:r>
          </w:p>
        </w:tc>
        <w:tc>
          <w:tcPr>
            <w:tcW w:w="972" w:type="dxa"/>
            <w:vAlign w:val="center"/>
          </w:tcPr>
          <w:p w:rsidR="00395C12" w:rsidRPr="00395C12" w:rsidRDefault="00395C12" w:rsidP="00BF4D66">
            <w:pPr>
              <w:adjustRightInd w:val="0"/>
              <w:spacing w:before="20"/>
              <w:jc w:val="right"/>
              <w:rPr>
                <w:color w:val="000000"/>
                <w:sz w:val="16"/>
                <w:szCs w:val="16"/>
              </w:rPr>
            </w:pPr>
          </w:p>
        </w:tc>
        <w:tc>
          <w:tcPr>
            <w:tcW w:w="1108" w:type="dxa"/>
            <w:vAlign w:val="center"/>
          </w:tcPr>
          <w:p w:rsidR="00395C12" w:rsidRPr="00395C12" w:rsidRDefault="00395C12" w:rsidP="00BF4D66">
            <w:pPr>
              <w:adjustRightInd w:val="0"/>
              <w:spacing w:before="20"/>
              <w:jc w:val="right"/>
              <w:rPr>
                <w:color w:val="000000"/>
                <w:sz w:val="16"/>
                <w:szCs w:val="16"/>
              </w:rPr>
            </w:pP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vAlign w:val="center"/>
          </w:tcPr>
          <w:p w:rsidR="00395C12" w:rsidRPr="00395C12" w:rsidRDefault="00395C12" w:rsidP="00BF4D66">
            <w:pPr>
              <w:adjustRightInd w:val="0"/>
              <w:spacing w:before="20"/>
              <w:jc w:val="right"/>
              <w:rPr>
                <w:color w:val="000000"/>
                <w:sz w:val="16"/>
                <w:szCs w:val="16"/>
              </w:rPr>
            </w:pPr>
          </w:p>
        </w:tc>
      </w:tr>
      <w:tr w:rsidR="00395C12" w:rsidRPr="009B1415" w:rsidTr="00F959A8">
        <w:tc>
          <w:tcPr>
            <w:tcW w:w="4266" w:type="dxa"/>
          </w:tcPr>
          <w:p w:rsidR="00395C12" w:rsidRPr="009B1415" w:rsidRDefault="00395C12" w:rsidP="00395C12">
            <w:pPr>
              <w:spacing w:before="20"/>
              <w:ind w:left="176"/>
              <w:jc w:val="both"/>
              <w:rPr>
                <w:sz w:val="16"/>
                <w:szCs w:val="16"/>
              </w:rPr>
            </w:pPr>
            <w:r w:rsidRPr="009B1415">
              <w:rPr>
                <w:sz w:val="16"/>
                <w:szCs w:val="16"/>
              </w:rPr>
              <w:t>No</w:t>
            </w:r>
          </w:p>
        </w:tc>
        <w:tc>
          <w:tcPr>
            <w:tcW w:w="972"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46.5</w:t>
            </w:r>
          </w:p>
        </w:tc>
        <w:tc>
          <w:tcPr>
            <w:tcW w:w="1108" w:type="dxa"/>
            <w:vAlign w:val="center"/>
          </w:tcPr>
          <w:p w:rsidR="00395C12" w:rsidRPr="00395C12" w:rsidRDefault="00395C12" w:rsidP="00BF4D66">
            <w:pPr>
              <w:adjustRightInd w:val="0"/>
              <w:spacing w:before="20"/>
              <w:jc w:val="right"/>
              <w:rPr>
                <w:color w:val="000000"/>
                <w:sz w:val="16"/>
                <w:szCs w:val="16"/>
              </w:rPr>
            </w:pPr>
            <w:r w:rsidRPr="00395C12">
              <w:rPr>
                <w:color w:val="000000"/>
                <w:sz w:val="16"/>
                <w:szCs w:val="16"/>
              </w:rPr>
              <w:t>1.00</w:t>
            </w:r>
          </w:p>
        </w:tc>
        <w:tc>
          <w:tcPr>
            <w:tcW w:w="831" w:type="dxa"/>
            <w:vAlign w:val="center"/>
          </w:tcPr>
          <w:p w:rsidR="00395C12" w:rsidRPr="00395C12" w:rsidRDefault="00395C12" w:rsidP="00BF4D66">
            <w:pPr>
              <w:adjustRightInd w:val="0"/>
              <w:spacing w:before="20"/>
              <w:jc w:val="right"/>
              <w:rPr>
                <w:color w:val="000000"/>
                <w:sz w:val="16"/>
                <w:szCs w:val="16"/>
              </w:rPr>
            </w:pPr>
          </w:p>
        </w:tc>
        <w:tc>
          <w:tcPr>
            <w:tcW w:w="382" w:type="dxa"/>
            <w:vAlign w:val="center"/>
          </w:tcPr>
          <w:p w:rsidR="00395C12" w:rsidRPr="00395C12" w:rsidRDefault="00395C12" w:rsidP="00BF4D66">
            <w:pPr>
              <w:adjustRightInd w:val="0"/>
              <w:spacing w:before="20"/>
              <w:jc w:val="right"/>
              <w:rPr>
                <w:color w:val="000000"/>
                <w:sz w:val="16"/>
                <w:szCs w:val="16"/>
              </w:rPr>
            </w:pPr>
          </w:p>
        </w:tc>
        <w:tc>
          <w:tcPr>
            <w:tcW w:w="747" w:type="dxa"/>
            <w:vAlign w:val="center"/>
          </w:tcPr>
          <w:p w:rsidR="00395C12" w:rsidRPr="00395C12" w:rsidRDefault="00395C12" w:rsidP="00BF4D66">
            <w:pPr>
              <w:adjustRightInd w:val="0"/>
              <w:spacing w:before="20"/>
              <w:jc w:val="right"/>
              <w:rPr>
                <w:color w:val="000000"/>
                <w:sz w:val="16"/>
                <w:szCs w:val="16"/>
              </w:rPr>
            </w:pPr>
          </w:p>
        </w:tc>
      </w:tr>
      <w:tr w:rsidR="002E5C0E" w:rsidRPr="009B1415" w:rsidTr="00F959A8">
        <w:tc>
          <w:tcPr>
            <w:tcW w:w="4266" w:type="dxa"/>
          </w:tcPr>
          <w:p w:rsidR="002E5C0E" w:rsidRPr="009B1415" w:rsidRDefault="002E5C0E" w:rsidP="00395C12">
            <w:pPr>
              <w:spacing w:before="20"/>
              <w:ind w:left="176"/>
              <w:jc w:val="both"/>
              <w:rPr>
                <w:sz w:val="16"/>
                <w:szCs w:val="16"/>
              </w:rPr>
            </w:pPr>
            <w:r w:rsidRPr="009B1415">
              <w:rPr>
                <w:sz w:val="16"/>
                <w:szCs w:val="16"/>
              </w:rPr>
              <w:t>Yes</w:t>
            </w:r>
          </w:p>
        </w:tc>
        <w:tc>
          <w:tcPr>
            <w:tcW w:w="972"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78.9</w:t>
            </w:r>
          </w:p>
        </w:tc>
        <w:tc>
          <w:tcPr>
            <w:tcW w:w="1108" w:type="dxa"/>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4.30</w:t>
            </w:r>
          </w:p>
        </w:tc>
        <w:tc>
          <w:tcPr>
            <w:tcW w:w="1213" w:type="dxa"/>
            <w:gridSpan w:val="2"/>
            <w:vAlign w:val="center"/>
          </w:tcPr>
          <w:p w:rsidR="002E5C0E" w:rsidRPr="00395C12" w:rsidRDefault="00407EA4" w:rsidP="00BF4D66">
            <w:pPr>
              <w:adjustRightInd w:val="0"/>
              <w:spacing w:before="20"/>
              <w:jc w:val="right"/>
              <w:rPr>
                <w:color w:val="000000"/>
                <w:sz w:val="16"/>
                <w:szCs w:val="16"/>
              </w:rPr>
            </w:pPr>
            <w:r>
              <w:rPr>
                <w:color w:val="000000"/>
                <w:sz w:val="16"/>
                <w:szCs w:val="16"/>
              </w:rPr>
              <w:t>(</w:t>
            </w:r>
            <w:r w:rsidR="002E5C0E" w:rsidRPr="00395C12">
              <w:rPr>
                <w:color w:val="000000"/>
                <w:sz w:val="16"/>
                <w:szCs w:val="16"/>
              </w:rPr>
              <w:t>1.29</w:t>
            </w:r>
            <w:r w:rsidR="00BF4D66">
              <w:rPr>
                <w:color w:val="000000"/>
                <w:sz w:val="16"/>
                <w:szCs w:val="16"/>
              </w:rPr>
              <w:t xml:space="preserve"> - </w:t>
            </w:r>
            <w:r w:rsidR="002E5C0E" w:rsidRPr="00395C12">
              <w:rPr>
                <w:color w:val="000000"/>
                <w:sz w:val="16"/>
                <w:szCs w:val="16"/>
              </w:rPr>
              <w:t>14.37</w:t>
            </w:r>
            <w:r>
              <w:rPr>
                <w:color w:val="000000"/>
                <w:sz w:val="16"/>
                <w:szCs w:val="16"/>
              </w:rPr>
              <w:t>)</w:t>
            </w:r>
          </w:p>
        </w:tc>
        <w:tc>
          <w:tcPr>
            <w:tcW w:w="747" w:type="dxa"/>
            <w:shd w:val="clear" w:color="auto" w:fill="D9D9D9" w:themeFill="background1" w:themeFillShade="D9"/>
            <w:vAlign w:val="center"/>
          </w:tcPr>
          <w:p w:rsidR="002E5C0E" w:rsidRPr="00395C12" w:rsidRDefault="002E5C0E" w:rsidP="00BF4D66">
            <w:pPr>
              <w:adjustRightInd w:val="0"/>
              <w:spacing w:before="20"/>
              <w:jc w:val="right"/>
              <w:rPr>
                <w:color w:val="000000"/>
                <w:sz w:val="16"/>
                <w:szCs w:val="16"/>
              </w:rPr>
            </w:pPr>
            <w:r w:rsidRPr="00395C12">
              <w:rPr>
                <w:color w:val="000000"/>
                <w:sz w:val="16"/>
                <w:szCs w:val="16"/>
              </w:rPr>
              <w:t>0.02</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Bets with friends/workmates - monthly</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47.9</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60.2</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1.64</w:t>
            </w:r>
          </w:p>
        </w:tc>
        <w:tc>
          <w:tcPr>
            <w:tcW w:w="1213" w:type="dxa"/>
            <w:gridSpan w:val="2"/>
            <w:vAlign w:val="center"/>
          </w:tcPr>
          <w:p w:rsidR="00BF4D66" w:rsidRPr="00E0139F" w:rsidRDefault="00407EA4"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0.43</w:t>
            </w:r>
            <w:r w:rsidR="00BF4D66">
              <w:rPr>
                <w:color w:val="000000"/>
                <w:sz w:val="16"/>
                <w:szCs w:val="16"/>
              </w:rPr>
              <w:t xml:space="preserve"> - </w:t>
            </w:r>
            <w:r w:rsidR="00BF4D66" w:rsidRPr="00E0139F">
              <w:rPr>
                <w:color w:val="000000"/>
                <w:sz w:val="16"/>
                <w:szCs w:val="16"/>
              </w:rPr>
              <w:t>6.27</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0.47</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Text game or competition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48.5</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53.7</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1.23</w:t>
            </w:r>
          </w:p>
        </w:tc>
        <w:tc>
          <w:tcPr>
            <w:tcW w:w="1213" w:type="dxa"/>
            <w:gridSpan w:val="2"/>
            <w:vAlign w:val="center"/>
          </w:tcPr>
          <w:p w:rsidR="00BF4D66" w:rsidRPr="00E0139F" w:rsidRDefault="00407EA4"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0.16</w:t>
            </w:r>
            <w:r w:rsidR="00BF4D66">
              <w:rPr>
                <w:color w:val="000000"/>
                <w:sz w:val="16"/>
                <w:szCs w:val="16"/>
              </w:rPr>
              <w:t xml:space="preserve"> - </w:t>
            </w:r>
            <w:r w:rsidR="00BF4D66" w:rsidRPr="00E0139F">
              <w:rPr>
                <w:color w:val="000000"/>
                <w:sz w:val="16"/>
                <w:szCs w:val="16"/>
              </w:rPr>
              <w:t>9.36</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0.84</w:t>
            </w:r>
          </w:p>
        </w:tc>
      </w:tr>
      <w:tr w:rsidR="00E0139F" w:rsidRPr="009B1415" w:rsidTr="00F959A8">
        <w:tc>
          <w:tcPr>
            <w:tcW w:w="4266" w:type="dxa"/>
            <w:vAlign w:val="bottom"/>
          </w:tcPr>
          <w:p w:rsidR="00E0139F" w:rsidRPr="009B1415" w:rsidRDefault="00E0139F" w:rsidP="00E0139F">
            <w:pPr>
              <w:keepNext/>
              <w:spacing w:before="20"/>
              <w:jc w:val="both"/>
              <w:rPr>
                <w:b/>
                <w:sz w:val="16"/>
                <w:szCs w:val="16"/>
              </w:rPr>
            </w:pPr>
            <w:r w:rsidRPr="009B1415">
              <w:rPr>
                <w:b/>
                <w:sz w:val="16"/>
                <w:szCs w:val="16"/>
              </w:rPr>
              <w:t>Raffle/lottery (NZ/overseas)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keepNext/>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45.3</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keepNext/>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62.4</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2.00</w:t>
            </w:r>
          </w:p>
        </w:tc>
        <w:tc>
          <w:tcPr>
            <w:tcW w:w="1213" w:type="dxa"/>
            <w:gridSpan w:val="2"/>
            <w:vAlign w:val="center"/>
          </w:tcPr>
          <w:p w:rsidR="00BF4D66" w:rsidRPr="00E0139F" w:rsidRDefault="00407EA4"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0.95</w:t>
            </w:r>
            <w:r w:rsidR="00BF4D66">
              <w:rPr>
                <w:color w:val="000000"/>
                <w:sz w:val="16"/>
                <w:szCs w:val="16"/>
              </w:rPr>
              <w:t xml:space="preserve"> - </w:t>
            </w:r>
            <w:r w:rsidR="00BF4D66" w:rsidRPr="00E0139F">
              <w:rPr>
                <w:color w:val="000000"/>
                <w:sz w:val="16"/>
                <w:szCs w:val="16"/>
              </w:rPr>
              <w:t>4.23</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0.07</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Lotto - monthly</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39.3</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57.3</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2.08</w:t>
            </w:r>
          </w:p>
        </w:tc>
        <w:tc>
          <w:tcPr>
            <w:tcW w:w="1213" w:type="dxa"/>
            <w:gridSpan w:val="2"/>
            <w:vAlign w:val="center"/>
          </w:tcPr>
          <w:p w:rsidR="00BF4D66" w:rsidRPr="00E0139F" w:rsidRDefault="00407EA4"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1.08</w:t>
            </w:r>
            <w:r w:rsidR="00BF4D66">
              <w:rPr>
                <w:color w:val="000000"/>
                <w:sz w:val="16"/>
                <w:szCs w:val="16"/>
              </w:rPr>
              <w:t xml:space="preserve"> - </w:t>
            </w:r>
            <w:r w:rsidR="00BF4D66" w:rsidRPr="00E0139F">
              <w:rPr>
                <w:color w:val="000000"/>
                <w:sz w:val="16"/>
                <w:szCs w:val="16"/>
              </w:rPr>
              <w:t>3.99</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0.03</w:t>
            </w:r>
          </w:p>
        </w:tc>
      </w:tr>
      <w:tr w:rsidR="00A523AC" w:rsidRPr="009B1415" w:rsidTr="00F959A8">
        <w:tc>
          <w:tcPr>
            <w:tcW w:w="4266" w:type="dxa"/>
            <w:vAlign w:val="bottom"/>
          </w:tcPr>
          <w:p w:rsidR="00A523AC" w:rsidRPr="009B1415" w:rsidRDefault="00A523AC" w:rsidP="00EE08A0">
            <w:pPr>
              <w:spacing w:before="20"/>
              <w:jc w:val="both"/>
              <w:rPr>
                <w:b/>
                <w:sz w:val="16"/>
                <w:szCs w:val="16"/>
              </w:rPr>
            </w:pPr>
            <w:r w:rsidRPr="009B1415">
              <w:rPr>
                <w:b/>
                <w:sz w:val="16"/>
                <w:szCs w:val="16"/>
              </w:rPr>
              <w:t>Keno - monthly</w:t>
            </w:r>
          </w:p>
        </w:tc>
        <w:tc>
          <w:tcPr>
            <w:tcW w:w="972" w:type="dxa"/>
            <w:vAlign w:val="center"/>
          </w:tcPr>
          <w:p w:rsidR="00A523AC" w:rsidRPr="00CB35E8" w:rsidRDefault="00A523AC" w:rsidP="00EE08A0">
            <w:pPr>
              <w:adjustRightInd w:val="0"/>
              <w:spacing w:before="20"/>
              <w:jc w:val="right"/>
              <w:rPr>
                <w:color w:val="000000"/>
                <w:sz w:val="16"/>
                <w:szCs w:val="16"/>
              </w:rPr>
            </w:pPr>
          </w:p>
        </w:tc>
        <w:tc>
          <w:tcPr>
            <w:tcW w:w="1108" w:type="dxa"/>
            <w:vAlign w:val="center"/>
          </w:tcPr>
          <w:p w:rsidR="00A523AC" w:rsidRPr="00CB35E8" w:rsidRDefault="00A523AC" w:rsidP="00EE08A0">
            <w:pPr>
              <w:adjustRightInd w:val="0"/>
              <w:spacing w:before="20"/>
              <w:jc w:val="right"/>
              <w:rPr>
                <w:color w:val="000000"/>
                <w:sz w:val="16"/>
                <w:szCs w:val="16"/>
              </w:rPr>
            </w:pPr>
          </w:p>
        </w:tc>
        <w:tc>
          <w:tcPr>
            <w:tcW w:w="831" w:type="dxa"/>
            <w:vAlign w:val="center"/>
          </w:tcPr>
          <w:p w:rsidR="00A523AC" w:rsidRPr="00CB35E8" w:rsidRDefault="00A523AC" w:rsidP="00EE08A0">
            <w:pPr>
              <w:adjustRightInd w:val="0"/>
              <w:spacing w:before="20"/>
              <w:jc w:val="right"/>
              <w:rPr>
                <w:color w:val="000000"/>
                <w:sz w:val="16"/>
                <w:szCs w:val="16"/>
              </w:rPr>
            </w:pPr>
          </w:p>
        </w:tc>
        <w:tc>
          <w:tcPr>
            <w:tcW w:w="382" w:type="dxa"/>
            <w:vAlign w:val="center"/>
          </w:tcPr>
          <w:p w:rsidR="00A523AC" w:rsidRPr="00CB35E8" w:rsidRDefault="00A523AC" w:rsidP="00EE08A0">
            <w:pPr>
              <w:adjustRightInd w:val="0"/>
              <w:spacing w:before="20"/>
              <w:jc w:val="right"/>
              <w:rPr>
                <w:color w:val="000000"/>
                <w:sz w:val="16"/>
                <w:szCs w:val="16"/>
              </w:rPr>
            </w:pPr>
          </w:p>
        </w:tc>
        <w:tc>
          <w:tcPr>
            <w:tcW w:w="747" w:type="dxa"/>
            <w:vAlign w:val="center"/>
          </w:tcPr>
          <w:p w:rsidR="00A523AC" w:rsidRPr="00CB35E8" w:rsidRDefault="00A523AC" w:rsidP="00EE08A0">
            <w:pPr>
              <w:adjustRightInd w:val="0"/>
              <w:spacing w:before="20"/>
              <w:jc w:val="right"/>
              <w:rPr>
                <w:color w:val="000000"/>
                <w:sz w:val="16"/>
                <w:szCs w:val="16"/>
              </w:rPr>
            </w:pPr>
          </w:p>
        </w:tc>
      </w:tr>
      <w:tr w:rsidR="00E0139F" w:rsidRPr="009B1415" w:rsidTr="00EE08A0">
        <w:tc>
          <w:tcPr>
            <w:tcW w:w="4266" w:type="dxa"/>
          </w:tcPr>
          <w:p w:rsidR="00E0139F" w:rsidRPr="009B1415" w:rsidRDefault="00E0139F" w:rsidP="00EE08A0">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EE08A0">
            <w:pPr>
              <w:adjustRightInd w:val="0"/>
              <w:spacing w:before="20"/>
              <w:jc w:val="right"/>
              <w:rPr>
                <w:color w:val="000000"/>
                <w:sz w:val="16"/>
                <w:szCs w:val="16"/>
              </w:rPr>
            </w:pPr>
            <w:r w:rsidRPr="00E0139F">
              <w:rPr>
                <w:color w:val="000000"/>
                <w:sz w:val="16"/>
                <w:szCs w:val="16"/>
              </w:rPr>
              <w:t>47.4</w:t>
            </w:r>
          </w:p>
        </w:tc>
        <w:tc>
          <w:tcPr>
            <w:tcW w:w="1108" w:type="dxa"/>
            <w:vAlign w:val="center"/>
          </w:tcPr>
          <w:p w:rsidR="00E0139F" w:rsidRPr="00E0139F" w:rsidRDefault="00E0139F" w:rsidP="00EE08A0">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EE08A0">
            <w:pPr>
              <w:adjustRightInd w:val="0"/>
              <w:spacing w:before="20"/>
              <w:jc w:val="right"/>
              <w:rPr>
                <w:color w:val="000000"/>
                <w:sz w:val="16"/>
                <w:szCs w:val="16"/>
              </w:rPr>
            </w:pPr>
          </w:p>
        </w:tc>
        <w:tc>
          <w:tcPr>
            <w:tcW w:w="382" w:type="dxa"/>
            <w:vAlign w:val="center"/>
          </w:tcPr>
          <w:p w:rsidR="00E0139F" w:rsidRPr="00E0139F" w:rsidRDefault="00E0139F" w:rsidP="00EE08A0">
            <w:pPr>
              <w:adjustRightInd w:val="0"/>
              <w:spacing w:before="20"/>
              <w:jc w:val="right"/>
              <w:rPr>
                <w:color w:val="000000"/>
                <w:sz w:val="16"/>
                <w:szCs w:val="16"/>
              </w:rPr>
            </w:pPr>
          </w:p>
        </w:tc>
        <w:tc>
          <w:tcPr>
            <w:tcW w:w="747" w:type="dxa"/>
            <w:vAlign w:val="center"/>
          </w:tcPr>
          <w:p w:rsidR="00E0139F" w:rsidRPr="00E0139F" w:rsidRDefault="00E0139F" w:rsidP="00EE08A0">
            <w:pPr>
              <w:adjustRightInd w:val="0"/>
              <w:spacing w:before="20"/>
              <w:jc w:val="right"/>
              <w:rPr>
                <w:color w:val="000000"/>
                <w:sz w:val="16"/>
                <w:szCs w:val="16"/>
              </w:rPr>
            </w:pPr>
          </w:p>
        </w:tc>
      </w:tr>
      <w:tr w:rsidR="00BF4D66" w:rsidRPr="009B1415" w:rsidTr="00EE08A0">
        <w:tc>
          <w:tcPr>
            <w:tcW w:w="4266" w:type="dxa"/>
            <w:tcBorders>
              <w:bottom w:val="single" w:sz="4" w:space="0" w:color="auto"/>
            </w:tcBorders>
          </w:tcPr>
          <w:p w:rsidR="00BF4D66" w:rsidRPr="009B1415" w:rsidRDefault="00BF4D66" w:rsidP="00EE08A0">
            <w:pPr>
              <w:spacing w:before="20"/>
              <w:ind w:left="176"/>
              <w:jc w:val="both"/>
              <w:rPr>
                <w:sz w:val="16"/>
                <w:szCs w:val="16"/>
              </w:rPr>
            </w:pPr>
            <w:r w:rsidRPr="009B1415">
              <w:rPr>
                <w:sz w:val="16"/>
                <w:szCs w:val="16"/>
              </w:rPr>
              <w:t>Yes</w:t>
            </w:r>
          </w:p>
        </w:tc>
        <w:tc>
          <w:tcPr>
            <w:tcW w:w="972" w:type="dxa"/>
            <w:tcBorders>
              <w:bottom w:val="single" w:sz="4" w:space="0" w:color="auto"/>
            </w:tcBorders>
            <w:vAlign w:val="center"/>
          </w:tcPr>
          <w:p w:rsidR="00BF4D66" w:rsidRPr="00E0139F" w:rsidRDefault="00BF4D66" w:rsidP="00EE08A0">
            <w:pPr>
              <w:adjustRightInd w:val="0"/>
              <w:spacing w:before="20"/>
              <w:jc w:val="right"/>
              <w:rPr>
                <w:color w:val="000000"/>
                <w:sz w:val="16"/>
                <w:szCs w:val="16"/>
              </w:rPr>
            </w:pPr>
            <w:r w:rsidRPr="00E0139F">
              <w:rPr>
                <w:color w:val="000000"/>
                <w:sz w:val="16"/>
                <w:szCs w:val="16"/>
              </w:rPr>
              <w:t>76.7</w:t>
            </w:r>
          </w:p>
        </w:tc>
        <w:tc>
          <w:tcPr>
            <w:tcW w:w="1108" w:type="dxa"/>
            <w:tcBorders>
              <w:bottom w:val="single" w:sz="4" w:space="0" w:color="auto"/>
            </w:tcBorders>
            <w:vAlign w:val="center"/>
          </w:tcPr>
          <w:p w:rsidR="00BF4D66" w:rsidRPr="00E0139F" w:rsidRDefault="00BF4D66" w:rsidP="00EE08A0">
            <w:pPr>
              <w:adjustRightInd w:val="0"/>
              <w:spacing w:before="20"/>
              <w:jc w:val="right"/>
              <w:rPr>
                <w:color w:val="000000"/>
                <w:sz w:val="16"/>
                <w:szCs w:val="16"/>
              </w:rPr>
            </w:pPr>
            <w:r w:rsidRPr="00E0139F">
              <w:rPr>
                <w:color w:val="000000"/>
                <w:sz w:val="16"/>
                <w:szCs w:val="16"/>
              </w:rPr>
              <w:t>3.65</w:t>
            </w:r>
          </w:p>
        </w:tc>
        <w:tc>
          <w:tcPr>
            <w:tcW w:w="1213" w:type="dxa"/>
            <w:gridSpan w:val="2"/>
            <w:tcBorders>
              <w:bottom w:val="single" w:sz="4" w:space="0" w:color="auto"/>
            </w:tcBorders>
            <w:vAlign w:val="center"/>
          </w:tcPr>
          <w:p w:rsidR="00BF4D66" w:rsidRPr="00E0139F" w:rsidRDefault="008A0DFA" w:rsidP="00EE08A0">
            <w:pPr>
              <w:adjustRightInd w:val="0"/>
              <w:spacing w:before="20"/>
              <w:jc w:val="right"/>
              <w:rPr>
                <w:color w:val="000000"/>
                <w:sz w:val="16"/>
                <w:szCs w:val="16"/>
              </w:rPr>
            </w:pPr>
            <w:r>
              <w:rPr>
                <w:color w:val="000000"/>
                <w:sz w:val="16"/>
                <w:szCs w:val="16"/>
              </w:rPr>
              <w:t>(</w:t>
            </w:r>
            <w:r w:rsidR="00BF4D66" w:rsidRPr="00E0139F">
              <w:rPr>
                <w:color w:val="000000"/>
                <w:sz w:val="16"/>
                <w:szCs w:val="16"/>
              </w:rPr>
              <w:t>0.87</w:t>
            </w:r>
            <w:r w:rsidR="00BF4D66">
              <w:rPr>
                <w:color w:val="000000"/>
                <w:sz w:val="16"/>
                <w:szCs w:val="16"/>
              </w:rPr>
              <w:t xml:space="preserve"> - </w:t>
            </w:r>
            <w:r w:rsidR="00BF4D66" w:rsidRPr="00E0139F">
              <w:rPr>
                <w:color w:val="000000"/>
                <w:sz w:val="16"/>
                <w:szCs w:val="16"/>
              </w:rPr>
              <w:t>15.35</w:t>
            </w:r>
            <w:r>
              <w:rPr>
                <w:color w:val="000000"/>
                <w:sz w:val="16"/>
                <w:szCs w:val="16"/>
              </w:rPr>
              <w:t>)</w:t>
            </w:r>
          </w:p>
        </w:tc>
        <w:tc>
          <w:tcPr>
            <w:tcW w:w="747" w:type="dxa"/>
            <w:tcBorders>
              <w:bottom w:val="single" w:sz="4" w:space="0" w:color="auto"/>
            </w:tcBorders>
            <w:vAlign w:val="center"/>
          </w:tcPr>
          <w:p w:rsidR="00BF4D66" w:rsidRPr="00E0139F" w:rsidRDefault="00BF4D66" w:rsidP="00EE08A0">
            <w:pPr>
              <w:adjustRightInd w:val="0"/>
              <w:spacing w:before="20"/>
              <w:jc w:val="right"/>
              <w:rPr>
                <w:color w:val="000000"/>
                <w:sz w:val="16"/>
                <w:szCs w:val="16"/>
              </w:rPr>
            </w:pPr>
            <w:r w:rsidRPr="00E0139F">
              <w:rPr>
                <w:color w:val="000000"/>
                <w:sz w:val="16"/>
                <w:szCs w:val="16"/>
              </w:rPr>
              <w:t>0.08</w:t>
            </w:r>
          </w:p>
        </w:tc>
      </w:tr>
      <w:tr w:rsidR="00E0139F" w:rsidRPr="009B1415" w:rsidTr="00EE08A0">
        <w:tc>
          <w:tcPr>
            <w:tcW w:w="4266" w:type="dxa"/>
            <w:tcBorders>
              <w:top w:val="single" w:sz="4" w:space="0" w:color="auto"/>
            </w:tcBorders>
            <w:vAlign w:val="bottom"/>
          </w:tcPr>
          <w:p w:rsidR="00E0139F" w:rsidRPr="009B1415" w:rsidRDefault="00E0139F" w:rsidP="00EE08A0">
            <w:pPr>
              <w:keepNext/>
              <w:spacing w:before="20"/>
              <w:jc w:val="both"/>
              <w:rPr>
                <w:b/>
                <w:sz w:val="16"/>
                <w:szCs w:val="16"/>
              </w:rPr>
            </w:pPr>
            <w:r w:rsidRPr="009B1415">
              <w:rPr>
                <w:b/>
                <w:sz w:val="16"/>
                <w:szCs w:val="16"/>
              </w:rPr>
              <w:lastRenderedPageBreak/>
              <w:t>Instant Kiwi/other scratch tickets - monthly</w:t>
            </w:r>
          </w:p>
        </w:tc>
        <w:tc>
          <w:tcPr>
            <w:tcW w:w="972" w:type="dxa"/>
            <w:tcBorders>
              <w:top w:val="single" w:sz="4" w:space="0" w:color="auto"/>
            </w:tcBorders>
            <w:vAlign w:val="center"/>
          </w:tcPr>
          <w:p w:rsidR="00E0139F" w:rsidRPr="00E0139F" w:rsidRDefault="00E0139F" w:rsidP="00EE08A0">
            <w:pPr>
              <w:keepNext/>
              <w:adjustRightInd w:val="0"/>
              <w:spacing w:before="20"/>
              <w:jc w:val="right"/>
              <w:rPr>
                <w:color w:val="000000"/>
                <w:sz w:val="16"/>
                <w:szCs w:val="16"/>
              </w:rPr>
            </w:pPr>
          </w:p>
        </w:tc>
        <w:tc>
          <w:tcPr>
            <w:tcW w:w="1108" w:type="dxa"/>
            <w:tcBorders>
              <w:top w:val="single" w:sz="4" w:space="0" w:color="auto"/>
            </w:tcBorders>
            <w:vAlign w:val="center"/>
          </w:tcPr>
          <w:p w:rsidR="00E0139F" w:rsidRPr="00E0139F" w:rsidRDefault="00E0139F" w:rsidP="00EE08A0">
            <w:pPr>
              <w:keepNext/>
              <w:adjustRightInd w:val="0"/>
              <w:spacing w:before="20"/>
              <w:jc w:val="right"/>
              <w:rPr>
                <w:color w:val="000000"/>
                <w:sz w:val="16"/>
                <w:szCs w:val="16"/>
              </w:rPr>
            </w:pPr>
          </w:p>
        </w:tc>
        <w:tc>
          <w:tcPr>
            <w:tcW w:w="831" w:type="dxa"/>
            <w:tcBorders>
              <w:top w:val="single" w:sz="4" w:space="0" w:color="auto"/>
            </w:tcBorders>
            <w:vAlign w:val="center"/>
          </w:tcPr>
          <w:p w:rsidR="00E0139F" w:rsidRPr="00E0139F" w:rsidRDefault="00E0139F" w:rsidP="00EE08A0">
            <w:pPr>
              <w:keepNext/>
              <w:adjustRightInd w:val="0"/>
              <w:spacing w:before="20"/>
              <w:jc w:val="right"/>
              <w:rPr>
                <w:color w:val="000000"/>
                <w:sz w:val="16"/>
                <w:szCs w:val="16"/>
              </w:rPr>
            </w:pPr>
          </w:p>
        </w:tc>
        <w:tc>
          <w:tcPr>
            <w:tcW w:w="382" w:type="dxa"/>
            <w:tcBorders>
              <w:top w:val="single" w:sz="4" w:space="0" w:color="auto"/>
            </w:tcBorders>
            <w:vAlign w:val="center"/>
          </w:tcPr>
          <w:p w:rsidR="00E0139F" w:rsidRPr="00E0139F" w:rsidRDefault="00E0139F" w:rsidP="00EE08A0">
            <w:pPr>
              <w:keepNext/>
              <w:adjustRightInd w:val="0"/>
              <w:spacing w:before="20"/>
              <w:jc w:val="right"/>
              <w:rPr>
                <w:color w:val="000000"/>
                <w:sz w:val="16"/>
                <w:szCs w:val="16"/>
              </w:rPr>
            </w:pPr>
          </w:p>
        </w:tc>
        <w:tc>
          <w:tcPr>
            <w:tcW w:w="747" w:type="dxa"/>
            <w:tcBorders>
              <w:top w:val="single" w:sz="4" w:space="0" w:color="auto"/>
            </w:tcBorders>
            <w:vAlign w:val="center"/>
          </w:tcPr>
          <w:p w:rsidR="00E0139F" w:rsidRPr="00E0139F" w:rsidRDefault="00E0139F" w:rsidP="00EE08A0">
            <w:pPr>
              <w:keepNext/>
              <w:adjustRightInd w:val="0"/>
              <w:spacing w:before="20"/>
              <w:jc w:val="right"/>
              <w:rPr>
                <w:color w:val="000000"/>
                <w:sz w:val="16"/>
                <w:szCs w:val="16"/>
              </w:rPr>
            </w:pPr>
          </w:p>
        </w:tc>
      </w:tr>
      <w:tr w:rsidR="00E0139F" w:rsidRPr="009B1415" w:rsidTr="00EE08A0">
        <w:tc>
          <w:tcPr>
            <w:tcW w:w="4266" w:type="dxa"/>
          </w:tcPr>
          <w:p w:rsidR="00E0139F" w:rsidRPr="009B1415" w:rsidRDefault="00E0139F" w:rsidP="00EE08A0">
            <w:pPr>
              <w:keepNext/>
              <w:spacing w:before="20"/>
              <w:ind w:left="176"/>
              <w:jc w:val="both"/>
              <w:rPr>
                <w:sz w:val="16"/>
                <w:szCs w:val="16"/>
              </w:rPr>
            </w:pPr>
            <w:r w:rsidRPr="009B1415">
              <w:rPr>
                <w:sz w:val="16"/>
                <w:szCs w:val="16"/>
              </w:rPr>
              <w:t>No</w:t>
            </w:r>
          </w:p>
        </w:tc>
        <w:tc>
          <w:tcPr>
            <w:tcW w:w="972" w:type="dxa"/>
            <w:vAlign w:val="center"/>
          </w:tcPr>
          <w:p w:rsidR="00E0139F" w:rsidRPr="00E0139F" w:rsidRDefault="00E0139F" w:rsidP="00EE08A0">
            <w:pPr>
              <w:keepNext/>
              <w:adjustRightInd w:val="0"/>
              <w:spacing w:before="20"/>
              <w:jc w:val="right"/>
              <w:rPr>
                <w:color w:val="000000"/>
                <w:sz w:val="16"/>
                <w:szCs w:val="16"/>
              </w:rPr>
            </w:pPr>
            <w:r w:rsidRPr="00E0139F">
              <w:rPr>
                <w:color w:val="000000"/>
                <w:sz w:val="16"/>
                <w:szCs w:val="16"/>
              </w:rPr>
              <w:t>46.5</w:t>
            </w:r>
          </w:p>
        </w:tc>
        <w:tc>
          <w:tcPr>
            <w:tcW w:w="1108" w:type="dxa"/>
            <w:vAlign w:val="center"/>
          </w:tcPr>
          <w:p w:rsidR="00E0139F" w:rsidRPr="00E0139F" w:rsidRDefault="00E0139F" w:rsidP="00EE08A0">
            <w:pPr>
              <w:keepNext/>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EE08A0">
            <w:pPr>
              <w:keepNext/>
              <w:adjustRightInd w:val="0"/>
              <w:spacing w:before="20"/>
              <w:jc w:val="right"/>
              <w:rPr>
                <w:color w:val="000000"/>
                <w:sz w:val="16"/>
                <w:szCs w:val="16"/>
              </w:rPr>
            </w:pPr>
          </w:p>
        </w:tc>
        <w:tc>
          <w:tcPr>
            <w:tcW w:w="382" w:type="dxa"/>
            <w:vAlign w:val="center"/>
          </w:tcPr>
          <w:p w:rsidR="00E0139F" w:rsidRPr="00E0139F" w:rsidRDefault="00E0139F" w:rsidP="00EE08A0">
            <w:pPr>
              <w:keepNext/>
              <w:adjustRightInd w:val="0"/>
              <w:spacing w:before="20"/>
              <w:jc w:val="right"/>
              <w:rPr>
                <w:color w:val="000000"/>
                <w:sz w:val="16"/>
                <w:szCs w:val="16"/>
              </w:rPr>
            </w:pPr>
          </w:p>
        </w:tc>
        <w:tc>
          <w:tcPr>
            <w:tcW w:w="747" w:type="dxa"/>
            <w:vAlign w:val="center"/>
          </w:tcPr>
          <w:p w:rsidR="00E0139F" w:rsidRPr="00E0139F" w:rsidRDefault="00E0139F" w:rsidP="00EE08A0">
            <w:pPr>
              <w:keepNext/>
              <w:adjustRightInd w:val="0"/>
              <w:spacing w:before="20"/>
              <w:jc w:val="right"/>
              <w:rPr>
                <w:color w:val="000000"/>
                <w:sz w:val="16"/>
                <w:szCs w:val="16"/>
              </w:rPr>
            </w:pPr>
          </w:p>
        </w:tc>
      </w:tr>
      <w:tr w:rsidR="00BF4D66" w:rsidRPr="009B1415" w:rsidTr="00EE08A0">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54.7</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1.39</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0.69</w:t>
            </w:r>
            <w:r w:rsidR="00BF4D66">
              <w:rPr>
                <w:color w:val="000000"/>
                <w:sz w:val="16"/>
                <w:szCs w:val="16"/>
              </w:rPr>
              <w:t xml:space="preserve"> - </w:t>
            </w:r>
            <w:r w:rsidR="00BF4D66" w:rsidRPr="00E0139F">
              <w:rPr>
                <w:color w:val="000000"/>
                <w:sz w:val="16"/>
                <w:szCs w:val="16"/>
              </w:rPr>
              <w:t>2.78</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0.35</w:t>
            </w:r>
          </w:p>
        </w:tc>
      </w:tr>
      <w:tr w:rsidR="00E0139F" w:rsidRPr="009B1415" w:rsidTr="00EE08A0">
        <w:tc>
          <w:tcPr>
            <w:tcW w:w="4266" w:type="dxa"/>
            <w:vAlign w:val="bottom"/>
          </w:tcPr>
          <w:p w:rsidR="00E0139F" w:rsidRPr="009B1415" w:rsidRDefault="00E0139F" w:rsidP="008A0DFA">
            <w:pPr>
              <w:keepNext/>
              <w:spacing w:before="20"/>
              <w:jc w:val="both"/>
              <w:rPr>
                <w:b/>
                <w:sz w:val="16"/>
                <w:szCs w:val="16"/>
              </w:rPr>
            </w:pPr>
            <w:r w:rsidRPr="009B1415">
              <w:rPr>
                <w:b/>
                <w:sz w:val="16"/>
                <w:szCs w:val="16"/>
              </w:rPr>
              <w:t>Housie or bingo - monthly</w:t>
            </w:r>
          </w:p>
        </w:tc>
        <w:tc>
          <w:tcPr>
            <w:tcW w:w="972" w:type="dxa"/>
            <w:vAlign w:val="center"/>
          </w:tcPr>
          <w:p w:rsidR="00E0139F" w:rsidRPr="00E0139F" w:rsidRDefault="00E0139F" w:rsidP="008A0DFA">
            <w:pPr>
              <w:keepNext/>
              <w:adjustRightInd w:val="0"/>
              <w:spacing w:before="20"/>
              <w:jc w:val="right"/>
              <w:rPr>
                <w:color w:val="000000"/>
                <w:sz w:val="16"/>
                <w:szCs w:val="16"/>
              </w:rPr>
            </w:pPr>
          </w:p>
        </w:tc>
        <w:tc>
          <w:tcPr>
            <w:tcW w:w="1108" w:type="dxa"/>
            <w:vAlign w:val="center"/>
          </w:tcPr>
          <w:p w:rsidR="00E0139F" w:rsidRPr="00E0139F" w:rsidRDefault="00E0139F" w:rsidP="008A0DFA">
            <w:pPr>
              <w:keepNext/>
              <w:adjustRightInd w:val="0"/>
              <w:spacing w:before="20"/>
              <w:jc w:val="right"/>
              <w:rPr>
                <w:color w:val="000000"/>
                <w:sz w:val="16"/>
                <w:szCs w:val="16"/>
              </w:rPr>
            </w:pPr>
          </w:p>
        </w:tc>
        <w:tc>
          <w:tcPr>
            <w:tcW w:w="831" w:type="dxa"/>
            <w:vAlign w:val="center"/>
          </w:tcPr>
          <w:p w:rsidR="00E0139F" w:rsidRPr="00E0139F" w:rsidRDefault="00E0139F" w:rsidP="008A0DFA">
            <w:pPr>
              <w:keepNext/>
              <w:adjustRightInd w:val="0"/>
              <w:spacing w:before="20"/>
              <w:jc w:val="right"/>
              <w:rPr>
                <w:color w:val="000000"/>
                <w:sz w:val="16"/>
                <w:szCs w:val="16"/>
              </w:rPr>
            </w:pPr>
          </w:p>
        </w:tc>
        <w:tc>
          <w:tcPr>
            <w:tcW w:w="382" w:type="dxa"/>
            <w:vAlign w:val="center"/>
          </w:tcPr>
          <w:p w:rsidR="00E0139F" w:rsidRPr="00E0139F" w:rsidRDefault="00E0139F" w:rsidP="008A0DFA">
            <w:pPr>
              <w:keepNext/>
              <w:adjustRightInd w:val="0"/>
              <w:spacing w:before="20"/>
              <w:jc w:val="right"/>
              <w:rPr>
                <w:color w:val="000000"/>
                <w:sz w:val="16"/>
                <w:szCs w:val="16"/>
              </w:rPr>
            </w:pPr>
          </w:p>
        </w:tc>
        <w:tc>
          <w:tcPr>
            <w:tcW w:w="747" w:type="dxa"/>
            <w:vAlign w:val="center"/>
          </w:tcPr>
          <w:p w:rsidR="00E0139F" w:rsidRPr="00E0139F" w:rsidRDefault="00E0139F" w:rsidP="008A0DFA">
            <w:pPr>
              <w:keepNext/>
              <w:adjustRightInd w:val="0"/>
              <w:spacing w:before="20"/>
              <w:jc w:val="right"/>
              <w:rPr>
                <w:color w:val="000000"/>
                <w:sz w:val="16"/>
                <w:szCs w:val="16"/>
              </w:rPr>
            </w:pPr>
          </w:p>
        </w:tc>
      </w:tr>
      <w:tr w:rsidR="00E0139F" w:rsidRPr="009B1415" w:rsidTr="00F959A8">
        <w:tc>
          <w:tcPr>
            <w:tcW w:w="4266" w:type="dxa"/>
          </w:tcPr>
          <w:p w:rsidR="00E0139F" w:rsidRPr="009B1415" w:rsidRDefault="00E0139F" w:rsidP="008A0DFA">
            <w:pPr>
              <w:keepNext/>
              <w:spacing w:before="20"/>
              <w:ind w:left="176"/>
              <w:jc w:val="both"/>
              <w:rPr>
                <w:sz w:val="16"/>
                <w:szCs w:val="16"/>
              </w:rPr>
            </w:pPr>
            <w:r w:rsidRPr="009B1415">
              <w:rPr>
                <w:sz w:val="16"/>
                <w:szCs w:val="16"/>
              </w:rPr>
              <w:t>No</w:t>
            </w:r>
          </w:p>
        </w:tc>
        <w:tc>
          <w:tcPr>
            <w:tcW w:w="972" w:type="dxa"/>
            <w:vAlign w:val="center"/>
          </w:tcPr>
          <w:p w:rsidR="00E0139F" w:rsidRPr="00E0139F" w:rsidRDefault="00E0139F" w:rsidP="008A0DFA">
            <w:pPr>
              <w:keepNext/>
              <w:adjustRightInd w:val="0"/>
              <w:spacing w:before="20"/>
              <w:jc w:val="right"/>
              <w:rPr>
                <w:color w:val="000000"/>
                <w:sz w:val="16"/>
                <w:szCs w:val="16"/>
              </w:rPr>
            </w:pPr>
            <w:r w:rsidRPr="00E0139F">
              <w:rPr>
                <w:color w:val="000000"/>
                <w:sz w:val="16"/>
                <w:szCs w:val="16"/>
              </w:rPr>
              <w:t>48.3</w:t>
            </w:r>
          </w:p>
        </w:tc>
        <w:tc>
          <w:tcPr>
            <w:tcW w:w="1108" w:type="dxa"/>
            <w:vAlign w:val="center"/>
          </w:tcPr>
          <w:p w:rsidR="00E0139F" w:rsidRPr="00E0139F" w:rsidRDefault="00E0139F" w:rsidP="008A0DFA">
            <w:pPr>
              <w:keepNext/>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8A0DFA">
            <w:pPr>
              <w:keepNext/>
              <w:adjustRightInd w:val="0"/>
              <w:spacing w:before="20"/>
              <w:jc w:val="right"/>
              <w:rPr>
                <w:color w:val="000000"/>
                <w:sz w:val="16"/>
                <w:szCs w:val="16"/>
              </w:rPr>
            </w:pPr>
          </w:p>
        </w:tc>
        <w:tc>
          <w:tcPr>
            <w:tcW w:w="382" w:type="dxa"/>
            <w:vAlign w:val="center"/>
          </w:tcPr>
          <w:p w:rsidR="00E0139F" w:rsidRPr="00E0139F" w:rsidRDefault="00E0139F" w:rsidP="008A0DFA">
            <w:pPr>
              <w:keepNext/>
              <w:adjustRightInd w:val="0"/>
              <w:spacing w:before="20"/>
              <w:jc w:val="right"/>
              <w:rPr>
                <w:color w:val="000000"/>
                <w:sz w:val="16"/>
                <w:szCs w:val="16"/>
              </w:rPr>
            </w:pPr>
          </w:p>
        </w:tc>
        <w:tc>
          <w:tcPr>
            <w:tcW w:w="747" w:type="dxa"/>
            <w:vAlign w:val="center"/>
          </w:tcPr>
          <w:p w:rsidR="00E0139F" w:rsidRPr="00E0139F" w:rsidRDefault="00E0139F" w:rsidP="008A0DFA">
            <w:pPr>
              <w:keepNext/>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58.9</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1.54</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0.34</w:t>
            </w:r>
            <w:r w:rsidR="00BF4D66">
              <w:rPr>
                <w:color w:val="000000"/>
                <w:sz w:val="16"/>
                <w:szCs w:val="16"/>
              </w:rPr>
              <w:t xml:space="preserve"> - </w:t>
            </w:r>
            <w:r w:rsidR="00BF4D66" w:rsidRPr="00E0139F">
              <w:rPr>
                <w:color w:val="000000"/>
                <w:sz w:val="16"/>
                <w:szCs w:val="16"/>
              </w:rPr>
              <w:t>6.95</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0.58</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Horse/dog race betting - monthly</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46.7</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70.5</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2.73</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0.96</w:t>
            </w:r>
            <w:r w:rsidR="00BF4D66">
              <w:rPr>
                <w:color w:val="000000"/>
                <w:sz w:val="16"/>
                <w:szCs w:val="16"/>
              </w:rPr>
              <w:t xml:space="preserve"> - </w:t>
            </w:r>
            <w:r w:rsidR="00BF4D66" w:rsidRPr="00E0139F">
              <w:rPr>
                <w:color w:val="000000"/>
                <w:sz w:val="16"/>
                <w:szCs w:val="16"/>
              </w:rPr>
              <w:t>7.78</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0.06</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Sports betting - monthly</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48.4</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52.5</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1.18</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0.32</w:t>
            </w:r>
            <w:r w:rsidR="00BF4D66">
              <w:rPr>
                <w:color w:val="000000"/>
                <w:sz w:val="16"/>
                <w:szCs w:val="16"/>
              </w:rPr>
              <w:t xml:space="preserve"> - </w:t>
            </w:r>
            <w:r w:rsidR="00BF4D66" w:rsidRPr="00E0139F">
              <w:rPr>
                <w:color w:val="000000"/>
                <w:sz w:val="16"/>
                <w:szCs w:val="16"/>
              </w:rPr>
              <w:t>4.37</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0.80</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table games or EGMs (overseas)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48.8</w:t>
            </w:r>
          </w:p>
        </w:tc>
        <w:tc>
          <w:tcPr>
            <w:tcW w:w="1108"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Yes</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0.0</w:t>
            </w:r>
          </w:p>
        </w:tc>
        <w:tc>
          <w:tcPr>
            <w:tcW w:w="1108"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vAlign w:val="bottom"/>
          </w:tcPr>
          <w:p w:rsidR="00E0139F" w:rsidRPr="009B1415" w:rsidRDefault="00E0139F" w:rsidP="00E0139F">
            <w:pPr>
              <w:keepNext/>
              <w:spacing w:before="20"/>
              <w:jc w:val="both"/>
              <w:rPr>
                <w:b/>
                <w:sz w:val="16"/>
                <w:szCs w:val="16"/>
              </w:rPr>
            </w:pPr>
            <w:r w:rsidRPr="009B1415">
              <w:rPr>
                <w:b/>
                <w:sz w:val="16"/>
                <w:szCs w:val="16"/>
              </w:rPr>
              <w:t>Casino table games or EGMs (NZ)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47.3</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77.0</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3.74</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0.86</w:t>
            </w:r>
            <w:r w:rsidR="00BF4D66">
              <w:rPr>
                <w:color w:val="000000"/>
                <w:sz w:val="16"/>
                <w:szCs w:val="16"/>
              </w:rPr>
              <w:t xml:space="preserve"> - </w:t>
            </w:r>
            <w:r w:rsidR="00BF4D66" w:rsidRPr="00E0139F">
              <w:rPr>
                <w:color w:val="000000"/>
                <w:sz w:val="16"/>
                <w:szCs w:val="16"/>
              </w:rPr>
              <w:t>16.38</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0.08</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table games (NZ)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48.5</w:t>
            </w:r>
          </w:p>
        </w:tc>
        <w:tc>
          <w:tcPr>
            <w:tcW w:w="1108"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Yes</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100.0</w:t>
            </w:r>
          </w:p>
        </w:tc>
        <w:tc>
          <w:tcPr>
            <w:tcW w:w="1108" w:type="dxa"/>
            <w:vAlign w:val="center"/>
          </w:tcPr>
          <w:p w:rsidR="00E0139F" w:rsidRPr="00E0139F" w:rsidRDefault="00E0139F" w:rsidP="00BF4D66">
            <w:pPr>
              <w:adjustRightInd w:val="0"/>
              <w:spacing w:before="20"/>
              <w:jc w:val="right"/>
              <w:rPr>
                <w:color w:val="000000"/>
                <w:sz w:val="16"/>
                <w:szCs w:val="16"/>
              </w:rPr>
            </w:pPr>
            <w:r>
              <w:rPr>
                <w:color w:val="000000"/>
                <w:sz w:val="16"/>
                <w:szCs w:val="16"/>
              </w:rPr>
              <w:t>-</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Casino EGMs (NZ)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47.0</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79.4</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4.36</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1.01</w:t>
            </w:r>
            <w:r w:rsidR="00BF4D66">
              <w:rPr>
                <w:color w:val="000000"/>
                <w:sz w:val="16"/>
                <w:szCs w:val="16"/>
              </w:rPr>
              <w:t xml:space="preserve"> - </w:t>
            </w:r>
            <w:r w:rsidR="00BF4D66" w:rsidRPr="00E0139F">
              <w:rPr>
                <w:color w:val="000000"/>
                <w:sz w:val="16"/>
                <w:szCs w:val="16"/>
              </w:rPr>
              <w:t>18.73</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0.05</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Pub EGMs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42.2</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73.6</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3.82</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1.78</w:t>
            </w:r>
            <w:r w:rsidR="00BF4D66">
              <w:rPr>
                <w:color w:val="000000"/>
                <w:sz w:val="16"/>
                <w:szCs w:val="16"/>
              </w:rPr>
              <w:t xml:space="preserve"> - </w:t>
            </w:r>
            <w:r w:rsidR="00BF4D66" w:rsidRPr="00E0139F">
              <w:rPr>
                <w:color w:val="000000"/>
                <w:sz w:val="16"/>
                <w:szCs w:val="16"/>
              </w:rPr>
              <w:t>8.20</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0.00</w:t>
            </w:r>
            <w:r w:rsidR="00660808">
              <w:rPr>
                <w:color w:val="000000"/>
                <w:sz w:val="16"/>
                <w:szCs w:val="16"/>
              </w:rPr>
              <w:t>06</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Club EGMs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45.6</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83.1</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5.86</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1.52</w:t>
            </w:r>
            <w:r w:rsidR="00BF4D66">
              <w:rPr>
                <w:color w:val="000000"/>
                <w:sz w:val="16"/>
                <w:szCs w:val="16"/>
              </w:rPr>
              <w:t xml:space="preserve"> - </w:t>
            </w:r>
            <w:r w:rsidR="00BF4D66" w:rsidRPr="00E0139F">
              <w:rPr>
                <w:color w:val="000000"/>
                <w:sz w:val="16"/>
                <w:szCs w:val="16"/>
              </w:rPr>
              <w:t>22.52</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0.01</w:t>
            </w:r>
          </w:p>
        </w:tc>
      </w:tr>
      <w:tr w:rsidR="00A523AC" w:rsidRPr="009B1415" w:rsidTr="00F959A8">
        <w:tc>
          <w:tcPr>
            <w:tcW w:w="4266" w:type="dxa"/>
            <w:vAlign w:val="bottom"/>
          </w:tcPr>
          <w:p w:rsidR="00A523AC" w:rsidRPr="009B1415" w:rsidRDefault="00A523AC" w:rsidP="00B80631">
            <w:pPr>
              <w:spacing w:before="20"/>
              <w:jc w:val="both"/>
              <w:rPr>
                <w:b/>
                <w:sz w:val="16"/>
                <w:szCs w:val="16"/>
              </w:rPr>
            </w:pPr>
            <w:r w:rsidRPr="009B1415">
              <w:rPr>
                <w:b/>
                <w:sz w:val="16"/>
                <w:szCs w:val="16"/>
              </w:rPr>
              <w:t>EGMs overall - monthly</w:t>
            </w:r>
          </w:p>
        </w:tc>
        <w:tc>
          <w:tcPr>
            <w:tcW w:w="972" w:type="dxa"/>
            <w:vAlign w:val="center"/>
          </w:tcPr>
          <w:p w:rsidR="00A523AC" w:rsidRPr="00CB35E8" w:rsidRDefault="00A523AC" w:rsidP="00BF4D66">
            <w:pPr>
              <w:adjustRightInd w:val="0"/>
              <w:spacing w:before="20"/>
              <w:jc w:val="right"/>
              <w:rPr>
                <w:color w:val="000000"/>
                <w:sz w:val="16"/>
                <w:szCs w:val="16"/>
              </w:rPr>
            </w:pPr>
          </w:p>
        </w:tc>
        <w:tc>
          <w:tcPr>
            <w:tcW w:w="1108" w:type="dxa"/>
            <w:vAlign w:val="center"/>
          </w:tcPr>
          <w:p w:rsidR="00A523AC" w:rsidRPr="00CB35E8" w:rsidRDefault="00A523AC" w:rsidP="00BF4D66">
            <w:pPr>
              <w:adjustRightInd w:val="0"/>
              <w:spacing w:before="20"/>
              <w:jc w:val="right"/>
              <w:rPr>
                <w:color w:val="000000"/>
                <w:sz w:val="16"/>
                <w:szCs w:val="16"/>
              </w:rPr>
            </w:pPr>
          </w:p>
        </w:tc>
        <w:tc>
          <w:tcPr>
            <w:tcW w:w="831" w:type="dxa"/>
            <w:vAlign w:val="center"/>
          </w:tcPr>
          <w:p w:rsidR="00A523AC" w:rsidRPr="00CB35E8" w:rsidRDefault="00A523AC" w:rsidP="00BF4D66">
            <w:pPr>
              <w:adjustRightInd w:val="0"/>
              <w:spacing w:before="20"/>
              <w:jc w:val="right"/>
              <w:rPr>
                <w:color w:val="000000"/>
                <w:sz w:val="16"/>
                <w:szCs w:val="16"/>
              </w:rPr>
            </w:pPr>
          </w:p>
        </w:tc>
        <w:tc>
          <w:tcPr>
            <w:tcW w:w="382" w:type="dxa"/>
            <w:vAlign w:val="center"/>
          </w:tcPr>
          <w:p w:rsidR="00A523AC" w:rsidRPr="00CB35E8" w:rsidRDefault="00A523AC" w:rsidP="00BF4D66">
            <w:pPr>
              <w:adjustRightInd w:val="0"/>
              <w:spacing w:before="20"/>
              <w:jc w:val="right"/>
              <w:rPr>
                <w:color w:val="000000"/>
                <w:sz w:val="16"/>
                <w:szCs w:val="16"/>
              </w:rPr>
            </w:pPr>
          </w:p>
        </w:tc>
        <w:tc>
          <w:tcPr>
            <w:tcW w:w="747" w:type="dxa"/>
            <w:shd w:val="clear" w:color="auto" w:fill="auto"/>
            <w:vAlign w:val="center"/>
          </w:tcPr>
          <w:p w:rsidR="00A523AC" w:rsidRPr="00CB35E8" w:rsidRDefault="00A523AC"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37.8</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76.4</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5.32</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2.59</w:t>
            </w:r>
            <w:r w:rsidR="00BF4D66">
              <w:rPr>
                <w:color w:val="000000"/>
                <w:sz w:val="16"/>
                <w:szCs w:val="16"/>
              </w:rPr>
              <w:t xml:space="preserve"> - </w:t>
            </w:r>
            <w:r w:rsidR="00BF4D66" w:rsidRPr="00E0139F">
              <w:rPr>
                <w:color w:val="000000"/>
                <w:sz w:val="16"/>
                <w:szCs w:val="16"/>
              </w:rPr>
              <w:t>10.93</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&lt;</w:t>
            </w:r>
            <w:r>
              <w:rPr>
                <w:color w:val="000000"/>
                <w:sz w:val="16"/>
                <w:szCs w:val="16"/>
              </w:rPr>
              <w:t>0</w:t>
            </w:r>
            <w:r w:rsidRPr="00E0139F">
              <w:rPr>
                <w:color w:val="000000"/>
                <w:sz w:val="16"/>
                <w:szCs w:val="16"/>
              </w:rPr>
              <w:t>.0001</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Short-term speculative investments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48.3</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shd w:val="clear" w:color="auto" w:fill="auto"/>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72.0</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2.74</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0.19</w:t>
            </w:r>
            <w:r w:rsidR="00BF4D66">
              <w:rPr>
                <w:color w:val="000000"/>
                <w:sz w:val="16"/>
                <w:szCs w:val="16"/>
              </w:rPr>
              <w:t xml:space="preserve"> - </w:t>
            </w:r>
            <w:r w:rsidR="00BF4D66" w:rsidRPr="00E0139F">
              <w:rPr>
                <w:color w:val="000000"/>
                <w:sz w:val="16"/>
                <w:szCs w:val="16"/>
              </w:rPr>
              <w:t>39.21</w:t>
            </w:r>
            <w:r>
              <w:rPr>
                <w:color w:val="000000"/>
                <w:sz w:val="16"/>
                <w:szCs w:val="16"/>
              </w:rPr>
              <w:t>)</w:t>
            </w:r>
          </w:p>
        </w:tc>
        <w:tc>
          <w:tcPr>
            <w:tcW w:w="747" w:type="dxa"/>
            <w:shd w:val="clear" w:color="auto" w:fill="auto"/>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0.46</w:t>
            </w:r>
          </w:p>
        </w:tc>
      </w:tr>
      <w:tr w:rsidR="00E0139F" w:rsidRPr="009B1415" w:rsidTr="00F959A8">
        <w:tc>
          <w:tcPr>
            <w:tcW w:w="4266" w:type="dxa"/>
            <w:vAlign w:val="bottom"/>
          </w:tcPr>
          <w:p w:rsidR="00E0139F" w:rsidRPr="009B1415" w:rsidRDefault="00E0139F" w:rsidP="00E0139F">
            <w:pPr>
              <w:spacing w:before="20"/>
              <w:jc w:val="both"/>
              <w:rPr>
                <w:b/>
                <w:sz w:val="16"/>
                <w:szCs w:val="16"/>
              </w:rPr>
            </w:pPr>
            <w:r w:rsidRPr="009B1415">
              <w:rPr>
                <w:b/>
                <w:sz w:val="16"/>
                <w:szCs w:val="16"/>
              </w:rPr>
              <w:t>Overseas internet gambling - monthly</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48.2</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Yes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73.1</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2.92</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0.48</w:t>
            </w:r>
            <w:r w:rsidR="00BF4D66">
              <w:rPr>
                <w:color w:val="000000"/>
                <w:sz w:val="16"/>
                <w:szCs w:val="16"/>
              </w:rPr>
              <w:t xml:space="preserve"> - </w:t>
            </w:r>
            <w:r w:rsidR="00BF4D66" w:rsidRPr="00E0139F">
              <w:rPr>
                <w:color w:val="000000"/>
                <w:sz w:val="16"/>
                <w:szCs w:val="16"/>
              </w:rPr>
              <w:t>17.77</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0.25</w:t>
            </w:r>
          </w:p>
        </w:tc>
      </w:tr>
      <w:tr w:rsidR="00E0139F" w:rsidRPr="009B1415" w:rsidTr="00F959A8">
        <w:tc>
          <w:tcPr>
            <w:tcW w:w="5238" w:type="dxa"/>
            <w:gridSpan w:val="2"/>
            <w:vAlign w:val="center"/>
          </w:tcPr>
          <w:p w:rsidR="00E0139F" w:rsidRPr="000C1AB9" w:rsidRDefault="00E0139F" w:rsidP="008A0DFA">
            <w:pPr>
              <w:spacing w:before="20"/>
              <w:rPr>
                <w:rFonts w:ascii="Calibri" w:hAnsi="Calibri"/>
                <w:b/>
                <w:bCs/>
                <w:color w:val="000000"/>
                <w:sz w:val="16"/>
                <w:szCs w:val="16"/>
              </w:rPr>
            </w:pPr>
            <w:r w:rsidRPr="000C1AB9">
              <w:rPr>
                <w:b/>
                <w:bCs/>
                <w:color w:val="000000"/>
                <w:sz w:val="16"/>
                <w:szCs w:val="16"/>
              </w:rPr>
              <w:t>Time spent playing EGMs in an average day (casino)</w:t>
            </w:r>
          </w:p>
        </w:tc>
        <w:tc>
          <w:tcPr>
            <w:tcW w:w="1108" w:type="dxa"/>
            <w:vAlign w:val="center"/>
          </w:tcPr>
          <w:p w:rsidR="00E0139F" w:rsidRPr="000C1AB9" w:rsidRDefault="00E0139F" w:rsidP="00BF4D66">
            <w:pPr>
              <w:spacing w:before="20"/>
              <w:jc w:val="right"/>
              <w:rPr>
                <w:rFonts w:ascii="Calibri" w:hAnsi="Calibri"/>
                <w:b/>
                <w:color w:val="000000"/>
                <w:sz w:val="16"/>
                <w:szCs w:val="16"/>
              </w:rPr>
            </w:pPr>
          </w:p>
        </w:tc>
        <w:tc>
          <w:tcPr>
            <w:tcW w:w="831" w:type="dxa"/>
            <w:vAlign w:val="center"/>
          </w:tcPr>
          <w:p w:rsidR="00E0139F" w:rsidRPr="000C1AB9" w:rsidRDefault="00E0139F" w:rsidP="00BF4D66">
            <w:pPr>
              <w:spacing w:before="20"/>
              <w:jc w:val="right"/>
              <w:rPr>
                <w:rFonts w:ascii="Calibri" w:hAnsi="Calibri"/>
                <w:b/>
                <w:color w:val="000000"/>
                <w:sz w:val="16"/>
                <w:szCs w:val="16"/>
              </w:rPr>
            </w:pPr>
          </w:p>
        </w:tc>
        <w:tc>
          <w:tcPr>
            <w:tcW w:w="382" w:type="dxa"/>
            <w:vAlign w:val="center"/>
          </w:tcPr>
          <w:p w:rsidR="00E0139F" w:rsidRPr="000C1AB9" w:rsidRDefault="00E0139F" w:rsidP="00BF4D66">
            <w:pPr>
              <w:spacing w:before="20"/>
              <w:jc w:val="right"/>
              <w:rPr>
                <w:rFonts w:ascii="Calibri" w:hAnsi="Calibri"/>
                <w:b/>
                <w:color w:val="000000"/>
                <w:sz w:val="16"/>
                <w:szCs w:val="16"/>
              </w:rPr>
            </w:pPr>
          </w:p>
        </w:tc>
        <w:tc>
          <w:tcPr>
            <w:tcW w:w="747" w:type="dxa"/>
            <w:vAlign w:val="center"/>
          </w:tcPr>
          <w:p w:rsidR="00E0139F" w:rsidRPr="000C1AB9" w:rsidRDefault="00E0139F" w:rsidP="00BF4D66">
            <w:pPr>
              <w:spacing w:before="20"/>
              <w:jc w:val="right"/>
              <w:rPr>
                <w:rFonts w:ascii="Calibri" w:hAnsi="Calibri"/>
                <w:b/>
                <w:color w:val="000000"/>
                <w:sz w:val="16"/>
                <w:szCs w:val="16"/>
              </w:rPr>
            </w:pPr>
          </w:p>
        </w:tc>
      </w:tr>
      <w:tr w:rsidR="00E0139F" w:rsidRPr="009B1415" w:rsidTr="00F959A8">
        <w:tc>
          <w:tcPr>
            <w:tcW w:w="4266" w:type="dxa"/>
          </w:tcPr>
          <w:p w:rsidR="00E0139F" w:rsidRPr="009B1415" w:rsidRDefault="00E0139F" w:rsidP="00E0139F">
            <w:pPr>
              <w:spacing w:before="20"/>
              <w:ind w:left="176"/>
              <w:jc w:val="both"/>
              <w:rPr>
                <w:sz w:val="16"/>
                <w:szCs w:val="16"/>
              </w:rPr>
            </w:pPr>
            <w:r w:rsidRPr="009B1415">
              <w:rPr>
                <w:sz w:val="16"/>
                <w:szCs w:val="16"/>
              </w:rPr>
              <w:t>No time</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46.3</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Up to 15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29.9</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0.50</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0.09</w:t>
            </w:r>
            <w:r w:rsidR="00BF4D66">
              <w:rPr>
                <w:color w:val="000000"/>
                <w:sz w:val="16"/>
                <w:szCs w:val="16"/>
              </w:rPr>
              <w:t xml:space="preserve"> - </w:t>
            </w:r>
            <w:r w:rsidR="00BF4D66" w:rsidRPr="00E0139F">
              <w:rPr>
                <w:color w:val="000000"/>
                <w:sz w:val="16"/>
                <w:szCs w:val="16"/>
              </w:rPr>
              <w:t>2.81</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16 to 30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15.9</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0.22</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0.04</w:t>
            </w:r>
            <w:r w:rsidR="00BF4D66">
              <w:rPr>
                <w:color w:val="000000"/>
                <w:sz w:val="16"/>
                <w:szCs w:val="16"/>
              </w:rPr>
              <w:t xml:space="preserve"> - </w:t>
            </w:r>
            <w:r w:rsidR="00BF4D66" w:rsidRPr="00E0139F">
              <w:rPr>
                <w:color w:val="000000"/>
                <w:sz w:val="16"/>
                <w:szCs w:val="16"/>
              </w:rPr>
              <w:t>1.15</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31 to 60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62.0</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1.89</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0.47</w:t>
            </w:r>
            <w:r w:rsidR="00BF4D66">
              <w:rPr>
                <w:color w:val="000000"/>
                <w:sz w:val="16"/>
                <w:szCs w:val="16"/>
              </w:rPr>
              <w:t xml:space="preserve"> - </w:t>
            </w:r>
            <w:r w:rsidR="00BF4D66" w:rsidRPr="00E0139F">
              <w:rPr>
                <w:color w:val="000000"/>
                <w:sz w:val="16"/>
                <w:szCs w:val="16"/>
              </w:rPr>
              <w:t>7.70</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&gt;60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74.7</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3.42</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1.30</w:t>
            </w:r>
            <w:r w:rsidR="00BF4D66">
              <w:rPr>
                <w:color w:val="000000"/>
                <w:sz w:val="16"/>
                <w:szCs w:val="16"/>
              </w:rPr>
              <w:t xml:space="preserve"> - </w:t>
            </w:r>
            <w:r w:rsidR="00BF4D66" w:rsidRPr="00E0139F">
              <w:rPr>
                <w:color w:val="000000"/>
                <w:sz w:val="16"/>
                <w:szCs w:val="16"/>
              </w:rPr>
              <w:t>8.98</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0.02</w:t>
            </w:r>
          </w:p>
        </w:tc>
      </w:tr>
      <w:tr w:rsidR="00E0139F" w:rsidRPr="009B1415" w:rsidTr="00F959A8">
        <w:tc>
          <w:tcPr>
            <w:tcW w:w="4266" w:type="dxa"/>
            <w:vAlign w:val="bottom"/>
          </w:tcPr>
          <w:p w:rsidR="00E0139F" w:rsidRPr="009B1415" w:rsidRDefault="00E0139F" w:rsidP="00E0139F">
            <w:pPr>
              <w:keepNext/>
              <w:spacing w:before="20"/>
              <w:rPr>
                <w:rFonts w:ascii="Calibri" w:hAnsi="Calibri"/>
                <w:b/>
                <w:bCs/>
                <w:color w:val="000000"/>
                <w:sz w:val="16"/>
                <w:szCs w:val="16"/>
              </w:rPr>
            </w:pPr>
            <w:r w:rsidRPr="009B1415">
              <w:rPr>
                <w:b/>
                <w:bCs/>
                <w:color w:val="000000"/>
                <w:sz w:val="16"/>
                <w:szCs w:val="16"/>
              </w:rPr>
              <w:t>Time spent playing EGMs in an average day (pub)</w:t>
            </w:r>
          </w:p>
        </w:tc>
        <w:tc>
          <w:tcPr>
            <w:tcW w:w="972" w:type="dxa"/>
            <w:vAlign w:val="center"/>
          </w:tcPr>
          <w:p w:rsidR="00E0139F" w:rsidRPr="00E0139F" w:rsidRDefault="00E0139F" w:rsidP="00BF4D66">
            <w:pPr>
              <w:adjustRightInd w:val="0"/>
              <w:spacing w:before="20"/>
              <w:jc w:val="right"/>
              <w:rPr>
                <w:color w:val="000000"/>
                <w:sz w:val="16"/>
                <w:szCs w:val="16"/>
              </w:rPr>
            </w:pPr>
          </w:p>
        </w:tc>
        <w:tc>
          <w:tcPr>
            <w:tcW w:w="1108" w:type="dxa"/>
            <w:vAlign w:val="center"/>
          </w:tcPr>
          <w:p w:rsidR="00E0139F" w:rsidRPr="00E0139F" w:rsidRDefault="00E0139F" w:rsidP="00BF4D66">
            <w:pPr>
              <w:adjustRightInd w:val="0"/>
              <w:spacing w:before="20"/>
              <w:jc w:val="right"/>
              <w:rPr>
                <w:color w:val="000000"/>
                <w:sz w:val="16"/>
                <w:szCs w:val="16"/>
              </w:rPr>
            </w:pP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E0139F" w:rsidRPr="009B1415" w:rsidTr="00F959A8">
        <w:tc>
          <w:tcPr>
            <w:tcW w:w="4266" w:type="dxa"/>
          </w:tcPr>
          <w:p w:rsidR="00E0139F" w:rsidRPr="009B1415" w:rsidRDefault="00E0139F" w:rsidP="00E0139F">
            <w:pPr>
              <w:keepNext/>
              <w:spacing w:before="20"/>
              <w:ind w:left="176"/>
              <w:jc w:val="both"/>
              <w:rPr>
                <w:sz w:val="16"/>
                <w:szCs w:val="16"/>
              </w:rPr>
            </w:pPr>
            <w:r w:rsidRPr="009B1415">
              <w:rPr>
                <w:sz w:val="16"/>
                <w:szCs w:val="16"/>
              </w:rPr>
              <w:t>No time</w:t>
            </w:r>
          </w:p>
        </w:tc>
        <w:tc>
          <w:tcPr>
            <w:tcW w:w="972"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43.34</w:t>
            </w:r>
          </w:p>
        </w:tc>
        <w:tc>
          <w:tcPr>
            <w:tcW w:w="1108" w:type="dxa"/>
            <w:vAlign w:val="center"/>
          </w:tcPr>
          <w:p w:rsidR="00E0139F" w:rsidRPr="00E0139F" w:rsidRDefault="00E0139F" w:rsidP="00BF4D66">
            <w:pPr>
              <w:adjustRightInd w:val="0"/>
              <w:spacing w:before="20"/>
              <w:jc w:val="right"/>
              <w:rPr>
                <w:color w:val="000000"/>
                <w:sz w:val="16"/>
                <w:szCs w:val="16"/>
              </w:rPr>
            </w:pPr>
            <w:r w:rsidRPr="00E0139F">
              <w:rPr>
                <w:color w:val="000000"/>
                <w:sz w:val="16"/>
                <w:szCs w:val="16"/>
              </w:rPr>
              <w:t>1.00</w:t>
            </w:r>
          </w:p>
        </w:tc>
        <w:tc>
          <w:tcPr>
            <w:tcW w:w="831" w:type="dxa"/>
            <w:vAlign w:val="center"/>
          </w:tcPr>
          <w:p w:rsidR="00E0139F" w:rsidRPr="00E0139F" w:rsidRDefault="00E0139F" w:rsidP="00BF4D66">
            <w:pPr>
              <w:adjustRightInd w:val="0"/>
              <w:spacing w:before="20"/>
              <w:jc w:val="right"/>
              <w:rPr>
                <w:color w:val="000000"/>
                <w:sz w:val="16"/>
                <w:szCs w:val="16"/>
              </w:rPr>
            </w:pPr>
          </w:p>
        </w:tc>
        <w:tc>
          <w:tcPr>
            <w:tcW w:w="382" w:type="dxa"/>
            <w:vAlign w:val="center"/>
          </w:tcPr>
          <w:p w:rsidR="00E0139F" w:rsidRPr="00E0139F" w:rsidRDefault="00E0139F" w:rsidP="00BF4D66">
            <w:pPr>
              <w:adjustRightInd w:val="0"/>
              <w:spacing w:before="20"/>
              <w:jc w:val="right"/>
              <w:rPr>
                <w:color w:val="000000"/>
                <w:sz w:val="16"/>
                <w:szCs w:val="16"/>
              </w:rPr>
            </w:pPr>
          </w:p>
        </w:tc>
        <w:tc>
          <w:tcPr>
            <w:tcW w:w="747" w:type="dxa"/>
            <w:vAlign w:val="center"/>
          </w:tcPr>
          <w:p w:rsidR="00E0139F" w:rsidRPr="00E0139F" w:rsidRDefault="00E0139F"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keepNext/>
              <w:spacing w:before="20"/>
              <w:ind w:left="176"/>
              <w:jc w:val="both"/>
              <w:rPr>
                <w:sz w:val="16"/>
                <w:szCs w:val="16"/>
              </w:rPr>
            </w:pPr>
            <w:r w:rsidRPr="009B1415">
              <w:rPr>
                <w:sz w:val="16"/>
                <w:szCs w:val="16"/>
              </w:rPr>
              <w:t>Up to 15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18.2</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0.29</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0.06</w:t>
            </w:r>
            <w:r w:rsidR="00BF4D66">
              <w:rPr>
                <w:color w:val="000000"/>
                <w:sz w:val="16"/>
                <w:szCs w:val="16"/>
              </w:rPr>
              <w:t xml:space="preserve"> - </w:t>
            </w:r>
            <w:r w:rsidR="00BF4D66" w:rsidRPr="00E0139F">
              <w:rPr>
                <w:color w:val="000000"/>
                <w:sz w:val="16"/>
                <w:szCs w:val="16"/>
              </w:rPr>
              <w:t>1.32</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16 to 30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44.5</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1.05</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0.31</w:t>
            </w:r>
            <w:r w:rsidR="00BF4D66">
              <w:rPr>
                <w:color w:val="000000"/>
                <w:sz w:val="16"/>
                <w:szCs w:val="16"/>
              </w:rPr>
              <w:t xml:space="preserve"> - </w:t>
            </w:r>
            <w:r w:rsidR="00BF4D66" w:rsidRPr="00E0139F">
              <w:rPr>
                <w:color w:val="000000"/>
                <w:sz w:val="16"/>
                <w:szCs w:val="16"/>
              </w:rPr>
              <w:t>3.57</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31 to 60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74.4</w:t>
            </w:r>
          </w:p>
        </w:tc>
        <w:tc>
          <w:tcPr>
            <w:tcW w:w="1108" w:type="dxa"/>
            <w:vAlign w:val="center"/>
          </w:tcPr>
          <w:p w:rsidR="00BF4D66" w:rsidRPr="00E0139F" w:rsidRDefault="00BF4D66" w:rsidP="00BF4D66">
            <w:pPr>
              <w:keepNext/>
              <w:adjustRightInd w:val="0"/>
              <w:spacing w:before="20"/>
              <w:jc w:val="right"/>
              <w:rPr>
                <w:color w:val="000000"/>
                <w:sz w:val="16"/>
                <w:szCs w:val="16"/>
              </w:rPr>
            </w:pPr>
            <w:r w:rsidRPr="00E0139F">
              <w:rPr>
                <w:color w:val="000000"/>
                <w:sz w:val="16"/>
                <w:szCs w:val="16"/>
              </w:rPr>
              <w:t>3.80</w:t>
            </w:r>
          </w:p>
        </w:tc>
        <w:tc>
          <w:tcPr>
            <w:tcW w:w="1213" w:type="dxa"/>
            <w:gridSpan w:val="2"/>
            <w:vAlign w:val="center"/>
          </w:tcPr>
          <w:p w:rsidR="00BF4D66" w:rsidRPr="00E0139F" w:rsidRDefault="008A0DFA" w:rsidP="00BF4D66">
            <w:pPr>
              <w:keepNext/>
              <w:adjustRightInd w:val="0"/>
              <w:spacing w:before="20"/>
              <w:jc w:val="right"/>
              <w:rPr>
                <w:color w:val="000000"/>
                <w:sz w:val="16"/>
                <w:szCs w:val="16"/>
              </w:rPr>
            </w:pPr>
            <w:r>
              <w:rPr>
                <w:color w:val="000000"/>
                <w:sz w:val="16"/>
                <w:szCs w:val="16"/>
              </w:rPr>
              <w:t>(</w:t>
            </w:r>
            <w:r w:rsidR="00BF4D66" w:rsidRPr="00E0139F">
              <w:rPr>
                <w:color w:val="000000"/>
                <w:sz w:val="16"/>
                <w:szCs w:val="16"/>
              </w:rPr>
              <w:t>1.15</w:t>
            </w:r>
            <w:r w:rsidR="00BF4D66">
              <w:rPr>
                <w:color w:val="000000"/>
                <w:sz w:val="16"/>
                <w:szCs w:val="16"/>
              </w:rPr>
              <w:t xml:space="preserve"> - </w:t>
            </w:r>
            <w:r w:rsidR="00BF4D66" w:rsidRPr="00E0139F">
              <w:rPr>
                <w:color w:val="000000"/>
                <w:sz w:val="16"/>
                <w:szCs w:val="16"/>
              </w:rPr>
              <w:t>12.53</w:t>
            </w:r>
            <w:r>
              <w:rPr>
                <w:color w:val="000000"/>
                <w:sz w:val="16"/>
                <w:szCs w:val="16"/>
              </w:rPr>
              <w:t>)</w:t>
            </w:r>
          </w:p>
        </w:tc>
        <w:tc>
          <w:tcPr>
            <w:tcW w:w="747" w:type="dxa"/>
            <w:vAlign w:val="center"/>
          </w:tcPr>
          <w:p w:rsidR="00BF4D66" w:rsidRPr="00E0139F"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0139F">
            <w:pPr>
              <w:spacing w:before="20"/>
              <w:ind w:left="176"/>
              <w:jc w:val="both"/>
              <w:rPr>
                <w:sz w:val="16"/>
                <w:szCs w:val="16"/>
              </w:rPr>
            </w:pPr>
            <w:r w:rsidRPr="009B1415">
              <w:rPr>
                <w:sz w:val="16"/>
                <w:szCs w:val="16"/>
              </w:rPr>
              <w:t>&gt;60 minutes</w:t>
            </w:r>
          </w:p>
        </w:tc>
        <w:tc>
          <w:tcPr>
            <w:tcW w:w="972"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78.5</w:t>
            </w:r>
          </w:p>
        </w:tc>
        <w:tc>
          <w:tcPr>
            <w:tcW w:w="1108" w:type="dxa"/>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4.76</w:t>
            </w:r>
          </w:p>
        </w:tc>
        <w:tc>
          <w:tcPr>
            <w:tcW w:w="1213" w:type="dxa"/>
            <w:gridSpan w:val="2"/>
            <w:vAlign w:val="center"/>
          </w:tcPr>
          <w:p w:rsidR="00BF4D66" w:rsidRPr="00E0139F" w:rsidRDefault="008A0DFA" w:rsidP="00BF4D66">
            <w:pPr>
              <w:adjustRightInd w:val="0"/>
              <w:spacing w:before="20"/>
              <w:jc w:val="right"/>
              <w:rPr>
                <w:color w:val="000000"/>
                <w:sz w:val="16"/>
                <w:szCs w:val="16"/>
              </w:rPr>
            </w:pPr>
            <w:r>
              <w:rPr>
                <w:color w:val="000000"/>
                <w:sz w:val="16"/>
                <w:szCs w:val="16"/>
              </w:rPr>
              <w:t>(</w:t>
            </w:r>
            <w:r w:rsidR="00BF4D66" w:rsidRPr="00E0139F">
              <w:rPr>
                <w:color w:val="000000"/>
                <w:sz w:val="16"/>
                <w:szCs w:val="16"/>
              </w:rPr>
              <w:t>1.91</w:t>
            </w:r>
            <w:r w:rsidR="00BF4D66">
              <w:rPr>
                <w:color w:val="000000"/>
                <w:sz w:val="16"/>
                <w:szCs w:val="16"/>
              </w:rPr>
              <w:t xml:space="preserve"> - </w:t>
            </w:r>
            <w:r w:rsidR="00BF4D66" w:rsidRPr="00E0139F">
              <w:rPr>
                <w:color w:val="000000"/>
                <w:sz w:val="16"/>
                <w:szCs w:val="16"/>
              </w:rPr>
              <w:t>11.86</w:t>
            </w:r>
            <w:r>
              <w:rPr>
                <w:color w:val="000000"/>
                <w:sz w:val="16"/>
                <w:szCs w:val="16"/>
              </w:rPr>
              <w:t>)</w:t>
            </w:r>
          </w:p>
        </w:tc>
        <w:tc>
          <w:tcPr>
            <w:tcW w:w="747" w:type="dxa"/>
            <w:shd w:val="clear" w:color="auto" w:fill="D9D9D9" w:themeFill="background1" w:themeFillShade="D9"/>
            <w:vAlign w:val="center"/>
          </w:tcPr>
          <w:p w:rsidR="00BF4D66" w:rsidRPr="00E0139F" w:rsidRDefault="00BF4D66" w:rsidP="00BF4D66">
            <w:pPr>
              <w:adjustRightInd w:val="0"/>
              <w:spacing w:before="20"/>
              <w:jc w:val="right"/>
              <w:rPr>
                <w:color w:val="000000"/>
                <w:sz w:val="16"/>
                <w:szCs w:val="16"/>
              </w:rPr>
            </w:pPr>
            <w:r w:rsidRPr="00E0139F">
              <w:rPr>
                <w:color w:val="000000"/>
                <w:sz w:val="16"/>
                <w:szCs w:val="16"/>
              </w:rPr>
              <w:t>0.001</w:t>
            </w:r>
          </w:p>
        </w:tc>
      </w:tr>
      <w:tr w:rsidR="00E0139F" w:rsidRPr="009B1415" w:rsidTr="00F959A8">
        <w:tc>
          <w:tcPr>
            <w:tcW w:w="4266" w:type="dxa"/>
            <w:vAlign w:val="bottom"/>
          </w:tcPr>
          <w:p w:rsidR="00E0139F" w:rsidRPr="009B1415" w:rsidRDefault="00E0139F" w:rsidP="00EE08A0">
            <w:pPr>
              <w:spacing w:before="20"/>
              <w:jc w:val="both"/>
              <w:rPr>
                <w:b/>
                <w:sz w:val="16"/>
                <w:szCs w:val="16"/>
              </w:rPr>
            </w:pPr>
            <w:r w:rsidRPr="009B1415">
              <w:rPr>
                <w:b/>
                <w:bCs/>
                <w:color w:val="000000"/>
                <w:sz w:val="16"/>
                <w:szCs w:val="16"/>
              </w:rPr>
              <w:t>Time spent playing EGMs in an average day (club)</w:t>
            </w:r>
          </w:p>
        </w:tc>
        <w:tc>
          <w:tcPr>
            <w:tcW w:w="972" w:type="dxa"/>
            <w:vAlign w:val="center"/>
          </w:tcPr>
          <w:p w:rsidR="00E0139F" w:rsidRPr="000C1AB9" w:rsidRDefault="00E0139F" w:rsidP="00EE08A0">
            <w:pPr>
              <w:adjustRightInd w:val="0"/>
              <w:spacing w:before="20"/>
              <w:jc w:val="right"/>
              <w:rPr>
                <w:color w:val="000000"/>
                <w:sz w:val="16"/>
                <w:szCs w:val="16"/>
              </w:rPr>
            </w:pPr>
          </w:p>
        </w:tc>
        <w:tc>
          <w:tcPr>
            <w:tcW w:w="1108" w:type="dxa"/>
            <w:vAlign w:val="center"/>
          </w:tcPr>
          <w:p w:rsidR="00E0139F" w:rsidRPr="000C1AB9" w:rsidRDefault="00E0139F" w:rsidP="00EE08A0">
            <w:pPr>
              <w:adjustRightInd w:val="0"/>
              <w:spacing w:before="20"/>
              <w:jc w:val="right"/>
              <w:rPr>
                <w:color w:val="000000"/>
                <w:sz w:val="16"/>
                <w:szCs w:val="16"/>
              </w:rPr>
            </w:pPr>
          </w:p>
        </w:tc>
        <w:tc>
          <w:tcPr>
            <w:tcW w:w="831" w:type="dxa"/>
            <w:vAlign w:val="center"/>
          </w:tcPr>
          <w:p w:rsidR="00E0139F" w:rsidRPr="000C1AB9" w:rsidRDefault="00E0139F" w:rsidP="00EE08A0">
            <w:pPr>
              <w:adjustRightInd w:val="0"/>
              <w:spacing w:before="20"/>
              <w:jc w:val="right"/>
              <w:rPr>
                <w:color w:val="000000"/>
                <w:sz w:val="16"/>
                <w:szCs w:val="16"/>
              </w:rPr>
            </w:pPr>
          </w:p>
        </w:tc>
        <w:tc>
          <w:tcPr>
            <w:tcW w:w="382" w:type="dxa"/>
            <w:vAlign w:val="center"/>
          </w:tcPr>
          <w:p w:rsidR="00E0139F" w:rsidRPr="000C1AB9" w:rsidRDefault="00E0139F" w:rsidP="00EE08A0">
            <w:pPr>
              <w:adjustRightInd w:val="0"/>
              <w:spacing w:before="20"/>
              <w:jc w:val="right"/>
              <w:rPr>
                <w:color w:val="000000"/>
                <w:sz w:val="16"/>
                <w:szCs w:val="16"/>
              </w:rPr>
            </w:pPr>
          </w:p>
        </w:tc>
        <w:tc>
          <w:tcPr>
            <w:tcW w:w="747" w:type="dxa"/>
            <w:vAlign w:val="center"/>
          </w:tcPr>
          <w:p w:rsidR="00E0139F" w:rsidRPr="000C1AB9" w:rsidRDefault="00E0139F" w:rsidP="00EE08A0">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EE08A0">
            <w:pPr>
              <w:spacing w:before="20"/>
              <w:ind w:left="176"/>
              <w:jc w:val="both"/>
              <w:rPr>
                <w:sz w:val="16"/>
                <w:szCs w:val="16"/>
              </w:rPr>
            </w:pPr>
            <w:r w:rsidRPr="009B1415">
              <w:rPr>
                <w:sz w:val="16"/>
                <w:szCs w:val="16"/>
              </w:rPr>
              <w:t>No time</w:t>
            </w:r>
          </w:p>
        </w:tc>
        <w:tc>
          <w:tcPr>
            <w:tcW w:w="972" w:type="dxa"/>
            <w:vAlign w:val="center"/>
          </w:tcPr>
          <w:p w:rsidR="006F417A" w:rsidRPr="006F417A" w:rsidRDefault="006F417A" w:rsidP="00EE08A0">
            <w:pPr>
              <w:adjustRightInd w:val="0"/>
              <w:spacing w:before="20"/>
              <w:jc w:val="right"/>
              <w:rPr>
                <w:color w:val="000000"/>
                <w:sz w:val="16"/>
                <w:szCs w:val="16"/>
              </w:rPr>
            </w:pPr>
            <w:r w:rsidRPr="006F417A">
              <w:rPr>
                <w:color w:val="000000"/>
                <w:sz w:val="16"/>
                <w:szCs w:val="16"/>
              </w:rPr>
              <w:t>42.9</w:t>
            </w:r>
          </w:p>
        </w:tc>
        <w:tc>
          <w:tcPr>
            <w:tcW w:w="1108" w:type="dxa"/>
            <w:vAlign w:val="center"/>
          </w:tcPr>
          <w:p w:rsidR="006F417A" w:rsidRPr="006F417A" w:rsidRDefault="006F417A" w:rsidP="00EE08A0">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EE08A0">
            <w:pPr>
              <w:adjustRightInd w:val="0"/>
              <w:spacing w:before="20"/>
              <w:jc w:val="right"/>
              <w:rPr>
                <w:color w:val="000000"/>
                <w:sz w:val="16"/>
                <w:szCs w:val="16"/>
              </w:rPr>
            </w:pPr>
          </w:p>
        </w:tc>
        <w:tc>
          <w:tcPr>
            <w:tcW w:w="382" w:type="dxa"/>
            <w:vAlign w:val="center"/>
          </w:tcPr>
          <w:p w:rsidR="006F417A" w:rsidRPr="006F417A" w:rsidRDefault="006F417A" w:rsidP="00EE08A0">
            <w:pPr>
              <w:adjustRightInd w:val="0"/>
              <w:spacing w:before="20"/>
              <w:jc w:val="right"/>
              <w:rPr>
                <w:color w:val="000000"/>
                <w:sz w:val="16"/>
                <w:szCs w:val="16"/>
              </w:rPr>
            </w:pPr>
          </w:p>
        </w:tc>
        <w:tc>
          <w:tcPr>
            <w:tcW w:w="747" w:type="dxa"/>
            <w:vAlign w:val="center"/>
          </w:tcPr>
          <w:p w:rsidR="006F417A" w:rsidRPr="006F417A" w:rsidRDefault="006F417A" w:rsidP="00EE08A0">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E08A0">
            <w:pPr>
              <w:spacing w:before="20"/>
              <w:ind w:left="176"/>
              <w:jc w:val="both"/>
              <w:rPr>
                <w:sz w:val="16"/>
                <w:szCs w:val="16"/>
              </w:rPr>
            </w:pPr>
            <w:r w:rsidRPr="009B1415">
              <w:rPr>
                <w:sz w:val="16"/>
                <w:szCs w:val="16"/>
              </w:rPr>
              <w:t>Up to 15 minutes</w:t>
            </w:r>
          </w:p>
        </w:tc>
        <w:tc>
          <w:tcPr>
            <w:tcW w:w="972"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76.4</w:t>
            </w:r>
          </w:p>
        </w:tc>
        <w:tc>
          <w:tcPr>
            <w:tcW w:w="1108"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4.30</w:t>
            </w:r>
          </w:p>
        </w:tc>
        <w:tc>
          <w:tcPr>
            <w:tcW w:w="1213" w:type="dxa"/>
            <w:gridSpan w:val="2"/>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0.45</w:t>
            </w:r>
            <w:r>
              <w:rPr>
                <w:color w:val="000000"/>
                <w:sz w:val="16"/>
                <w:szCs w:val="16"/>
              </w:rPr>
              <w:t xml:space="preserve"> - </w:t>
            </w:r>
            <w:r w:rsidRPr="006F417A">
              <w:rPr>
                <w:color w:val="000000"/>
                <w:sz w:val="16"/>
                <w:szCs w:val="16"/>
              </w:rPr>
              <w:t>41.41</w:t>
            </w:r>
            <w:r w:rsidR="008A0DFA">
              <w:rPr>
                <w:color w:val="000000"/>
                <w:sz w:val="16"/>
                <w:szCs w:val="16"/>
              </w:rPr>
              <w:t>)</w:t>
            </w:r>
          </w:p>
        </w:tc>
        <w:tc>
          <w:tcPr>
            <w:tcW w:w="747" w:type="dxa"/>
            <w:vAlign w:val="center"/>
          </w:tcPr>
          <w:p w:rsidR="00BF4D66" w:rsidRPr="006F417A" w:rsidRDefault="00BF4D66" w:rsidP="00EE08A0">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EE08A0">
            <w:pPr>
              <w:spacing w:before="20"/>
              <w:ind w:left="176"/>
              <w:jc w:val="both"/>
              <w:rPr>
                <w:sz w:val="16"/>
                <w:szCs w:val="16"/>
              </w:rPr>
            </w:pPr>
            <w:r w:rsidRPr="009B1415">
              <w:rPr>
                <w:sz w:val="16"/>
                <w:szCs w:val="16"/>
              </w:rPr>
              <w:t>16 to 30 minutes</w:t>
            </w:r>
          </w:p>
        </w:tc>
        <w:tc>
          <w:tcPr>
            <w:tcW w:w="972"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56.6</w:t>
            </w:r>
          </w:p>
        </w:tc>
        <w:tc>
          <w:tcPr>
            <w:tcW w:w="1108"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1.74</w:t>
            </w:r>
          </w:p>
        </w:tc>
        <w:tc>
          <w:tcPr>
            <w:tcW w:w="1213" w:type="dxa"/>
            <w:gridSpan w:val="2"/>
            <w:vAlign w:val="center"/>
          </w:tcPr>
          <w:p w:rsidR="00BF4D66" w:rsidRPr="006F417A" w:rsidRDefault="008A0DFA" w:rsidP="00EE08A0">
            <w:pPr>
              <w:adjustRightInd w:val="0"/>
              <w:spacing w:before="20"/>
              <w:jc w:val="right"/>
              <w:rPr>
                <w:color w:val="000000"/>
                <w:sz w:val="16"/>
                <w:szCs w:val="16"/>
              </w:rPr>
            </w:pPr>
            <w:r>
              <w:rPr>
                <w:color w:val="000000"/>
                <w:sz w:val="16"/>
                <w:szCs w:val="16"/>
              </w:rPr>
              <w:t>(</w:t>
            </w:r>
            <w:r w:rsidR="00BF4D66" w:rsidRPr="006F417A">
              <w:rPr>
                <w:color w:val="000000"/>
                <w:sz w:val="16"/>
                <w:szCs w:val="16"/>
              </w:rPr>
              <w:t>0.43</w:t>
            </w:r>
            <w:r w:rsidR="00BF4D66">
              <w:rPr>
                <w:color w:val="000000"/>
                <w:sz w:val="16"/>
                <w:szCs w:val="16"/>
              </w:rPr>
              <w:t xml:space="preserve"> - </w:t>
            </w:r>
            <w:r w:rsidR="00BF4D66" w:rsidRPr="006F417A">
              <w:rPr>
                <w:color w:val="000000"/>
                <w:sz w:val="16"/>
                <w:szCs w:val="16"/>
              </w:rPr>
              <w:t>6.96</w:t>
            </w:r>
            <w:r>
              <w:rPr>
                <w:color w:val="000000"/>
                <w:sz w:val="16"/>
                <w:szCs w:val="16"/>
              </w:rPr>
              <w:t>)</w:t>
            </w:r>
          </w:p>
        </w:tc>
        <w:tc>
          <w:tcPr>
            <w:tcW w:w="747" w:type="dxa"/>
            <w:vAlign w:val="center"/>
          </w:tcPr>
          <w:p w:rsidR="00BF4D66" w:rsidRPr="006F417A" w:rsidRDefault="00BF4D66" w:rsidP="00EE08A0">
            <w:pPr>
              <w:adjustRightInd w:val="0"/>
              <w:spacing w:before="20"/>
              <w:jc w:val="right"/>
              <w:rPr>
                <w:color w:val="000000"/>
                <w:sz w:val="16"/>
                <w:szCs w:val="16"/>
              </w:rPr>
            </w:pPr>
          </w:p>
        </w:tc>
      </w:tr>
      <w:tr w:rsidR="00BF4D66" w:rsidRPr="009B1415" w:rsidTr="00EE08A0">
        <w:tc>
          <w:tcPr>
            <w:tcW w:w="4266" w:type="dxa"/>
          </w:tcPr>
          <w:p w:rsidR="00BF4D66" w:rsidRPr="009B1415" w:rsidRDefault="00BF4D66" w:rsidP="00EE08A0">
            <w:pPr>
              <w:spacing w:before="20"/>
              <w:ind w:left="176"/>
              <w:jc w:val="both"/>
              <w:rPr>
                <w:sz w:val="16"/>
                <w:szCs w:val="16"/>
              </w:rPr>
            </w:pPr>
            <w:r w:rsidRPr="009B1415">
              <w:rPr>
                <w:sz w:val="16"/>
                <w:szCs w:val="16"/>
              </w:rPr>
              <w:t>31 to 60 minutes</w:t>
            </w:r>
          </w:p>
        </w:tc>
        <w:tc>
          <w:tcPr>
            <w:tcW w:w="972"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96.1</w:t>
            </w:r>
          </w:p>
        </w:tc>
        <w:tc>
          <w:tcPr>
            <w:tcW w:w="1108" w:type="dxa"/>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32.74</w:t>
            </w:r>
          </w:p>
        </w:tc>
        <w:tc>
          <w:tcPr>
            <w:tcW w:w="1213" w:type="dxa"/>
            <w:gridSpan w:val="2"/>
            <w:vAlign w:val="center"/>
          </w:tcPr>
          <w:p w:rsidR="00BF4D66" w:rsidRPr="006F417A" w:rsidRDefault="008A0DFA" w:rsidP="00EE08A0">
            <w:pPr>
              <w:adjustRightInd w:val="0"/>
              <w:spacing w:before="20"/>
              <w:jc w:val="right"/>
              <w:rPr>
                <w:color w:val="000000"/>
                <w:sz w:val="16"/>
                <w:szCs w:val="16"/>
              </w:rPr>
            </w:pPr>
            <w:r>
              <w:rPr>
                <w:color w:val="000000"/>
                <w:sz w:val="16"/>
                <w:szCs w:val="16"/>
              </w:rPr>
              <w:t>(</w:t>
            </w:r>
            <w:r w:rsidR="00BF4D66" w:rsidRPr="006F417A">
              <w:rPr>
                <w:color w:val="000000"/>
                <w:sz w:val="16"/>
                <w:szCs w:val="16"/>
              </w:rPr>
              <w:t>3.88</w:t>
            </w:r>
            <w:r w:rsidR="00BF4D66">
              <w:rPr>
                <w:color w:val="000000"/>
                <w:sz w:val="16"/>
                <w:szCs w:val="16"/>
              </w:rPr>
              <w:t xml:space="preserve"> - </w:t>
            </w:r>
            <w:r w:rsidR="00BF4D66" w:rsidRPr="006F417A">
              <w:rPr>
                <w:color w:val="000000"/>
                <w:sz w:val="16"/>
                <w:szCs w:val="16"/>
              </w:rPr>
              <w:t>276.24</w:t>
            </w:r>
            <w:r>
              <w:rPr>
                <w:color w:val="000000"/>
                <w:sz w:val="16"/>
                <w:szCs w:val="16"/>
              </w:rPr>
              <w:t>)</w:t>
            </w:r>
          </w:p>
        </w:tc>
        <w:tc>
          <w:tcPr>
            <w:tcW w:w="747" w:type="dxa"/>
            <w:shd w:val="clear" w:color="auto" w:fill="auto"/>
            <w:vAlign w:val="center"/>
          </w:tcPr>
          <w:p w:rsidR="00BF4D66" w:rsidRPr="006F417A" w:rsidRDefault="00BF4D66" w:rsidP="00EE08A0">
            <w:pPr>
              <w:adjustRightInd w:val="0"/>
              <w:spacing w:before="20"/>
              <w:jc w:val="right"/>
              <w:rPr>
                <w:color w:val="000000"/>
                <w:sz w:val="16"/>
                <w:szCs w:val="16"/>
              </w:rPr>
            </w:pPr>
          </w:p>
        </w:tc>
      </w:tr>
      <w:tr w:rsidR="00BF4D66" w:rsidRPr="009B1415" w:rsidTr="00EE08A0">
        <w:tc>
          <w:tcPr>
            <w:tcW w:w="4266" w:type="dxa"/>
            <w:tcBorders>
              <w:bottom w:val="single" w:sz="4" w:space="0" w:color="auto"/>
            </w:tcBorders>
          </w:tcPr>
          <w:p w:rsidR="00BF4D66" w:rsidRPr="009B1415" w:rsidRDefault="00BF4D66" w:rsidP="00EE08A0">
            <w:pPr>
              <w:spacing w:before="20"/>
              <w:ind w:left="176"/>
              <w:jc w:val="both"/>
              <w:rPr>
                <w:sz w:val="16"/>
                <w:szCs w:val="16"/>
              </w:rPr>
            </w:pPr>
            <w:r w:rsidRPr="009B1415">
              <w:rPr>
                <w:sz w:val="16"/>
                <w:szCs w:val="16"/>
              </w:rPr>
              <w:t>&gt;60 minutes</w:t>
            </w:r>
          </w:p>
        </w:tc>
        <w:tc>
          <w:tcPr>
            <w:tcW w:w="972" w:type="dxa"/>
            <w:tcBorders>
              <w:bottom w:val="single" w:sz="4" w:space="0" w:color="auto"/>
            </w:tcBorders>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85.2</w:t>
            </w:r>
          </w:p>
        </w:tc>
        <w:tc>
          <w:tcPr>
            <w:tcW w:w="1108" w:type="dxa"/>
            <w:tcBorders>
              <w:bottom w:val="single" w:sz="4" w:space="0" w:color="auto"/>
            </w:tcBorders>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7.69</w:t>
            </w:r>
          </w:p>
        </w:tc>
        <w:tc>
          <w:tcPr>
            <w:tcW w:w="1213" w:type="dxa"/>
            <w:gridSpan w:val="2"/>
            <w:tcBorders>
              <w:bottom w:val="single" w:sz="4" w:space="0" w:color="auto"/>
            </w:tcBorders>
            <w:vAlign w:val="center"/>
          </w:tcPr>
          <w:p w:rsidR="00BF4D66" w:rsidRPr="006F417A" w:rsidRDefault="008A0DFA" w:rsidP="00EE08A0">
            <w:pPr>
              <w:adjustRightInd w:val="0"/>
              <w:spacing w:before="20"/>
              <w:jc w:val="right"/>
              <w:rPr>
                <w:color w:val="000000"/>
                <w:sz w:val="16"/>
                <w:szCs w:val="16"/>
              </w:rPr>
            </w:pPr>
            <w:r>
              <w:rPr>
                <w:color w:val="000000"/>
                <w:sz w:val="16"/>
                <w:szCs w:val="16"/>
              </w:rPr>
              <w:t>(</w:t>
            </w:r>
            <w:r w:rsidR="00BF4D66" w:rsidRPr="006F417A">
              <w:rPr>
                <w:color w:val="000000"/>
                <w:sz w:val="16"/>
                <w:szCs w:val="16"/>
              </w:rPr>
              <w:t>1.66</w:t>
            </w:r>
            <w:r w:rsidR="00BF4D66">
              <w:rPr>
                <w:color w:val="000000"/>
                <w:sz w:val="16"/>
                <w:szCs w:val="16"/>
              </w:rPr>
              <w:t xml:space="preserve"> - </w:t>
            </w:r>
            <w:r w:rsidR="00BF4D66" w:rsidRPr="006F417A">
              <w:rPr>
                <w:color w:val="000000"/>
                <w:sz w:val="16"/>
                <w:szCs w:val="16"/>
              </w:rPr>
              <w:t>35.55</w:t>
            </w:r>
            <w:r>
              <w:rPr>
                <w:color w:val="000000"/>
                <w:sz w:val="16"/>
                <w:szCs w:val="16"/>
              </w:rPr>
              <w:t>)</w:t>
            </w:r>
          </w:p>
        </w:tc>
        <w:tc>
          <w:tcPr>
            <w:tcW w:w="747" w:type="dxa"/>
            <w:tcBorders>
              <w:bottom w:val="single" w:sz="4" w:space="0" w:color="auto"/>
            </w:tcBorders>
            <w:shd w:val="clear" w:color="auto" w:fill="D9D9D9" w:themeFill="background1" w:themeFillShade="D9"/>
            <w:vAlign w:val="center"/>
          </w:tcPr>
          <w:p w:rsidR="00BF4D66" w:rsidRPr="006F417A" w:rsidRDefault="00BF4D66" w:rsidP="00EE08A0">
            <w:pPr>
              <w:adjustRightInd w:val="0"/>
              <w:spacing w:before="20"/>
              <w:jc w:val="right"/>
              <w:rPr>
                <w:color w:val="000000"/>
                <w:sz w:val="16"/>
                <w:szCs w:val="16"/>
              </w:rPr>
            </w:pPr>
            <w:r w:rsidRPr="006F417A">
              <w:rPr>
                <w:color w:val="000000"/>
                <w:sz w:val="16"/>
                <w:szCs w:val="16"/>
              </w:rPr>
              <w:t>0.001</w:t>
            </w:r>
          </w:p>
        </w:tc>
      </w:tr>
      <w:tr w:rsidR="006F417A" w:rsidRPr="009B1415" w:rsidTr="00EE08A0">
        <w:tc>
          <w:tcPr>
            <w:tcW w:w="4266" w:type="dxa"/>
            <w:tcBorders>
              <w:top w:val="single" w:sz="4" w:space="0" w:color="auto"/>
            </w:tcBorders>
            <w:vAlign w:val="bottom"/>
          </w:tcPr>
          <w:p w:rsidR="006F417A" w:rsidRPr="009B1415" w:rsidRDefault="006F417A" w:rsidP="00EE08A0">
            <w:pPr>
              <w:keepNext/>
              <w:spacing w:before="20"/>
              <w:jc w:val="both"/>
              <w:rPr>
                <w:b/>
                <w:sz w:val="16"/>
                <w:szCs w:val="16"/>
              </w:rPr>
            </w:pPr>
            <w:r w:rsidRPr="009B1415">
              <w:rPr>
                <w:b/>
                <w:bCs/>
                <w:color w:val="000000"/>
                <w:sz w:val="16"/>
                <w:szCs w:val="16"/>
              </w:rPr>
              <w:lastRenderedPageBreak/>
              <w:t>Who spent time with on most enjoyed activity</w:t>
            </w:r>
          </w:p>
        </w:tc>
        <w:tc>
          <w:tcPr>
            <w:tcW w:w="972" w:type="dxa"/>
            <w:tcBorders>
              <w:top w:val="single" w:sz="4" w:space="0" w:color="auto"/>
            </w:tcBorders>
            <w:vAlign w:val="center"/>
          </w:tcPr>
          <w:p w:rsidR="006F417A" w:rsidRPr="006F417A" w:rsidRDefault="006F417A" w:rsidP="00EE08A0">
            <w:pPr>
              <w:keepNext/>
              <w:adjustRightInd w:val="0"/>
              <w:spacing w:before="20"/>
              <w:jc w:val="right"/>
              <w:rPr>
                <w:color w:val="000000"/>
                <w:sz w:val="16"/>
                <w:szCs w:val="16"/>
              </w:rPr>
            </w:pPr>
          </w:p>
        </w:tc>
        <w:tc>
          <w:tcPr>
            <w:tcW w:w="1108" w:type="dxa"/>
            <w:tcBorders>
              <w:top w:val="single" w:sz="4" w:space="0" w:color="auto"/>
            </w:tcBorders>
            <w:vAlign w:val="center"/>
          </w:tcPr>
          <w:p w:rsidR="006F417A" w:rsidRPr="006F417A" w:rsidRDefault="006F417A" w:rsidP="00EE08A0">
            <w:pPr>
              <w:keepNext/>
              <w:adjustRightInd w:val="0"/>
              <w:spacing w:before="20"/>
              <w:jc w:val="right"/>
              <w:rPr>
                <w:color w:val="000000"/>
                <w:sz w:val="16"/>
                <w:szCs w:val="16"/>
              </w:rPr>
            </w:pPr>
          </w:p>
        </w:tc>
        <w:tc>
          <w:tcPr>
            <w:tcW w:w="831" w:type="dxa"/>
            <w:tcBorders>
              <w:top w:val="single" w:sz="4" w:space="0" w:color="auto"/>
            </w:tcBorders>
            <w:vAlign w:val="center"/>
          </w:tcPr>
          <w:p w:rsidR="006F417A" w:rsidRPr="006F417A" w:rsidRDefault="006F417A" w:rsidP="00EE08A0">
            <w:pPr>
              <w:keepNext/>
              <w:adjustRightInd w:val="0"/>
              <w:spacing w:before="20"/>
              <w:jc w:val="right"/>
              <w:rPr>
                <w:color w:val="000000"/>
                <w:sz w:val="16"/>
                <w:szCs w:val="16"/>
              </w:rPr>
            </w:pPr>
          </w:p>
        </w:tc>
        <w:tc>
          <w:tcPr>
            <w:tcW w:w="382" w:type="dxa"/>
            <w:tcBorders>
              <w:top w:val="single" w:sz="4" w:space="0" w:color="auto"/>
            </w:tcBorders>
            <w:vAlign w:val="center"/>
          </w:tcPr>
          <w:p w:rsidR="006F417A" w:rsidRPr="006F417A" w:rsidRDefault="006F417A" w:rsidP="00EE08A0">
            <w:pPr>
              <w:keepNext/>
              <w:adjustRightInd w:val="0"/>
              <w:spacing w:before="20"/>
              <w:jc w:val="right"/>
              <w:rPr>
                <w:color w:val="000000"/>
                <w:sz w:val="16"/>
                <w:szCs w:val="16"/>
              </w:rPr>
            </w:pPr>
          </w:p>
        </w:tc>
        <w:tc>
          <w:tcPr>
            <w:tcW w:w="747" w:type="dxa"/>
            <w:tcBorders>
              <w:top w:val="single" w:sz="4" w:space="0" w:color="auto"/>
            </w:tcBorders>
            <w:vAlign w:val="center"/>
          </w:tcPr>
          <w:p w:rsidR="006F417A" w:rsidRPr="006F417A" w:rsidRDefault="006F417A" w:rsidP="00EE08A0">
            <w:pPr>
              <w:keepNext/>
              <w:adjustRightInd w:val="0"/>
              <w:spacing w:before="20"/>
              <w:jc w:val="right"/>
              <w:rPr>
                <w:color w:val="000000"/>
                <w:sz w:val="16"/>
                <w:szCs w:val="16"/>
              </w:rPr>
            </w:pPr>
          </w:p>
        </w:tc>
      </w:tr>
      <w:tr w:rsidR="006F417A" w:rsidRPr="009B1415" w:rsidTr="00F959A8">
        <w:tc>
          <w:tcPr>
            <w:tcW w:w="4266" w:type="dxa"/>
          </w:tcPr>
          <w:p w:rsidR="006F417A" w:rsidRPr="009B1415" w:rsidRDefault="006F417A" w:rsidP="00EE08A0">
            <w:pPr>
              <w:keepNext/>
              <w:spacing w:before="20"/>
              <w:ind w:left="176"/>
              <w:jc w:val="both"/>
              <w:rPr>
                <w:sz w:val="16"/>
                <w:szCs w:val="16"/>
              </w:rPr>
            </w:pPr>
            <w:r w:rsidRPr="009B1415">
              <w:rPr>
                <w:sz w:val="16"/>
                <w:szCs w:val="16"/>
              </w:rPr>
              <w:t>Alone</w:t>
            </w:r>
          </w:p>
        </w:tc>
        <w:tc>
          <w:tcPr>
            <w:tcW w:w="972" w:type="dxa"/>
            <w:vAlign w:val="center"/>
          </w:tcPr>
          <w:p w:rsidR="006F417A" w:rsidRPr="006F417A" w:rsidRDefault="006F417A" w:rsidP="00EE08A0">
            <w:pPr>
              <w:keepNext/>
              <w:adjustRightInd w:val="0"/>
              <w:spacing w:before="20"/>
              <w:jc w:val="right"/>
              <w:rPr>
                <w:color w:val="000000"/>
                <w:sz w:val="16"/>
                <w:szCs w:val="16"/>
              </w:rPr>
            </w:pPr>
            <w:r w:rsidRPr="006F417A">
              <w:rPr>
                <w:color w:val="000000"/>
                <w:sz w:val="16"/>
                <w:szCs w:val="16"/>
              </w:rPr>
              <w:t>61.3</w:t>
            </w:r>
          </w:p>
        </w:tc>
        <w:tc>
          <w:tcPr>
            <w:tcW w:w="1108" w:type="dxa"/>
            <w:vAlign w:val="center"/>
          </w:tcPr>
          <w:p w:rsidR="006F417A" w:rsidRPr="006F417A" w:rsidRDefault="006F417A" w:rsidP="00EE08A0">
            <w:pPr>
              <w:keepNext/>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EE08A0">
            <w:pPr>
              <w:keepNext/>
              <w:adjustRightInd w:val="0"/>
              <w:spacing w:before="20"/>
              <w:jc w:val="right"/>
              <w:rPr>
                <w:color w:val="000000"/>
                <w:sz w:val="16"/>
                <w:szCs w:val="16"/>
              </w:rPr>
            </w:pPr>
          </w:p>
        </w:tc>
        <w:tc>
          <w:tcPr>
            <w:tcW w:w="382" w:type="dxa"/>
            <w:vAlign w:val="center"/>
          </w:tcPr>
          <w:p w:rsidR="006F417A" w:rsidRPr="006F417A" w:rsidRDefault="006F417A" w:rsidP="00EE08A0">
            <w:pPr>
              <w:keepNext/>
              <w:adjustRightInd w:val="0"/>
              <w:spacing w:before="20"/>
              <w:jc w:val="right"/>
              <w:rPr>
                <w:color w:val="000000"/>
                <w:sz w:val="16"/>
                <w:szCs w:val="16"/>
              </w:rPr>
            </w:pPr>
          </w:p>
        </w:tc>
        <w:tc>
          <w:tcPr>
            <w:tcW w:w="747" w:type="dxa"/>
            <w:vAlign w:val="center"/>
          </w:tcPr>
          <w:p w:rsidR="006F417A" w:rsidRPr="006F417A" w:rsidRDefault="006F417A" w:rsidP="00EE08A0">
            <w:pPr>
              <w:keepNext/>
              <w:adjustRightInd w:val="0"/>
              <w:spacing w:before="20"/>
              <w:jc w:val="right"/>
              <w:rPr>
                <w:color w:val="000000"/>
                <w:sz w:val="16"/>
                <w:szCs w:val="16"/>
              </w:rPr>
            </w:pPr>
          </w:p>
        </w:tc>
      </w:tr>
      <w:tr w:rsidR="00BF4D66" w:rsidRPr="009B1415" w:rsidTr="00F959A8">
        <w:tc>
          <w:tcPr>
            <w:tcW w:w="4266" w:type="dxa"/>
          </w:tcPr>
          <w:p w:rsidR="00BF4D66" w:rsidRPr="009B1415" w:rsidRDefault="00BF4D66" w:rsidP="00EE08A0">
            <w:pPr>
              <w:keepNext/>
              <w:spacing w:before="20"/>
              <w:ind w:left="176"/>
              <w:jc w:val="both"/>
              <w:rPr>
                <w:sz w:val="16"/>
                <w:szCs w:val="16"/>
              </w:rPr>
            </w:pPr>
            <w:r w:rsidRPr="009B1415">
              <w:rPr>
                <w:sz w:val="16"/>
                <w:szCs w:val="16"/>
              </w:rPr>
              <w:t>With one person</w:t>
            </w:r>
          </w:p>
        </w:tc>
        <w:tc>
          <w:tcPr>
            <w:tcW w:w="972"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39.1</w:t>
            </w:r>
          </w:p>
        </w:tc>
        <w:tc>
          <w:tcPr>
            <w:tcW w:w="1108"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0.41</w:t>
            </w:r>
          </w:p>
        </w:tc>
        <w:tc>
          <w:tcPr>
            <w:tcW w:w="1213" w:type="dxa"/>
            <w:gridSpan w:val="2"/>
            <w:vAlign w:val="center"/>
          </w:tcPr>
          <w:p w:rsidR="00BF4D66" w:rsidRPr="006F417A" w:rsidRDefault="008A0DFA" w:rsidP="00EE08A0">
            <w:pPr>
              <w:keepNext/>
              <w:adjustRightInd w:val="0"/>
              <w:spacing w:before="20"/>
              <w:jc w:val="right"/>
              <w:rPr>
                <w:color w:val="000000"/>
                <w:sz w:val="16"/>
                <w:szCs w:val="16"/>
              </w:rPr>
            </w:pPr>
            <w:r>
              <w:rPr>
                <w:color w:val="000000"/>
                <w:sz w:val="16"/>
                <w:szCs w:val="16"/>
              </w:rPr>
              <w:t>(</w:t>
            </w:r>
            <w:r w:rsidR="00BF4D66" w:rsidRPr="006F417A">
              <w:rPr>
                <w:color w:val="000000"/>
                <w:sz w:val="16"/>
                <w:szCs w:val="16"/>
              </w:rPr>
              <w:t>0.17</w:t>
            </w:r>
            <w:r w:rsidR="00BF4D66">
              <w:rPr>
                <w:color w:val="000000"/>
                <w:sz w:val="16"/>
                <w:szCs w:val="16"/>
              </w:rPr>
              <w:t xml:space="preserve"> - </w:t>
            </w:r>
            <w:r w:rsidR="00BF4D66" w:rsidRPr="006F417A">
              <w:rPr>
                <w:color w:val="000000"/>
                <w:sz w:val="16"/>
                <w:szCs w:val="16"/>
              </w:rPr>
              <w:t>0.95</w:t>
            </w:r>
            <w:r>
              <w:rPr>
                <w:color w:val="000000"/>
                <w:sz w:val="16"/>
                <w:szCs w:val="16"/>
              </w:rPr>
              <w:t>)</w:t>
            </w:r>
          </w:p>
        </w:tc>
        <w:tc>
          <w:tcPr>
            <w:tcW w:w="747" w:type="dxa"/>
            <w:vAlign w:val="center"/>
          </w:tcPr>
          <w:p w:rsidR="00BF4D66" w:rsidRPr="006F417A" w:rsidRDefault="00BF4D66" w:rsidP="00EE08A0">
            <w:pPr>
              <w:keepNext/>
              <w:adjustRightInd w:val="0"/>
              <w:spacing w:before="20"/>
              <w:jc w:val="right"/>
              <w:rPr>
                <w:color w:val="000000"/>
                <w:sz w:val="16"/>
                <w:szCs w:val="16"/>
              </w:rPr>
            </w:pPr>
          </w:p>
        </w:tc>
      </w:tr>
      <w:tr w:rsidR="00BF4D66" w:rsidRPr="009B1415" w:rsidTr="00EE08A0">
        <w:tc>
          <w:tcPr>
            <w:tcW w:w="4266" w:type="dxa"/>
          </w:tcPr>
          <w:p w:rsidR="00BF4D66" w:rsidRPr="009B1415" w:rsidRDefault="00BF4D66" w:rsidP="00EE08A0">
            <w:pPr>
              <w:keepNext/>
              <w:spacing w:before="20"/>
              <w:ind w:left="176"/>
              <w:jc w:val="both"/>
              <w:rPr>
                <w:sz w:val="16"/>
                <w:szCs w:val="16"/>
              </w:rPr>
            </w:pPr>
            <w:r w:rsidRPr="009B1415">
              <w:rPr>
                <w:sz w:val="16"/>
                <w:szCs w:val="16"/>
              </w:rPr>
              <w:t>With several people/a group</w:t>
            </w:r>
          </w:p>
        </w:tc>
        <w:tc>
          <w:tcPr>
            <w:tcW w:w="972"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36.6</w:t>
            </w:r>
          </w:p>
        </w:tc>
        <w:tc>
          <w:tcPr>
            <w:tcW w:w="1108"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0.37</w:t>
            </w:r>
          </w:p>
        </w:tc>
        <w:tc>
          <w:tcPr>
            <w:tcW w:w="1213" w:type="dxa"/>
            <w:gridSpan w:val="2"/>
            <w:vAlign w:val="center"/>
          </w:tcPr>
          <w:p w:rsidR="00BF4D66" w:rsidRPr="006F417A" w:rsidRDefault="008A0DFA" w:rsidP="00EE08A0">
            <w:pPr>
              <w:keepNext/>
              <w:adjustRightInd w:val="0"/>
              <w:spacing w:before="20"/>
              <w:jc w:val="right"/>
              <w:rPr>
                <w:color w:val="000000"/>
                <w:sz w:val="16"/>
                <w:szCs w:val="16"/>
              </w:rPr>
            </w:pPr>
            <w:r>
              <w:rPr>
                <w:color w:val="000000"/>
                <w:sz w:val="16"/>
                <w:szCs w:val="16"/>
              </w:rPr>
              <w:t>(</w:t>
            </w:r>
            <w:r w:rsidR="00BF4D66" w:rsidRPr="006F417A">
              <w:rPr>
                <w:color w:val="000000"/>
                <w:sz w:val="16"/>
                <w:szCs w:val="16"/>
              </w:rPr>
              <w:t>0.15</w:t>
            </w:r>
            <w:r w:rsidR="00BF4D66">
              <w:rPr>
                <w:color w:val="000000"/>
                <w:sz w:val="16"/>
                <w:szCs w:val="16"/>
              </w:rPr>
              <w:t xml:space="preserve"> - </w:t>
            </w:r>
            <w:r w:rsidR="00BF4D66" w:rsidRPr="006F417A">
              <w:rPr>
                <w:color w:val="000000"/>
                <w:sz w:val="16"/>
                <w:szCs w:val="16"/>
              </w:rPr>
              <w:t>0.87</w:t>
            </w:r>
            <w:r>
              <w:rPr>
                <w:color w:val="000000"/>
                <w:sz w:val="16"/>
                <w:szCs w:val="16"/>
              </w:rPr>
              <w:t>)</w:t>
            </w:r>
          </w:p>
        </w:tc>
        <w:tc>
          <w:tcPr>
            <w:tcW w:w="747" w:type="dxa"/>
            <w:vAlign w:val="center"/>
          </w:tcPr>
          <w:p w:rsidR="00BF4D66" w:rsidRPr="006F417A" w:rsidRDefault="00BF4D66" w:rsidP="00EE08A0">
            <w:pPr>
              <w:keepNext/>
              <w:adjustRightInd w:val="0"/>
              <w:spacing w:before="20"/>
              <w:jc w:val="right"/>
              <w:rPr>
                <w:color w:val="000000"/>
                <w:sz w:val="16"/>
                <w:szCs w:val="16"/>
              </w:rPr>
            </w:pPr>
          </w:p>
        </w:tc>
      </w:tr>
      <w:tr w:rsidR="00BF4D66" w:rsidRPr="009B1415" w:rsidTr="00EE08A0">
        <w:tc>
          <w:tcPr>
            <w:tcW w:w="4266" w:type="dxa"/>
            <w:vAlign w:val="bottom"/>
          </w:tcPr>
          <w:p w:rsidR="00BF4D66" w:rsidRPr="003B2B9F" w:rsidRDefault="00BF4D66" w:rsidP="00EE08A0">
            <w:pPr>
              <w:keepNext/>
              <w:spacing w:before="20"/>
              <w:ind w:left="176"/>
              <w:jc w:val="both"/>
              <w:rPr>
                <w:sz w:val="16"/>
                <w:szCs w:val="16"/>
              </w:rPr>
            </w:pPr>
            <w:r w:rsidRPr="003B2B9F">
              <w:rPr>
                <w:sz w:val="16"/>
                <w:szCs w:val="16"/>
              </w:rPr>
              <w:t>Not reported</w:t>
            </w:r>
          </w:p>
        </w:tc>
        <w:tc>
          <w:tcPr>
            <w:tcW w:w="972"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52.4</w:t>
            </w:r>
          </w:p>
        </w:tc>
        <w:tc>
          <w:tcPr>
            <w:tcW w:w="1108" w:type="dxa"/>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0.70</w:t>
            </w:r>
          </w:p>
        </w:tc>
        <w:tc>
          <w:tcPr>
            <w:tcW w:w="1213" w:type="dxa"/>
            <w:gridSpan w:val="2"/>
            <w:vAlign w:val="center"/>
          </w:tcPr>
          <w:p w:rsidR="00BF4D66" w:rsidRPr="006F417A" w:rsidRDefault="008A0DFA" w:rsidP="00EE08A0">
            <w:pPr>
              <w:keepNext/>
              <w:adjustRightInd w:val="0"/>
              <w:spacing w:before="20"/>
              <w:jc w:val="right"/>
              <w:rPr>
                <w:color w:val="000000"/>
                <w:sz w:val="16"/>
                <w:szCs w:val="16"/>
              </w:rPr>
            </w:pPr>
            <w:r>
              <w:rPr>
                <w:color w:val="000000"/>
                <w:sz w:val="16"/>
                <w:szCs w:val="16"/>
              </w:rPr>
              <w:t>(</w:t>
            </w:r>
            <w:r w:rsidR="00BF4D66" w:rsidRPr="006F417A">
              <w:rPr>
                <w:color w:val="000000"/>
                <w:sz w:val="16"/>
                <w:szCs w:val="16"/>
              </w:rPr>
              <w:t>0.25</w:t>
            </w:r>
            <w:r w:rsidR="00BF4D66">
              <w:rPr>
                <w:color w:val="000000"/>
                <w:sz w:val="16"/>
                <w:szCs w:val="16"/>
              </w:rPr>
              <w:t xml:space="preserve"> - </w:t>
            </w:r>
            <w:r w:rsidR="00BF4D66" w:rsidRPr="006F417A">
              <w:rPr>
                <w:color w:val="000000"/>
                <w:sz w:val="16"/>
                <w:szCs w:val="16"/>
              </w:rPr>
              <w:t>1.91</w:t>
            </w:r>
            <w:r>
              <w:rPr>
                <w:color w:val="000000"/>
                <w:sz w:val="16"/>
                <w:szCs w:val="16"/>
              </w:rPr>
              <w:t>)</w:t>
            </w:r>
          </w:p>
        </w:tc>
        <w:tc>
          <w:tcPr>
            <w:tcW w:w="747" w:type="dxa"/>
            <w:shd w:val="clear" w:color="auto" w:fill="auto"/>
            <w:vAlign w:val="center"/>
          </w:tcPr>
          <w:p w:rsidR="00BF4D66" w:rsidRPr="006F417A" w:rsidRDefault="00BF4D66" w:rsidP="00EE08A0">
            <w:pPr>
              <w:keepNext/>
              <w:adjustRightInd w:val="0"/>
              <w:spacing w:before="20"/>
              <w:jc w:val="right"/>
              <w:rPr>
                <w:color w:val="000000"/>
                <w:sz w:val="16"/>
                <w:szCs w:val="16"/>
              </w:rPr>
            </w:pPr>
            <w:r w:rsidRPr="006F417A">
              <w:rPr>
                <w:color w:val="000000"/>
                <w:sz w:val="16"/>
                <w:szCs w:val="16"/>
              </w:rPr>
              <w:t>0.06</w:t>
            </w:r>
          </w:p>
        </w:tc>
      </w:tr>
      <w:tr w:rsidR="006F417A" w:rsidRPr="009B1415" w:rsidTr="00EE08A0">
        <w:tc>
          <w:tcPr>
            <w:tcW w:w="4266" w:type="dxa"/>
            <w:vAlign w:val="bottom"/>
          </w:tcPr>
          <w:p w:rsidR="006F417A" w:rsidRPr="009B1415" w:rsidRDefault="006F417A" w:rsidP="008A0DFA">
            <w:pPr>
              <w:keepNext/>
              <w:spacing w:before="20"/>
              <w:jc w:val="both"/>
              <w:rPr>
                <w:b/>
                <w:sz w:val="16"/>
                <w:szCs w:val="16"/>
              </w:rPr>
            </w:pPr>
            <w:r w:rsidRPr="009B1415">
              <w:rPr>
                <w:b/>
                <w:bCs/>
                <w:color w:val="000000"/>
                <w:sz w:val="16"/>
                <w:szCs w:val="16"/>
              </w:rPr>
              <w:t>Know people with gambling problems</w:t>
            </w:r>
          </w:p>
        </w:tc>
        <w:tc>
          <w:tcPr>
            <w:tcW w:w="972" w:type="dxa"/>
            <w:vAlign w:val="center"/>
          </w:tcPr>
          <w:p w:rsidR="006F417A" w:rsidRPr="006F417A" w:rsidRDefault="006F417A" w:rsidP="008A0DFA">
            <w:pPr>
              <w:keepNext/>
              <w:adjustRightInd w:val="0"/>
              <w:spacing w:before="20"/>
              <w:jc w:val="right"/>
              <w:rPr>
                <w:color w:val="000000"/>
                <w:sz w:val="16"/>
                <w:szCs w:val="16"/>
              </w:rPr>
            </w:pPr>
          </w:p>
        </w:tc>
        <w:tc>
          <w:tcPr>
            <w:tcW w:w="1108" w:type="dxa"/>
            <w:vAlign w:val="center"/>
          </w:tcPr>
          <w:p w:rsidR="006F417A" w:rsidRPr="006F417A" w:rsidRDefault="006F417A" w:rsidP="008A0DFA">
            <w:pPr>
              <w:keepNext/>
              <w:adjustRightInd w:val="0"/>
              <w:spacing w:before="20"/>
              <w:jc w:val="right"/>
              <w:rPr>
                <w:color w:val="000000"/>
                <w:sz w:val="16"/>
                <w:szCs w:val="16"/>
              </w:rPr>
            </w:pPr>
          </w:p>
        </w:tc>
        <w:tc>
          <w:tcPr>
            <w:tcW w:w="831" w:type="dxa"/>
            <w:vAlign w:val="center"/>
          </w:tcPr>
          <w:p w:rsidR="006F417A" w:rsidRPr="006F417A" w:rsidRDefault="006F417A" w:rsidP="008A0DFA">
            <w:pPr>
              <w:keepNext/>
              <w:adjustRightInd w:val="0"/>
              <w:spacing w:before="20"/>
              <w:jc w:val="right"/>
              <w:rPr>
                <w:color w:val="000000"/>
                <w:sz w:val="16"/>
                <w:szCs w:val="16"/>
              </w:rPr>
            </w:pPr>
          </w:p>
        </w:tc>
        <w:tc>
          <w:tcPr>
            <w:tcW w:w="382" w:type="dxa"/>
            <w:vAlign w:val="center"/>
          </w:tcPr>
          <w:p w:rsidR="006F417A" w:rsidRPr="006F417A" w:rsidRDefault="006F417A" w:rsidP="008A0DFA">
            <w:pPr>
              <w:keepNext/>
              <w:adjustRightInd w:val="0"/>
              <w:spacing w:before="20"/>
              <w:jc w:val="right"/>
              <w:rPr>
                <w:color w:val="000000"/>
                <w:sz w:val="16"/>
                <w:szCs w:val="16"/>
              </w:rPr>
            </w:pPr>
          </w:p>
        </w:tc>
        <w:tc>
          <w:tcPr>
            <w:tcW w:w="747" w:type="dxa"/>
            <w:vAlign w:val="center"/>
          </w:tcPr>
          <w:p w:rsidR="006F417A" w:rsidRPr="006F417A" w:rsidRDefault="006F417A" w:rsidP="008A0DFA">
            <w:pPr>
              <w:keepNext/>
              <w:adjustRightInd w:val="0"/>
              <w:spacing w:before="20"/>
              <w:jc w:val="right"/>
              <w:rPr>
                <w:color w:val="000000"/>
                <w:sz w:val="16"/>
                <w:szCs w:val="16"/>
              </w:rPr>
            </w:pPr>
          </w:p>
        </w:tc>
      </w:tr>
      <w:tr w:rsidR="006F417A" w:rsidRPr="009B1415" w:rsidTr="00F959A8">
        <w:tc>
          <w:tcPr>
            <w:tcW w:w="4266" w:type="dxa"/>
          </w:tcPr>
          <w:p w:rsidR="006F417A" w:rsidRPr="009B1415" w:rsidRDefault="006F417A" w:rsidP="008A0DFA">
            <w:pPr>
              <w:keepNext/>
              <w:spacing w:before="20"/>
              <w:ind w:left="176"/>
              <w:jc w:val="both"/>
              <w:rPr>
                <w:sz w:val="16"/>
                <w:szCs w:val="16"/>
              </w:rPr>
            </w:pPr>
            <w:r w:rsidRPr="009B1415">
              <w:rPr>
                <w:sz w:val="16"/>
                <w:szCs w:val="16"/>
              </w:rPr>
              <w:t>No</w:t>
            </w:r>
          </w:p>
        </w:tc>
        <w:tc>
          <w:tcPr>
            <w:tcW w:w="972" w:type="dxa"/>
            <w:vAlign w:val="center"/>
          </w:tcPr>
          <w:p w:rsidR="006F417A" w:rsidRPr="006F417A" w:rsidRDefault="006F417A" w:rsidP="008A0DFA">
            <w:pPr>
              <w:keepNext/>
              <w:adjustRightInd w:val="0"/>
              <w:spacing w:before="20"/>
              <w:jc w:val="right"/>
              <w:rPr>
                <w:color w:val="000000"/>
                <w:sz w:val="16"/>
                <w:szCs w:val="16"/>
              </w:rPr>
            </w:pPr>
            <w:r w:rsidRPr="006F417A">
              <w:rPr>
                <w:color w:val="000000"/>
                <w:sz w:val="16"/>
                <w:szCs w:val="16"/>
              </w:rPr>
              <w:t>40.5</w:t>
            </w:r>
          </w:p>
        </w:tc>
        <w:tc>
          <w:tcPr>
            <w:tcW w:w="1108" w:type="dxa"/>
            <w:vAlign w:val="center"/>
          </w:tcPr>
          <w:p w:rsidR="006F417A" w:rsidRPr="006F417A" w:rsidRDefault="006F417A" w:rsidP="008A0DFA">
            <w:pPr>
              <w:keepNext/>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8A0DFA">
            <w:pPr>
              <w:keepNext/>
              <w:adjustRightInd w:val="0"/>
              <w:spacing w:before="20"/>
              <w:jc w:val="right"/>
              <w:rPr>
                <w:color w:val="000000"/>
                <w:sz w:val="16"/>
                <w:szCs w:val="16"/>
              </w:rPr>
            </w:pPr>
          </w:p>
        </w:tc>
        <w:tc>
          <w:tcPr>
            <w:tcW w:w="382" w:type="dxa"/>
            <w:vAlign w:val="center"/>
          </w:tcPr>
          <w:p w:rsidR="006F417A" w:rsidRPr="006F417A" w:rsidRDefault="006F417A" w:rsidP="008A0DFA">
            <w:pPr>
              <w:keepNext/>
              <w:adjustRightInd w:val="0"/>
              <w:spacing w:before="20"/>
              <w:jc w:val="right"/>
              <w:rPr>
                <w:color w:val="000000"/>
                <w:sz w:val="16"/>
                <w:szCs w:val="16"/>
              </w:rPr>
            </w:pPr>
          </w:p>
        </w:tc>
        <w:tc>
          <w:tcPr>
            <w:tcW w:w="747" w:type="dxa"/>
            <w:vAlign w:val="center"/>
          </w:tcPr>
          <w:p w:rsidR="006F417A" w:rsidRPr="006F417A" w:rsidRDefault="006F417A" w:rsidP="008A0DFA">
            <w:pPr>
              <w:keepNext/>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54.8</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1.78</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0.93</w:t>
            </w:r>
            <w:r w:rsidR="00BF4D66">
              <w:rPr>
                <w:color w:val="000000"/>
                <w:sz w:val="16"/>
                <w:szCs w:val="16"/>
              </w:rPr>
              <w:t xml:space="preserve"> - </w:t>
            </w:r>
            <w:r w:rsidR="00BF4D66" w:rsidRPr="006F417A">
              <w:rPr>
                <w:color w:val="000000"/>
                <w:sz w:val="16"/>
                <w:szCs w:val="16"/>
              </w:rPr>
              <w:t>3.41</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0.08</w:t>
            </w:r>
          </w:p>
        </w:tc>
      </w:tr>
      <w:tr w:rsidR="006F417A" w:rsidRPr="009B1415" w:rsidTr="00F959A8">
        <w:tc>
          <w:tcPr>
            <w:tcW w:w="5238" w:type="dxa"/>
            <w:gridSpan w:val="2"/>
            <w:vAlign w:val="bottom"/>
          </w:tcPr>
          <w:p w:rsidR="006F417A" w:rsidRPr="006F417A" w:rsidRDefault="006F417A" w:rsidP="006F417A">
            <w:pPr>
              <w:spacing w:before="20"/>
              <w:jc w:val="both"/>
              <w:rPr>
                <w:b/>
                <w:bCs/>
                <w:color w:val="000000"/>
                <w:sz w:val="16"/>
                <w:szCs w:val="16"/>
              </w:rPr>
            </w:pPr>
            <w:r w:rsidRPr="006F417A">
              <w:rPr>
                <w:b/>
                <w:bCs/>
                <w:color w:val="000000"/>
                <w:sz w:val="16"/>
                <w:szCs w:val="16"/>
              </w:rPr>
              <w:t>Methods - Setting a dollar figure before leaving home</w:t>
            </w:r>
          </w:p>
        </w:tc>
        <w:tc>
          <w:tcPr>
            <w:tcW w:w="1108" w:type="dxa"/>
            <w:vAlign w:val="center"/>
          </w:tcPr>
          <w:p w:rsidR="006F417A" w:rsidRPr="006F417A" w:rsidRDefault="006F417A" w:rsidP="006F417A">
            <w:pPr>
              <w:adjustRightInd w:val="0"/>
              <w:jc w:val="center"/>
              <w:rPr>
                <w:color w:val="000000"/>
                <w:sz w:val="16"/>
                <w:szCs w:val="16"/>
              </w:rPr>
            </w:pPr>
          </w:p>
        </w:tc>
        <w:tc>
          <w:tcPr>
            <w:tcW w:w="831" w:type="dxa"/>
            <w:vAlign w:val="center"/>
          </w:tcPr>
          <w:p w:rsidR="006F417A" w:rsidRPr="006F417A" w:rsidRDefault="006F417A" w:rsidP="006F417A">
            <w:pPr>
              <w:adjustRightInd w:val="0"/>
              <w:jc w:val="center"/>
              <w:rPr>
                <w:color w:val="000000"/>
                <w:sz w:val="16"/>
                <w:szCs w:val="16"/>
              </w:rPr>
            </w:pPr>
          </w:p>
        </w:tc>
        <w:tc>
          <w:tcPr>
            <w:tcW w:w="382" w:type="dxa"/>
            <w:vAlign w:val="center"/>
          </w:tcPr>
          <w:p w:rsidR="006F417A" w:rsidRPr="006F417A" w:rsidRDefault="006F417A" w:rsidP="006F417A">
            <w:pPr>
              <w:adjustRightInd w:val="0"/>
              <w:jc w:val="center"/>
              <w:rPr>
                <w:color w:val="000000"/>
                <w:sz w:val="16"/>
                <w:szCs w:val="16"/>
              </w:rPr>
            </w:pPr>
          </w:p>
        </w:tc>
        <w:tc>
          <w:tcPr>
            <w:tcW w:w="747" w:type="dxa"/>
            <w:vAlign w:val="center"/>
          </w:tcPr>
          <w:p w:rsidR="006F417A" w:rsidRPr="006F417A" w:rsidRDefault="006F417A" w:rsidP="006F417A">
            <w:pPr>
              <w:adjustRightInd w:val="0"/>
              <w:jc w:val="center"/>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44.9</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54.4</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1.47</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0.75</w:t>
            </w:r>
            <w:r w:rsidR="00BF4D66">
              <w:rPr>
                <w:color w:val="000000"/>
                <w:sz w:val="16"/>
                <w:szCs w:val="16"/>
              </w:rPr>
              <w:t xml:space="preserve"> - </w:t>
            </w:r>
            <w:r w:rsidR="00BF4D66" w:rsidRPr="006F417A">
              <w:rPr>
                <w:color w:val="000000"/>
                <w:sz w:val="16"/>
                <w:szCs w:val="16"/>
              </w:rPr>
              <w:t>2.86</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0.26</w:t>
            </w:r>
          </w:p>
        </w:tc>
      </w:tr>
      <w:tr w:rsidR="006F417A" w:rsidRPr="009B1415" w:rsidTr="00F959A8">
        <w:tc>
          <w:tcPr>
            <w:tcW w:w="5238" w:type="dxa"/>
            <w:gridSpan w:val="2"/>
            <w:vAlign w:val="bottom"/>
          </w:tcPr>
          <w:p w:rsidR="006F417A" w:rsidRPr="006F417A" w:rsidRDefault="006F417A" w:rsidP="006F417A">
            <w:pPr>
              <w:spacing w:before="20"/>
              <w:jc w:val="both"/>
              <w:rPr>
                <w:b/>
                <w:bCs/>
                <w:color w:val="000000"/>
                <w:sz w:val="16"/>
                <w:szCs w:val="16"/>
              </w:rPr>
            </w:pPr>
            <w:r w:rsidRPr="006F417A">
              <w:rPr>
                <w:b/>
                <w:bCs/>
                <w:color w:val="000000"/>
                <w:sz w:val="16"/>
                <w:szCs w:val="16"/>
              </w:rPr>
              <w:t>Methods - Getting someone you trust to manage the money</w:t>
            </w:r>
          </w:p>
        </w:tc>
        <w:tc>
          <w:tcPr>
            <w:tcW w:w="1108" w:type="dxa"/>
            <w:vAlign w:val="center"/>
          </w:tcPr>
          <w:p w:rsidR="006F417A" w:rsidRPr="006F417A" w:rsidRDefault="006F417A" w:rsidP="006F417A">
            <w:pPr>
              <w:adjustRightInd w:val="0"/>
              <w:jc w:val="center"/>
              <w:rPr>
                <w:color w:val="000000"/>
                <w:sz w:val="16"/>
                <w:szCs w:val="16"/>
              </w:rPr>
            </w:pPr>
          </w:p>
        </w:tc>
        <w:tc>
          <w:tcPr>
            <w:tcW w:w="831" w:type="dxa"/>
            <w:vAlign w:val="center"/>
          </w:tcPr>
          <w:p w:rsidR="006F417A" w:rsidRPr="006F417A" w:rsidRDefault="006F417A" w:rsidP="006F417A">
            <w:pPr>
              <w:adjustRightInd w:val="0"/>
              <w:jc w:val="center"/>
              <w:rPr>
                <w:color w:val="000000"/>
                <w:sz w:val="16"/>
                <w:szCs w:val="16"/>
              </w:rPr>
            </w:pPr>
          </w:p>
        </w:tc>
        <w:tc>
          <w:tcPr>
            <w:tcW w:w="382" w:type="dxa"/>
            <w:vAlign w:val="center"/>
          </w:tcPr>
          <w:p w:rsidR="006F417A" w:rsidRPr="006F417A" w:rsidRDefault="006F417A" w:rsidP="006F417A">
            <w:pPr>
              <w:adjustRightInd w:val="0"/>
              <w:jc w:val="center"/>
              <w:rPr>
                <w:color w:val="000000"/>
                <w:sz w:val="16"/>
                <w:szCs w:val="16"/>
              </w:rPr>
            </w:pPr>
          </w:p>
        </w:tc>
        <w:tc>
          <w:tcPr>
            <w:tcW w:w="747" w:type="dxa"/>
            <w:vAlign w:val="center"/>
          </w:tcPr>
          <w:p w:rsidR="006F417A" w:rsidRPr="006F417A" w:rsidRDefault="006F417A" w:rsidP="006F417A">
            <w:pPr>
              <w:adjustRightInd w:val="0"/>
              <w:jc w:val="center"/>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48.7</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44.3</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0.84</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0.20</w:t>
            </w:r>
            <w:r w:rsidR="00BF4D66">
              <w:rPr>
                <w:color w:val="000000"/>
                <w:sz w:val="16"/>
                <w:szCs w:val="16"/>
              </w:rPr>
              <w:t xml:space="preserve"> - </w:t>
            </w:r>
            <w:r w:rsidR="00BF4D66" w:rsidRPr="006F417A">
              <w:rPr>
                <w:color w:val="000000"/>
                <w:sz w:val="16"/>
                <w:szCs w:val="16"/>
              </w:rPr>
              <w:t>3.60</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0.81</w:t>
            </w:r>
          </w:p>
        </w:tc>
      </w:tr>
      <w:tr w:rsidR="006F417A" w:rsidRPr="009B1415" w:rsidTr="00F959A8">
        <w:tc>
          <w:tcPr>
            <w:tcW w:w="6346" w:type="dxa"/>
            <w:gridSpan w:val="3"/>
            <w:vAlign w:val="bottom"/>
          </w:tcPr>
          <w:p w:rsidR="006F417A" w:rsidRPr="006F417A" w:rsidRDefault="006F417A" w:rsidP="006F417A">
            <w:pPr>
              <w:spacing w:before="20"/>
              <w:jc w:val="both"/>
              <w:rPr>
                <w:b/>
                <w:bCs/>
                <w:color w:val="000000"/>
                <w:sz w:val="16"/>
                <w:szCs w:val="16"/>
              </w:rPr>
            </w:pPr>
            <w:r w:rsidRPr="006F417A">
              <w:rPr>
                <w:b/>
                <w:bCs/>
                <w:color w:val="000000"/>
                <w:sz w:val="16"/>
                <w:szCs w:val="16"/>
              </w:rPr>
              <w:t>Methods - Separating money for betting from other money and stopping</w:t>
            </w:r>
          </w:p>
        </w:tc>
        <w:tc>
          <w:tcPr>
            <w:tcW w:w="831" w:type="dxa"/>
            <w:vAlign w:val="center"/>
          </w:tcPr>
          <w:p w:rsidR="006F417A" w:rsidRPr="006F417A" w:rsidRDefault="006F417A" w:rsidP="006F417A">
            <w:pPr>
              <w:adjustRightInd w:val="0"/>
              <w:jc w:val="center"/>
              <w:rPr>
                <w:color w:val="000000"/>
                <w:sz w:val="16"/>
                <w:szCs w:val="16"/>
              </w:rPr>
            </w:pPr>
          </w:p>
        </w:tc>
        <w:tc>
          <w:tcPr>
            <w:tcW w:w="382" w:type="dxa"/>
            <w:vAlign w:val="center"/>
          </w:tcPr>
          <w:p w:rsidR="006F417A" w:rsidRPr="006F417A" w:rsidRDefault="006F417A" w:rsidP="006F417A">
            <w:pPr>
              <w:adjustRightInd w:val="0"/>
              <w:jc w:val="center"/>
              <w:rPr>
                <w:color w:val="000000"/>
                <w:sz w:val="16"/>
                <w:szCs w:val="16"/>
              </w:rPr>
            </w:pPr>
          </w:p>
        </w:tc>
        <w:tc>
          <w:tcPr>
            <w:tcW w:w="747" w:type="dxa"/>
            <w:vAlign w:val="center"/>
          </w:tcPr>
          <w:p w:rsidR="006F417A" w:rsidRPr="006F417A" w:rsidRDefault="006F417A" w:rsidP="006F417A">
            <w:pPr>
              <w:adjustRightInd w:val="0"/>
              <w:jc w:val="center"/>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46.2</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63.3</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2.01</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0.86</w:t>
            </w:r>
            <w:r w:rsidR="00BF4D66">
              <w:rPr>
                <w:color w:val="000000"/>
                <w:sz w:val="16"/>
                <w:szCs w:val="16"/>
              </w:rPr>
              <w:t xml:space="preserve"> - </w:t>
            </w:r>
            <w:r w:rsidR="00BF4D66" w:rsidRPr="006F417A">
              <w:rPr>
                <w:color w:val="000000"/>
                <w:sz w:val="16"/>
                <w:szCs w:val="16"/>
              </w:rPr>
              <w:t>4.67</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0.11</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bCs/>
                <w:color w:val="000000"/>
                <w:sz w:val="16"/>
                <w:szCs w:val="16"/>
              </w:rPr>
              <w:t>Methods - Leaving ATM and credit cards at home</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47.8</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58.0</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1.51</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0.51</w:t>
            </w:r>
            <w:r w:rsidR="00BF4D66">
              <w:rPr>
                <w:color w:val="000000"/>
                <w:sz w:val="16"/>
                <w:szCs w:val="16"/>
              </w:rPr>
              <w:t xml:space="preserve"> - </w:t>
            </w:r>
            <w:r w:rsidR="00BF4D66" w:rsidRPr="006F417A">
              <w:rPr>
                <w:color w:val="000000"/>
                <w:sz w:val="16"/>
                <w:szCs w:val="16"/>
              </w:rPr>
              <w:t>4.45</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0.46</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bCs/>
                <w:color w:val="000000"/>
                <w:sz w:val="16"/>
                <w:szCs w:val="16"/>
              </w:rPr>
              <w:t>Methods - Setting a time limit</w:t>
            </w:r>
          </w:p>
        </w:tc>
        <w:tc>
          <w:tcPr>
            <w:tcW w:w="972" w:type="dxa"/>
            <w:vAlign w:val="center"/>
          </w:tcPr>
          <w:p w:rsidR="006F417A" w:rsidRPr="00EC0F3A" w:rsidRDefault="006F417A" w:rsidP="00BF4D66">
            <w:pPr>
              <w:adjustRightInd w:val="0"/>
              <w:spacing w:before="20"/>
              <w:jc w:val="right"/>
              <w:rPr>
                <w:color w:val="000000"/>
                <w:sz w:val="16"/>
                <w:szCs w:val="16"/>
              </w:rPr>
            </w:pPr>
          </w:p>
        </w:tc>
        <w:tc>
          <w:tcPr>
            <w:tcW w:w="1108" w:type="dxa"/>
            <w:vAlign w:val="center"/>
          </w:tcPr>
          <w:p w:rsidR="006F417A" w:rsidRPr="00EC0F3A" w:rsidRDefault="006F417A" w:rsidP="00BF4D66">
            <w:pPr>
              <w:adjustRightInd w:val="0"/>
              <w:spacing w:before="20"/>
              <w:jc w:val="right"/>
              <w:rPr>
                <w:color w:val="000000"/>
                <w:sz w:val="16"/>
                <w:szCs w:val="16"/>
              </w:rPr>
            </w:pPr>
          </w:p>
        </w:tc>
        <w:tc>
          <w:tcPr>
            <w:tcW w:w="831" w:type="dxa"/>
            <w:vAlign w:val="center"/>
          </w:tcPr>
          <w:p w:rsidR="006F417A" w:rsidRPr="00EC0F3A" w:rsidRDefault="006F417A" w:rsidP="00BF4D66">
            <w:pPr>
              <w:adjustRightInd w:val="0"/>
              <w:spacing w:before="20"/>
              <w:jc w:val="right"/>
              <w:rPr>
                <w:color w:val="000000"/>
                <w:sz w:val="16"/>
                <w:szCs w:val="16"/>
              </w:rPr>
            </w:pPr>
          </w:p>
        </w:tc>
        <w:tc>
          <w:tcPr>
            <w:tcW w:w="382" w:type="dxa"/>
            <w:vAlign w:val="center"/>
          </w:tcPr>
          <w:p w:rsidR="006F417A" w:rsidRPr="00EC0F3A" w:rsidRDefault="006F417A" w:rsidP="00BF4D66">
            <w:pPr>
              <w:adjustRightInd w:val="0"/>
              <w:spacing w:before="20"/>
              <w:jc w:val="right"/>
              <w:rPr>
                <w:color w:val="000000"/>
                <w:sz w:val="16"/>
                <w:szCs w:val="16"/>
              </w:rPr>
            </w:pPr>
          </w:p>
        </w:tc>
        <w:tc>
          <w:tcPr>
            <w:tcW w:w="747" w:type="dxa"/>
            <w:vAlign w:val="center"/>
          </w:tcPr>
          <w:p w:rsidR="006F417A" w:rsidRPr="00EC0F3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48.1</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55.0</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1.32</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0.43</w:t>
            </w:r>
            <w:r w:rsidR="00BF4D66">
              <w:rPr>
                <w:color w:val="000000"/>
                <w:sz w:val="16"/>
                <w:szCs w:val="16"/>
              </w:rPr>
              <w:t xml:space="preserve"> - </w:t>
            </w:r>
            <w:r w:rsidR="00BF4D66" w:rsidRPr="006F417A">
              <w:rPr>
                <w:color w:val="000000"/>
                <w:sz w:val="16"/>
                <w:szCs w:val="16"/>
              </w:rPr>
              <w:t>4.03</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0.63</w:t>
            </w:r>
          </w:p>
        </w:tc>
      </w:tr>
      <w:tr w:rsidR="006F417A" w:rsidRPr="009B1415" w:rsidTr="00F959A8">
        <w:tc>
          <w:tcPr>
            <w:tcW w:w="5238" w:type="dxa"/>
            <w:gridSpan w:val="2"/>
            <w:vAlign w:val="bottom"/>
          </w:tcPr>
          <w:p w:rsidR="006F417A" w:rsidRPr="000C1AB9" w:rsidRDefault="006F417A" w:rsidP="006F417A">
            <w:pPr>
              <w:adjustRightInd w:val="0"/>
              <w:spacing w:before="20"/>
              <w:rPr>
                <w:b/>
                <w:color w:val="000000"/>
                <w:sz w:val="16"/>
                <w:szCs w:val="16"/>
              </w:rPr>
            </w:pPr>
            <w:r w:rsidRPr="000C1AB9">
              <w:rPr>
                <w:b/>
                <w:color w:val="000000"/>
                <w:sz w:val="16"/>
                <w:szCs w:val="16"/>
              </w:rPr>
              <w:t>Methods - Avoiding places that have betting or gambling</w:t>
            </w:r>
          </w:p>
        </w:tc>
        <w:tc>
          <w:tcPr>
            <w:tcW w:w="1108" w:type="dxa"/>
            <w:vAlign w:val="center"/>
          </w:tcPr>
          <w:p w:rsidR="006F417A" w:rsidRPr="005859A7" w:rsidRDefault="006F417A" w:rsidP="006F417A">
            <w:pPr>
              <w:jc w:val="center"/>
              <w:rPr>
                <w:rFonts w:ascii="Calibri" w:hAnsi="Calibri"/>
                <w:b/>
                <w:bCs/>
                <w:color w:val="000000"/>
              </w:rPr>
            </w:pPr>
          </w:p>
        </w:tc>
        <w:tc>
          <w:tcPr>
            <w:tcW w:w="831" w:type="dxa"/>
            <w:vAlign w:val="center"/>
          </w:tcPr>
          <w:p w:rsidR="006F417A" w:rsidRPr="005859A7" w:rsidRDefault="006F417A" w:rsidP="006F417A">
            <w:pPr>
              <w:jc w:val="center"/>
              <w:rPr>
                <w:rFonts w:ascii="Calibri" w:hAnsi="Calibri"/>
                <w:b/>
                <w:color w:val="000000"/>
              </w:rPr>
            </w:pPr>
          </w:p>
        </w:tc>
        <w:tc>
          <w:tcPr>
            <w:tcW w:w="382" w:type="dxa"/>
            <w:vAlign w:val="center"/>
          </w:tcPr>
          <w:p w:rsidR="006F417A" w:rsidRPr="005859A7" w:rsidRDefault="006F417A" w:rsidP="006F417A">
            <w:pPr>
              <w:jc w:val="center"/>
              <w:rPr>
                <w:rFonts w:ascii="Calibri" w:hAnsi="Calibri"/>
                <w:b/>
                <w:color w:val="000000"/>
              </w:rPr>
            </w:pPr>
          </w:p>
        </w:tc>
        <w:tc>
          <w:tcPr>
            <w:tcW w:w="747" w:type="dxa"/>
            <w:vAlign w:val="center"/>
          </w:tcPr>
          <w:p w:rsidR="006F417A" w:rsidRPr="005859A7" w:rsidRDefault="006F417A" w:rsidP="006F417A">
            <w:pPr>
              <w:jc w:val="center"/>
              <w:rPr>
                <w:rFonts w:ascii="Calibri" w:hAnsi="Calibri"/>
                <w:b/>
                <w:color w:val="000000"/>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46.4</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68.5</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2.51</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1.05</w:t>
            </w:r>
            <w:r w:rsidR="00BF4D66">
              <w:rPr>
                <w:color w:val="000000"/>
                <w:sz w:val="16"/>
                <w:szCs w:val="16"/>
              </w:rPr>
              <w:t xml:space="preserve"> - </w:t>
            </w:r>
            <w:r w:rsidR="00BF4D66" w:rsidRPr="006F417A">
              <w:rPr>
                <w:color w:val="000000"/>
                <w:sz w:val="16"/>
                <w:szCs w:val="16"/>
              </w:rPr>
              <w:t>6.00</w:t>
            </w:r>
            <w:r>
              <w:rPr>
                <w:color w:val="000000"/>
                <w:sz w:val="16"/>
                <w:szCs w:val="16"/>
              </w:rPr>
              <w:t>)</w:t>
            </w:r>
          </w:p>
        </w:tc>
        <w:tc>
          <w:tcPr>
            <w:tcW w:w="747" w:type="dxa"/>
            <w:shd w:val="clear" w:color="auto" w:fill="D9D9D9" w:themeFill="background1" w:themeFillShade="D9"/>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0.04</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sz w:val="16"/>
                <w:szCs w:val="16"/>
              </w:rPr>
              <w:t xml:space="preserve">Sought help </w:t>
            </w:r>
            <w:r w:rsidR="003E1E3A" w:rsidRPr="003E1E3A">
              <w:rPr>
                <w:b/>
                <w:sz w:val="16"/>
                <w:szCs w:val="16"/>
              </w:rPr>
              <w:t xml:space="preserve">(from formal and informal sources) </w:t>
            </w:r>
            <w:r w:rsidRPr="009B1415">
              <w:rPr>
                <w:b/>
                <w:sz w:val="16"/>
                <w:szCs w:val="16"/>
              </w:rPr>
              <w:t>in last year</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47.8</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87.1</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7.37</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1.24</w:t>
            </w:r>
            <w:r w:rsidR="00BF4D66">
              <w:rPr>
                <w:color w:val="000000"/>
                <w:sz w:val="16"/>
                <w:szCs w:val="16"/>
              </w:rPr>
              <w:t xml:space="preserve"> - </w:t>
            </w:r>
            <w:r w:rsidR="00BF4D66" w:rsidRPr="006F417A">
              <w:rPr>
                <w:color w:val="000000"/>
                <w:sz w:val="16"/>
                <w:szCs w:val="16"/>
              </w:rPr>
              <w:t>43.94</w:t>
            </w:r>
            <w:r>
              <w:rPr>
                <w:color w:val="000000"/>
                <w:sz w:val="16"/>
                <w:szCs w:val="16"/>
              </w:rPr>
              <w:t>)</w:t>
            </w:r>
          </w:p>
        </w:tc>
        <w:tc>
          <w:tcPr>
            <w:tcW w:w="747" w:type="dxa"/>
            <w:shd w:val="clear" w:color="auto" w:fill="D9D9D9" w:themeFill="background1" w:themeFillShade="D9"/>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0.03</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sz w:val="16"/>
                <w:szCs w:val="16"/>
              </w:rPr>
              <w:t>Number of significant life events</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0</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57.0</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1</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54.9</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0.92</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0.35</w:t>
            </w:r>
            <w:r w:rsidR="00BF4D66">
              <w:rPr>
                <w:color w:val="000000"/>
                <w:sz w:val="16"/>
                <w:szCs w:val="16"/>
              </w:rPr>
              <w:t xml:space="preserve"> - </w:t>
            </w:r>
            <w:r w:rsidR="00BF4D66" w:rsidRPr="006F417A">
              <w:rPr>
                <w:color w:val="000000"/>
                <w:sz w:val="16"/>
                <w:szCs w:val="16"/>
              </w:rPr>
              <w:t>2.41</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2</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49.2</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0.73</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0.25</w:t>
            </w:r>
            <w:r w:rsidR="00BF4D66">
              <w:rPr>
                <w:color w:val="000000"/>
                <w:sz w:val="16"/>
                <w:szCs w:val="16"/>
              </w:rPr>
              <w:t xml:space="preserve"> - </w:t>
            </w:r>
            <w:r w:rsidR="00BF4D66" w:rsidRPr="006F417A">
              <w:rPr>
                <w:color w:val="000000"/>
                <w:sz w:val="16"/>
                <w:szCs w:val="16"/>
              </w:rPr>
              <w:t>2.11</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3</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56.8</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0.99</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0.35</w:t>
            </w:r>
            <w:r w:rsidR="00BF4D66">
              <w:rPr>
                <w:color w:val="000000"/>
                <w:sz w:val="16"/>
                <w:szCs w:val="16"/>
              </w:rPr>
              <w:t xml:space="preserve"> - </w:t>
            </w:r>
            <w:r w:rsidR="00BF4D66" w:rsidRPr="006F417A">
              <w:rPr>
                <w:color w:val="000000"/>
                <w:sz w:val="16"/>
                <w:szCs w:val="16"/>
              </w:rPr>
              <w:t>2.83</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4</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30.7</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0.34</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0.10</w:t>
            </w:r>
            <w:r w:rsidR="00BF4D66">
              <w:rPr>
                <w:color w:val="000000"/>
                <w:sz w:val="16"/>
                <w:szCs w:val="16"/>
              </w:rPr>
              <w:t xml:space="preserve"> - </w:t>
            </w:r>
            <w:r w:rsidR="00BF4D66" w:rsidRPr="006F417A">
              <w:rPr>
                <w:color w:val="000000"/>
                <w:sz w:val="16"/>
                <w:szCs w:val="16"/>
              </w:rPr>
              <w:t>1.12</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5+</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38.4</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0.47</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0.15</w:t>
            </w:r>
            <w:r w:rsidR="00BF4D66">
              <w:rPr>
                <w:color w:val="000000"/>
                <w:sz w:val="16"/>
                <w:szCs w:val="16"/>
              </w:rPr>
              <w:t xml:space="preserve"> - </w:t>
            </w:r>
            <w:r w:rsidR="00BF4D66" w:rsidRPr="006F417A">
              <w:rPr>
                <w:color w:val="000000"/>
                <w:sz w:val="16"/>
                <w:szCs w:val="16"/>
              </w:rPr>
              <w:t>1.44</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0.37</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sz w:val="16"/>
                <w:szCs w:val="16"/>
              </w:rPr>
              <w:t>Quality of life (WHOQoL-8)</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Below median ( Score 0 - 24)</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55.6</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2.35</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1.15</w:t>
            </w:r>
            <w:r w:rsidR="00BF4D66">
              <w:rPr>
                <w:color w:val="000000"/>
                <w:sz w:val="16"/>
                <w:szCs w:val="16"/>
              </w:rPr>
              <w:t xml:space="preserve"> - </w:t>
            </w:r>
            <w:r w:rsidR="00BF4D66" w:rsidRPr="006F417A">
              <w:rPr>
                <w:color w:val="000000"/>
                <w:sz w:val="16"/>
                <w:szCs w:val="16"/>
              </w:rPr>
              <w:t>4.82</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Median score (Score 25)</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61.2</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2.96</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0.98</w:t>
            </w:r>
            <w:r w:rsidR="00BF4D66">
              <w:rPr>
                <w:color w:val="000000"/>
                <w:sz w:val="16"/>
                <w:szCs w:val="16"/>
              </w:rPr>
              <w:t xml:space="preserve"> - </w:t>
            </w:r>
            <w:r w:rsidR="00BF4D66" w:rsidRPr="006F417A">
              <w:rPr>
                <w:color w:val="000000"/>
                <w:sz w:val="16"/>
                <w:szCs w:val="16"/>
              </w:rPr>
              <w:t>8.93</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Above median (Score 26 - 32)</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34.8</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shd w:val="clear" w:color="auto" w:fill="D9D9D9" w:themeFill="background1" w:themeFillShade="D9"/>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0.04</w:t>
            </w:r>
          </w:p>
        </w:tc>
      </w:tr>
      <w:tr w:rsidR="006F417A" w:rsidRPr="009B1415" w:rsidTr="00F959A8">
        <w:tc>
          <w:tcPr>
            <w:tcW w:w="4266" w:type="dxa"/>
            <w:vAlign w:val="bottom"/>
          </w:tcPr>
          <w:p w:rsidR="006F417A" w:rsidRPr="009B1415" w:rsidRDefault="006F417A" w:rsidP="006F417A">
            <w:pPr>
              <w:keepNext/>
              <w:spacing w:before="20"/>
              <w:jc w:val="both"/>
              <w:rPr>
                <w:b/>
                <w:sz w:val="16"/>
                <w:szCs w:val="16"/>
              </w:rPr>
            </w:pPr>
            <w:r w:rsidRPr="009B1415">
              <w:rPr>
                <w:b/>
                <w:sz w:val="16"/>
                <w:szCs w:val="16"/>
              </w:rPr>
              <w:t>Psychological distress (Kessler-10)</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keepNext/>
              <w:spacing w:before="20"/>
              <w:ind w:left="176"/>
              <w:jc w:val="both"/>
              <w:rPr>
                <w:sz w:val="16"/>
                <w:szCs w:val="16"/>
              </w:rPr>
            </w:pPr>
            <w:r w:rsidRPr="009B1415">
              <w:rPr>
                <w:sz w:val="16"/>
                <w:szCs w:val="16"/>
              </w:rPr>
              <w:t>Score 0 - 5</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52.3</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keepNext/>
              <w:spacing w:before="20"/>
              <w:ind w:left="176"/>
              <w:jc w:val="both"/>
              <w:rPr>
                <w:sz w:val="16"/>
                <w:szCs w:val="16"/>
              </w:rPr>
            </w:pPr>
            <w:r w:rsidRPr="009B1415">
              <w:rPr>
                <w:sz w:val="16"/>
                <w:szCs w:val="16"/>
              </w:rPr>
              <w:t>Score 6 - 11</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39.3</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0.59</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0.28</w:t>
            </w:r>
            <w:r w:rsidR="00BF4D66">
              <w:rPr>
                <w:color w:val="000000"/>
                <w:sz w:val="16"/>
                <w:szCs w:val="16"/>
              </w:rPr>
              <w:t xml:space="preserve"> - </w:t>
            </w:r>
            <w:r w:rsidR="00BF4D66" w:rsidRPr="006F417A">
              <w:rPr>
                <w:color w:val="000000"/>
                <w:sz w:val="16"/>
                <w:szCs w:val="16"/>
              </w:rPr>
              <w:t>1.24</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keepNext/>
              <w:spacing w:before="20"/>
              <w:ind w:left="176"/>
              <w:jc w:val="both"/>
              <w:rPr>
                <w:sz w:val="16"/>
                <w:szCs w:val="16"/>
              </w:rPr>
            </w:pPr>
            <w:r w:rsidRPr="009B1415">
              <w:rPr>
                <w:sz w:val="16"/>
                <w:szCs w:val="16"/>
              </w:rPr>
              <w:t>Score 12 - 19</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60.2</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1.38</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0.52</w:t>
            </w:r>
            <w:r w:rsidR="00BF4D66">
              <w:rPr>
                <w:color w:val="000000"/>
                <w:sz w:val="16"/>
                <w:szCs w:val="16"/>
              </w:rPr>
              <w:t xml:space="preserve"> - </w:t>
            </w:r>
            <w:r w:rsidR="00BF4D66" w:rsidRPr="006F417A">
              <w:rPr>
                <w:color w:val="000000"/>
                <w:sz w:val="16"/>
                <w:szCs w:val="16"/>
              </w:rPr>
              <w:t>3.63</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keepNext/>
              <w:spacing w:before="20"/>
              <w:ind w:left="176"/>
              <w:jc w:val="both"/>
              <w:rPr>
                <w:sz w:val="16"/>
                <w:szCs w:val="16"/>
              </w:rPr>
            </w:pPr>
            <w:r w:rsidRPr="009B1415">
              <w:rPr>
                <w:sz w:val="16"/>
                <w:szCs w:val="16"/>
              </w:rPr>
              <w:t>Score 20 - 40</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38.1</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0.56</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0.17</w:t>
            </w:r>
            <w:r w:rsidR="00BF4D66">
              <w:rPr>
                <w:color w:val="000000"/>
                <w:sz w:val="16"/>
                <w:szCs w:val="16"/>
              </w:rPr>
              <w:t xml:space="preserve"> - </w:t>
            </w:r>
            <w:r w:rsidR="00BF4D66" w:rsidRPr="006F417A">
              <w:rPr>
                <w:color w:val="000000"/>
                <w:sz w:val="16"/>
                <w:szCs w:val="16"/>
              </w:rPr>
              <w:t>1.83</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0.27</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sz w:val="16"/>
                <w:szCs w:val="16"/>
              </w:rPr>
              <w:t xml:space="preserve">Hazardous alcohol consumption (AUDIT-C) </w:t>
            </w:r>
          </w:p>
        </w:tc>
        <w:tc>
          <w:tcPr>
            <w:tcW w:w="972" w:type="dxa"/>
            <w:vAlign w:val="center"/>
          </w:tcPr>
          <w:p w:rsidR="006F417A" w:rsidRPr="005859A7" w:rsidRDefault="006F417A" w:rsidP="00BF4D66">
            <w:pPr>
              <w:jc w:val="right"/>
              <w:rPr>
                <w:rFonts w:ascii="Calibri" w:hAnsi="Calibri"/>
                <w:b/>
                <w:bCs/>
                <w:color w:val="000000"/>
              </w:rPr>
            </w:pPr>
          </w:p>
        </w:tc>
        <w:tc>
          <w:tcPr>
            <w:tcW w:w="1108" w:type="dxa"/>
            <w:vAlign w:val="center"/>
          </w:tcPr>
          <w:p w:rsidR="006F417A" w:rsidRPr="005859A7" w:rsidRDefault="006F417A" w:rsidP="00BF4D66">
            <w:pPr>
              <w:jc w:val="right"/>
              <w:rPr>
                <w:rFonts w:ascii="Calibri" w:hAnsi="Calibri"/>
                <w:b/>
                <w:color w:val="000000"/>
              </w:rPr>
            </w:pPr>
          </w:p>
        </w:tc>
        <w:tc>
          <w:tcPr>
            <w:tcW w:w="831" w:type="dxa"/>
            <w:vAlign w:val="center"/>
          </w:tcPr>
          <w:p w:rsidR="006F417A" w:rsidRPr="005859A7" w:rsidRDefault="006F417A" w:rsidP="00BF4D66">
            <w:pPr>
              <w:jc w:val="right"/>
              <w:rPr>
                <w:rFonts w:ascii="Calibri" w:hAnsi="Calibri"/>
                <w:b/>
                <w:color w:val="000000"/>
              </w:rPr>
            </w:pPr>
          </w:p>
        </w:tc>
        <w:tc>
          <w:tcPr>
            <w:tcW w:w="382" w:type="dxa"/>
            <w:vAlign w:val="center"/>
          </w:tcPr>
          <w:p w:rsidR="006F417A" w:rsidRPr="005859A7" w:rsidRDefault="006F417A" w:rsidP="00BF4D66">
            <w:pPr>
              <w:jc w:val="right"/>
              <w:rPr>
                <w:rFonts w:ascii="Calibri" w:hAnsi="Calibri"/>
                <w:b/>
                <w:color w:val="000000"/>
              </w:rPr>
            </w:pPr>
          </w:p>
        </w:tc>
        <w:tc>
          <w:tcPr>
            <w:tcW w:w="747" w:type="dxa"/>
            <w:vAlign w:val="center"/>
          </w:tcPr>
          <w:p w:rsidR="006F417A" w:rsidRPr="005859A7" w:rsidRDefault="006F417A" w:rsidP="00BF4D66">
            <w:pPr>
              <w:jc w:val="right"/>
              <w:rPr>
                <w:rFonts w:ascii="Calibri" w:hAnsi="Calibri"/>
                <w:b/>
                <w:color w:val="000000"/>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48.1</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49.1</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1.04</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0.54</w:t>
            </w:r>
            <w:r w:rsidR="00BF4D66">
              <w:rPr>
                <w:color w:val="000000"/>
                <w:sz w:val="16"/>
                <w:szCs w:val="16"/>
              </w:rPr>
              <w:t xml:space="preserve"> - </w:t>
            </w:r>
            <w:r w:rsidR="00BF4D66" w:rsidRPr="006F417A">
              <w:rPr>
                <w:color w:val="000000"/>
                <w:sz w:val="16"/>
                <w:szCs w:val="16"/>
              </w:rPr>
              <w:t>2.00</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0.90</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sz w:val="16"/>
                <w:szCs w:val="16"/>
              </w:rPr>
              <w:t>Does not use drugs</w:t>
            </w:r>
          </w:p>
        </w:tc>
        <w:tc>
          <w:tcPr>
            <w:tcW w:w="972" w:type="dxa"/>
            <w:vAlign w:val="center"/>
          </w:tcPr>
          <w:p w:rsidR="006F417A" w:rsidRPr="00EC0F3A" w:rsidRDefault="006F417A" w:rsidP="00BF4D66">
            <w:pPr>
              <w:adjustRightInd w:val="0"/>
              <w:spacing w:before="20"/>
              <w:jc w:val="right"/>
              <w:rPr>
                <w:color w:val="000000"/>
                <w:sz w:val="16"/>
                <w:szCs w:val="16"/>
              </w:rPr>
            </w:pPr>
          </w:p>
        </w:tc>
        <w:tc>
          <w:tcPr>
            <w:tcW w:w="1108" w:type="dxa"/>
            <w:vAlign w:val="center"/>
          </w:tcPr>
          <w:p w:rsidR="006F417A" w:rsidRPr="00EC0F3A" w:rsidRDefault="006F417A" w:rsidP="00BF4D66">
            <w:pPr>
              <w:adjustRightInd w:val="0"/>
              <w:spacing w:before="20"/>
              <w:jc w:val="right"/>
              <w:rPr>
                <w:color w:val="000000"/>
                <w:sz w:val="16"/>
                <w:szCs w:val="16"/>
              </w:rPr>
            </w:pPr>
          </w:p>
        </w:tc>
        <w:tc>
          <w:tcPr>
            <w:tcW w:w="831" w:type="dxa"/>
            <w:vAlign w:val="center"/>
          </w:tcPr>
          <w:p w:rsidR="006F417A" w:rsidRPr="00EC0F3A" w:rsidRDefault="006F417A" w:rsidP="00BF4D66">
            <w:pPr>
              <w:adjustRightInd w:val="0"/>
              <w:spacing w:before="20"/>
              <w:jc w:val="right"/>
              <w:rPr>
                <w:color w:val="000000"/>
                <w:sz w:val="16"/>
                <w:szCs w:val="16"/>
              </w:rPr>
            </w:pPr>
          </w:p>
        </w:tc>
        <w:tc>
          <w:tcPr>
            <w:tcW w:w="382" w:type="dxa"/>
            <w:vAlign w:val="center"/>
          </w:tcPr>
          <w:p w:rsidR="006F417A" w:rsidRPr="00EC0F3A" w:rsidRDefault="006F417A" w:rsidP="00BF4D66">
            <w:pPr>
              <w:adjustRightInd w:val="0"/>
              <w:spacing w:before="20"/>
              <w:jc w:val="right"/>
              <w:rPr>
                <w:color w:val="000000"/>
                <w:sz w:val="16"/>
                <w:szCs w:val="16"/>
              </w:rPr>
            </w:pPr>
          </w:p>
        </w:tc>
        <w:tc>
          <w:tcPr>
            <w:tcW w:w="747" w:type="dxa"/>
            <w:vAlign w:val="center"/>
          </w:tcPr>
          <w:p w:rsidR="006F417A" w:rsidRPr="00EC0F3A" w:rsidRDefault="006F417A" w:rsidP="00BF4D66">
            <w:pPr>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53.6</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46.6</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0.76</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0.35</w:t>
            </w:r>
            <w:r w:rsidR="00BF4D66">
              <w:rPr>
                <w:color w:val="000000"/>
                <w:sz w:val="16"/>
                <w:szCs w:val="16"/>
              </w:rPr>
              <w:t xml:space="preserve"> - </w:t>
            </w:r>
            <w:r w:rsidR="00BF4D66" w:rsidRPr="006F417A">
              <w:rPr>
                <w:color w:val="000000"/>
                <w:sz w:val="16"/>
                <w:szCs w:val="16"/>
              </w:rPr>
              <w:t>1.62</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0.47</w:t>
            </w:r>
          </w:p>
        </w:tc>
      </w:tr>
      <w:tr w:rsidR="006F417A" w:rsidRPr="009B1415" w:rsidTr="00F959A8">
        <w:tc>
          <w:tcPr>
            <w:tcW w:w="4266" w:type="dxa"/>
            <w:vAlign w:val="bottom"/>
          </w:tcPr>
          <w:p w:rsidR="006F417A" w:rsidRPr="009B1415" w:rsidRDefault="006F417A" w:rsidP="006F417A">
            <w:pPr>
              <w:keepNext/>
              <w:spacing w:before="20"/>
              <w:jc w:val="both"/>
              <w:rPr>
                <w:b/>
                <w:sz w:val="16"/>
                <w:szCs w:val="16"/>
              </w:rPr>
            </w:pPr>
            <w:r w:rsidRPr="009B1415">
              <w:rPr>
                <w:b/>
                <w:sz w:val="16"/>
                <w:szCs w:val="16"/>
              </w:rPr>
              <w:t>Cannabis</w:t>
            </w:r>
          </w:p>
        </w:tc>
        <w:tc>
          <w:tcPr>
            <w:tcW w:w="972" w:type="dxa"/>
            <w:vAlign w:val="center"/>
          </w:tcPr>
          <w:p w:rsidR="006F417A" w:rsidRPr="00B61EF6" w:rsidRDefault="006F417A" w:rsidP="00BF4D66">
            <w:pPr>
              <w:keepNext/>
              <w:adjustRightInd w:val="0"/>
              <w:spacing w:before="20"/>
              <w:jc w:val="right"/>
              <w:rPr>
                <w:color w:val="000000"/>
                <w:sz w:val="16"/>
                <w:szCs w:val="16"/>
              </w:rPr>
            </w:pPr>
          </w:p>
        </w:tc>
        <w:tc>
          <w:tcPr>
            <w:tcW w:w="1108" w:type="dxa"/>
            <w:vAlign w:val="center"/>
          </w:tcPr>
          <w:p w:rsidR="006F417A" w:rsidRPr="00B61EF6" w:rsidRDefault="006F417A" w:rsidP="00BF4D66">
            <w:pPr>
              <w:keepNext/>
              <w:adjustRightInd w:val="0"/>
              <w:spacing w:before="20"/>
              <w:jc w:val="right"/>
              <w:rPr>
                <w:color w:val="000000"/>
                <w:sz w:val="16"/>
                <w:szCs w:val="16"/>
              </w:rPr>
            </w:pPr>
          </w:p>
        </w:tc>
        <w:tc>
          <w:tcPr>
            <w:tcW w:w="831" w:type="dxa"/>
            <w:vAlign w:val="center"/>
          </w:tcPr>
          <w:p w:rsidR="006F417A" w:rsidRPr="00B61EF6" w:rsidRDefault="006F417A" w:rsidP="00BF4D66">
            <w:pPr>
              <w:keepNext/>
              <w:adjustRightInd w:val="0"/>
              <w:spacing w:before="20"/>
              <w:jc w:val="right"/>
              <w:rPr>
                <w:color w:val="000000"/>
                <w:sz w:val="16"/>
                <w:szCs w:val="16"/>
              </w:rPr>
            </w:pPr>
          </w:p>
        </w:tc>
        <w:tc>
          <w:tcPr>
            <w:tcW w:w="382" w:type="dxa"/>
            <w:vAlign w:val="center"/>
          </w:tcPr>
          <w:p w:rsidR="006F417A" w:rsidRPr="00B61EF6" w:rsidRDefault="006F417A" w:rsidP="00BF4D66">
            <w:pPr>
              <w:keepNext/>
              <w:adjustRightInd w:val="0"/>
              <w:spacing w:before="20"/>
              <w:jc w:val="right"/>
              <w:rPr>
                <w:color w:val="000000"/>
                <w:sz w:val="16"/>
                <w:szCs w:val="16"/>
              </w:rPr>
            </w:pPr>
          </w:p>
        </w:tc>
        <w:tc>
          <w:tcPr>
            <w:tcW w:w="747" w:type="dxa"/>
            <w:vAlign w:val="center"/>
          </w:tcPr>
          <w:p w:rsidR="006F417A" w:rsidRPr="00B61EF6" w:rsidRDefault="006F417A" w:rsidP="00BF4D66">
            <w:pPr>
              <w:keepNext/>
              <w:adjustRightInd w:val="0"/>
              <w:spacing w:before="20"/>
              <w:jc w:val="right"/>
              <w:rPr>
                <w:color w:val="000000"/>
                <w:sz w:val="16"/>
                <w:szCs w:val="16"/>
              </w:rPr>
            </w:pPr>
          </w:p>
        </w:tc>
      </w:tr>
      <w:tr w:rsidR="006F417A" w:rsidRPr="009B1415" w:rsidTr="00F959A8">
        <w:tc>
          <w:tcPr>
            <w:tcW w:w="4266" w:type="dxa"/>
          </w:tcPr>
          <w:p w:rsidR="006F417A" w:rsidRPr="009B1415" w:rsidRDefault="006F417A" w:rsidP="006F417A">
            <w:pPr>
              <w:keepNext/>
              <w:spacing w:before="20"/>
              <w:ind w:left="176"/>
              <w:jc w:val="both"/>
              <w:rPr>
                <w:sz w:val="16"/>
                <w:szCs w:val="16"/>
              </w:rPr>
            </w:pPr>
            <w:r w:rsidRPr="009B1415">
              <w:rPr>
                <w:sz w:val="16"/>
                <w:szCs w:val="16"/>
              </w:rPr>
              <w:t>No</w:t>
            </w:r>
          </w:p>
        </w:tc>
        <w:tc>
          <w:tcPr>
            <w:tcW w:w="972"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47.7</w:t>
            </w:r>
          </w:p>
        </w:tc>
        <w:tc>
          <w:tcPr>
            <w:tcW w:w="1108" w:type="dxa"/>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F959A8">
        <w:tc>
          <w:tcPr>
            <w:tcW w:w="4266" w:type="dxa"/>
          </w:tcPr>
          <w:p w:rsidR="00BF4D66" w:rsidRPr="009B1415" w:rsidRDefault="00BF4D66" w:rsidP="006F417A">
            <w:pPr>
              <w:keepNext/>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51.3</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1.16</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0.52</w:t>
            </w:r>
            <w:r w:rsidR="00BF4D66">
              <w:rPr>
                <w:color w:val="000000"/>
                <w:sz w:val="16"/>
                <w:szCs w:val="16"/>
              </w:rPr>
              <w:t xml:space="preserve"> - </w:t>
            </w:r>
            <w:r w:rsidR="00BF4D66" w:rsidRPr="006F417A">
              <w:rPr>
                <w:color w:val="000000"/>
                <w:sz w:val="16"/>
                <w:szCs w:val="16"/>
              </w:rPr>
              <w:t>2.56</w:t>
            </w:r>
            <w:r>
              <w:rPr>
                <w:color w:val="000000"/>
                <w:sz w:val="16"/>
                <w:szCs w:val="16"/>
              </w:rPr>
              <w:t>)</w:t>
            </w:r>
          </w:p>
        </w:tc>
        <w:tc>
          <w:tcPr>
            <w:tcW w:w="747" w:type="dxa"/>
            <w:shd w:val="clear" w:color="auto" w:fill="auto"/>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0.72</w:t>
            </w:r>
          </w:p>
        </w:tc>
      </w:tr>
      <w:tr w:rsidR="006F417A" w:rsidRPr="009B1415" w:rsidTr="00F959A8">
        <w:tc>
          <w:tcPr>
            <w:tcW w:w="4266" w:type="dxa"/>
            <w:vAlign w:val="bottom"/>
          </w:tcPr>
          <w:p w:rsidR="006F417A" w:rsidRPr="009B1415" w:rsidRDefault="006F417A" w:rsidP="006F417A">
            <w:pPr>
              <w:spacing w:before="20"/>
              <w:jc w:val="both"/>
              <w:rPr>
                <w:b/>
                <w:sz w:val="16"/>
                <w:szCs w:val="16"/>
              </w:rPr>
            </w:pPr>
            <w:r w:rsidRPr="009B1415">
              <w:rPr>
                <w:b/>
                <w:bCs/>
                <w:color w:val="000000"/>
                <w:sz w:val="16"/>
                <w:szCs w:val="16"/>
              </w:rPr>
              <w:t>Ever smoked tobacco</w:t>
            </w:r>
          </w:p>
        </w:tc>
        <w:tc>
          <w:tcPr>
            <w:tcW w:w="972" w:type="dxa"/>
            <w:vAlign w:val="center"/>
          </w:tcPr>
          <w:p w:rsidR="006F417A" w:rsidRPr="006F417A" w:rsidRDefault="006F417A" w:rsidP="00BF4D66">
            <w:pPr>
              <w:adjustRightInd w:val="0"/>
              <w:spacing w:before="20"/>
              <w:jc w:val="right"/>
              <w:rPr>
                <w:color w:val="000000"/>
                <w:sz w:val="16"/>
                <w:szCs w:val="16"/>
              </w:rPr>
            </w:pPr>
          </w:p>
        </w:tc>
        <w:tc>
          <w:tcPr>
            <w:tcW w:w="1108" w:type="dxa"/>
            <w:vAlign w:val="center"/>
          </w:tcPr>
          <w:p w:rsidR="006F417A" w:rsidRPr="006F417A" w:rsidRDefault="006F417A" w:rsidP="00BF4D66">
            <w:pPr>
              <w:adjustRightInd w:val="0"/>
              <w:spacing w:before="20"/>
              <w:jc w:val="right"/>
              <w:rPr>
                <w:color w:val="000000"/>
                <w:sz w:val="16"/>
                <w:szCs w:val="16"/>
              </w:rPr>
            </w:pPr>
          </w:p>
        </w:tc>
        <w:tc>
          <w:tcPr>
            <w:tcW w:w="831" w:type="dxa"/>
            <w:vAlign w:val="center"/>
          </w:tcPr>
          <w:p w:rsidR="006F417A" w:rsidRPr="006F417A" w:rsidRDefault="006F417A" w:rsidP="00BF4D66">
            <w:pPr>
              <w:adjustRightInd w:val="0"/>
              <w:spacing w:before="20"/>
              <w:jc w:val="right"/>
              <w:rPr>
                <w:color w:val="000000"/>
                <w:sz w:val="16"/>
                <w:szCs w:val="16"/>
              </w:rPr>
            </w:pPr>
          </w:p>
        </w:tc>
        <w:tc>
          <w:tcPr>
            <w:tcW w:w="382" w:type="dxa"/>
            <w:vAlign w:val="center"/>
          </w:tcPr>
          <w:p w:rsidR="006F417A" w:rsidRPr="006F417A" w:rsidRDefault="006F417A" w:rsidP="00BF4D66">
            <w:pPr>
              <w:adjustRightInd w:val="0"/>
              <w:spacing w:before="20"/>
              <w:jc w:val="right"/>
              <w:rPr>
                <w:color w:val="000000"/>
                <w:sz w:val="16"/>
                <w:szCs w:val="16"/>
              </w:rPr>
            </w:pPr>
          </w:p>
        </w:tc>
        <w:tc>
          <w:tcPr>
            <w:tcW w:w="747" w:type="dxa"/>
            <w:vAlign w:val="center"/>
          </w:tcPr>
          <w:p w:rsidR="006F417A" w:rsidRPr="006F417A" w:rsidRDefault="006F417A" w:rsidP="00BF4D66">
            <w:pPr>
              <w:adjustRightInd w:val="0"/>
              <w:spacing w:before="20"/>
              <w:jc w:val="right"/>
              <w:rPr>
                <w:color w:val="000000"/>
                <w:sz w:val="16"/>
                <w:szCs w:val="16"/>
              </w:rPr>
            </w:pPr>
          </w:p>
        </w:tc>
      </w:tr>
      <w:tr w:rsidR="00BF4D66" w:rsidRPr="009B1415" w:rsidTr="00EE08A0">
        <w:tc>
          <w:tcPr>
            <w:tcW w:w="4266" w:type="dxa"/>
          </w:tcPr>
          <w:p w:rsidR="00BF4D66" w:rsidRPr="009B1415" w:rsidRDefault="00BF4D66" w:rsidP="006F417A">
            <w:pPr>
              <w:spacing w:before="20"/>
              <w:ind w:left="176"/>
              <w:jc w:val="both"/>
              <w:rPr>
                <w:sz w:val="16"/>
                <w:szCs w:val="16"/>
              </w:rPr>
            </w:pPr>
            <w:r w:rsidRPr="009B1415">
              <w:rPr>
                <w:sz w:val="16"/>
                <w:szCs w:val="16"/>
              </w:rPr>
              <w:t>Yes</w:t>
            </w:r>
          </w:p>
        </w:tc>
        <w:tc>
          <w:tcPr>
            <w:tcW w:w="972"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50.4</w:t>
            </w:r>
          </w:p>
        </w:tc>
        <w:tc>
          <w:tcPr>
            <w:tcW w:w="1108" w:type="dxa"/>
            <w:vAlign w:val="center"/>
          </w:tcPr>
          <w:p w:rsidR="00BF4D66" w:rsidRPr="006F417A" w:rsidRDefault="00BF4D66" w:rsidP="00BF4D66">
            <w:pPr>
              <w:adjustRightInd w:val="0"/>
              <w:spacing w:before="20"/>
              <w:jc w:val="right"/>
              <w:rPr>
                <w:color w:val="000000"/>
                <w:sz w:val="16"/>
                <w:szCs w:val="16"/>
              </w:rPr>
            </w:pPr>
            <w:r w:rsidRPr="006F417A">
              <w:rPr>
                <w:color w:val="000000"/>
                <w:sz w:val="16"/>
                <w:szCs w:val="16"/>
              </w:rPr>
              <w:t>1.32</w:t>
            </w:r>
          </w:p>
        </w:tc>
        <w:tc>
          <w:tcPr>
            <w:tcW w:w="1213" w:type="dxa"/>
            <w:gridSpan w:val="2"/>
            <w:vAlign w:val="center"/>
          </w:tcPr>
          <w:p w:rsidR="00BF4D66" w:rsidRPr="006F417A" w:rsidRDefault="008A0DFA" w:rsidP="00BF4D66">
            <w:pPr>
              <w:adjustRightInd w:val="0"/>
              <w:spacing w:before="20"/>
              <w:jc w:val="right"/>
              <w:rPr>
                <w:color w:val="000000"/>
                <w:sz w:val="16"/>
                <w:szCs w:val="16"/>
              </w:rPr>
            </w:pPr>
            <w:r>
              <w:rPr>
                <w:color w:val="000000"/>
                <w:sz w:val="16"/>
                <w:szCs w:val="16"/>
              </w:rPr>
              <w:t>(</w:t>
            </w:r>
            <w:r w:rsidR="00BF4D66" w:rsidRPr="006F417A">
              <w:rPr>
                <w:color w:val="000000"/>
                <w:sz w:val="16"/>
                <w:szCs w:val="16"/>
              </w:rPr>
              <w:t>0.67</w:t>
            </w:r>
            <w:r w:rsidR="00BF4D66">
              <w:rPr>
                <w:color w:val="000000"/>
                <w:sz w:val="16"/>
                <w:szCs w:val="16"/>
              </w:rPr>
              <w:t xml:space="preserve"> - </w:t>
            </w:r>
            <w:r w:rsidR="00BF4D66" w:rsidRPr="006F417A">
              <w:rPr>
                <w:color w:val="000000"/>
                <w:sz w:val="16"/>
                <w:szCs w:val="16"/>
              </w:rPr>
              <w:t>2.61</w:t>
            </w:r>
            <w:r>
              <w:rPr>
                <w:color w:val="000000"/>
                <w:sz w:val="16"/>
                <w:szCs w:val="16"/>
              </w:rPr>
              <w:t>)</w:t>
            </w:r>
          </w:p>
        </w:tc>
        <w:tc>
          <w:tcPr>
            <w:tcW w:w="747" w:type="dxa"/>
            <w:vAlign w:val="center"/>
          </w:tcPr>
          <w:p w:rsidR="00BF4D66" w:rsidRPr="006F417A" w:rsidRDefault="00BF4D66" w:rsidP="00BF4D66">
            <w:pPr>
              <w:adjustRightInd w:val="0"/>
              <w:spacing w:before="20"/>
              <w:jc w:val="right"/>
              <w:rPr>
                <w:color w:val="000000"/>
                <w:sz w:val="16"/>
                <w:szCs w:val="16"/>
              </w:rPr>
            </w:pPr>
          </w:p>
        </w:tc>
      </w:tr>
      <w:tr w:rsidR="006F417A" w:rsidRPr="009B1415" w:rsidTr="00EE08A0">
        <w:tc>
          <w:tcPr>
            <w:tcW w:w="4266" w:type="dxa"/>
            <w:tcBorders>
              <w:bottom w:val="single" w:sz="4" w:space="0" w:color="auto"/>
            </w:tcBorders>
          </w:tcPr>
          <w:p w:rsidR="006F417A" w:rsidRPr="009B1415" w:rsidRDefault="006F417A" w:rsidP="006F417A">
            <w:pPr>
              <w:spacing w:before="20"/>
              <w:ind w:left="176"/>
              <w:jc w:val="both"/>
              <w:rPr>
                <w:sz w:val="16"/>
                <w:szCs w:val="16"/>
              </w:rPr>
            </w:pPr>
            <w:r w:rsidRPr="009B1415">
              <w:rPr>
                <w:sz w:val="16"/>
                <w:szCs w:val="16"/>
              </w:rPr>
              <w:t>No</w:t>
            </w:r>
          </w:p>
        </w:tc>
        <w:tc>
          <w:tcPr>
            <w:tcW w:w="972" w:type="dxa"/>
            <w:tcBorders>
              <w:bottom w:val="single" w:sz="4" w:space="0" w:color="auto"/>
            </w:tcBorders>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43.5</w:t>
            </w:r>
          </w:p>
        </w:tc>
        <w:tc>
          <w:tcPr>
            <w:tcW w:w="1108" w:type="dxa"/>
            <w:tcBorders>
              <w:bottom w:val="single" w:sz="4" w:space="0" w:color="auto"/>
            </w:tcBorders>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1.00</w:t>
            </w:r>
          </w:p>
        </w:tc>
        <w:tc>
          <w:tcPr>
            <w:tcW w:w="831" w:type="dxa"/>
            <w:tcBorders>
              <w:bottom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382" w:type="dxa"/>
            <w:tcBorders>
              <w:bottom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747" w:type="dxa"/>
            <w:tcBorders>
              <w:bottom w:val="single" w:sz="4" w:space="0" w:color="auto"/>
            </w:tcBorders>
            <w:vAlign w:val="center"/>
          </w:tcPr>
          <w:p w:rsidR="006F417A" w:rsidRPr="006F417A" w:rsidRDefault="006F417A" w:rsidP="00BF4D66">
            <w:pPr>
              <w:adjustRightInd w:val="0"/>
              <w:spacing w:before="20"/>
              <w:jc w:val="right"/>
              <w:rPr>
                <w:color w:val="000000"/>
                <w:sz w:val="16"/>
                <w:szCs w:val="16"/>
              </w:rPr>
            </w:pPr>
            <w:r w:rsidRPr="006F417A">
              <w:rPr>
                <w:color w:val="000000"/>
                <w:sz w:val="16"/>
                <w:szCs w:val="16"/>
              </w:rPr>
              <w:t>0.43</w:t>
            </w:r>
          </w:p>
        </w:tc>
      </w:tr>
      <w:tr w:rsidR="006F417A" w:rsidRPr="009B1415" w:rsidTr="00EE08A0">
        <w:tc>
          <w:tcPr>
            <w:tcW w:w="4266" w:type="dxa"/>
            <w:tcBorders>
              <w:top w:val="single" w:sz="4" w:space="0" w:color="auto"/>
            </w:tcBorders>
            <w:vAlign w:val="bottom"/>
          </w:tcPr>
          <w:p w:rsidR="006F417A" w:rsidRPr="009B1415" w:rsidRDefault="006F417A" w:rsidP="006F417A">
            <w:pPr>
              <w:keepNext/>
              <w:spacing w:before="20"/>
              <w:jc w:val="both"/>
              <w:rPr>
                <w:b/>
                <w:sz w:val="16"/>
                <w:szCs w:val="16"/>
              </w:rPr>
            </w:pPr>
            <w:r w:rsidRPr="009B1415">
              <w:rPr>
                <w:b/>
                <w:bCs/>
                <w:color w:val="000000"/>
                <w:sz w:val="16"/>
                <w:szCs w:val="16"/>
              </w:rPr>
              <w:lastRenderedPageBreak/>
              <w:t>Ever smoked more than 100 cigarettes in lifetime</w:t>
            </w:r>
          </w:p>
        </w:tc>
        <w:tc>
          <w:tcPr>
            <w:tcW w:w="972" w:type="dxa"/>
            <w:tcBorders>
              <w:top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1108" w:type="dxa"/>
            <w:tcBorders>
              <w:top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831" w:type="dxa"/>
            <w:tcBorders>
              <w:top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382" w:type="dxa"/>
            <w:tcBorders>
              <w:top w:val="single" w:sz="4" w:space="0" w:color="auto"/>
            </w:tcBorders>
            <w:vAlign w:val="center"/>
          </w:tcPr>
          <w:p w:rsidR="006F417A" w:rsidRPr="006F417A" w:rsidRDefault="006F417A" w:rsidP="00BF4D66">
            <w:pPr>
              <w:adjustRightInd w:val="0"/>
              <w:spacing w:before="20"/>
              <w:jc w:val="right"/>
              <w:rPr>
                <w:color w:val="000000"/>
                <w:sz w:val="16"/>
                <w:szCs w:val="16"/>
              </w:rPr>
            </w:pPr>
          </w:p>
        </w:tc>
        <w:tc>
          <w:tcPr>
            <w:tcW w:w="747" w:type="dxa"/>
            <w:tcBorders>
              <w:top w:val="single" w:sz="4" w:space="0" w:color="auto"/>
            </w:tcBorders>
            <w:vAlign w:val="center"/>
          </w:tcPr>
          <w:p w:rsidR="006F417A" w:rsidRPr="006F417A" w:rsidRDefault="006F417A" w:rsidP="00BF4D66">
            <w:pPr>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keepNext/>
              <w:spacing w:before="20"/>
              <w:ind w:left="176"/>
              <w:jc w:val="both"/>
              <w:rPr>
                <w:sz w:val="16"/>
                <w:szCs w:val="16"/>
              </w:rPr>
            </w:pPr>
            <w:r w:rsidRPr="009B1415">
              <w:rPr>
                <w:sz w:val="16"/>
                <w:szCs w:val="16"/>
              </w:rPr>
              <w:t>Yes</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55.2</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1.78</w:t>
            </w:r>
          </w:p>
        </w:tc>
        <w:tc>
          <w:tcPr>
            <w:tcW w:w="1213" w:type="dxa"/>
            <w:gridSpan w:val="2"/>
            <w:vAlign w:val="center"/>
          </w:tcPr>
          <w:p w:rsidR="00875675" w:rsidRPr="006F417A" w:rsidRDefault="00875675" w:rsidP="00875675">
            <w:pPr>
              <w:adjustRightInd w:val="0"/>
              <w:spacing w:before="20"/>
              <w:jc w:val="right"/>
              <w:rPr>
                <w:color w:val="000000"/>
                <w:sz w:val="16"/>
                <w:szCs w:val="16"/>
              </w:rPr>
            </w:pPr>
            <w:r>
              <w:rPr>
                <w:color w:val="000000"/>
                <w:sz w:val="16"/>
                <w:szCs w:val="16"/>
              </w:rPr>
              <w:t>(</w:t>
            </w:r>
            <w:r w:rsidRPr="006F417A">
              <w:rPr>
                <w:color w:val="000000"/>
                <w:sz w:val="16"/>
                <w:szCs w:val="16"/>
              </w:rPr>
              <w:t>0.93</w:t>
            </w:r>
            <w:r>
              <w:rPr>
                <w:color w:val="000000"/>
                <w:sz w:val="16"/>
                <w:szCs w:val="16"/>
              </w:rPr>
              <w:t xml:space="preserve"> - </w:t>
            </w:r>
            <w:r w:rsidRPr="006F417A">
              <w:rPr>
                <w:color w:val="000000"/>
                <w:sz w:val="16"/>
                <w:szCs w:val="16"/>
              </w:rPr>
              <w:t>3.40</w:t>
            </w:r>
            <w:r>
              <w:rPr>
                <w:color w:val="000000"/>
                <w:sz w:val="16"/>
                <w:szCs w:val="16"/>
              </w:rPr>
              <w:t>)</w:t>
            </w:r>
          </w:p>
        </w:tc>
        <w:tc>
          <w:tcPr>
            <w:tcW w:w="747" w:type="dxa"/>
            <w:vAlign w:val="center"/>
          </w:tcPr>
          <w:p w:rsidR="00875675" w:rsidRPr="006F417A" w:rsidRDefault="00875675" w:rsidP="00875675">
            <w:pPr>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keepNext/>
              <w:spacing w:before="20"/>
              <w:ind w:left="176"/>
              <w:jc w:val="both"/>
              <w:rPr>
                <w:sz w:val="16"/>
                <w:szCs w:val="16"/>
              </w:rPr>
            </w:pPr>
            <w:r w:rsidRPr="009B1415">
              <w:rPr>
                <w:sz w:val="16"/>
                <w:szCs w:val="16"/>
              </w:rPr>
              <w:t>No</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40.9</w:t>
            </w:r>
          </w:p>
        </w:tc>
        <w:tc>
          <w:tcPr>
            <w:tcW w:w="1108" w:type="dxa"/>
            <w:vAlign w:val="center"/>
          </w:tcPr>
          <w:p w:rsidR="00875675" w:rsidRPr="006F417A" w:rsidRDefault="00875675" w:rsidP="00875675">
            <w:pPr>
              <w:adjustRightInd w:val="0"/>
              <w:spacing w:before="20"/>
              <w:jc w:val="right"/>
              <w:rPr>
                <w:color w:val="000000"/>
                <w:sz w:val="16"/>
                <w:szCs w:val="16"/>
              </w:rPr>
            </w:pPr>
            <w:r>
              <w:rPr>
                <w:color w:val="000000"/>
                <w:sz w:val="16"/>
                <w:szCs w:val="16"/>
              </w:rPr>
              <w:t>1.00</w:t>
            </w:r>
          </w:p>
        </w:tc>
        <w:tc>
          <w:tcPr>
            <w:tcW w:w="1213" w:type="dxa"/>
            <w:gridSpan w:val="2"/>
            <w:vAlign w:val="center"/>
          </w:tcPr>
          <w:p w:rsidR="00875675" w:rsidRPr="006F417A" w:rsidRDefault="00875675" w:rsidP="00875675">
            <w:pPr>
              <w:adjustRightInd w:val="0"/>
              <w:spacing w:before="20"/>
              <w:jc w:val="right"/>
              <w:rPr>
                <w:color w:val="000000"/>
                <w:sz w:val="16"/>
                <w:szCs w:val="16"/>
              </w:rPr>
            </w:pPr>
          </w:p>
        </w:tc>
        <w:tc>
          <w:tcPr>
            <w:tcW w:w="747"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0.08</w:t>
            </w:r>
          </w:p>
        </w:tc>
      </w:tr>
      <w:tr w:rsidR="00875675" w:rsidRPr="009B1415" w:rsidTr="00F959A8">
        <w:tc>
          <w:tcPr>
            <w:tcW w:w="4266" w:type="dxa"/>
            <w:vAlign w:val="bottom"/>
          </w:tcPr>
          <w:p w:rsidR="00875675" w:rsidRPr="009B1415" w:rsidRDefault="00875675" w:rsidP="00875675">
            <w:pPr>
              <w:spacing w:before="20"/>
              <w:jc w:val="both"/>
              <w:rPr>
                <w:b/>
                <w:sz w:val="16"/>
                <w:szCs w:val="16"/>
              </w:rPr>
            </w:pPr>
            <w:r w:rsidRPr="009B1415">
              <w:rPr>
                <w:b/>
                <w:bCs/>
                <w:color w:val="000000"/>
                <w:sz w:val="16"/>
                <w:szCs w:val="16"/>
              </w:rPr>
              <w:t>Ever smoked daily for a period of time</w:t>
            </w:r>
          </w:p>
        </w:tc>
        <w:tc>
          <w:tcPr>
            <w:tcW w:w="972" w:type="dxa"/>
            <w:vAlign w:val="center"/>
          </w:tcPr>
          <w:p w:rsidR="00875675" w:rsidRPr="006F417A" w:rsidRDefault="00875675" w:rsidP="00875675">
            <w:pPr>
              <w:adjustRightInd w:val="0"/>
              <w:spacing w:before="20"/>
              <w:jc w:val="right"/>
              <w:rPr>
                <w:color w:val="000000"/>
                <w:sz w:val="16"/>
                <w:szCs w:val="16"/>
              </w:rPr>
            </w:pPr>
          </w:p>
        </w:tc>
        <w:tc>
          <w:tcPr>
            <w:tcW w:w="1108" w:type="dxa"/>
            <w:vAlign w:val="center"/>
          </w:tcPr>
          <w:p w:rsidR="00875675" w:rsidRPr="006F417A" w:rsidRDefault="00875675" w:rsidP="00875675">
            <w:pPr>
              <w:adjustRightInd w:val="0"/>
              <w:spacing w:before="20"/>
              <w:jc w:val="right"/>
              <w:rPr>
                <w:color w:val="000000"/>
                <w:sz w:val="16"/>
                <w:szCs w:val="16"/>
              </w:rPr>
            </w:pPr>
          </w:p>
        </w:tc>
        <w:tc>
          <w:tcPr>
            <w:tcW w:w="831" w:type="dxa"/>
            <w:vAlign w:val="center"/>
          </w:tcPr>
          <w:p w:rsidR="00875675" w:rsidRPr="006F417A" w:rsidRDefault="00875675" w:rsidP="00875675">
            <w:pPr>
              <w:adjustRightInd w:val="0"/>
              <w:spacing w:before="20"/>
              <w:jc w:val="right"/>
              <w:rPr>
                <w:color w:val="000000"/>
                <w:sz w:val="16"/>
                <w:szCs w:val="16"/>
              </w:rPr>
            </w:pPr>
          </w:p>
        </w:tc>
        <w:tc>
          <w:tcPr>
            <w:tcW w:w="382" w:type="dxa"/>
            <w:vAlign w:val="center"/>
          </w:tcPr>
          <w:p w:rsidR="00875675" w:rsidRPr="006F417A" w:rsidRDefault="00875675" w:rsidP="00875675">
            <w:pPr>
              <w:adjustRightInd w:val="0"/>
              <w:spacing w:before="20"/>
              <w:jc w:val="right"/>
              <w:rPr>
                <w:color w:val="000000"/>
                <w:sz w:val="16"/>
                <w:szCs w:val="16"/>
              </w:rPr>
            </w:pPr>
          </w:p>
        </w:tc>
        <w:tc>
          <w:tcPr>
            <w:tcW w:w="747" w:type="dxa"/>
            <w:vAlign w:val="center"/>
          </w:tcPr>
          <w:p w:rsidR="00875675" w:rsidRPr="006F417A" w:rsidRDefault="00875675" w:rsidP="00875675">
            <w:pPr>
              <w:adjustRightInd w:val="0"/>
              <w:spacing w:before="20"/>
              <w:jc w:val="right"/>
              <w:rPr>
                <w:color w:val="000000"/>
                <w:sz w:val="16"/>
                <w:szCs w:val="16"/>
              </w:rPr>
            </w:pPr>
          </w:p>
        </w:tc>
      </w:tr>
      <w:tr w:rsidR="00875675" w:rsidRPr="009B1415" w:rsidTr="00EE08A0">
        <w:tc>
          <w:tcPr>
            <w:tcW w:w="4266" w:type="dxa"/>
          </w:tcPr>
          <w:p w:rsidR="00875675" w:rsidRPr="009B1415" w:rsidRDefault="00875675" w:rsidP="00875675">
            <w:pPr>
              <w:spacing w:before="20"/>
              <w:ind w:left="176"/>
              <w:jc w:val="both"/>
              <w:rPr>
                <w:sz w:val="16"/>
                <w:szCs w:val="16"/>
              </w:rPr>
            </w:pPr>
            <w:r w:rsidRPr="009B1415">
              <w:rPr>
                <w:sz w:val="16"/>
                <w:szCs w:val="16"/>
              </w:rPr>
              <w:t>Yes</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53.4</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1.48</w:t>
            </w:r>
          </w:p>
        </w:tc>
        <w:tc>
          <w:tcPr>
            <w:tcW w:w="1213" w:type="dxa"/>
            <w:gridSpan w:val="2"/>
            <w:vAlign w:val="center"/>
          </w:tcPr>
          <w:p w:rsidR="00875675" w:rsidRPr="006F417A" w:rsidRDefault="00875675" w:rsidP="00875675">
            <w:pPr>
              <w:adjustRightInd w:val="0"/>
              <w:spacing w:before="20"/>
              <w:jc w:val="right"/>
              <w:rPr>
                <w:color w:val="000000"/>
                <w:sz w:val="16"/>
                <w:szCs w:val="16"/>
              </w:rPr>
            </w:pPr>
            <w:r>
              <w:rPr>
                <w:color w:val="000000"/>
                <w:sz w:val="16"/>
                <w:szCs w:val="16"/>
              </w:rPr>
              <w:t>(</w:t>
            </w:r>
            <w:r w:rsidRPr="006F417A">
              <w:rPr>
                <w:color w:val="000000"/>
                <w:sz w:val="16"/>
                <w:szCs w:val="16"/>
              </w:rPr>
              <w:t>0.78</w:t>
            </w:r>
            <w:r>
              <w:rPr>
                <w:color w:val="000000"/>
                <w:sz w:val="16"/>
                <w:szCs w:val="16"/>
              </w:rPr>
              <w:t xml:space="preserve"> - </w:t>
            </w:r>
            <w:r w:rsidRPr="006F417A">
              <w:rPr>
                <w:color w:val="000000"/>
                <w:sz w:val="16"/>
                <w:szCs w:val="16"/>
              </w:rPr>
              <w:t>2.81</w:t>
            </w:r>
            <w:r>
              <w:rPr>
                <w:color w:val="000000"/>
                <w:sz w:val="16"/>
                <w:szCs w:val="16"/>
              </w:rPr>
              <w:t>)</w:t>
            </w:r>
          </w:p>
        </w:tc>
        <w:tc>
          <w:tcPr>
            <w:tcW w:w="747" w:type="dxa"/>
            <w:vAlign w:val="center"/>
          </w:tcPr>
          <w:p w:rsidR="00875675" w:rsidRPr="006F417A" w:rsidRDefault="00875675" w:rsidP="00875675">
            <w:pPr>
              <w:adjustRightInd w:val="0"/>
              <w:spacing w:before="20"/>
              <w:jc w:val="right"/>
              <w:rPr>
                <w:color w:val="000000"/>
                <w:sz w:val="16"/>
                <w:szCs w:val="16"/>
              </w:rPr>
            </w:pPr>
          </w:p>
        </w:tc>
      </w:tr>
      <w:tr w:rsidR="00875675" w:rsidRPr="009B1415" w:rsidTr="00EE08A0">
        <w:tc>
          <w:tcPr>
            <w:tcW w:w="4266" w:type="dxa"/>
          </w:tcPr>
          <w:p w:rsidR="00875675" w:rsidRPr="009B1415" w:rsidRDefault="00875675" w:rsidP="00875675">
            <w:pPr>
              <w:spacing w:before="20"/>
              <w:ind w:left="176"/>
              <w:jc w:val="both"/>
              <w:rPr>
                <w:sz w:val="16"/>
                <w:szCs w:val="16"/>
              </w:rPr>
            </w:pPr>
            <w:r w:rsidRPr="009B1415">
              <w:rPr>
                <w:sz w:val="16"/>
                <w:szCs w:val="16"/>
              </w:rPr>
              <w:t>No</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43.6</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1.00</w:t>
            </w:r>
          </w:p>
        </w:tc>
        <w:tc>
          <w:tcPr>
            <w:tcW w:w="831" w:type="dxa"/>
            <w:vAlign w:val="center"/>
          </w:tcPr>
          <w:p w:rsidR="00875675" w:rsidRPr="006F417A" w:rsidRDefault="00875675" w:rsidP="00875675">
            <w:pPr>
              <w:adjustRightInd w:val="0"/>
              <w:spacing w:before="20"/>
              <w:jc w:val="right"/>
              <w:rPr>
                <w:color w:val="000000"/>
                <w:sz w:val="16"/>
                <w:szCs w:val="16"/>
              </w:rPr>
            </w:pPr>
          </w:p>
        </w:tc>
        <w:tc>
          <w:tcPr>
            <w:tcW w:w="382" w:type="dxa"/>
            <w:vAlign w:val="center"/>
          </w:tcPr>
          <w:p w:rsidR="00875675" w:rsidRPr="006F417A" w:rsidRDefault="00875675" w:rsidP="00875675">
            <w:pPr>
              <w:adjustRightInd w:val="0"/>
              <w:spacing w:before="20"/>
              <w:jc w:val="right"/>
              <w:rPr>
                <w:color w:val="000000"/>
                <w:sz w:val="16"/>
                <w:szCs w:val="16"/>
              </w:rPr>
            </w:pPr>
          </w:p>
        </w:tc>
        <w:tc>
          <w:tcPr>
            <w:tcW w:w="747"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0.23</w:t>
            </w:r>
          </w:p>
        </w:tc>
      </w:tr>
      <w:tr w:rsidR="00875675" w:rsidRPr="009B1415" w:rsidTr="00EE08A0">
        <w:tc>
          <w:tcPr>
            <w:tcW w:w="4266" w:type="dxa"/>
            <w:vAlign w:val="bottom"/>
          </w:tcPr>
          <w:p w:rsidR="00875675" w:rsidRPr="009B1415" w:rsidRDefault="00875675" w:rsidP="00875675">
            <w:pPr>
              <w:keepNext/>
              <w:spacing w:before="20"/>
              <w:jc w:val="both"/>
              <w:rPr>
                <w:b/>
                <w:sz w:val="16"/>
                <w:szCs w:val="16"/>
              </w:rPr>
            </w:pPr>
            <w:r w:rsidRPr="009B1415">
              <w:rPr>
                <w:b/>
                <w:bCs/>
                <w:color w:val="000000"/>
                <w:sz w:val="16"/>
                <w:szCs w:val="16"/>
              </w:rPr>
              <w:t>Current tobacco use</w:t>
            </w:r>
          </w:p>
        </w:tc>
        <w:tc>
          <w:tcPr>
            <w:tcW w:w="972" w:type="dxa"/>
            <w:vAlign w:val="center"/>
          </w:tcPr>
          <w:p w:rsidR="00875675" w:rsidRPr="00B61EF6" w:rsidRDefault="00875675" w:rsidP="00875675">
            <w:pPr>
              <w:keepNext/>
              <w:adjustRightInd w:val="0"/>
              <w:spacing w:before="20"/>
              <w:jc w:val="right"/>
              <w:rPr>
                <w:color w:val="000000"/>
                <w:sz w:val="16"/>
                <w:szCs w:val="16"/>
              </w:rPr>
            </w:pPr>
          </w:p>
        </w:tc>
        <w:tc>
          <w:tcPr>
            <w:tcW w:w="1108" w:type="dxa"/>
            <w:vAlign w:val="center"/>
          </w:tcPr>
          <w:p w:rsidR="00875675" w:rsidRPr="00B61EF6" w:rsidRDefault="00875675" w:rsidP="00875675">
            <w:pPr>
              <w:keepNext/>
              <w:adjustRightInd w:val="0"/>
              <w:spacing w:before="20"/>
              <w:jc w:val="right"/>
              <w:rPr>
                <w:color w:val="000000"/>
                <w:sz w:val="16"/>
                <w:szCs w:val="16"/>
              </w:rPr>
            </w:pPr>
          </w:p>
        </w:tc>
        <w:tc>
          <w:tcPr>
            <w:tcW w:w="831" w:type="dxa"/>
            <w:vAlign w:val="center"/>
          </w:tcPr>
          <w:p w:rsidR="00875675" w:rsidRPr="00B61EF6" w:rsidRDefault="00875675" w:rsidP="00875675">
            <w:pPr>
              <w:keepNext/>
              <w:adjustRightInd w:val="0"/>
              <w:spacing w:before="20"/>
              <w:jc w:val="right"/>
              <w:rPr>
                <w:color w:val="000000"/>
                <w:sz w:val="16"/>
                <w:szCs w:val="16"/>
              </w:rPr>
            </w:pPr>
          </w:p>
        </w:tc>
        <w:tc>
          <w:tcPr>
            <w:tcW w:w="382" w:type="dxa"/>
            <w:vAlign w:val="center"/>
          </w:tcPr>
          <w:p w:rsidR="00875675" w:rsidRPr="00B61EF6" w:rsidRDefault="00875675" w:rsidP="00875675">
            <w:pPr>
              <w:keepNext/>
              <w:adjustRightInd w:val="0"/>
              <w:spacing w:before="20"/>
              <w:jc w:val="right"/>
              <w:rPr>
                <w:color w:val="000000"/>
                <w:sz w:val="16"/>
                <w:szCs w:val="16"/>
              </w:rPr>
            </w:pPr>
          </w:p>
        </w:tc>
        <w:tc>
          <w:tcPr>
            <w:tcW w:w="747" w:type="dxa"/>
            <w:vAlign w:val="center"/>
          </w:tcPr>
          <w:p w:rsidR="00875675" w:rsidRPr="00B61EF6" w:rsidRDefault="00875675" w:rsidP="00875675">
            <w:pPr>
              <w:keepNext/>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keepNext/>
              <w:spacing w:before="20"/>
              <w:ind w:left="176"/>
              <w:jc w:val="both"/>
              <w:rPr>
                <w:sz w:val="16"/>
                <w:szCs w:val="16"/>
              </w:rPr>
            </w:pPr>
            <w:r w:rsidRPr="009B1415">
              <w:rPr>
                <w:sz w:val="16"/>
                <w:szCs w:val="16"/>
              </w:rPr>
              <w:t>Does not smoke now</w:t>
            </w:r>
          </w:p>
        </w:tc>
        <w:tc>
          <w:tcPr>
            <w:tcW w:w="972" w:type="dxa"/>
            <w:vAlign w:val="center"/>
          </w:tcPr>
          <w:p w:rsidR="00875675" w:rsidRPr="006F417A" w:rsidRDefault="00875675" w:rsidP="00875675">
            <w:pPr>
              <w:keepNext/>
              <w:adjustRightInd w:val="0"/>
              <w:spacing w:before="20"/>
              <w:jc w:val="right"/>
              <w:rPr>
                <w:color w:val="000000"/>
                <w:sz w:val="16"/>
                <w:szCs w:val="16"/>
              </w:rPr>
            </w:pPr>
            <w:r w:rsidRPr="006F417A">
              <w:rPr>
                <w:color w:val="000000"/>
                <w:sz w:val="16"/>
                <w:szCs w:val="16"/>
              </w:rPr>
              <w:t>58.0</w:t>
            </w:r>
          </w:p>
        </w:tc>
        <w:tc>
          <w:tcPr>
            <w:tcW w:w="1108" w:type="dxa"/>
            <w:vAlign w:val="center"/>
          </w:tcPr>
          <w:p w:rsidR="00875675" w:rsidRPr="006F417A" w:rsidRDefault="00875675" w:rsidP="00875675">
            <w:pPr>
              <w:keepNext/>
              <w:adjustRightInd w:val="0"/>
              <w:spacing w:before="20"/>
              <w:jc w:val="right"/>
              <w:rPr>
                <w:color w:val="000000"/>
                <w:sz w:val="16"/>
                <w:szCs w:val="16"/>
              </w:rPr>
            </w:pPr>
            <w:r w:rsidRPr="006F417A">
              <w:rPr>
                <w:color w:val="000000"/>
                <w:sz w:val="16"/>
                <w:szCs w:val="16"/>
              </w:rPr>
              <w:t>1.99</w:t>
            </w:r>
          </w:p>
        </w:tc>
        <w:tc>
          <w:tcPr>
            <w:tcW w:w="1213" w:type="dxa"/>
            <w:gridSpan w:val="2"/>
            <w:vAlign w:val="center"/>
          </w:tcPr>
          <w:p w:rsidR="00875675" w:rsidRPr="006F417A" w:rsidRDefault="00875675" w:rsidP="00875675">
            <w:pPr>
              <w:keepNext/>
              <w:adjustRightInd w:val="0"/>
              <w:spacing w:before="20"/>
              <w:jc w:val="right"/>
              <w:rPr>
                <w:color w:val="000000"/>
                <w:sz w:val="16"/>
                <w:szCs w:val="16"/>
              </w:rPr>
            </w:pPr>
            <w:r>
              <w:rPr>
                <w:color w:val="000000"/>
                <w:sz w:val="16"/>
                <w:szCs w:val="16"/>
              </w:rPr>
              <w:t>(</w:t>
            </w:r>
            <w:r w:rsidRPr="006F417A">
              <w:rPr>
                <w:color w:val="000000"/>
                <w:sz w:val="16"/>
                <w:szCs w:val="16"/>
              </w:rPr>
              <w:t>0.87</w:t>
            </w:r>
            <w:r>
              <w:rPr>
                <w:color w:val="000000"/>
                <w:sz w:val="16"/>
                <w:szCs w:val="16"/>
              </w:rPr>
              <w:t xml:space="preserve"> - </w:t>
            </w:r>
            <w:r w:rsidRPr="006F417A">
              <w:rPr>
                <w:color w:val="000000"/>
                <w:sz w:val="16"/>
                <w:szCs w:val="16"/>
              </w:rPr>
              <w:t>4.59</w:t>
            </w:r>
            <w:r>
              <w:rPr>
                <w:color w:val="000000"/>
                <w:sz w:val="16"/>
                <w:szCs w:val="16"/>
              </w:rPr>
              <w:t>)</w:t>
            </w:r>
          </w:p>
        </w:tc>
        <w:tc>
          <w:tcPr>
            <w:tcW w:w="747" w:type="dxa"/>
            <w:vAlign w:val="center"/>
          </w:tcPr>
          <w:p w:rsidR="00875675" w:rsidRPr="006F417A" w:rsidRDefault="00875675" w:rsidP="00875675">
            <w:pPr>
              <w:keepNext/>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keepNext/>
              <w:spacing w:before="20"/>
              <w:ind w:left="176"/>
              <w:jc w:val="both"/>
              <w:rPr>
                <w:sz w:val="16"/>
                <w:szCs w:val="16"/>
              </w:rPr>
            </w:pPr>
            <w:r>
              <w:rPr>
                <w:sz w:val="16"/>
                <w:szCs w:val="16"/>
              </w:rPr>
              <w:t>Smokes at least once a day</w:t>
            </w:r>
          </w:p>
        </w:tc>
        <w:tc>
          <w:tcPr>
            <w:tcW w:w="972" w:type="dxa"/>
            <w:vAlign w:val="center"/>
          </w:tcPr>
          <w:p w:rsidR="00875675" w:rsidRPr="006F417A" w:rsidRDefault="00875675" w:rsidP="00875675">
            <w:pPr>
              <w:keepNext/>
              <w:adjustRightInd w:val="0"/>
              <w:spacing w:before="20"/>
              <w:jc w:val="right"/>
              <w:rPr>
                <w:color w:val="000000"/>
                <w:sz w:val="16"/>
                <w:szCs w:val="16"/>
              </w:rPr>
            </w:pPr>
            <w:r w:rsidRPr="006F417A">
              <w:rPr>
                <w:color w:val="000000"/>
                <w:sz w:val="16"/>
                <w:szCs w:val="16"/>
              </w:rPr>
              <w:t>51.3</w:t>
            </w:r>
          </w:p>
        </w:tc>
        <w:tc>
          <w:tcPr>
            <w:tcW w:w="1108" w:type="dxa"/>
            <w:vAlign w:val="center"/>
          </w:tcPr>
          <w:p w:rsidR="00875675" w:rsidRPr="006F417A" w:rsidRDefault="00875675" w:rsidP="00875675">
            <w:pPr>
              <w:keepNext/>
              <w:adjustRightInd w:val="0"/>
              <w:spacing w:before="20"/>
              <w:jc w:val="right"/>
              <w:rPr>
                <w:color w:val="000000"/>
                <w:sz w:val="16"/>
                <w:szCs w:val="16"/>
              </w:rPr>
            </w:pPr>
            <w:r w:rsidRPr="006F417A">
              <w:rPr>
                <w:color w:val="000000"/>
                <w:sz w:val="16"/>
                <w:szCs w:val="16"/>
              </w:rPr>
              <w:t>1.52</w:t>
            </w:r>
          </w:p>
        </w:tc>
        <w:tc>
          <w:tcPr>
            <w:tcW w:w="1213" w:type="dxa"/>
            <w:gridSpan w:val="2"/>
            <w:vAlign w:val="center"/>
          </w:tcPr>
          <w:p w:rsidR="00875675" w:rsidRPr="006F417A" w:rsidRDefault="00875675" w:rsidP="00875675">
            <w:pPr>
              <w:keepNext/>
              <w:adjustRightInd w:val="0"/>
              <w:spacing w:before="20"/>
              <w:jc w:val="right"/>
              <w:rPr>
                <w:color w:val="000000"/>
                <w:sz w:val="16"/>
                <w:szCs w:val="16"/>
              </w:rPr>
            </w:pPr>
            <w:r>
              <w:rPr>
                <w:color w:val="000000"/>
                <w:sz w:val="16"/>
                <w:szCs w:val="16"/>
              </w:rPr>
              <w:t>(</w:t>
            </w:r>
            <w:r w:rsidRPr="006F417A">
              <w:rPr>
                <w:color w:val="000000"/>
                <w:sz w:val="16"/>
                <w:szCs w:val="16"/>
              </w:rPr>
              <w:t>0.72</w:t>
            </w:r>
            <w:r>
              <w:rPr>
                <w:color w:val="000000"/>
                <w:sz w:val="16"/>
                <w:szCs w:val="16"/>
              </w:rPr>
              <w:t xml:space="preserve"> - </w:t>
            </w:r>
            <w:r w:rsidRPr="006F417A">
              <w:rPr>
                <w:color w:val="000000"/>
                <w:sz w:val="16"/>
                <w:szCs w:val="16"/>
              </w:rPr>
              <w:t>3.24</w:t>
            </w:r>
            <w:r>
              <w:rPr>
                <w:color w:val="000000"/>
                <w:sz w:val="16"/>
                <w:szCs w:val="16"/>
              </w:rPr>
              <w:t>)</w:t>
            </w:r>
          </w:p>
        </w:tc>
        <w:tc>
          <w:tcPr>
            <w:tcW w:w="747" w:type="dxa"/>
            <w:vAlign w:val="center"/>
          </w:tcPr>
          <w:p w:rsidR="00875675" w:rsidRPr="006F417A" w:rsidRDefault="00875675" w:rsidP="00875675">
            <w:pPr>
              <w:keepNext/>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spacing w:before="20"/>
              <w:ind w:left="176"/>
              <w:jc w:val="both"/>
              <w:rPr>
                <w:sz w:val="16"/>
                <w:szCs w:val="16"/>
              </w:rPr>
            </w:pPr>
            <w:r>
              <w:rPr>
                <w:sz w:val="16"/>
                <w:szCs w:val="16"/>
              </w:rPr>
              <w:t>Smokes at least once a week</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96.8</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44.36</w:t>
            </w:r>
          </w:p>
        </w:tc>
        <w:tc>
          <w:tcPr>
            <w:tcW w:w="1213" w:type="dxa"/>
            <w:gridSpan w:val="2"/>
            <w:vAlign w:val="center"/>
          </w:tcPr>
          <w:p w:rsidR="00875675" w:rsidRPr="006F417A" w:rsidRDefault="00875675" w:rsidP="00875675">
            <w:pPr>
              <w:adjustRightInd w:val="0"/>
              <w:spacing w:before="20"/>
              <w:jc w:val="right"/>
              <w:rPr>
                <w:color w:val="000000"/>
                <w:sz w:val="16"/>
                <w:szCs w:val="16"/>
              </w:rPr>
            </w:pPr>
            <w:r>
              <w:rPr>
                <w:color w:val="000000"/>
                <w:sz w:val="16"/>
                <w:szCs w:val="16"/>
              </w:rPr>
              <w:t>(</w:t>
            </w:r>
            <w:r w:rsidRPr="006F417A">
              <w:rPr>
                <w:color w:val="000000"/>
                <w:sz w:val="16"/>
                <w:szCs w:val="16"/>
              </w:rPr>
              <w:t>4.06</w:t>
            </w:r>
            <w:r>
              <w:rPr>
                <w:color w:val="000000"/>
                <w:sz w:val="16"/>
                <w:szCs w:val="16"/>
              </w:rPr>
              <w:t xml:space="preserve"> - </w:t>
            </w:r>
            <w:r w:rsidRPr="006F417A">
              <w:rPr>
                <w:color w:val="000000"/>
                <w:sz w:val="16"/>
                <w:szCs w:val="16"/>
              </w:rPr>
              <w:t>484.10</w:t>
            </w:r>
            <w:r>
              <w:rPr>
                <w:color w:val="000000"/>
                <w:sz w:val="16"/>
                <w:szCs w:val="16"/>
              </w:rPr>
              <w:t>)</w:t>
            </w:r>
          </w:p>
        </w:tc>
        <w:tc>
          <w:tcPr>
            <w:tcW w:w="747" w:type="dxa"/>
            <w:vAlign w:val="center"/>
          </w:tcPr>
          <w:p w:rsidR="00875675" w:rsidRPr="006F417A" w:rsidRDefault="00875675" w:rsidP="00875675">
            <w:pPr>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spacing w:before="20"/>
              <w:ind w:left="176"/>
              <w:jc w:val="both"/>
              <w:rPr>
                <w:sz w:val="16"/>
                <w:szCs w:val="16"/>
              </w:rPr>
            </w:pPr>
            <w:r>
              <w:rPr>
                <w:sz w:val="16"/>
                <w:szCs w:val="16"/>
              </w:rPr>
              <w:t>Smokes at least once a month</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17.1</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0.30</w:t>
            </w:r>
          </w:p>
        </w:tc>
        <w:tc>
          <w:tcPr>
            <w:tcW w:w="1213" w:type="dxa"/>
            <w:gridSpan w:val="2"/>
            <w:vAlign w:val="center"/>
          </w:tcPr>
          <w:p w:rsidR="00875675" w:rsidRPr="006F417A" w:rsidRDefault="00875675" w:rsidP="00875675">
            <w:pPr>
              <w:adjustRightInd w:val="0"/>
              <w:spacing w:before="20"/>
              <w:jc w:val="right"/>
              <w:rPr>
                <w:color w:val="000000"/>
                <w:sz w:val="16"/>
                <w:szCs w:val="16"/>
              </w:rPr>
            </w:pPr>
            <w:r>
              <w:rPr>
                <w:color w:val="000000"/>
                <w:sz w:val="16"/>
                <w:szCs w:val="16"/>
              </w:rPr>
              <w:t>(</w:t>
            </w:r>
            <w:r w:rsidRPr="006F417A">
              <w:rPr>
                <w:color w:val="000000"/>
                <w:sz w:val="16"/>
                <w:szCs w:val="16"/>
              </w:rPr>
              <w:t>0.02</w:t>
            </w:r>
            <w:r>
              <w:rPr>
                <w:color w:val="000000"/>
                <w:sz w:val="16"/>
                <w:szCs w:val="16"/>
              </w:rPr>
              <w:t xml:space="preserve"> - </w:t>
            </w:r>
            <w:r w:rsidRPr="006F417A">
              <w:rPr>
                <w:color w:val="000000"/>
                <w:sz w:val="16"/>
                <w:szCs w:val="16"/>
              </w:rPr>
              <w:t>5.07</w:t>
            </w:r>
            <w:r>
              <w:rPr>
                <w:color w:val="000000"/>
                <w:sz w:val="16"/>
                <w:szCs w:val="16"/>
              </w:rPr>
              <w:t>)</w:t>
            </w:r>
          </w:p>
        </w:tc>
        <w:tc>
          <w:tcPr>
            <w:tcW w:w="747" w:type="dxa"/>
            <w:vAlign w:val="center"/>
          </w:tcPr>
          <w:p w:rsidR="00875675" w:rsidRPr="006F417A" w:rsidRDefault="00875675" w:rsidP="00875675">
            <w:pPr>
              <w:adjustRightInd w:val="0"/>
              <w:spacing w:before="20"/>
              <w:jc w:val="right"/>
              <w:rPr>
                <w:color w:val="000000"/>
                <w:sz w:val="16"/>
                <w:szCs w:val="16"/>
              </w:rPr>
            </w:pPr>
          </w:p>
        </w:tc>
      </w:tr>
      <w:tr w:rsidR="00875675" w:rsidRPr="009B1415" w:rsidTr="00F959A8">
        <w:tc>
          <w:tcPr>
            <w:tcW w:w="4266" w:type="dxa"/>
          </w:tcPr>
          <w:p w:rsidR="00875675" w:rsidRPr="009B1415" w:rsidRDefault="00875675" w:rsidP="00875675">
            <w:pPr>
              <w:spacing w:before="20"/>
              <w:ind w:left="176"/>
              <w:jc w:val="both"/>
              <w:rPr>
                <w:sz w:val="16"/>
                <w:szCs w:val="16"/>
              </w:rPr>
            </w:pPr>
            <w:r>
              <w:rPr>
                <w:sz w:val="16"/>
                <w:szCs w:val="16"/>
              </w:rPr>
              <w:t>Smokes less than once a month</w:t>
            </w:r>
          </w:p>
        </w:tc>
        <w:tc>
          <w:tcPr>
            <w:tcW w:w="972"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24.0</w:t>
            </w:r>
          </w:p>
        </w:tc>
        <w:tc>
          <w:tcPr>
            <w:tcW w:w="1108" w:type="dxa"/>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0.46</w:t>
            </w:r>
          </w:p>
        </w:tc>
        <w:tc>
          <w:tcPr>
            <w:tcW w:w="1213" w:type="dxa"/>
            <w:gridSpan w:val="2"/>
            <w:vAlign w:val="center"/>
          </w:tcPr>
          <w:p w:rsidR="00875675" w:rsidRPr="006F417A" w:rsidRDefault="00875675" w:rsidP="00875675">
            <w:pPr>
              <w:adjustRightInd w:val="0"/>
              <w:spacing w:before="20"/>
              <w:jc w:val="right"/>
              <w:rPr>
                <w:color w:val="000000"/>
                <w:sz w:val="16"/>
                <w:szCs w:val="16"/>
              </w:rPr>
            </w:pPr>
            <w:r>
              <w:rPr>
                <w:color w:val="000000"/>
                <w:sz w:val="16"/>
                <w:szCs w:val="16"/>
              </w:rPr>
              <w:t>(</w:t>
            </w:r>
            <w:r w:rsidRPr="006F417A">
              <w:rPr>
                <w:color w:val="000000"/>
                <w:sz w:val="16"/>
                <w:szCs w:val="16"/>
              </w:rPr>
              <w:t>0.03</w:t>
            </w:r>
            <w:r>
              <w:rPr>
                <w:color w:val="000000"/>
                <w:sz w:val="16"/>
                <w:szCs w:val="16"/>
              </w:rPr>
              <w:t xml:space="preserve"> - </w:t>
            </w:r>
            <w:r w:rsidRPr="006F417A">
              <w:rPr>
                <w:color w:val="000000"/>
                <w:sz w:val="16"/>
                <w:szCs w:val="16"/>
              </w:rPr>
              <w:t>7.91</w:t>
            </w:r>
            <w:r>
              <w:rPr>
                <w:color w:val="000000"/>
                <w:sz w:val="16"/>
                <w:szCs w:val="16"/>
              </w:rPr>
              <w:t>)</w:t>
            </w:r>
          </w:p>
        </w:tc>
        <w:tc>
          <w:tcPr>
            <w:tcW w:w="747" w:type="dxa"/>
            <w:shd w:val="clear" w:color="auto" w:fill="auto"/>
            <w:vAlign w:val="center"/>
          </w:tcPr>
          <w:p w:rsidR="00875675" w:rsidRPr="006F417A" w:rsidRDefault="00875675" w:rsidP="00875675">
            <w:pPr>
              <w:adjustRightInd w:val="0"/>
              <w:spacing w:before="20"/>
              <w:jc w:val="right"/>
              <w:rPr>
                <w:color w:val="000000"/>
                <w:sz w:val="16"/>
                <w:szCs w:val="16"/>
              </w:rPr>
            </w:pPr>
          </w:p>
        </w:tc>
      </w:tr>
      <w:tr w:rsidR="00875675" w:rsidRPr="009B1415" w:rsidTr="00F959A8">
        <w:tc>
          <w:tcPr>
            <w:tcW w:w="4266" w:type="dxa"/>
            <w:tcBorders>
              <w:bottom w:val="single" w:sz="4" w:space="0" w:color="auto"/>
            </w:tcBorders>
          </w:tcPr>
          <w:p w:rsidR="00875675" w:rsidRPr="009B1415" w:rsidRDefault="00875675" w:rsidP="00875675">
            <w:pPr>
              <w:spacing w:before="20"/>
              <w:ind w:left="176"/>
              <w:jc w:val="both"/>
              <w:rPr>
                <w:sz w:val="16"/>
                <w:szCs w:val="16"/>
              </w:rPr>
            </w:pPr>
            <w:r w:rsidRPr="009B1415">
              <w:rPr>
                <w:sz w:val="16"/>
                <w:szCs w:val="16"/>
              </w:rPr>
              <w:t>Never smoked</w:t>
            </w:r>
          </w:p>
        </w:tc>
        <w:tc>
          <w:tcPr>
            <w:tcW w:w="972" w:type="dxa"/>
            <w:tcBorders>
              <w:bottom w:val="single" w:sz="4" w:space="0" w:color="auto"/>
            </w:tcBorders>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40.9</w:t>
            </w:r>
          </w:p>
        </w:tc>
        <w:tc>
          <w:tcPr>
            <w:tcW w:w="1108" w:type="dxa"/>
            <w:tcBorders>
              <w:bottom w:val="single" w:sz="4" w:space="0" w:color="auto"/>
            </w:tcBorders>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1.00</w:t>
            </w:r>
          </w:p>
        </w:tc>
        <w:tc>
          <w:tcPr>
            <w:tcW w:w="831" w:type="dxa"/>
            <w:tcBorders>
              <w:bottom w:val="single" w:sz="4" w:space="0" w:color="auto"/>
            </w:tcBorders>
            <w:vAlign w:val="center"/>
          </w:tcPr>
          <w:p w:rsidR="00875675" w:rsidRPr="006F417A" w:rsidRDefault="00875675" w:rsidP="00875675">
            <w:pPr>
              <w:adjustRightInd w:val="0"/>
              <w:spacing w:before="20"/>
              <w:jc w:val="right"/>
              <w:rPr>
                <w:color w:val="000000"/>
                <w:sz w:val="16"/>
                <w:szCs w:val="16"/>
              </w:rPr>
            </w:pPr>
          </w:p>
        </w:tc>
        <w:tc>
          <w:tcPr>
            <w:tcW w:w="382" w:type="dxa"/>
            <w:tcBorders>
              <w:bottom w:val="single" w:sz="4" w:space="0" w:color="auto"/>
            </w:tcBorders>
            <w:vAlign w:val="center"/>
          </w:tcPr>
          <w:p w:rsidR="00875675" w:rsidRPr="006F417A" w:rsidRDefault="00875675" w:rsidP="00875675">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875675" w:rsidRPr="006F417A" w:rsidRDefault="00875675" w:rsidP="00875675">
            <w:pPr>
              <w:adjustRightInd w:val="0"/>
              <w:spacing w:before="20"/>
              <w:jc w:val="right"/>
              <w:rPr>
                <w:color w:val="000000"/>
                <w:sz w:val="16"/>
                <w:szCs w:val="16"/>
              </w:rPr>
            </w:pPr>
            <w:r w:rsidRPr="006F417A">
              <w:rPr>
                <w:color w:val="000000"/>
                <w:sz w:val="16"/>
                <w:szCs w:val="16"/>
              </w:rPr>
              <w:t>0.02</w:t>
            </w:r>
          </w:p>
        </w:tc>
      </w:tr>
    </w:tbl>
    <w:p w:rsidR="00FC1500" w:rsidRPr="0034241E" w:rsidRDefault="00FC1500" w:rsidP="00FC1500">
      <w:pPr>
        <w:rPr>
          <w:sz w:val="18"/>
        </w:rPr>
      </w:pPr>
      <w:r>
        <w:rPr>
          <w:sz w:val="18"/>
        </w:rPr>
        <w:t>Data</w:t>
      </w:r>
      <w:r w:rsidRPr="0034241E">
        <w:rPr>
          <w:sz w:val="18"/>
        </w:rPr>
        <w:t xml:space="preserve"> weighted for 2013 Census data (both Waves) and attrition (Wave 2)</w:t>
      </w:r>
    </w:p>
    <w:p w:rsidR="00695268" w:rsidRDefault="00695268">
      <w:r>
        <w:br w:type="page"/>
      </w:r>
    </w:p>
    <w:p w:rsidR="00695268" w:rsidRDefault="00695268" w:rsidP="00695268">
      <w:pPr>
        <w:pStyle w:val="Heading3b"/>
        <w:numPr>
          <w:ilvl w:val="0"/>
          <w:numId w:val="0"/>
        </w:numPr>
        <w:spacing w:before="0" w:after="0"/>
        <w:jc w:val="both"/>
        <w:rPr>
          <w:rFonts w:ascii="Times New Roman" w:hAnsi="Times New Roman" w:cs="Times New Roman"/>
          <w:b/>
          <w:i w:val="0"/>
        </w:rPr>
      </w:pPr>
      <w:bookmarkStart w:id="280" w:name="_Toc420392636"/>
      <w:r w:rsidRPr="006A32F0">
        <w:rPr>
          <w:rFonts w:ascii="Times New Roman" w:hAnsi="Times New Roman" w:cs="Times New Roman"/>
          <w:b/>
          <w:i w:val="0"/>
        </w:rPr>
        <w:lastRenderedPageBreak/>
        <w:t xml:space="preserve">Appendix </w:t>
      </w:r>
      <w:r w:rsidRPr="006A32F0">
        <w:rPr>
          <w:rFonts w:ascii="Times New Roman" w:hAnsi="Times New Roman" w:cs="Times New Roman"/>
          <w:b/>
          <w:i w:val="0"/>
        </w:rPr>
        <w:fldChar w:fldCharType="begin"/>
      </w:r>
      <w:r w:rsidRPr="006A32F0">
        <w:rPr>
          <w:rFonts w:ascii="Times New Roman" w:hAnsi="Times New Roman" w:cs="Times New Roman"/>
          <w:b/>
          <w:i w:val="0"/>
        </w:rPr>
        <w:instrText xml:space="preserve"> SEQ Appendix \* ARABIC </w:instrText>
      </w:r>
      <w:r w:rsidRPr="006A32F0">
        <w:rPr>
          <w:rFonts w:ascii="Times New Roman" w:hAnsi="Times New Roman" w:cs="Times New Roman"/>
          <w:b/>
          <w:i w:val="0"/>
        </w:rPr>
        <w:fldChar w:fldCharType="separate"/>
      </w:r>
      <w:r w:rsidR="00B2175B">
        <w:rPr>
          <w:rFonts w:ascii="Times New Roman" w:hAnsi="Times New Roman" w:cs="Times New Roman"/>
          <w:b/>
          <w:i w:val="0"/>
          <w:noProof/>
        </w:rPr>
        <w:t>13</w:t>
      </w:r>
      <w:r w:rsidRPr="006A32F0">
        <w:rPr>
          <w:rFonts w:ascii="Times New Roman" w:hAnsi="Times New Roman" w:cs="Times New Roman"/>
          <w:b/>
          <w:i w:val="0"/>
        </w:rPr>
        <w:fldChar w:fldCharType="end"/>
      </w:r>
      <w:r w:rsidRPr="006A32F0">
        <w:rPr>
          <w:rFonts w:ascii="Times New Roman" w:hAnsi="Times New Roman" w:cs="Times New Roman"/>
          <w:b/>
          <w:i w:val="0"/>
        </w:rPr>
        <w:t xml:space="preserve">: </w:t>
      </w:r>
      <w:r w:rsidR="007F2FB4">
        <w:rPr>
          <w:rFonts w:ascii="Times New Roman" w:hAnsi="Times New Roman" w:cs="Times New Roman"/>
          <w:b/>
          <w:i w:val="0"/>
        </w:rPr>
        <w:t>B</w:t>
      </w:r>
      <w:r w:rsidR="00961354">
        <w:rPr>
          <w:rFonts w:ascii="Times New Roman" w:hAnsi="Times New Roman" w:cs="Times New Roman"/>
          <w:b/>
          <w:i w:val="0"/>
        </w:rPr>
        <w:t xml:space="preserve">ivariate </w:t>
      </w:r>
      <w:r w:rsidR="007F2FB4">
        <w:rPr>
          <w:rFonts w:ascii="Times New Roman" w:hAnsi="Times New Roman" w:cs="Times New Roman"/>
          <w:b/>
          <w:i w:val="0"/>
        </w:rPr>
        <w:t>associations</w:t>
      </w:r>
      <w:r w:rsidRPr="006A32F0">
        <w:rPr>
          <w:rFonts w:ascii="Times New Roman" w:hAnsi="Times New Roman" w:cs="Times New Roman"/>
          <w:b/>
          <w:i w:val="0"/>
        </w:rPr>
        <w:t xml:space="preserve"> for re-initiation of gambling </w:t>
      </w:r>
      <w:r w:rsidR="004649FE">
        <w:rPr>
          <w:rFonts w:ascii="Times New Roman" w:hAnsi="Times New Roman" w:cs="Times New Roman"/>
          <w:b/>
          <w:i w:val="0"/>
        </w:rPr>
        <w:t>in Wave 2</w:t>
      </w:r>
      <w:bookmarkEnd w:id="280"/>
    </w:p>
    <w:p w:rsidR="00695268" w:rsidRDefault="00695268" w:rsidP="006952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971"/>
        <w:gridCol w:w="1110"/>
        <w:gridCol w:w="830"/>
        <w:gridCol w:w="282"/>
        <w:gridCol w:w="839"/>
      </w:tblGrid>
      <w:tr w:rsidR="00695268" w:rsidRPr="009B1415" w:rsidTr="009F73AF">
        <w:trPr>
          <w:tblHeader/>
        </w:trPr>
        <w:tc>
          <w:tcPr>
            <w:tcW w:w="4274" w:type="dxa"/>
            <w:tcBorders>
              <w:top w:val="single" w:sz="4" w:space="0" w:color="auto"/>
              <w:bottom w:val="single" w:sz="4" w:space="0" w:color="auto"/>
            </w:tcBorders>
            <w:vAlign w:val="bottom"/>
          </w:tcPr>
          <w:p w:rsidR="00695268" w:rsidRPr="009B1415" w:rsidRDefault="00695268" w:rsidP="00695268">
            <w:pPr>
              <w:spacing w:before="20"/>
              <w:jc w:val="both"/>
              <w:rPr>
                <w:b/>
                <w:sz w:val="16"/>
                <w:szCs w:val="16"/>
              </w:rPr>
            </w:pPr>
            <w:r w:rsidRPr="009B1415">
              <w:rPr>
                <w:b/>
                <w:sz w:val="16"/>
                <w:szCs w:val="16"/>
              </w:rPr>
              <w:t>Variable</w:t>
            </w:r>
          </w:p>
        </w:tc>
        <w:tc>
          <w:tcPr>
            <w:tcW w:w="971" w:type="dxa"/>
            <w:tcBorders>
              <w:top w:val="single" w:sz="4" w:space="0" w:color="auto"/>
              <w:bottom w:val="single" w:sz="4" w:space="0" w:color="auto"/>
            </w:tcBorders>
            <w:vAlign w:val="center"/>
          </w:tcPr>
          <w:p w:rsidR="00695268" w:rsidRPr="003F15C0" w:rsidRDefault="00695268" w:rsidP="00FD72AF">
            <w:pPr>
              <w:spacing w:before="20"/>
              <w:jc w:val="right"/>
              <w:rPr>
                <w:b/>
                <w:bCs/>
                <w:color w:val="000000"/>
                <w:sz w:val="16"/>
                <w:szCs w:val="16"/>
              </w:rPr>
            </w:pPr>
            <w:r w:rsidRPr="003F15C0">
              <w:rPr>
                <w:b/>
                <w:bCs/>
                <w:color w:val="000000"/>
                <w:sz w:val="16"/>
                <w:szCs w:val="16"/>
              </w:rPr>
              <w:t>%</w:t>
            </w:r>
          </w:p>
        </w:tc>
        <w:tc>
          <w:tcPr>
            <w:tcW w:w="1110" w:type="dxa"/>
            <w:tcBorders>
              <w:top w:val="single" w:sz="4" w:space="0" w:color="auto"/>
              <w:bottom w:val="single" w:sz="4" w:space="0" w:color="auto"/>
            </w:tcBorders>
            <w:vAlign w:val="center"/>
          </w:tcPr>
          <w:p w:rsidR="00695268" w:rsidRPr="003F15C0" w:rsidRDefault="00695268" w:rsidP="00FD72AF">
            <w:pPr>
              <w:spacing w:before="20"/>
              <w:jc w:val="right"/>
              <w:rPr>
                <w:b/>
                <w:color w:val="000000"/>
                <w:sz w:val="16"/>
                <w:szCs w:val="16"/>
              </w:rPr>
            </w:pPr>
            <w:r w:rsidRPr="003F15C0">
              <w:rPr>
                <w:b/>
                <w:color w:val="000000"/>
                <w:sz w:val="16"/>
                <w:szCs w:val="16"/>
              </w:rPr>
              <w:t>Odds Ratio</w:t>
            </w:r>
          </w:p>
        </w:tc>
        <w:tc>
          <w:tcPr>
            <w:tcW w:w="1112" w:type="dxa"/>
            <w:gridSpan w:val="2"/>
            <w:tcBorders>
              <w:top w:val="single" w:sz="4" w:space="0" w:color="auto"/>
              <w:bottom w:val="single" w:sz="4" w:space="0" w:color="auto"/>
            </w:tcBorders>
            <w:vAlign w:val="center"/>
          </w:tcPr>
          <w:p w:rsidR="00695268" w:rsidRPr="003F15C0" w:rsidRDefault="00507A06" w:rsidP="00FD72AF">
            <w:pPr>
              <w:spacing w:before="20"/>
              <w:jc w:val="right"/>
              <w:rPr>
                <w:b/>
                <w:color w:val="000000"/>
                <w:sz w:val="16"/>
                <w:szCs w:val="16"/>
              </w:rPr>
            </w:pPr>
            <w:r w:rsidRPr="003F15C0">
              <w:rPr>
                <w:b/>
                <w:color w:val="000000"/>
                <w:sz w:val="16"/>
                <w:szCs w:val="16"/>
              </w:rPr>
              <w:t>(</w:t>
            </w:r>
            <w:r w:rsidR="00695268" w:rsidRPr="003F15C0">
              <w:rPr>
                <w:b/>
                <w:color w:val="000000"/>
                <w:sz w:val="16"/>
                <w:szCs w:val="16"/>
              </w:rPr>
              <w:t>95% CI</w:t>
            </w:r>
            <w:r w:rsidRPr="003F15C0">
              <w:rPr>
                <w:b/>
                <w:color w:val="000000"/>
                <w:sz w:val="16"/>
                <w:szCs w:val="16"/>
              </w:rPr>
              <w:t>)</w:t>
            </w:r>
          </w:p>
        </w:tc>
        <w:tc>
          <w:tcPr>
            <w:tcW w:w="839" w:type="dxa"/>
            <w:tcBorders>
              <w:top w:val="single" w:sz="4" w:space="0" w:color="auto"/>
              <w:bottom w:val="single" w:sz="4" w:space="0" w:color="auto"/>
            </w:tcBorders>
            <w:vAlign w:val="center"/>
          </w:tcPr>
          <w:p w:rsidR="00695268" w:rsidRPr="003F15C0" w:rsidRDefault="00695268" w:rsidP="00FD72AF">
            <w:pPr>
              <w:spacing w:before="20"/>
              <w:jc w:val="right"/>
              <w:rPr>
                <w:b/>
                <w:color w:val="000000"/>
                <w:sz w:val="16"/>
                <w:szCs w:val="16"/>
              </w:rPr>
            </w:pPr>
            <w:r w:rsidRPr="003F15C0">
              <w:rPr>
                <w:b/>
                <w:color w:val="000000"/>
                <w:sz w:val="16"/>
                <w:szCs w:val="16"/>
              </w:rPr>
              <w:t>p-value</w:t>
            </w:r>
          </w:p>
        </w:tc>
      </w:tr>
      <w:tr w:rsidR="00695268" w:rsidRPr="009B1415" w:rsidTr="009F73AF">
        <w:tc>
          <w:tcPr>
            <w:tcW w:w="4274" w:type="dxa"/>
            <w:tcBorders>
              <w:top w:val="single" w:sz="4" w:space="0" w:color="auto"/>
            </w:tcBorders>
            <w:vAlign w:val="bottom"/>
          </w:tcPr>
          <w:p w:rsidR="00695268" w:rsidRPr="009B1415" w:rsidRDefault="00695268" w:rsidP="00695268">
            <w:pPr>
              <w:spacing w:before="20"/>
              <w:jc w:val="both"/>
              <w:rPr>
                <w:b/>
                <w:sz w:val="16"/>
                <w:szCs w:val="16"/>
              </w:rPr>
            </w:pPr>
            <w:r w:rsidRPr="009B1415">
              <w:rPr>
                <w:b/>
                <w:sz w:val="16"/>
                <w:szCs w:val="16"/>
              </w:rPr>
              <w:t>Age group (years)</w:t>
            </w:r>
          </w:p>
        </w:tc>
        <w:tc>
          <w:tcPr>
            <w:tcW w:w="971" w:type="dxa"/>
            <w:tcBorders>
              <w:top w:val="single" w:sz="4" w:space="0" w:color="auto"/>
            </w:tcBorders>
            <w:vAlign w:val="center"/>
          </w:tcPr>
          <w:p w:rsidR="00695268" w:rsidRPr="009B1415" w:rsidRDefault="00695268" w:rsidP="00FD72AF">
            <w:pPr>
              <w:spacing w:before="20"/>
              <w:jc w:val="right"/>
              <w:rPr>
                <w:rFonts w:ascii="Calibri" w:hAnsi="Calibri"/>
                <w:b/>
                <w:bCs/>
                <w:color w:val="000000"/>
                <w:sz w:val="16"/>
                <w:szCs w:val="16"/>
              </w:rPr>
            </w:pPr>
          </w:p>
        </w:tc>
        <w:tc>
          <w:tcPr>
            <w:tcW w:w="1110" w:type="dxa"/>
            <w:tcBorders>
              <w:top w:val="single" w:sz="4" w:space="0" w:color="auto"/>
            </w:tcBorders>
            <w:vAlign w:val="center"/>
          </w:tcPr>
          <w:p w:rsidR="00695268" w:rsidRPr="009B1415" w:rsidRDefault="00695268" w:rsidP="00FD72AF">
            <w:pPr>
              <w:spacing w:before="20"/>
              <w:jc w:val="right"/>
              <w:rPr>
                <w:rFonts w:ascii="Calibri" w:hAnsi="Calibri"/>
                <w:b/>
                <w:color w:val="000000"/>
                <w:sz w:val="16"/>
                <w:szCs w:val="16"/>
              </w:rPr>
            </w:pPr>
          </w:p>
        </w:tc>
        <w:tc>
          <w:tcPr>
            <w:tcW w:w="830" w:type="dxa"/>
            <w:tcBorders>
              <w:top w:val="single" w:sz="4" w:space="0" w:color="auto"/>
            </w:tcBorders>
            <w:vAlign w:val="center"/>
          </w:tcPr>
          <w:p w:rsidR="00695268" w:rsidRPr="009B1415" w:rsidRDefault="00695268" w:rsidP="00FD72AF">
            <w:pPr>
              <w:spacing w:before="20"/>
              <w:jc w:val="right"/>
              <w:rPr>
                <w:rFonts w:ascii="Calibri" w:hAnsi="Calibri"/>
                <w:b/>
                <w:color w:val="000000"/>
                <w:sz w:val="16"/>
                <w:szCs w:val="16"/>
              </w:rPr>
            </w:pPr>
          </w:p>
        </w:tc>
        <w:tc>
          <w:tcPr>
            <w:tcW w:w="282" w:type="dxa"/>
            <w:tcBorders>
              <w:top w:val="single" w:sz="4" w:space="0" w:color="auto"/>
            </w:tcBorders>
            <w:vAlign w:val="center"/>
          </w:tcPr>
          <w:p w:rsidR="00695268" w:rsidRPr="009B1415" w:rsidRDefault="00695268" w:rsidP="00FD72AF">
            <w:pPr>
              <w:spacing w:before="20"/>
              <w:jc w:val="right"/>
              <w:rPr>
                <w:rFonts w:ascii="Calibri" w:hAnsi="Calibri"/>
                <w:b/>
                <w:color w:val="000000"/>
                <w:sz w:val="16"/>
                <w:szCs w:val="16"/>
              </w:rPr>
            </w:pPr>
          </w:p>
        </w:tc>
        <w:tc>
          <w:tcPr>
            <w:tcW w:w="839" w:type="dxa"/>
            <w:tcBorders>
              <w:top w:val="single" w:sz="4" w:space="0" w:color="auto"/>
            </w:tcBorders>
            <w:vAlign w:val="center"/>
          </w:tcPr>
          <w:p w:rsidR="00695268" w:rsidRPr="009B1415" w:rsidRDefault="00695268" w:rsidP="00FD72AF">
            <w:pPr>
              <w:spacing w:before="20"/>
              <w:jc w:val="right"/>
              <w:rPr>
                <w:rFonts w:ascii="Calibri" w:hAnsi="Calibri"/>
                <w:b/>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18 - 24</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57.0</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25 - 34</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47.9</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0.70</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0.14</w:t>
            </w:r>
            <w:r w:rsidR="00FD72AF">
              <w:rPr>
                <w:color w:val="000000"/>
                <w:sz w:val="16"/>
                <w:szCs w:val="16"/>
              </w:rPr>
              <w:t xml:space="preserve"> - </w:t>
            </w:r>
            <w:r w:rsidR="00FD72AF" w:rsidRPr="00507A06">
              <w:rPr>
                <w:color w:val="000000"/>
                <w:sz w:val="16"/>
                <w:szCs w:val="16"/>
              </w:rPr>
              <w:t>3.38</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35 - 44</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44.7</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0.61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0.14</w:t>
            </w:r>
            <w:r w:rsidR="00FD72AF">
              <w:rPr>
                <w:color w:val="000000"/>
                <w:sz w:val="16"/>
                <w:szCs w:val="16"/>
              </w:rPr>
              <w:t xml:space="preserve"> - </w:t>
            </w:r>
            <w:r w:rsidR="00FD72AF" w:rsidRPr="00507A06">
              <w:rPr>
                <w:color w:val="000000"/>
                <w:sz w:val="16"/>
                <w:szCs w:val="16"/>
              </w:rPr>
              <w:t>2.60</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45 - 54</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35.6</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0.42</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0.10</w:t>
            </w:r>
            <w:r w:rsidR="00FD72AF">
              <w:rPr>
                <w:color w:val="000000"/>
                <w:sz w:val="16"/>
                <w:szCs w:val="16"/>
              </w:rPr>
              <w:t xml:space="preserve"> - </w:t>
            </w:r>
            <w:r w:rsidR="00FD72AF" w:rsidRPr="00507A06">
              <w:rPr>
                <w:color w:val="000000"/>
                <w:sz w:val="16"/>
                <w:szCs w:val="16"/>
              </w:rPr>
              <w:t>1.77</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55</w:t>
            </w:r>
            <w:r>
              <w:rPr>
                <w:sz w:val="16"/>
                <w:szCs w:val="16"/>
              </w:rPr>
              <w:t xml:space="preserve"> - 64</w:t>
            </w:r>
            <w:r w:rsidRPr="009B1415">
              <w:rPr>
                <w:sz w:val="16"/>
                <w:szCs w:val="16"/>
              </w:rPr>
              <w:t xml:space="preserve"> </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45.1</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0.62</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0.13</w:t>
            </w:r>
            <w:r w:rsidR="00FD72AF">
              <w:rPr>
                <w:color w:val="000000"/>
                <w:sz w:val="16"/>
                <w:szCs w:val="16"/>
              </w:rPr>
              <w:t xml:space="preserve"> - </w:t>
            </w:r>
            <w:r w:rsidR="00FD72AF" w:rsidRPr="00507A06">
              <w:rPr>
                <w:color w:val="000000"/>
                <w:sz w:val="16"/>
                <w:szCs w:val="16"/>
              </w:rPr>
              <w:t>2.91</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Pr>
                <w:sz w:val="16"/>
                <w:szCs w:val="16"/>
              </w:rPr>
              <w:t>65+</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38.7</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0.11</w:t>
            </w:r>
            <w:r w:rsidR="00FD72AF">
              <w:rPr>
                <w:color w:val="000000"/>
                <w:sz w:val="16"/>
                <w:szCs w:val="16"/>
              </w:rPr>
              <w:t xml:space="preserve"> - </w:t>
            </w:r>
            <w:r w:rsidR="00FD72AF" w:rsidRPr="00507A06">
              <w:rPr>
                <w:color w:val="000000"/>
                <w:sz w:val="16"/>
                <w:szCs w:val="16"/>
              </w:rPr>
              <w:t>1.99</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0.83</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Gender</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Male</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42.4</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Female</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43.8</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0.95</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0.50</w:t>
            </w:r>
            <w:r w:rsidR="00FD72AF">
              <w:rPr>
                <w:color w:val="000000"/>
                <w:sz w:val="16"/>
                <w:szCs w:val="16"/>
              </w:rPr>
              <w:t xml:space="preserve"> - </w:t>
            </w:r>
            <w:r w:rsidR="00FD72AF" w:rsidRPr="00507A06">
              <w:rPr>
                <w:color w:val="000000"/>
                <w:sz w:val="16"/>
                <w:szCs w:val="16"/>
              </w:rPr>
              <w:t>1.78</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0.86</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Ethnic group (prioritised)</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Māori</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49.0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1.31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0.53</w:t>
            </w:r>
            <w:r w:rsidR="00FD72AF">
              <w:rPr>
                <w:color w:val="000000"/>
                <w:sz w:val="16"/>
                <w:szCs w:val="16"/>
              </w:rPr>
              <w:t xml:space="preserve"> - </w:t>
            </w:r>
            <w:r w:rsidR="00FD72AF" w:rsidRPr="00507A06">
              <w:rPr>
                <w:color w:val="000000"/>
                <w:sz w:val="16"/>
                <w:szCs w:val="16"/>
              </w:rPr>
              <w:t>3.25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Pacific</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17.7</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0.29</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0.06</w:t>
            </w:r>
            <w:r w:rsidR="00FD72AF">
              <w:rPr>
                <w:color w:val="000000"/>
                <w:sz w:val="16"/>
                <w:szCs w:val="16"/>
              </w:rPr>
              <w:t xml:space="preserve"> - </w:t>
            </w:r>
            <w:r w:rsidR="00FD72AF" w:rsidRPr="00507A06">
              <w:rPr>
                <w:color w:val="000000"/>
                <w:sz w:val="16"/>
                <w:szCs w:val="16"/>
              </w:rPr>
              <w:t>1.54</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Asian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51.0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1.41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0.46</w:t>
            </w:r>
            <w:r w:rsidR="00FD72AF">
              <w:rPr>
                <w:color w:val="000000"/>
                <w:sz w:val="16"/>
                <w:szCs w:val="16"/>
              </w:rPr>
              <w:t xml:space="preserve"> - </w:t>
            </w:r>
            <w:r w:rsidR="00FD72AF" w:rsidRPr="00507A06">
              <w:rPr>
                <w:color w:val="000000"/>
                <w:sz w:val="16"/>
                <w:szCs w:val="16"/>
              </w:rPr>
              <w:t>4.35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European/Other</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42.4</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shd w:val="clear" w:color="auto" w:fill="auto"/>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0.40</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Arrival in NZ</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NZ born</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42.7</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before 2008</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37.6</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0.39</w:t>
            </w:r>
            <w:r w:rsidR="00FD72AF">
              <w:rPr>
                <w:color w:val="000000"/>
                <w:sz w:val="16"/>
                <w:szCs w:val="16"/>
              </w:rPr>
              <w:t xml:space="preserve"> - </w:t>
            </w:r>
            <w:r w:rsidR="00FD72AF" w:rsidRPr="00507A06">
              <w:rPr>
                <w:color w:val="000000"/>
                <w:sz w:val="16"/>
                <w:szCs w:val="16"/>
              </w:rPr>
              <w:t>1.70</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since 2008</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61.9</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2.18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0.60</w:t>
            </w:r>
            <w:r w:rsidR="00FD72AF">
              <w:rPr>
                <w:color w:val="000000"/>
                <w:sz w:val="16"/>
                <w:szCs w:val="16"/>
              </w:rPr>
              <w:t xml:space="preserve"> - </w:t>
            </w:r>
            <w:r w:rsidR="00FD72AF" w:rsidRPr="00507A06">
              <w:rPr>
                <w:color w:val="000000"/>
                <w:sz w:val="16"/>
                <w:szCs w:val="16"/>
              </w:rPr>
              <w:t>7.93</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0.38</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 xml:space="preserve">Country of </w:t>
            </w:r>
            <w:r>
              <w:rPr>
                <w:b/>
                <w:sz w:val="16"/>
                <w:szCs w:val="16"/>
              </w:rPr>
              <w:t>b</w:t>
            </w:r>
            <w:r w:rsidRPr="009B1415">
              <w:rPr>
                <w:b/>
                <w:sz w:val="16"/>
                <w:szCs w:val="16"/>
              </w:rPr>
              <w:t>irth</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NZ</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42.7</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Other</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44.1</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1.06</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0.53</w:t>
            </w:r>
            <w:r w:rsidR="00FD72AF">
              <w:rPr>
                <w:color w:val="000000"/>
                <w:sz w:val="16"/>
                <w:szCs w:val="16"/>
              </w:rPr>
              <w:t xml:space="preserve"> - </w:t>
            </w:r>
            <w:r w:rsidR="00FD72AF" w:rsidRPr="00507A06">
              <w:rPr>
                <w:color w:val="000000"/>
                <w:sz w:val="16"/>
                <w:szCs w:val="16"/>
              </w:rPr>
              <w:t>2.12</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0.86</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Religion</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Pr>
                <w:sz w:val="16"/>
                <w:szCs w:val="16"/>
              </w:rPr>
              <w:t>No r</w:t>
            </w:r>
            <w:r w:rsidRPr="009B1415">
              <w:rPr>
                <w:sz w:val="16"/>
                <w:szCs w:val="16"/>
              </w:rPr>
              <w:t>eligion</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49.4</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Anglican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46.2</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0.32</w:t>
            </w:r>
            <w:r w:rsidR="00FD72AF">
              <w:rPr>
                <w:color w:val="000000"/>
                <w:sz w:val="16"/>
                <w:szCs w:val="16"/>
              </w:rPr>
              <w:t xml:space="preserve"> - </w:t>
            </w:r>
            <w:r w:rsidR="00FD72AF" w:rsidRPr="00507A06">
              <w:rPr>
                <w:color w:val="000000"/>
                <w:sz w:val="16"/>
                <w:szCs w:val="16"/>
              </w:rPr>
              <w:t>2.40</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Catholic</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35.2</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0.56</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0.18</w:t>
            </w:r>
            <w:r w:rsidR="00FD72AF">
              <w:rPr>
                <w:color w:val="000000"/>
                <w:sz w:val="16"/>
                <w:szCs w:val="16"/>
              </w:rPr>
              <w:t xml:space="preserve"> - </w:t>
            </w:r>
            <w:r w:rsidR="00FD72AF" w:rsidRPr="00507A06">
              <w:rPr>
                <w:color w:val="000000"/>
                <w:sz w:val="16"/>
                <w:szCs w:val="16"/>
              </w:rPr>
              <w:t>1.70</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Presbyterian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66.7</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2.05</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0.53</w:t>
            </w:r>
            <w:r w:rsidR="00FD72AF">
              <w:rPr>
                <w:color w:val="000000"/>
                <w:sz w:val="16"/>
                <w:szCs w:val="16"/>
              </w:rPr>
              <w:t xml:space="preserve"> - </w:t>
            </w:r>
            <w:r w:rsidR="00FD72AF" w:rsidRPr="00507A06">
              <w:rPr>
                <w:color w:val="000000"/>
                <w:sz w:val="16"/>
                <w:szCs w:val="16"/>
              </w:rPr>
              <w:t>7.95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Other Christian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28.0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0.40</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0.17</w:t>
            </w:r>
            <w:r w:rsidR="00FD72AF">
              <w:rPr>
                <w:color w:val="000000"/>
                <w:sz w:val="16"/>
                <w:szCs w:val="16"/>
              </w:rPr>
              <w:t xml:space="preserve"> - </w:t>
            </w:r>
            <w:r w:rsidR="00FD72AF" w:rsidRPr="00507A06">
              <w:rPr>
                <w:color w:val="000000"/>
                <w:sz w:val="16"/>
                <w:szCs w:val="16"/>
              </w:rPr>
              <w:t>0.95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Pr>
                <w:sz w:val="16"/>
                <w:szCs w:val="16"/>
              </w:rPr>
              <w:t>Other r</w:t>
            </w:r>
            <w:r w:rsidRPr="009B1415">
              <w:rPr>
                <w:sz w:val="16"/>
                <w:szCs w:val="16"/>
              </w:rPr>
              <w:t>eligion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40.9</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0.71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0.17</w:t>
            </w:r>
            <w:r w:rsidR="00FD72AF">
              <w:rPr>
                <w:color w:val="000000"/>
                <w:sz w:val="16"/>
                <w:szCs w:val="16"/>
              </w:rPr>
              <w:t xml:space="preserve"> - </w:t>
            </w:r>
            <w:r w:rsidR="00FD72AF" w:rsidRPr="00507A06">
              <w:rPr>
                <w:color w:val="000000"/>
                <w:sz w:val="16"/>
                <w:szCs w:val="16"/>
              </w:rPr>
              <w:t>2.99</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0.21</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Highest qualification</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No formal qualification</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45.6</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Pr>
                <w:sz w:val="16"/>
                <w:szCs w:val="16"/>
              </w:rPr>
              <w:t>Secondary s</w:t>
            </w:r>
            <w:r w:rsidRPr="009B1415">
              <w:rPr>
                <w:sz w:val="16"/>
                <w:szCs w:val="16"/>
              </w:rPr>
              <w:t>chool qualification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48.7</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1.13</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0.38</w:t>
            </w:r>
            <w:r w:rsidR="00FD72AF">
              <w:rPr>
                <w:color w:val="000000"/>
                <w:sz w:val="16"/>
                <w:szCs w:val="16"/>
              </w:rPr>
              <w:t xml:space="preserve"> - </w:t>
            </w:r>
            <w:r w:rsidR="00FD72AF" w:rsidRPr="00507A06">
              <w:rPr>
                <w:color w:val="000000"/>
                <w:sz w:val="16"/>
                <w:szCs w:val="16"/>
              </w:rPr>
              <w:t>3.34</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Vocational or Trade qualification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43.0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0.90</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0.32</w:t>
            </w:r>
            <w:r w:rsidR="00FD72AF">
              <w:rPr>
                <w:color w:val="000000"/>
                <w:sz w:val="16"/>
                <w:szCs w:val="16"/>
              </w:rPr>
              <w:t xml:space="preserve"> - </w:t>
            </w:r>
            <w:r w:rsidR="00FD72AF" w:rsidRPr="00507A06">
              <w:rPr>
                <w:color w:val="000000"/>
                <w:sz w:val="16"/>
                <w:szCs w:val="16"/>
              </w:rPr>
              <w:t>2.55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Universi</w:t>
            </w:r>
            <w:r>
              <w:rPr>
                <w:sz w:val="16"/>
                <w:szCs w:val="16"/>
              </w:rPr>
              <w:t>ty d</w:t>
            </w:r>
            <w:r w:rsidRPr="009B1415">
              <w:rPr>
                <w:sz w:val="16"/>
                <w:szCs w:val="16"/>
              </w:rPr>
              <w:t>egree or higher</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40.4</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0.31</w:t>
            </w:r>
            <w:r w:rsidR="00FD72AF">
              <w:rPr>
                <w:color w:val="000000"/>
                <w:sz w:val="16"/>
                <w:szCs w:val="16"/>
              </w:rPr>
              <w:t xml:space="preserve"> - </w:t>
            </w:r>
            <w:r w:rsidR="00FD72AF" w:rsidRPr="00507A06">
              <w:rPr>
                <w:color w:val="000000"/>
                <w:sz w:val="16"/>
                <w:szCs w:val="16"/>
              </w:rPr>
              <w:t>2.11</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0.90</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Labour force status</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Employed</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42.0</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Unemployed</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48.0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1.28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0.32</w:t>
            </w:r>
            <w:r w:rsidR="00FD72AF">
              <w:rPr>
                <w:color w:val="000000"/>
                <w:sz w:val="16"/>
                <w:szCs w:val="16"/>
              </w:rPr>
              <w:t xml:space="preserve"> - </w:t>
            </w:r>
            <w:r w:rsidR="00FD72AF" w:rsidRPr="00507A06">
              <w:rPr>
                <w:color w:val="000000"/>
                <w:sz w:val="16"/>
                <w:szCs w:val="16"/>
              </w:rPr>
              <w:t>5.04</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Student/Homemaker/Retired</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45.0</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1.13</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0.56</w:t>
            </w:r>
            <w:r w:rsidR="00FD72AF">
              <w:rPr>
                <w:color w:val="000000"/>
                <w:sz w:val="16"/>
                <w:szCs w:val="16"/>
              </w:rPr>
              <w:t xml:space="preserve"> - </w:t>
            </w:r>
            <w:r w:rsidR="00FD72AF" w:rsidRPr="00507A06">
              <w:rPr>
                <w:color w:val="000000"/>
                <w:sz w:val="16"/>
                <w:szCs w:val="16"/>
              </w:rPr>
              <w:t>2.31</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0.90</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Household size</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1</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45.6</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2</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41.1</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0.83</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0.36</w:t>
            </w:r>
            <w:r w:rsidR="00FD72AF">
              <w:rPr>
                <w:color w:val="000000"/>
                <w:sz w:val="16"/>
                <w:szCs w:val="16"/>
              </w:rPr>
              <w:t xml:space="preserve"> - </w:t>
            </w:r>
            <w:r w:rsidR="00FD72AF" w:rsidRPr="00507A06">
              <w:rPr>
                <w:color w:val="000000"/>
                <w:sz w:val="16"/>
                <w:szCs w:val="16"/>
              </w:rPr>
              <w:t>1.95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3</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53.6</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1.38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0.50</w:t>
            </w:r>
            <w:r w:rsidR="00FD72AF">
              <w:rPr>
                <w:color w:val="000000"/>
                <w:sz w:val="16"/>
                <w:szCs w:val="16"/>
              </w:rPr>
              <w:t xml:space="preserve"> - </w:t>
            </w:r>
            <w:r w:rsidR="00FD72AF" w:rsidRPr="00507A06">
              <w:rPr>
                <w:color w:val="000000"/>
                <w:sz w:val="16"/>
                <w:szCs w:val="16"/>
              </w:rPr>
              <w:t>3.85</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4</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42.2</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0.87</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0.31</w:t>
            </w:r>
            <w:r w:rsidR="00FD72AF">
              <w:rPr>
                <w:color w:val="000000"/>
                <w:sz w:val="16"/>
                <w:szCs w:val="16"/>
              </w:rPr>
              <w:t xml:space="preserve"> - </w:t>
            </w:r>
            <w:r w:rsidR="00FD72AF" w:rsidRPr="00507A06">
              <w:rPr>
                <w:color w:val="000000"/>
                <w:sz w:val="16"/>
                <w:szCs w:val="16"/>
              </w:rPr>
              <w:t>2.50</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5+</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36.5</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0.69</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0.23</w:t>
            </w:r>
            <w:r w:rsidR="00FD72AF">
              <w:rPr>
                <w:color w:val="000000"/>
                <w:sz w:val="16"/>
                <w:szCs w:val="16"/>
              </w:rPr>
              <w:t xml:space="preserve"> - </w:t>
            </w:r>
            <w:r w:rsidR="00FD72AF" w:rsidRPr="00507A06">
              <w:rPr>
                <w:color w:val="000000"/>
                <w:sz w:val="16"/>
                <w:szCs w:val="16"/>
              </w:rPr>
              <w:t>2.07</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0.79</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Personal income</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&lt;$20,000</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55.5</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$20,001 - $40,000</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31.8</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0.37</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0.15</w:t>
            </w:r>
            <w:r w:rsidR="00FD72AF">
              <w:rPr>
                <w:color w:val="000000"/>
                <w:sz w:val="16"/>
                <w:szCs w:val="16"/>
              </w:rPr>
              <w:t xml:space="preserve"> - </w:t>
            </w:r>
            <w:r w:rsidR="00FD72AF" w:rsidRPr="00507A06">
              <w:rPr>
                <w:color w:val="000000"/>
                <w:sz w:val="16"/>
                <w:szCs w:val="16"/>
              </w:rPr>
              <w:t>0.92</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$40,001 - $60,000</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37.6</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0.48</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0.18</w:t>
            </w:r>
            <w:r w:rsidR="00FD72AF">
              <w:rPr>
                <w:color w:val="000000"/>
                <w:sz w:val="16"/>
                <w:szCs w:val="16"/>
              </w:rPr>
              <w:t xml:space="preserve"> - </w:t>
            </w:r>
            <w:r w:rsidR="00FD72AF" w:rsidRPr="00507A06">
              <w:rPr>
                <w:color w:val="000000"/>
                <w:sz w:val="16"/>
                <w:szCs w:val="16"/>
              </w:rPr>
              <w:t>1.27</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$60,001 - $80,000</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47.1</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0.71</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0.23</w:t>
            </w:r>
            <w:r w:rsidR="00FD72AF">
              <w:rPr>
                <w:color w:val="000000"/>
                <w:sz w:val="16"/>
                <w:szCs w:val="16"/>
              </w:rPr>
              <w:t xml:space="preserve"> - </w:t>
            </w:r>
            <w:r w:rsidR="00FD72AF" w:rsidRPr="00507A06">
              <w:rPr>
                <w:color w:val="000000"/>
                <w:sz w:val="16"/>
                <w:szCs w:val="16"/>
              </w:rPr>
              <w:t>2.23</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$80,001 - $100,000</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35.6</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0.44</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0.12</w:t>
            </w:r>
            <w:r w:rsidR="00FD72AF">
              <w:rPr>
                <w:color w:val="000000"/>
                <w:sz w:val="16"/>
                <w:szCs w:val="16"/>
              </w:rPr>
              <w:t xml:space="preserve"> - </w:t>
            </w:r>
            <w:r w:rsidR="00FD72AF" w:rsidRPr="00507A06">
              <w:rPr>
                <w:color w:val="000000"/>
                <w:sz w:val="16"/>
                <w:szCs w:val="16"/>
              </w:rPr>
              <w:t>1.69</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Pr>
          <w:p w:rsidR="00FD72AF" w:rsidRPr="00B41811" w:rsidRDefault="00FD72AF" w:rsidP="00507A06">
            <w:pPr>
              <w:spacing w:before="20"/>
              <w:ind w:left="176"/>
              <w:jc w:val="both"/>
              <w:rPr>
                <w:sz w:val="16"/>
                <w:szCs w:val="16"/>
              </w:rPr>
            </w:pPr>
            <w:r w:rsidRPr="00B41811">
              <w:rPr>
                <w:sz w:val="16"/>
                <w:szCs w:val="16"/>
              </w:rPr>
              <w:t>&gt;$100,000</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47.5</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0.73</w:t>
            </w:r>
          </w:p>
        </w:tc>
        <w:tc>
          <w:tcPr>
            <w:tcW w:w="1112" w:type="dxa"/>
            <w:gridSpan w:val="2"/>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0.20</w:t>
            </w:r>
            <w:r w:rsidR="00FD72AF">
              <w:rPr>
                <w:color w:val="000000"/>
                <w:sz w:val="16"/>
                <w:szCs w:val="16"/>
              </w:rPr>
              <w:t xml:space="preserve"> - </w:t>
            </w:r>
            <w:r w:rsidR="00FD72AF" w:rsidRPr="00507A06">
              <w:rPr>
                <w:color w:val="000000"/>
                <w:sz w:val="16"/>
                <w:szCs w:val="16"/>
              </w:rPr>
              <w:t>2.61</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FD72AF" w:rsidRPr="009B1415" w:rsidTr="009F73AF">
        <w:tc>
          <w:tcPr>
            <w:tcW w:w="4274" w:type="dxa"/>
            <w:tcBorders>
              <w:bottom w:val="single" w:sz="4" w:space="0" w:color="auto"/>
            </w:tcBorders>
            <w:vAlign w:val="bottom"/>
          </w:tcPr>
          <w:p w:rsidR="00FD72AF" w:rsidRPr="009B1415" w:rsidRDefault="00FD72AF" w:rsidP="00507A06">
            <w:pPr>
              <w:spacing w:before="20"/>
              <w:ind w:left="176"/>
              <w:jc w:val="both"/>
              <w:rPr>
                <w:sz w:val="16"/>
                <w:szCs w:val="16"/>
              </w:rPr>
            </w:pPr>
            <w:r w:rsidRPr="009B1415">
              <w:rPr>
                <w:sz w:val="16"/>
                <w:szCs w:val="16"/>
              </w:rPr>
              <w:t>Not reported</w:t>
            </w:r>
          </w:p>
        </w:tc>
        <w:tc>
          <w:tcPr>
            <w:tcW w:w="971" w:type="dxa"/>
            <w:tcBorders>
              <w:bottom w:val="single" w:sz="4" w:space="0" w:color="auto"/>
            </w:tcBorders>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33.1</w:t>
            </w:r>
          </w:p>
        </w:tc>
        <w:tc>
          <w:tcPr>
            <w:tcW w:w="1110" w:type="dxa"/>
            <w:tcBorders>
              <w:bottom w:val="single" w:sz="4" w:space="0" w:color="auto"/>
            </w:tcBorders>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040</w:t>
            </w:r>
          </w:p>
        </w:tc>
        <w:tc>
          <w:tcPr>
            <w:tcW w:w="1112" w:type="dxa"/>
            <w:gridSpan w:val="2"/>
            <w:tcBorders>
              <w:bottom w:val="single" w:sz="4" w:space="0" w:color="auto"/>
            </w:tcBorders>
            <w:vAlign w:val="center"/>
          </w:tcPr>
          <w:p w:rsidR="00FD72AF" w:rsidRPr="00507A06" w:rsidRDefault="006A32F0" w:rsidP="00FD72AF">
            <w:pPr>
              <w:adjustRightInd w:val="0"/>
              <w:spacing w:before="20"/>
              <w:jc w:val="right"/>
              <w:rPr>
                <w:color w:val="000000"/>
                <w:sz w:val="16"/>
                <w:szCs w:val="16"/>
              </w:rPr>
            </w:pPr>
            <w:r>
              <w:rPr>
                <w:color w:val="000000"/>
                <w:sz w:val="16"/>
                <w:szCs w:val="16"/>
              </w:rPr>
              <w:t>(</w:t>
            </w:r>
            <w:r w:rsidR="00FD72AF" w:rsidRPr="00507A06">
              <w:rPr>
                <w:color w:val="000000"/>
                <w:sz w:val="16"/>
                <w:szCs w:val="16"/>
              </w:rPr>
              <w:t>0.07</w:t>
            </w:r>
            <w:r w:rsidR="00FD72AF">
              <w:rPr>
                <w:color w:val="000000"/>
                <w:sz w:val="16"/>
                <w:szCs w:val="16"/>
              </w:rPr>
              <w:t xml:space="preserve"> - </w:t>
            </w:r>
            <w:r w:rsidR="00FD72AF" w:rsidRPr="00507A06">
              <w:rPr>
                <w:color w:val="000000"/>
                <w:sz w:val="16"/>
                <w:szCs w:val="16"/>
              </w:rPr>
              <w:t>2.13</w:t>
            </w:r>
            <w:r>
              <w:rPr>
                <w:color w:val="000000"/>
                <w:sz w:val="16"/>
                <w:szCs w:val="16"/>
              </w:rPr>
              <w:t>)</w:t>
            </w:r>
          </w:p>
        </w:tc>
        <w:tc>
          <w:tcPr>
            <w:tcW w:w="839" w:type="dxa"/>
            <w:tcBorders>
              <w:bottom w:val="single" w:sz="4" w:space="0" w:color="auto"/>
            </w:tcBorders>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0.46</w:t>
            </w:r>
          </w:p>
        </w:tc>
      </w:tr>
      <w:tr w:rsidR="00695268" w:rsidRPr="009B1415" w:rsidTr="009F73AF">
        <w:tc>
          <w:tcPr>
            <w:tcW w:w="4274" w:type="dxa"/>
            <w:tcBorders>
              <w:top w:val="single" w:sz="4" w:space="0" w:color="auto"/>
            </w:tcBorders>
            <w:vAlign w:val="bottom"/>
          </w:tcPr>
          <w:p w:rsidR="00695268" w:rsidRPr="009B1415" w:rsidRDefault="00695268" w:rsidP="002834B6">
            <w:pPr>
              <w:keepNext/>
              <w:spacing w:before="20"/>
              <w:jc w:val="both"/>
              <w:rPr>
                <w:b/>
                <w:sz w:val="16"/>
                <w:szCs w:val="16"/>
              </w:rPr>
            </w:pPr>
            <w:r w:rsidRPr="009B1415">
              <w:rPr>
                <w:b/>
                <w:sz w:val="16"/>
                <w:szCs w:val="16"/>
              </w:rPr>
              <w:lastRenderedPageBreak/>
              <w:t>Household income</w:t>
            </w:r>
          </w:p>
        </w:tc>
        <w:tc>
          <w:tcPr>
            <w:tcW w:w="971" w:type="dxa"/>
            <w:tcBorders>
              <w:top w:val="single" w:sz="4" w:space="0" w:color="auto"/>
            </w:tcBorders>
            <w:vAlign w:val="center"/>
          </w:tcPr>
          <w:p w:rsidR="00695268" w:rsidRPr="00CB35E8" w:rsidRDefault="00695268" w:rsidP="00FD72AF">
            <w:pPr>
              <w:keepNext/>
              <w:adjustRightInd w:val="0"/>
              <w:spacing w:before="20"/>
              <w:jc w:val="right"/>
              <w:rPr>
                <w:color w:val="000000"/>
                <w:sz w:val="16"/>
                <w:szCs w:val="16"/>
              </w:rPr>
            </w:pPr>
          </w:p>
        </w:tc>
        <w:tc>
          <w:tcPr>
            <w:tcW w:w="1110" w:type="dxa"/>
            <w:tcBorders>
              <w:top w:val="single" w:sz="4" w:space="0" w:color="auto"/>
            </w:tcBorders>
            <w:vAlign w:val="center"/>
          </w:tcPr>
          <w:p w:rsidR="00695268" w:rsidRPr="00CB35E8" w:rsidRDefault="00695268" w:rsidP="00FD72AF">
            <w:pPr>
              <w:keepNext/>
              <w:adjustRightInd w:val="0"/>
              <w:spacing w:before="20"/>
              <w:jc w:val="right"/>
              <w:rPr>
                <w:color w:val="000000"/>
                <w:sz w:val="16"/>
                <w:szCs w:val="16"/>
              </w:rPr>
            </w:pPr>
          </w:p>
        </w:tc>
        <w:tc>
          <w:tcPr>
            <w:tcW w:w="830" w:type="dxa"/>
            <w:tcBorders>
              <w:top w:val="single" w:sz="4" w:space="0" w:color="auto"/>
            </w:tcBorders>
            <w:vAlign w:val="center"/>
          </w:tcPr>
          <w:p w:rsidR="00695268" w:rsidRPr="00CB35E8" w:rsidRDefault="00695268" w:rsidP="00FD72AF">
            <w:pPr>
              <w:keepNext/>
              <w:adjustRightInd w:val="0"/>
              <w:spacing w:before="20"/>
              <w:jc w:val="right"/>
              <w:rPr>
                <w:color w:val="000000"/>
                <w:sz w:val="16"/>
                <w:szCs w:val="16"/>
              </w:rPr>
            </w:pPr>
          </w:p>
        </w:tc>
        <w:tc>
          <w:tcPr>
            <w:tcW w:w="282" w:type="dxa"/>
            <w:tcBorders>
              <w:top w:val="single" w:sz="4" w:space="0" w:color="auto"/>
            </w:tcBorders>
            <w:vAlign w:val="center"/>
          </w:tcPr>
          <w:p w:rsidR="00695268" w:rsidRPr="00CB35E8" w:rsidRDefault="00695268" w:rsidP="00FD72AF">
            <w:pPr>
              <w:keepNext/>
              <w:adjustRightInd w:val="0"/>
              <w:spacing w:before="20"/>
              <w:jc w:val="right"/>
              <w:rPr>
                <w:color w:val="000000"/>
                <w:sz w:val="16"/>
                <w:szCs w:val="16"/>
              </w:rPr>
            </w:pPr>
          </w:p>
        </w:tc>
        <w:tc>
          <w:tcPr>
            <w:tcW w:w="839" w:type="dxa"/>
            <w:tcBorders>
              <w:top w:val="single" w:sz="4" w:space="0" w:color="auto"/>
            </w:tcBorders>
            <w:vAlign w:val="center"/>
          </w:tcPr>
          <w:p w:rsidR="00695268" w:rsidRPr="00CB35E8" w:rsidRDefault="00695268" w:rsidP="00FD72AF">
            <w:pPr>
              <w:keepNext/>
              <w:adjustRightInd w:val="0"/>
              <w:spacing w:before="20"/>
              <w:jc w:val="right"/>
              <w:rPr>
                <w:color w:val="000000"/>
                <w:sz w:val="16"/>
                <w:szCs w:val="16"/>
              </w:rPr>
            </w:pPr>
          </w:p>
        </w:tc>
      </w:tr>
      <w:tr w:rsidR="00507A06" w:rsidRPr="009B1415" w:rsidTr="009F73AF">
        <w:tc>
          <w:tcPr>
            <w:tcW w:w="4274" w:type="dxa"/>
          </w:tcPr>
          <w:p w:rsidR="00507A06" w:rsidRPr="009B1415" w:rsidRDefault="00507A06" w:rsidP="002834B6">
            <w:pPr>
              <w:keepNext/>
              <w:spacing w:before="20"/>
              <w:ind w:left="176"/>
              <w:jc w:val="both"/>
              <w:rPr>
                <w:sz w:val="16"/>
                <w:szCs w:val="16"/>
              </w:rPr>
            </w:pPr>
            <w:r w:rsidRPr="009B1415">
              <w:rPr>
                <w:sz w:val="16"/>
                <w:szCs w:val="16"/>
              </w:rPr>
              <w:t>&lt;$20,000</w:t>
            </w:r>
          </w:p>
        </w:tc>
        <w:tc>
          <w:tcPr>
            <w:tcW w:w="971" w:type="dxa"/>
            <w:vAlign w:val="center"/>
          </w:tcPr>
          <w:p w:rsidR="00507A06" w:rsidRPr="00507A06" w:rsidRDefault="00507A06" w:rsidP="00FD72AF">
            <w:pPr>
              <w:keepNext/>
              <w:adjustRightInd w:val="0"/>
              <w:spacing w:before="20"/>
              <w:jc w:val="right"/>
              <w:rPr>
                <w:color w:val="000000"/>
                <w:sz w:val="16"/>
                <w:szCs w:val="16"/>
              </w:rPr>
            </w:pPr>
            <w:r w:rsidRPr="00507A06">
              <w:rPr>
                <w:color w:val="000000"/>
                <w:sz w:val="16"/>
                <w:szCs w:val="16"/>
              </w:rPr>
              <w:t>54.5</w:t>
            </w:r>
          </w:p>
        </w:tc>
        <w:tc>
          <w:tcPr>
            <w:tcW w:w="1110" w:type="dxa"/>
            <w:vAlign w:val="center"/>
          </w:tcPr>
          <w:p w:rsidR="00507A06" w:rsidRPr="00507A06" w:rsidRDefault="00507A06" w:rsidP="00FD72AF">
            <w:pPr>
              <w:keepNext/>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keepNext/>
              <w:adjustRightInd w:val="0"/>
              <w:spacing w:before="20"/>
              <w:jc w:val="right"/>
              <w:rPr>
                <w:color w:val="000000"/>
                <w:sz w:val="16"/>
                <w:szCs w:val="16"/>
              </w:rPr>
            </w:pPr>
          </w:p>
        </w:tc>
        <w:tc>
          <w:tcPr>
            <w:tcW w:w="282" w:type="dxa"/>
            <w:vAlign w:val="center"/>
          </w:tcPr>
          <w:p w:rsidR="00507A06" w:rsidRPr="00507A06" w:rsidRDefault="00507A06" w:rsidP="00FD72AF">
            <w:pPr>
              <w:keepNext/>
              <w:adjustRightInd w:val="0"/>
              <w:spacing w:before="20"/>
              <w:jc w:val="right"/>
              <w:rPr>
                <w:color w:val="000000"/>
                <w:sz w:val="16"/>
                <w:szCs w:val="16"/>
              </w:rPr>
            </w:pPr>
          </w:p>
        </w:tc>
        <w:tc>
          <w:tcPr>
            <w:tcW w:w="839" w:type="dxa"/>
            <w:vAlign w:val="center"/>
          </w:tcPr>
          <w:p w:rsidR="00507A06" w:rsidRPr="00507A06" w:rsidRDefault="00507A06" w:rsidP="00FD72AF">
            <w:pPr>
              <w:keepNext/>
              <w:adjustRightInd w:val="0"/>
              <w:spacing w:before="20"/>
              <w:jc w:val="right"/>
              <w:rPr>
                <w:color w:val="000000"/>
                <w:sz w:val="16"/>
                <w:szCs w:val="16"/>
              </w:rPr>
            </w:pPr>
          </w:p>
        </w:tc>
      </w:tr>
      <w:tr w:rsidR="00FD72AF" w:rsidRPr="009B1415" w:rsidTr="009F73AF">
        <w:tc>
          <w:tcPr>
            <w:tcW w:w="4274" w:type="dxa"/>
          </w:tcPr>
          <w:p w:rsidR="00FD72AF" w:rsidRPr="009B1415" w:rsidRDefault="00FD72AF" w:rsidP="002834B6">
            <w:pPr>
              <w:keepNext/>
              <w:spacing w:before="20"/>
              <w:ind w:left="176"/>
              <w:jc w:val="both"/>
              <w:rPr>
                <w:sz w:val="16"/>
                <w:szCs w:val="16"/>
              </w:rPr>
            </w:pPr>
            <w:r w:rsidRPr="009B1415">
              <w:rPr>
                <w:sz w:val="16"/>
                <w:szCs w:val="16"/>
              </w:rPr>
              <w:t>$20,001 - $40,000</w:t>
            </w:r>
          </w:p>
        </w:tc>
        <w:tc>
          <w:tcPr>
            <w:tcW w:w="971"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31.5</w:t>
            </w:r>
          </w:p>
        </w:tc>
        <w:tc>
          <w:tcPr>
            <w:tcW w:w="1110"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0.38</w:t>
            </w:r>
          </w:p>
        </w:tc>
        <w:tc>
          <w:tcPr>
            <w:tcW w:w="1112" w:type="dxa"/>
            <w:gridSpan w:val="2"/>
            <w:vAlign w:val="center"/>
          </w:tcPr>
          <w:p w:rsidR="00FD72AF" w:rsidRPr="00507A06" w:rsidRDefault="006A32F0" w:rsidP="006A32F0">
            <w:pPr>
              <w:keepNext/>
              <w:adjustRightInd w:val="0"/>
              <w:spacing w:before="20"/>
              <w:jc w:val="right"/>
              <w:rPr>
                <w:color w:val="000000"/>
                <w:sz w:val="16"/>
                <w:szCs w:val="16"/>
              </w:rPr>
            </w:pPr>
            <w:r>
              <w:rPr>
                <w:color w:val="000000"/>
                <w:sz w:val="16"/>
                <w:szCs w:val="16"/>
              </w:rPr>
              <w:t>(</w:t>
            </w:r>
            <w:r w:rsidR="00FD72AF" w:rsidRPr="00507A06">
              <w:rPr>
                <w:color w:val="000000"/>
                <w:sz w:val="16"/>
                <w:szCs w:val="16"/>
              </w:rPr>
              <w:t>0.13</w:t>
            </w:r>
            <w:r>
              <w:rPr>
                <w:color w:val="000000"/>
                <w:sz w:val="16"/>
                <w:szCs w:val="16"/>
              </w:rPr>
              <w:t xml:space="preserve"> - </w:t>
            </w:r>
            <w:r w:rsidR="00FD72AF" w:rsidRPr="00507A06">
              <w:rPr>
                <w:color w:val="000000"/>
                <w:sz w:val="16"/>
                <w:szCs w:val="16"/>
              </w:rPr>
              <w:t>1.10</w:t>
            </w:r>
            <w:r>
              <w:rPr>
                <w:color w:val="000000"/>
                <w:sz w:val="16"/>
                <w:szCs w:val="16"/>
              </w:rPr>
              <w:t>)</w:t>
            </w:r>
          </w:p>
        </w:tc>
        <w:tc>
          <w:tcPr>
            <w:tcW w:w="839" w:type="dxa"/>
            <w:vAlign w:val="center"/>
          </w:tcPr>
          <w:p w:rsidR="00FD72AF" w:rsidRPr="00507A06" w:rsidRDefault="00FD72AF" w:rsidP="00FD72AF">
            <w:pPr>
              <w:keepNext/>
              <w:adjustRightInd w:val="0"/>
              <w:spacing w:before="20"/>
              <w:jc w:val="right"/>
              <w:rPr>
                <w:color w:val="000000"/>
                <w:sz w:val="16"/>
                <w:szCs w:val="16"/>
              </w:rPr>
            </w:pPr>
          </w:p>
        </w:tc>
      </w:tr>
      <w:tr w:rsidR="00FD72AF" w:rsidRPr="009B1415" w:rsidTr="009F73AF">
        <w:tc>
          <w:tcPr>
            <w:tcW w:w="4274" w:type="dxa"/>
          </w:tcPr>
          <w:p w:rsidR="00FD72AF" w:rsidRPr="009B1415" w:rsidRDefault="00FD72AF" w:rsidP="002834B6">
            <w:pPr>
              <w:keepNext/>
              <w:spacing w:before="20"/>
              <w:ind w:left="176"/>
              <w:jc w:val="both"/>
              <w:rPr>
                <w:sz w:val="16"/>
                <w:szCs w:val="16"/>
              </w:rPr>
            </w:pPr>
            <w:r w:rsidRPr="009B1415">
              <w:rPr>
                <w:sz w:val="16"/>
                <w:szCs w:val="16"/>
              </w:rPr>
              <w:t>$40,001 - $60,000</w:t>
            </w:r>
          </w:p>
        </w:tc>
        <w:tc>
          <w:tcPr>
            <w:tcW w:w="971"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58.6</w:t>
            </w:r>
          </w:p>
        </w:tc>
        <w:tc>
          <w:tcPr>
            <w:tcW w:w="1110"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1.18</w:t>
            </w:r>
          </w:p>
        </w:tc>
        <w:tc>
          <w:tcPr>
            <w:tcW w:w="1112" w:type="dxa"/>
            <w:gridSpan w:val="2"/>
            <w:vAlign w:val="center"/>
          </w:tcPr>
          <w:p w:rsidR="00FD72AF" w:rsidRPr="00507A06" w:rsidRDefault="006A32F0" w:rsidP="006A32F0">
            <w:pPr>
              <w:keepNext/>
              <w:adjustRightInd w:val="0"/>
              <w:spacing w:before="20"/>
              <w:jc w:val="right"/>
              <w:rPr>
                <w:color w:val="000000"/>
                <w:sz w:val="16"/>
                <w:szCs w:val="16"/>
              </w:rPr>
            </w:pPr>
            <w:r>
              <w:rPr>
                <w:color w:val="000000"/>
                <w:sz w:val="16"/>
                <w:szCs w:val="16"/>
              </w:rPr>
              <w:t>(</w:t>
            </w:r>
            <w:r w:rsidR="00FD72AF" w:rsidRPr="00507A06">
              <w:rPr>
                <w:color w:val="000000"/>
                <w:sz w:val="16"/>
                <w:szCs w:val="16"/>
              </w:rPr>
              <w:t>0.43</w:t>
            </w:r>
            <w:r>
              <w:rPr>
                <w:color w:val="000000"/>
                <w:sz w:val="16"/>
                <w:szCs w:val="16"/>
              </w:rPr>
              <w:t xml:space="preserve"> - </w:t>
            </w:r>
            <w:r w:rsidR="00FD72AF" w:rsidRPr="00507A06">
              <w:rPr>
                <w:color w:val="000000"/>
                <w:sz w:val="16"/>
                <w:szCs w:val="16"/>
              </w:rPr>
              <w:t>3.24</w:t>
            </w:r>
            <w:r>
              <w:rPr>
                <w:color w:val="000000"/>
                <w:sz w:val="16"/>
                <w:szCs w:val="16"/>
              </w:rPr>
              <w:t>)</w:t>
            </w:r>
          </w:p>
        </w:tc>
        <w:tc>
          <w:tcPr>
            <w:tcW w:w="839" w:type="dxa"/>
            <w:vAlign w:val="center"/>
          </w:tcPr>
          <w:p w:rsidR="00FD72AF" w:rsidRPr="00507A06" w:rsidRDefault="00FD72AF" w:rsidP="00FD72AF">
            <w:pPr>
              <w:keepNext/>
              <w:adjustRightInd w:val="0"/>
              <w:spacing w:before="20"/>
              <w:jc w:val="right"/>
              <w:rPr>
                <w:color w:val="000000"/>
                <w:sz w:val="16"/>
                <w:szCs w:val="16"/>
              </w:rPr>
            </w:pPr>
          </w:p>
        </w:tc>
      </w:tr>
      <w:tr w:rsidR="00FD72AF" w:rsidRPr="009B1415" w:rsidTr="009F73AF">
        <w:tc>
          <w:tcPr>
            <w:tcW w:w="4274" w:type="dxa"/>
          </w:tcPr>
          <w:p w:rsidR="00FD72AF" w:rsidRPr="009B1415" w:rsidRDefault="00FD72AF" w:rsidP="002834B6">
            <w:pPr>
              <w:keepNext/>
              <w:spacing w:before="20"/>
              <w:ind w:left="176"/>
              <w:jc w:val="both"/>
              <w:rPr>
                <w:sz w:val="16"/>
                <w:szCs w:val="16"/>
              </w:rPr>
            </w:pPr>
            <w:r w:rsidRPr="009B1415">
              <w:rPr>
                <w:sz w:val="16"/>
                <w:szCs w:val="16"/>
              </w:rPr>
              <w:t>$60,001 - $80,000</w:t>
            </w:r>
          </w:p>
        </w:tc>
        <w:tc>
          <w:tcPr>
            <w:tcW w:w="971"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39.8</w:t>
            </w:r>
          </w:p>
        </w:tc>
        <w:tc>
          <w:tcPr>
            <w:tcW w:w="1110"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0.55</w:t>
            </w:r>
          </w:p>
        </w:tc>
        <w:tc>
          <w:tcPr>
            <w:tcW w:w="1112" w:type="dxa"/>
            <w:gridSpan w:val="2"/>
            <w:vAlign w:val="center"/>
          </w:tcPr>
          <w:p w:rsidR="00FD72AF" w:rsidRPr="00507A06" w:rsidRDefault="006A32F0" w:rsidP="006A32F0">
            <w:pPr>
              <w:keepNext/>
              <w:adjustRightInd w:val="0"/>
              <w:spacing w:before="20"/>
              <w:jc w:val="right"/>
              <w:rPr>
                <w:color w:val="000000"/>
                <w:sz w:val="16"/>
                <w:szCs w:val="16"/>
              </w:rPr>
            </w:pPr>
            <w:r>
              <w:rPr>
                <w:color w:val="000000"/>
                <w:sz w:val="16"/>
                <w:szCs w:val="16"/>
              </w:rPr>
              <w:t>(</w:t>
            </w:r>
            <w:r w:rsidR="00FD72AF" w:rsidRPr="00507A06">
              <w:rPr>
                <w:color w:val="000000"/>
                <w:sz w:val="16"/>
                <w:szCs w:val="16"/>
              </w:rPr>
              <w:t>0.16</w:t>
            </w:r>
            <w:r>
              <w:rPr>
                <w:color w:val="000000"/>
                <w:sz w:val="16"/>
                <w:szCs w:val="16"/>
              </w:rPr>
              <w:t xml:space="preserve"> - </w:t>
            </w:r>
            <w:r w:rsidR="00FD72AF" w:rsidRPr="00507A06">
              <w:rPr>
                <w:color w:val="000000"/>
                <w:sz w:val="16"/>
                <w:szCs w:val="16"/>
              </w:rPr>
              <w:t>1.90</w:t>
            </w:r>
            <w:r>
              <w:rPr>
                <w:color w:val="000000"/>
                <w:sz w:val="16"/>
                <w:szCs w:val="16"/>
              </w:rPr>
              <w:t>)</w:t>
            </w:r>
          </w:p>
        </w:tc>
        <w:tc>
          <w:tcPr>
            <w:tcW w:w="839" w:type="dxa"/>
            <w:vAlign w:val="center"/>
          </w:tcPr>
          <w:p w:rsidR="00FD72AF" w:rsidRPr="00507A06" w:rsidRDefault="00FD72AF" w:rsidP="00FD72AF">
            <w:pPr>
              <w:keepNext/>
              <w:adjustRightInd w:val="0"/>
              <w:spacing w:before="20"/>
              <w:jc w:val="right"/>
              <w:rPr>
                <w:color w:val="000000"/>
                <w:sz w:val="16"/>
                <w:szCs w:val="16"/>
              </w:rPr>
            </w:pPr>
          </w:p>
        </w:tc>
      </w:tr>
      <w:tr w:rsidR="00FD72AF" w:rsidRPr="009B1415" w:rsidTr="009F73AF">
        <w:tc>
          <w:tcPr>
            <w:tcW w:w="4274" w:type="dxa"/>
          </w:tcPr>
          <w:p w:rsidR="00FD72AF" w:rsidRPr="009B1415" w:rsidRDefault="00FD72AF" w:rsidP="002834B6">
            <w:pPr>
              <w:keepNext/>
              <w:spacing w:before="20"/>
              <w:ind w:left="176"/>
              <w:jc w:val="both"/>
              <w:rPr>
                <w:sz w:val="16"/>
                <w:szCs w:val="16"/>
              </w:rPr>
            </w:pPr>
            <w:r w:rsidRPr="009B1415">
              <w:rPr>
                <w:sz w:val="16"/>
                <w:szCs w:val="16"/>
              </w:rPr>
              <w:t>$80,001 - $100,000</w:t>
            </w:r>
          </w:p>
        </w:tc>
        <w:tc>
          <w:tcPr>
            <w:tcW w:w="971"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25.8</w:t>
            </w:r>
          </w:p>
        </w:tc>
        <w:tc>
          <w:tcPr>
            <w:tcW w:w="1110"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0.29</w:t>
            </w:r>
          </w:p>
        </w:tc>
        <w:tc>
          <w:tcPr>
            <w:tcW w:w="1112" w:type="dxa"/>
            <w:gridSpan w:val="2"/>
            <w:vAlign w:val="center"/>
          </w:tcPr>
          <w:p w:rsidR="00FD72AF" w:rsidRPr="00507A06" w:rsidRDefault="006A32F0" w:rsidP="006A32F0">
            <w:pPr>
              <w:keepNext/>
              <w:adjustRightInd w:val="0"/>
              <w:spacing w:before="20"/>
              <w:jc w:val="right"/>
              <w:rPr>
                <w:color w:val="000000"/>
                <w:sz w:val="16"/>
                <w:szCs w:val="16"/>
              </w:rPr>
            </w:pPr>
            <w:r>
              <w:rPr>
                <w:color w:val="000000"/>
                <w:sz w:val="16"/>
                <w:szCs w:val="16"/>
              </w:rPr>
              <w:t>(</w:t>
            </w:r>
            <w:r w:rsidR="00FD72AF" w:rsidRPr="00507A06">
              <w:rPr>
                <w:color w:val="000000"/>
                <w:sz w:val="16"/>
                <w:szCs w:val="16"/>
              </w:rPr>
              <w:t>0.09</w:t>
            </w:r>
            <w:r>
              <w:rPr>
                <w:color w:val="000000"/>
                <w:sz w:val="16"/>
                <w:szCs w:val="16"/>
              </w:rPr>
              <w:t xml:space="preserve"> - </w:t>
            </w:r>
            <w:r w:rsidR="00FD72AF" w:rsidRPr="00507A06">
              <w:rPr>
                <w:color w:val="000000"/>
                <w:sz w:val="16"/>
                <w:szCs w:val="16"/>
              </w:rPr>
              <w:t>0.96</w:t>
            </w:r>
            <w:r>
              <w:rPr>
                <w:color w:val="000000"/>
                <w:sz w:val="16"/>
                <w:szCs w:val="16"/>
              </w:rPr>
              <w:t>)</w:t>
            </w:r>
          </w:p>
        </w:tc>
        <w:tc>
          <w:tcPr>
            <w:tcW w:w="839" w:type="dxa"/>
            <w:vAlign w:val="center"/>
          </w:tcPr>
          <w:p w:rsidR="00FD72AF" w:rsidRPr="00507A06" w:rsidRDefault="00FD72AF" w:rsidP="00FD72AF">
            <w:pPr>
              <w:keepNext/>
              <w:adjustRightInd w:val="0"/>
              <w:spacing w:before="20"/>
              <w:jc w:val="right"/>
              <w:rPr>
                <w:color w:val="000000"/>
                <w:sz w:val="16"/>
                <w:szCs w:val="16"/>
              </w:rPr>
            </w:pPr>
          </w:p>
        </w:tc>
      </w:tr>
      <w:tr w:rsidR="00FD72AF" w:rsidRPr="009B1415" w:rsidTr="009F73AF">
        <w:tc>
          <w:tcPr>
            <w:tcW w:w="4274" w:type="dxa"/>
            <w:vAlign w:val="bottom"/>
          </w:tcPr>
          <w:p w:rsidR="00FD72AF" w:rsidRDefault="00FD72AF" w:rsidP="002834B6">
            <w:pPr>
              <w:keepNext/>
              <w:spacing w:before="20"/>
              <w:ind w:left="176"/>
              <w:jc w:val="both"/>
              <w:rPr>
                <w:sz w:val="16"/>
                <w:szCs w:val="16"/>
              </w:rPr>
            </w:pPr>
            <w:r w:rsidRPr="00E02871">
              <w:rPr>
                <w:sz w:val="16"/>
                <w:szCs w:val="16"/>
              </w:rPr>
              <w:t>&gt;$100,000</w:t>
            </w:r>
          </w:p>
        </w:tc>
        <w:tc>
          <w:tcPr>
            <w:tcW w:w="971"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42.2</w:t>
            </w:r>
          </w:p>
        </w:tc>
        <w:tc>
          <w:tcPr>
            <w:tcW w:w="1110" w:type="dxa"/>
            <w:vAlign w:val="center"/>
          </w:tcPr>
          <w:p w:rsidR="00FD72AF" w:rsidRPr="00507A06" w:rsidRDefault="00FD72AF" w:rsidP="00FD72AF">
            <w:pPr>
              <w:keepNext/>
              <w:adjustRightInd w:val="0"/>
              <w:spacing w:before="20"/>
              <w:jc w:val="right"/>
              <w:rPr>
                <w:color w:val="000000"/>
                <w:sz w:val="16"/>
                <w:szCs w:val="16"/>
              </w:rPr>
            </w:pPr>
            <w:r w:rsidRPr="00507A06">
              <w:rPr>
                <w:color w:val="000000"/>
                <w:sz w:val="16"/>
                <w:szCs w:val="16"/>
              </w:rPr>
              <w:t>0.61</w:t>
            </w:r>
          </w:p>
        </w:tc>
        <w:tc>
          <w:tcPr>
            <w:tcW w:w="1112" w:type="dxa"/>
            <w:gridSpan w:val="2"/>
            <w:vAlign w:val="center"/>
          </w:tcPr>
          <w:p w:rsidR="00FD72AF" w:rsidRPr="00507A06" w:rsidRDefault="006A32F0" w:rsidP="006A32F0">
            <w:pPr>
              <w:keepNext/>
              <w:adjustRightInd w:val="0"/>
              <w:spacing w:before="20"/>
              <w:jc w:val="right"/>
              <w:rPr>
                <w:color w:val="000000"/>
                <w:sz w:val="16"/>
                <w:szCs w:val="16"/>
              </w:rPr>
            </w:pPr>
            <w:r>
              <w:rPr>
                <w:color w:val="000000"/>
                <w:sz w:val="16"/>
                <w:szCs w:val="16"/>
              </w:rPr>
              <w:t>(</w:t>
            </w:r>
            <w:r w:rsidR="00FD72AF" w:rsidRPr="00507A06">
              <w:rPr>
                <w:color w:val="000000"/>
                <w:sz w:val="16"/>
                <w:szCs w:val="16"/>
              </w:rPr>
              <w:t>0.23</w:t>
            </w:r>
            <w:r>
              <w:rPr>
                <w:color w:val="000000"/>
                <w:sz w:val="16"/>
                <w:szCs w:val="16"/>
              </w:rPr>
              <w:t xml:space="preserve"> - </w:t>
            </w:r>
            <w:r w:rsidR="00FD72AF" w:rsidRPr="00507A06">
              <w:rPr>
                <w:color w:val="000000"/>
                <w:sz w:val="16"/>
                <w:szCs w:val="16"/>
              </w:rPr>
              <w:t>1.63</w:t>
            </w:r>
            <w:r>
              <w:rPr>
                <w:color w:val="000000"/>
                <w:sz w:val="16"/>
                <w:szCs w:val="16"/>
              </w:rPr>
              <w:t>)</w:t>
            </w:r>
          </w:p>
        </w:tc>
        <w:tc>
          <w:tcPr>
            <w:tcW w:w="839" w:type="dxa"/>
            <w:shd w:val="clear" w:color="auto" w:fill="auto"/>
            <w:vAlign w:val="center"/>
          </w:tcPr>
          <w:p w:rsidR="00FD72AF" w:rsidRPr="00507A06" w:rsidRDefault="00FD72AF" w:rsidP="00FD72AF">
            <w:pPr>
              <w:keepNext/>
              <w:adjustRightInd w:val="0"/>
              <w:spacing w:before="20"/>
              <w:jc w:val="right"/>
              <w:rPr>
                <w:color w:val="000000"/>
                <w:sz w:val="16"/>
                <w:szCs w:val="16"/>
              </w:rPr>
            </w:pPr>
          </w:p>
        </w:tc>
      </w:tr>
      <w:tr w:rsidR="00FD72AF" w:rsidRPr="009B1415" w:rsidTr="009F73AF">
        <w:tc>
          <w:tcPr>
            <w:tcW w:w="4274" w:type="dxa"/>
            <w:vAlign w:val="bottom"/>
          </w:tcPr>
          <w:p w:rsidR="00FD72AF" w:rsidRPr="009B1415" w:rsidRDefault="00FD72AF" w:rsidP="00507A06">
            <w:pPr>
              <w:spacing w:before="20"/>
              <w:ind w:left="176"/>
              <w:jc w:val="both"/>
              <w:rPr>
                <w:sz w:val="16"/>
                <w:szCs w:val="16"/>
              </w:rPr>
            </w:pPr>
            <w:r>
              <w:rPr>
                <w:sz w:val="16"/>
                <w:szCs w:val="16"/>
              </w:rPr>
              <w:t>Not r</w:t>
            </w:r>
            <w:r w:rsidRPr="009B1415">
              <w:rPr>
                <w:sz w:val="16"/>
                <w:szCs w:val="16"/>
              </w:rPr>
              <w:t>eported</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41.2</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0.59</w:t>
            </w:r>
          </w:p>
        </w:tc>
        <w:tc>
          <w:tcPr>
            <w:tcW w:w="1112" w:type="dxa"/>
            <w:gridSpan w:val="2"/>
            <w:vAlign w:val="center"/>
          </w:tcPr>
          <w:p w:rsidR="00FD72AF" w:rsidRPr="00507A06" w:rsidRDefault="006A32F0" w:rsidP="006A32F0">
            <w:pPr>
              <w:adjustRightInd w:val="0"/>
              <w:spacing w:before="20"/>
              <w:jc w:val="right"/>
              <w:rPr>
                <w:color w:val="000000"/>
                <w:sz w:val="16"/>
                <w:szCs w:val="16"/>
              </w:rPr>
            </w:pPr>
            <w:r>
              <w:rPr>
                <w:color w:val="000000"/>
                <w:sz w:val="16"/>
                <w:szCs w:val="16"/>
              </w:rPr>
              <w:t>(</w:t>
            </w:r>
            <w:r w:rsidR="00FD72AF" w:rsidRPr="00507A06">
              <w:rPr>
                <w:color w:val="000000"/>
                <w:sz w:val="16"/>
                <w:szCs w:val="16"/>
              </w:rPr>
              <w:t>0.15</w:t>
            </w:r>
            <w:r>
              <w:rPr>
                <w:color w:val="000000"/>
                <w:sz w:val="16"/>
                <w:szCs w:val="16"/>
              </w:rPr>
              <w:t xml:space="preserve"> - </w:t>
            </w:r>
            <w:r w:rsidR="00FD72AF" w:rsidRPr="00507A06">
              <w:rPr>
                <w:color w:val="000000"/>
                <w:sz w:val="16"/>
                <w:szCs w:val="16"/>
              </w:rPr>
              <w:t>2.31</w:t>
            </w:r>
            <w:r>
              <w:rPr>
                <w:color w:val="000000"/>
                <w:sz w:val="16"/>
                <w:szCs w:val="16"/>
              </w:rPr>
              <w:t>)</w:t>
            </w:r>
          </w:p>
        </w:tc>
        <w:tc>
          <w:tcPr>
            <w:tcW w:w="839" w:type="dxa"/>
            <w:shd w:val="clear" w:color="auto" w:fill="auto"/>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0.23</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Area of residence</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Auckland</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50.5</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FD72AF" w:rsidRPr="009B1415" w:rsidTr="009F73AF">
        <w:tc>
          <w:tcPr>
            <w:tcW w:w="4274" w:type="dxa"/>
          </w:tcPr>
          <w:p w:rsidR="00FD72AF" w:rsidRPr="009B1415" w:rsidRDefault="00FD72AF" w:rsidP="00507A06">
            <w:pPr>
              <w:spacing w:before="20"/>
              <w:ind w:left="176"/>
              <w:jc w:val="both"/>
              <w:rPr>
                <w:sz w:val="16"/>
                <w:szCs w:val="16"/>
              </w:rPr>
            </w:pPr>
            <w:r w:rsidRPr="009B1415">
              <w:rPr>
                <w:sz w:val="16"/>
                <w:szCs w:val="16"/>
              </w:rPr>
              <w:t>Wellington</w:t>
            </w:r>
          </w:p>
        </w:tc>
        <w:tc>
          <w:tcPr>
            <w:tcW w:w="971"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50.8</w:t>
            </w:r>
          </w:p>
        </w:tc>
        <w:tc>
          <w:tcPr>
            <w:tcW w:w="1110" w:type="dxa"/>
            <w:vAlign w:val="center"/>
          </w:tcPr>
          <w:p w:rsidR="00FD72AF" w:rsidRPr="00507A06" w:rsidRDefault="00FD72AF" w:rsidP="00FD72AF">
            <w:pPr>
              <w:adjustRightInd w:val="0"/>
              <w:spacing w:before="20"/>
              <w:jc w:val="right"/>
              <w:rPr>
                <w:color w:val="000000"/>
                <w:sz w:val="16"/>
                <w:szCs w:val="16"/>
              </w:rPr>
            </w:pPr>
            <w:r w:rsidRPr="00507A06">
              <w:rPr>
                <w:color w:val="000000"/>
                <w:sz w:val="16"/>
                <w:szCs w:val="16"/>
              </w:rPr>
              <w:t>1.01</w:t>
            </w:r>
          </w:p>
        </w:tc>
        <w:tc>
          <w:tcPr>
            <w:tcW w:w="1112" w:type="dxa"/>
            <w:gridSpan w:val="2"/>
            <w:vAlign w:val="center"/>
          </w:tcPr>
          <w:p w:rsidR="00FD72AF" w:rsidRPr="00507A06" w:rsidRDefault="006A32F0" w:rsidP="006A32F0">
            <w:pPr>
              <w:adjustRightInd w:val="0"/>
              <w:spacing w:before="20"/>
              <w:jc w:val="right"/>
              <w:rPr>
                <w:color w:val="000000"/>
                <w:sz w:val="16"/>
                <w:szCs w:val="16"/>
              </w:rPr>
            </w:pPr>
            <w:r>
              <w:rPr>
                <w:color w:val="000000"/>
                <w:sz w:val="16"/>
                <w:szCs w:val="16"/>
              </w:rPr>
              <w:t>(</w:t>
            </w:r>
            <w:r w:rsidR="00FD72AF" w:rsidRPr="00507A06">
              <w:rPr>
                <w:color w:val="000000"/>
                <w:sz w:val="16"/>
                <w:szCs w:val="16"/>
              </w:rPr>
              <w:t>0.31</w:t>
            </w:r>
            <w:r>
              <w:rPr>
                <w:color w:val="000000"/>
                <w:sz w:val="16"/>
                <w:szCs w:val="16"/>
              </w:rPr>
              <w:t xml:space="preserve"> - </w:t>
            </w:r>
            <w:r w:rsidR="00FD72AF" w:rsidRPr="00507A06">
              <w:rPr>
                <w:color w:val="000000"/>
                <w:sz w:val="16"/>
                <w:szCs w:val="16"/>
              </w:rPr>
              <w:t>3.27</w:t>
            </w:r>
            <w:r>
              <w:rPr>
                <w:color w:val="000000"/>
                <w:sz w:val="16"/>
                <w:szCs w:val="16"/>
              </w:rPr>
              <w:t>)</w:t>
            </w:r>
          </w:p>
        </w:tc>
        <w:tc>
          <w:tcPr>
            <w:tcW w:w="839" w:type="dxa"/>
            <w:vAlign w:val="center"/>
          </w:tcPr>
          <w:p w:rsidR="00FD72AF" w:rsidRPr="00507A06" w:rsidRDefault="00FD72AF"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Christchurch</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12.6</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0.14</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0.03</w:t>
            </w:r>
            <w:r>
              <w:rPr>
                <w:color w:val="000000"/>
                <w:sz w:val="16"/>
                <w:szCs w:val="16"/>
              </w:rPr>
              <w:t xml:space="preserve"> - </w:t>
            </w:r>
            <w:r w:rsidRPr="00507A06">
              <w:rPr>
                <w:color w:val="000000"/>
                <w:sz w:val="16"/>
                <w:szCs w:val="16"/>
              </w:rPr>
              <w:t>0.72</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Rest of NZ</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42.1</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0.71</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0.34</w:t>
            </w:r>
            <w:r>
              <w:rPr>
                <w:color w:val="000000"/>
                <w:sz w:val="16"/>
                <w:szCs w:val="16"/>
              </w:rPr>
              <w:t xml:space="preserve"> - </w:t>
            </w:r>
            <w:r w:rsidRPr="00507A06">
              <w:rPr>
                <w:color w:val="000000"/>
                <w:sz w:val="16"/>
                <w:szCs w:val="16"/>
              </w:rPr>
              <w:t>1.48</w:t>
            </w:r>
            <w:r>
              <w:rPr>
                <w:color w:val="000000"/>
                <w:sz w:val="16"/>
                <w:szCs w:val="16"/>
              </w:rPr>
              <w:t>)</w:t>
            </w:r>
          </w:p>
        </w:tc>
        <w:tc>
          <w:tcPr>
            <w:tcW w:w="839" w:type="dxa"/>
            <w:shd w:val="clear" w:color="auto" w:fill="auto"/>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0.11</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 xml:space="preserve">New Zealand </w:t>
            </w:r>
            <w:r w:rsidR="00280A64">
              <w:rPr>
                <w:b/>
                <w:sz w:val="16"/>
                <w:szCs w:val="16"/>
              </w:rPr>
              <w:t xml:space="preserve">Individual </w:t>
            </w:r>
            <w:r w:rsidRPr="009B1415">
              <w:rPr>
                <w:b/>
                <w:sz w:val="16"/>
                <w:szCs w:val="16"/>
              </w:rPr>
              <w:t>Deprivation Index</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280A64" w:rsidRDefault="00507A06" w:rsidP="00507A06">
            <w:pPr>
              <w:spacing w:before="20"/>
              <w:ind w:left="176"/>
              <w:jc w:val="both"/>
              <w:rPr>
                <w:sz w:val="16"/>
                <w:szCs w:val="16"/>
              </w:rPr>
            </w:pPr>
            <w:r w:rsidRPr="00280A64">
              <w:rPr>
                <w:sz w:val="16"/>
                <w:szCs w:val="16"/>
              </w:rPr>
              <w:t>0</w:t>
            </w:r>
          </w:p>
        </w:tc>
        <w:tc>
          <w:tcPr>
            <w:tcW w:w="971" w:type="dxa"/>
            <w:vAlign w:val="center"/>
          </w:tcPr>
          <w:p w:rsidR="00507A06" w:rsidRPr="00280A64" w:rsidRDefault="00507A06" w:rsidP="00FD72AF">
            <w:pPr>
              <w:adjustRightInd w:val="0"/>
              <w:spacing w:before="20"/>
              <w:jc w:val="right"/>
              <w:rPr>
                <w:color w:val="000000"/>
                <w:sz w:val="16"/>
                <w:szCs w:val="16"/>
              </w:rPr>
            </w:pPr>
            <w:r w:rsidRPr="00280A64">
              <w:rPr>
                <w:color w:val="000000"/>
                <w:sz w:val="16"/>
                <w:szCs w:val="16"/>
              </w:rPr>
              <w:t>35.5</w:t>
            </w:r>
          </w:p>
        </w:tc>
        <w:tc>
          <w:tcPr>
            <w:tcW w:w="1110" w:type="dxa"/>
            <w:vAlign w:val="center"/>
          </w:tcPr>
          <w:p w:rsidR="00507A06" w:rsidRPr="00507A06" w:rsidRDefault="00507A06" w:rsidP="00FD72AF">
            <w:pPr>
              <w:adjustRightInd w:val="0"/>
              <w:spacing w:before="20"/>
              <w:jc w:val="right"/>
              <w:rPr>
                <w:color w:val="000000"/>
                <w:sz w:val="16"/>
                <w:szCs w:val="16"/>
              </w:rPr>
            </w:pPr>
            <w:r w:rsidRPr="00280A64">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1</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57.3</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2.43</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1.07</w:t>
            </w:r>
            <w:r>
              <w:rPr>
                <w:color w:val="000000"/>
                <w:sz w:val="16"/>
                <w:szCs w:val="16"/>
              </w:rPr>
              <w:t xml:space="preserve"> - </w:t>
            </w:r>
            <w:r w:rsidRPr="00507A06">
              <w:rPr>
                <w:color w:val="000000"/>
                <w:sz w:val="16"/>
                <w:szCs w:val="16"/>
              </w:rPr>
              <w:t>5.55</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2</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52.0</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1.97</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0.63</w:t>
            </w:r>
            <w:r>
              <w:rPr>
                <w:color w:val="000000"/>
                <w:sz w:val="16"/>
                <w:szCs w:val="16"/>
              </w:rPr>
              <w:t xml:space="preserve"> - </w:t>
            </w:r>
            <w:r w:rsidRPr="00507A06">
              <w:rPr>
                <w:color w:val="000000"/>
                <w:sz w:val="16"/>
                <w:szCs w:val="16"/>
              </w:rPr>
              <w:t>6.19</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3</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8.8</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0.18</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0.02</w:t>
            </w:r>
            <w:r>
              <w:rPr>
                <w:color w:val="000000"/>
                <w:sz w:val="16"/>
                <w:szCs w:val="16"/>
              </w:rPr>
              <w:t xml:space="preserve"> - </w:t>
            </w:r>
            <w:r w:rsidRPr="00507A06">
              <w:rPr>
                <w:color w:val="000000"/>
                <w:sz w:val="16"/>
                <w:szCs w:val="16"/>
              </w:rPr>
              <w:t>1.52</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4</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81.2</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7.86</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1.36</w:t>
            </w:r>
            <w:r>
              <w:rPr>
                <w:color w:val="000000"/>
                <w:sz w:val="16"/>
                <w:szCs w:val="16"/>
              </w:rPr>
              <w:t xml:space="preserve"> - </w:t>
            </w:r>
            <w:r w:rsidRPr="00507A06">
              <w:rPr>
                <w:color w:val="000000"/>
                <w:sz w:val="16"/>
                <w:szCs w:val="16"/>
              </w:rPr>
              <w:t>45.38</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Pr>
                <w:sz w:val="16"/>
                <w:szCs w:val="16"/>
              </w:rPr>
              <w:t>5</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64.8</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3.35</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0.89</w:t>
            </w:r>
            <w:r>
              <w:rPr>
                <w:color w:val="000000"/>
                <w:sz w:val="16"/>
                <w:szCs w:val="16"/>
              </w:rPr>
              <w:t xml:space="preserve"> - </w:t>
            </w:r>
            <w:r w:rsidRPr="00507A06">
              <w:rPr>
                <w:color w:val="000000"/>
                <w:sz w:val="16"/>
                <w:szCs w:val="16"/>
              </w:rPr>
              <w:t>12.65</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Default="006A32F0" w:rsidP="00507A06">
            <w:pPr>
              <w:spacing w:before="20"/>
              <w:ind w:left="176"/>
              <w:jc w:val="both"/>
              <w:rPr>
                <w:sz w:val="16"/>
                <w:szCs w:val="16"/>
              </w:rPr>
            </w:pPr>
            <w:r>
              <w:rPr>
                <w:sz w:val="16"/>
                <w:szCs w:val="16"/>
              </w:rPr>
              <w:t>6+</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35.5</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2.43</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1.07</w:t>
            </w:r>
            <w:r>
              <w:rPr>
                <w:color w:val="000000"/>
                <w:sz w:val="16"/>
                <w:szCs w:val="16"/>
              </w:rPr>
              <w:t xml:space="preserve"> - </w:t>
            </w:r>
            <w:r w:rsidRPr="00507A06">
              <w:rPr>
                <w:color w:val="000000"/>
                <w:sz w:val="16"/>
                <w:szCs w:val="16"/>
              </w:rPr>
              <w:t>5.55</w:t>
            </w:r>
            <w:r>
              <w:rPr>
                <w:color w:val="000000"/>
                <w:sz w:val="16"/>
                <w:szCs w:val="16"/>
              </w:rPr>
              <w:t>)</w:t>
            </w:r>
          </w:p>
        </w:tc>
        <w:tc>
          <w:tcPr>
            <w:tcW w:w="839" w:type="dxa"/>
            <w:shd w:val="clear" w:color="auto" w:fill="D9D9D9" w:themeFill="background1" w:themeFillShade="D9"/>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0.02</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Number of significant life events</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0</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51.1</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1</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22.9</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0.29</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0.11</w:t>
            </w:r>
            <w:r>
              <w:rPr>
                <w:color w:val="000000"/>
                <w:sz w:val="16"/>
                <w:szCs w:val="16"/>
              </w:rPr>
              <w:t xml:space="preserve"> - </w:t>
            </w:r>
            <w:r w:rsidRPr="00507A06">
              <w:rPr>
                <w:color w:val="000000"/>
                <w:sz w:val="16"/>
                <w:szCs w:val="16"/>
              </w:rPr>
              <w:t>0.78</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2</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49.4</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0.94</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0.38</w:t>
            </w:r>
            <w:r>
              <w:rPr>
                <w:color w:val="000000"/>
                <w:sz w:val="16"/>
                <w:szCs w:val="16"/>
              </w:rPr>
              <w:t xml:space="preserve"> - </w:t>
            </w:r>
            <w:r w:rsidRPr="00507A06">
              <w:rPr>
                <w:color w:val="000000"/>
                <w:sz w:val="16"/>
                <w:szCs w:val="16"/>
              </w:rPr>
              <w:t>2.32</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3</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46.2</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0.83</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0.29</w:t>
            </w:r>
            <w:r>
              <w:rPr>
                <w:color w:val="000000"/>
                <w:sz w:val="16"/>
                <w:szCs w:val="16"/>
              </w:rPr>
              <w:t xml:space="preserve"> - </w:t>
            </w:r>
            <w:r w:rsidRPr="00507A06">
              <w:rPr>
                <w:color w:val="000000"/>
                <w:sz w:val="16"/>
                <w:szCs w:val="16"/>
              </w:rPr>
              <w:t>2.37</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4</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34.9</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0.51</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0.12</w:t>
            </w:r>
            <w:r>
              <w:rPr>
                <w:color w:val="000000"/>
                <w:sz w:val="16"/>
                <w:szCs w:val="16"/>
              </w:rPr>
              <w:t xml:space="preserve"> - </w:t>
            </w:r>
            <w:r w:rsidRPr="00507A06">
              <w:rPr>
                <w:color w:val="000000"/>
                <w:sz w:val="16"/>
                <w:szCs w:val="16"/>
              </w:rPr>
              <w:t>2.27</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5+</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52.0</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1.04</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0.31</w:t>
            </w:r>
            <w:r>
              <w:rPr>
                <w:color w:val="000000"/>
                <w:sz w:val="16"/>
                <w:szCs w:val="16"/>
              </w:rPr>
              <w:t xml:space="preserve"> - </w:t>
            </w:r>
            <w:r w:rsidRPr="00507A06">
              <w:rPr>
                <w:color w:val="000000"/>
                <w:sz w:val="16"/>
                <w:szCs w:val="16"/>
              </w:rPr>
              <w:t>3.48</w:t>
            </w:r>
            <w:r>
              <w:rPr>
                <w:color w:val="000000"/>
                <w:sz w:val="16"/>
                <w:szCs w:val="16"/>
              </w:rPr>
              <w:t>)</w:t>
            </w:r>
          </w:p>
        </w:tc>
        <w:tc>
          <w:tcPr>
            <w:tcW w:w="839" w:type="dxa"/>
            <w:shd w:val="clear" w:color="auto" w:fill="auto"/>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0.16</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Quality of life (WHOQoL-8)</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Below median ( Score 0 - 24)</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42.0</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0.95</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0.47</w:t>
            </w:r>
            <w:r>
              <w:rPr>
                <w:color w:val="000000"/>
                <w:sz w:val="16"/>
                <w:szCs w:val="16"/>
              </w:rPr>
              <w:t xml:space="preserve"> - </w:t>
            </w:r>
            <w:r w:rsidRPr="00507A06">
              <w:rPr>
                <w:color w:val="000000"/>
                <w:sz w:val="16"/>
                <w:szCs w:val="16"/>
              </w:rPr>
              <w:t>1.92</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Median score (Score 25)</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45.3</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1.08</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0.44</w:t>
            </w:r>
            <w:r>
              <w:rPr>
                <w:color w:val="000000"/>
                <w:sz w:val="16"/>
                <w:szCs w:val="16"/>
              </w:rPr>
              <w:t xml:space="preserve"> - </w:t>
            </w:r>
            <w:r w:rsidRPr="00507A06">
              <w:rPr>
                <w:color w:val="000000"/>
                <w:sz w:val="16"/>
                <w:szCs w:val="16"/>
              </w:rPr>
              <w:t>2.68</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Above median (Score 26 - 32)</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43.3</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shd w:val="clear" w:color="auto" w:fill="auto"/>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0.96</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Psychological distress (Kessler-10)</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Score 0 - 5</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42.6</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Score 6 - 11</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42.2</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0.98</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0.47</w:t>
            </w:r>
            <w:r>
              <w:rPr>
                <w:color w:val="000000"/>
                <w:sz w:val="16"/>
                <w:szCs w:val="16"/>
              </w:rPr>
              <w:t xml:space="preserve"> - </w:t>
            </w:r>
            <w:r w:rsidRPr="00507A06">
              <w:rPr>
                <w:color w:val="000000"/>
                <w:sz w:val="16"/>
                <w:szCs w:val="16"/>
              </w:rPr>
              <w:t>2.08</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Score 12 - 19</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53.0</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1.52</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0.39</w:t>
            </w:r>
            <w:r>
              <w:rPr>
                <w:color w:val="000000"/>
                <w:sz w:val="16"/>
                <w:szCs w:val="16"/>
              </w:rPr>
              <w:t xml:space="preserve"> - </w:t>
            </w:r>
            <w:r w:rsidRPr="00507A06">
              <w:rPr>
                <w:color w:val="000000"/>
                <w:sz w:val="16"/>
                <w:szCs w:val="16"/>
              </w:rPr>
              <w:t>5.96</w:t>
            </w:r>
            <w:r>
              <w:rPr>
                <w:color w:val="000000"/>
                <w:sz w:val="16"/>
                <w:szCs w:val="16"/>
              </w:rPr>
              <w:t>)</w:t>
            </w:r>
          </w:p>
        </w:tc>
        <w:tc>
          <w:tcPr>
            <w:tcW w:w="839" w:type="dxa"/>
            <w:vAlign w:val="center"/>
          </w:tcPr>
          <w:p w:rsidR="006A32F0" w:rsidRPr="00507A06" w:rsidRDefault="006A32F0"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Score 20 - 40</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34.4</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0.71</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0.08</w:t>
            </w:r>
            <w:r>
              <w:rPr>
                <w:color w:val="000000"/>
                <w:sz w:val="16"/>
                <w:szCs w:val="16"/>
              </w:rPr>
              <w:t xml:space="preserve"> - </w:t>
            </w:r>
            <w:r w:rsidRPr="00507A06">
              <w:rPr>
                <w:color w:val="000000"/>
                <w:sz w:val="16"/>
                <w:szCs w:val="16"/>
              </w:rPr>
              <w:t>6.63</w:t>
            </w:r>
            <w:r>
              <w:rPr>
                <w:color w:val="000000"/>
                <w:sz w:val="16"/>
                <w:szCs w:val="16"/>
              </w:rPr>
              <w:t>)</w:t>
            </w:r>
          </w:p>
        </w:tc>
        <w:tc>
          <w:tcPr>
            <w:tcW w:w="839" w:type="dxa"/>
            <w:shd w:val="clear" w:color="auto" w:fill="auto"/>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0.92</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 xml:space="preserve">Hazardous alcohol consumption (AUDIT-C) </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No</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36.1</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Yes</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56.6</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2.31</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1.17</w:t>
            </w:r>
            <w:r>
              <w:rPr>
                <w:color w:val="000000"/>
                <w:sz w:val="16"/>
                <w:szCs w:val="16"/>
              </w:rPr>
              <w:t xml:space="preserve"> - </w:t>
            </w:r>
            <w:r w:rsidRPr="00507A06">
              <w:rPr>
                <w:color w:val="000000"/>
                <w:sz w:val="16"/>
                <w:szCs w:val="16"/>
              </w:rPr>
              <w:t>4.56</w:t>
            </w:r>
            <w:r>
              <w:rPr>
                <w:color w:val="000000"/>
                <w:sz w:val="16"/>
                <w:szCs w:val="16"/>
              </w:rPr>
              <w:t>)</w:t>
            </w:r>
          </w:p>
        </w:tc>
        <w:tc>
          <w:tcPr>
            <w:tcW w:w="839" w:type="dxa"/>
            <w:shd w:val="clear" w:color="auto" w:fill="D9D9D9" w:themeFill="background1" w:themeFillShade="D9"/>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0.02</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Does not use drugs</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No</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62.0</w:t>
            </w:r>
          </w:p>
        </w:tc>
        <w:tc>
          <w:tcPr>
            <w:tcW w:w="1110"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1.00</w:t>
            </w: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Yes</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39.3</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0.40</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0.16</w:t>
            </w:r>
            <w:r>
              <w:rPr>
                <w:color w:val="000000"/>
                <w:sz w:val="16"/>
                <w:szCs w:val="16"/>
              </w:rPr>
              <w:t xml:space="preserve"> - </w:t>
            </w:r>
            <w:r w:rsidRPr="00507A06">
              <w:rPr>
                <w:color w:val="000000"/>
                <w:sz w:val="16"/>
                <w:szCs w:val="16"/>
              </w:rPr>
              <w:t>0.96</w:t>
            </w:r>
            <w:r>
              <w:rPr>
                <w:color w:val="000000"/>
                <w:sz w:val="16"/>
                <w:szCs w:val="16"/>
              </w:rPr>
              <w:t>)</w:t>
            </w:r>
          </w:p>
        </w:tc>
        <w:tc>
          <w:tcPr>
            <w:tcW w:w="839" w:type="dxa"/>
            <w:shd w:val="clear" w:color="auto" w:fill="D9D9D9" w:themeFill="background1" w:themeFillShade="D9"/>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0.04</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sz w:val="16"/>
                <w:szCs w:val="16"/>
              </w:rPr>
              <w:t>Cannabis</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507A06" w:rsidRPr="009B1415" w:rsidTr="009F73AF">
        <w:tc>
          <w:tcPr>
            <w:tcW w:w="4274" w:type="dxa"/>
          </w:tcPr>
          <w:p w:rsidR="00507A06" w:rsidRPr="009B1415" w:rsidRDefault="00507A06" w:rsidP="00507A06">
            <w:pPr>
              <w:spacing w:before="20"/>
              <w:ind w:left="176"/>
              <w:jc w:val="both"/>
              <w:rPr>
                <w:sz w:val="16"/>
                <w:szCs w:val="16"/>
              </w:rPr>
            </w:pPr>
            <w:r w:rsidRPr="009B1415">
              <w:rPr>
                <w:sz w:val="16"/>
                <w:szCs w:val="16"/>
              </w:rPr>
              <w:t>No</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41.1</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6A32F0" w:rsidRPr="009B1415" w:rsidTr="009F73AF">
        <w:tc>
          <w:tcPr>
            <w:tcW w:w="4274" w:type="dxa"/>
          </w:tcPr>
          <w:p w:rsidR="006A32F0" w:rsidRPr="009B1415" w:rsidRDefault="006A32F0" w:rsidP="00507A06">
            <w:pPr>
              <w:spacing w:before="20"/>
              <w:ind w:left="176"/>
              <w:jc w:val="both"/>
              <w:rPr>
                <w:sz w:val="16"/>
                <w:szCs w:val="16"/>
              </w:rPr>
            </w:pPr>
            <w:r w:rsidRPr="009B1415">
              <w:rPr>
                <w:sz w:val="16"/>
                <w:szCs w:val="16"/>
              </w:rPr>
              <w:t>Yes</w:t>
            </w:r>
          </w:p>
        </w:tc>
        <w:tc>
          <w:tcPr>
            <w:tcW w:w="971"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56.0</w:t>
            </w:r>
          </w:p>
        </w:tc>
        <w:tc>
          <w:tcPr>
            <w:tcW w:w="1110" w:type="dxa"/>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1.83</w:t>
            </w:r>
          </w:p>
        </w:tc>
        <w:tc>
          <w:tcPr>
            <w:tcW w:w="1112" w:type="dxa"/>
            <w:gridSpan w:val="2"/>
            <w:vAlign w:val="center"/>
          </w:tcPr>
          <w:p w:rsidR="006A32F0" w:rsidRPr="00507A06" w:rsidRDefault="006A32F0" w:rsidP="006A32F0">
            <w:pPr>
              <w:adjustRightInd w:val="0"/>
              <w:spacing w:before="20"/>
              <w:jc w:val="right"/>
              <w:rPr>
                <w:color w:val="000000"/>
                <w:sz w:val="16"/>
                <w:szCs w:val="16"/>
              </w:rPr>
            </w:pPr>
            <w:r>
              <w:rPr>
                <w:color w:val="000000"/>
                <w:sz w:val="16"/>
                <w:szCs w:val="16"/>
              </w:rPr>
              <w:t>(</w:t>
            </w:r>
            <w:r w:rsidRPr="00507A06">
              <w:rPr>
                <w:color w:val="000000"/>
                <w:sz w:val="16"/>
                <w:szCs w:val="16"/>
              </w:rPr>
              <w:t>0.69</w:t>
            </w:r>
            <w:r>
              <w:rPr>
                <w:color w:val="000000"/>
                <w:sz w:val="16"/>
                <w:szCs w:val="16"/>
              </w:rPr>
              <w:t xml:space="preserve"> - </w:t>
            </w:r>
            <w:r w:rsidRPr="00507A06">
              <w:rPr>
                <w:color w:val="000000"/>
                <w:sz w:val="16"/>
                <w:szCs w:val="16"/>
              </w:rPr>
              <w:t>4.84</w:t>
            </w:r>
            <w:r>
              <w:rPr>
                <w:color w:val="000000"/>
                <w:sz w:val="16"/>
                <w:szCs w:val="16"/>
              </w:rPr>
              <w:t>)</w:t>
            </w:r>
          </w:p>
        </w:tc>
        <w:tc>
          <w:tcPr>
            <w:tcW w:w="839" w:type="dxa"/>
            <w:shd w:val="clear" w:color="auto" w:fill="auto"/>
            <w:vAlign w:val="center"/>
          </w:tcPr>
          <w:p w:rsidR="006A32F0" w:rsidRPr="00507A06" w:rsidRDefault="006A32F0" w:rsidP="00FD72AF">
            <w:pPr>
              <w:adjustRightInd w:val="0"/>
              <w:spacing w:before="20"/>
              <w:jc w:val="right"/>
              <w:rPr>
                <w:color w:val="000000"/>
                <w:sz w:val="16"/>
                <w:szCs w:val="16"/>
              </w:rPr>
            </w:pPr>
            <w:r w:rsidRPr="00507A06">
              <w:rPr>
                <w:color w:val="000000"/>
                <w:sz w:val="16"/>
                <w:szCs w:val="16"/>
              </w:rPr>
              <w:t>0.23</w:t>
            </w:r>
          </w:p>
        </w:tc>
      </w:tr>
      <w:tr w:rsidR="00507A06" w:rsidRPr="009B1415" w:rsidTr="009F73AF">
        <w:tc>
          <w:tcPr>
            <w:tcW w:w="4274" w:type="dxa"/>
            <w:vAlign w:val="bottom"/>
          </w:tcPr>
          <w:p w:rsidR="00507A06" w:rsidRPr="009B1415" w:rsidRDefault="00507A06" w:rsidP="00507A06">
            <w:pPr>
              <w:spacing w:before="20"/>
              <w:jc w:val="both"/>
              <w:rPr>
                <w:b/>
                <w:sz w:val="16"/>
                <w:szCs w:val="16"/>
              </w:rPr>
            </w:pPr>
            <w:r w:rsidRPr="009B1415">
              <w:rPr>
                <w:b/>
                <w:bCs/>
                <w:color w:val="000000"/>
                <w:sz w:val="16"/>
                <w:szCs w:val="16"/>
              </w:rPr>
              <w:t>Ever smoked tobacco</w:t>
            </w:r>
          </w:p>
        </w:tc>
        <w:tc>
          <w:tcPr>
            <w:tcW w:w="971" w:type="dxa"/>
            <w:vAlign w:val="center"/>
          </w:tcPr>
          <w:p w:rsidR="00507A06" w:rsidRPr="00507A06" w:rsidRDefault="00507A06" w:rsidP="00FD72AF">
            <w:pPr>
              <w:adjustRightInd w:val="0"/>
              <w:spacing w:before="20"/>
              <w:jc w:val="right"/>
              <w:rPr>
                <w:color w:val="000000"/>
                <w:sz w:val="16"/>
                <w:szCs w:val="16"/>
              </w:rPr>
            </w:pPr>
            <w:r w:rsidRPr="00507A06">
              <w:rPr>
                <w:color w:val="000000"/>
                <w:sz w:val="16"/>
                <w:szCs w:val="16"/>
              </w:rPr>
              <w:t> </w:t>
            </w:r>
          </w:p>
        </w:tc>
        <w:tc>
          <w:tcPr>
            <w:tcW w:w="1110" w:type="dxa"/>
            <w:vAlign w:val="center"/>
          </w:tcPr>
          <w:p w:rsidR="00507A06" w:rsidRPr="00507A06" w:rsidRDefault="00507A06" w:rsidP="00FD72AF">
            <w:pPr>
              <w:adjustRightInd w:val="0"/>
              <w:spacing w:before="20"/>
              <w:jc w:val="right"/>
              <w:rPr>
                <w:color w:val="000000"/>
                <w:sz w:val="16"/>
                <w:szCs w:val="16"/>
              </w:rPr>
            </w:pPr>
          </w:p>
        </w:tc>
        <w:tc>
          <w:tcPr>
            <w:tcW w:w="830" w:type="dxa"/>
            <w:vAlign w:val="center"/>
          </w:tcPr>
          <w:p w:rsidR="00507A06" w:rsidRPr="00507A06" w:rsidRDefault="00507A06" w:rsidP="00FD72AF">
            <w:pPr>
              <w:adjustRightInd w:val="0"/>
              <w:spacing w:before="20"/>
              <w:jc w:val="right"/>
              <w:rPr>
                <w:color w:val="000000"/>
                <w:sz w:val="16"/>
                <w:szCs w:val="16"/>
              </w:rPr>
            </w:pPr>
          </w:p>
        </w:tc>
        <w:tc>
          <w:tcPr>
            <w:tcW w:w="282" w:type="dxa"/>
            <w:vAlign w:val="center"/>
          </w:tcPr>
          <w:p w:rsidR="00507A06" w:rsidRPr="00507A06" w:rsidRDefault="00507A06" w:rsidP="00FD72AF">
            <w:pPr>
              <w:adjustRightInd w:val="0"/>
              <w:spacing w:before="20"/>
              <w:jc w:val="right"/>
              <w:rPr>
                <w:color w:val="000000"/>
                <w:sz w:val="16"/>
                <w:szCs w:val="16"/>
              </w:rPr>
            </w:pPr>
          </w:p>
        </w:tc>
        <w:tc>
          <w:tcPr>
            <w:tcW w:w="839" w:type="dxa"/>
            <w:vAlign w:val="center"/>
          </w:tcPr>
          <w:p w:rsidR="00507A06" w:rsidRPr="00507A06" w:rsidRDefault="00507A06" w:rsidP="00FD72AF">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Yes</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47.5</w:t>
            </w:r>
          </w:p>
        </w:tc>
        <w:tc>
          <w:tcPr>
            <w:tcW w:w="1110"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2.09</w:t>
            </w:r>
          </w:p>
        </w:tc>
        <w:tc>
          <w:tcPr>
            <w:tcW w:w="1112" w:type="dxa"/>
            <w:gridSpan w:val="2"/>
            <w:vAlign w:val="center"/>
          </w:tcPr>
          <w:p w:rsidR="00875675" w:rsidRPr="00507A06" w:rsidRDefault="00875675" w:rsidP="00875675">
            <w:pPr>
              <w:adjustRightInd w:val="0"/>
              <w:spacing w:before="20"/>
              <w:jc w:val="right"/>
              <w:rPr>
                <w:color w:val="000000"/>
                <w:sz w:val="16"/>
                <w:szCs w:val="16"/>
              </w:rPr>
            </w:pPr>
            <w:r>
              <w:rPr>
                <w:color w:val="000000"/>
                <w:sz w:val="16"/>
                <w:szCs w:val="16"/>
              </w:rPr>
              <w:t>(</w:t>
            </w:r>
            <w:r w:rsidRPr="00507A06">
              <w:rPr>
                <w:color w:val="000000"/>
                <w:sz w:val="16"/>
                <w:szCs w:val="16"/>
              </w:rPr>
              <w:t>1.00</w:t>
            </w:r>
            <w:r>
              <w:rPr>
                <w:color w:val="000000"/>
                <w:sz w:val="16"/>
                <w:szCs w:val="16"/>
              </w:rPr>
              <w:t xml:space="preserve"> - </w:t>
            </w:r>
            <w:r w:rsidRPr="00507A06">
              <w:rPr>
                <w:color w:val="000000"/>
                <w:sz w:val="16"/>
                <w:szCs w:val="16"/>
              </w:rPr>
              <w:t>4.35</w:t>
            </w:r>
            <w:r>
              <w:rPr>
                <w:color w:val="000000"/>
                <w:sz w:val="16"/>
                <w:szCs w:val="16"/>
              </w:rPr>
              <w:t>)</w:t>
            </w: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No</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30.3</w:t>
            </w:r>
          </w:p>
        </w:tc>
        <w:tc>
          <w:tcPr>
            <w:tcW w:w="1110" w:type="dxa"/>
            <w:vAlign w:val="center"/>
          </w:tcPr>
          <w:p w:rsidR="00875675" w:rsidRPr="00507A06" w:rsidRDefault="00875675" w:rsidP="00875675">
            <w:pPr>
              <w:adjustRightInd w:val="0"/>
              <w:spacing w:before="20"/>
              <w:jc w:val="right"/>
              <w:rPr>
                <w:color w:val="000000"/>
                <w:sz w:val="16"/>
                <w:szCs w:val="16"/>
              </w:rPr>
            </w:pPr>
            <w:r>
              <w:rPr>
                <w:color w:val="000000"/>
                <w:sz w:val="16"/>
                <w:szCs w:val="16"/>
              </w:rPr>
              <w:t>1.00</w:t>
            </w:r>
          </w:p>
        </w:tc>
        <w:tc>
          <w:tcPr>
            <w:tcW w:w="1112" w:type="dxa"/>
            <w:gridSpan w:val="2"/>
            <w:vAlign w:val="center"/>
          </w:tcPr>
          <w:p w:rsidR="00875675" w:rsidRPr="00507A06" w:rsidRDefault="00875675" w:rsidP="00875675">
            <w:pPr>
              <w:adjustRightInd w:val="0"/>
              <w:spacing w:before="20"/>
              <w:jc w:val="right"/>
              <w:rPr>
                <w:color w:val="000000"/>
                <w:sz w:val="16"/>
                <w:szCs w:val="16"/>
              </w:rPr>
            </w:pPr>
          </w:p>
        </w:tc>
        <w:tc>
          <w:tcPr>
            <w:tcW w:w="839" w:type="dxa"/>
            <w:shd w:val="clear" w:color="auto" w:fill="D9D9D9" w:themeFill="background1" w:themeFillShade="D9"/>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0.05</w:t>
            </w:r>
          </w:p>
        </w:tc>
      </w:tr>
      <w:tr w:rsidR="00875675" w:rsidRPr="009B1415" w:rsidTr="009F73AF">
        <w:tc>
          <w:tcPr>
            <w:tcW w:w="4274" w:type="dxa"/>
            <w:vAlign w:val="bottom"/>
          </w:tcPr>
          <w:p w:rsidR="00875675" w:rsidRPr="009B1415" w:rsidRDefault="00875675" w:rsidP="00875675">
            <w:pPr>
              <w:spacing w:before="20"/>
              <w:jc w:val="both"/>
              <w:rPr>
                <w:b/>
                <w:sz w:val="16"/>
                <w:szCs w:val="16"/>
              </w:rPr>
            </w:pPr>
            <w:r w:rsidRPr="009B1415">
              <w:rPr>
                <w:b/>
                <w:bCs/>
                <w:color w:val="000000"/>
                <w:sz w:val="16"/>
                <w:szCs w:val="16"/>
              </w:rPr>
              <w:t>Ever smoked more than 100 cigarettes in lifetime</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 </w:t>
            </w:r>
          </w:p>
        </w:tc>
        <w:tc>
          <w:tcPr>
            <w:tcW w:w="1110" w:type="dxa"/>
            <w:vAlign w:val="center"/>
          </w:tcPr>
          <w:p w:rsidR="00875675" w:rsidRPr="00507A06" w:rsidRDefault="00875675" w:rsidP="00875675">
            <w:pPr>
              <w:adjustRightInd w:val="0"/>
              <w:spacing w:before="20"/>
              <w:jc w:val="right"/>
              <w:rPr>
                <w:color w:val="000000"/>
                <w:sz w:val="16"/>
                <w:szCs w:val="16"/>
              </w:rPr>
            </w:pPr>
          </w:p>
        </w:tc>
        <w:tc>
          <w:tcPr>
            <w:tcW w:w="830" w:type="dxa"/>
            <w:vAlign w:val="center"/>
          </w:tcPr>
          <w:p w:rsidR="00875675" w:rsidRPr="00507A06" w:rsidRDefault="00875675" w:rsidP="00875675">
            <w:pPr>
              <w:adjustRightInd w:val="0"/>
              <w:spacing w:before="20"/>
              <w:jc w:val="right"/>
              <w:rPr>
                <w:color w:val="000000"/>
                <w:sz w:val="16"/>
                <w:szCs w:val="16"/>
              </w:rPr>
            </w:pPr>
          </w:p>
        </w:tc>
        <w:tc>
          <w:tcPr>
            <w:tcW w:w="282" w:type="dxa"/>
            <w:vAlign w:val="center"/>
          </w:tcPr>
          <w:p w:rsidR="00875675" w:rsidRPr="00507A06" w:rsidRDefault="00875675" w:rsidP="00875675">
            <w:pPr>
              <w:adjustRightInd w:val="0"/>
              <w:spacing w:before="20"/>
              <w:jc w:val="right"/>
              <w:rPr>
                <w:color w:val="000000"/>
                <w:sz w:val="16"/>
                <w:szCs w:val="16"/>
              </w:rPr>
            </w:pP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Yes</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51.2</w:t>
            </w:r>
          </w:p>
        </w:tc>
        <w:tc>
          <w:tcPr>
            <w:tcW w:w="1110"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1.79</w:t>
            </w:r>
          </w:p>
        </w:tc>
        <w:tc>
          <w:tcPr>
            <w:tcW w:w="1112" w:type="dxa"/>
            <w:gridSpan w:val="2"/>
            <w:vAlign w:val="center"/>
          </w:tcPr>
          <w:p w:rsidR="00875675" w:rsidRPr="00507A06" w:rsidRDefault="00875675" w:rsidP="00875675">
            <w:pPr>
              <w:adjustRightInd w:val="0"/>
              <w:spacing w:before="20"/>
              <w:jc w:val="right"/>
              <w:rPr>
                <w:color w:val="000000"/>
                <w:sz w:val="16"/>
                <w:szCs w:val="16"/>
              </w:rPr>
            </w:pPr>
            <w:r>
              <w:rPr>
                <w:color w:val="000000"/>
                <w:sz w:val="16"/>
                <w:szCs w:val="16"/>
              </w:rPr>
              <w:t>(</w:t>
            </w:r>
            <w:r w:rsidRPr="00507A06">
              <w:rPr>
                <w:color w:val="000000"/>
                <w:sz w:val="16"/>
                <w:szCs w:val="16"/>
              </w:rPr>
              <w:t>0.97</w:t>
            </w:r>
            <w:r>
              <w:rPr>
                <w:color w:val="000000"/>
                <w:sz w:val="16"/>
                <w:szCs w:val="16"/>
              </w:rPr>
              <w:t xml:space="preserve"> - </w:t>
            </w:r>
            <w:r w:rsidRPr="00507A06">
              <w:rPr>
                <w:color w:val="000000"/>
                <w:sz w:val="16"/>
                <w:szCs w:val="16"/>
              </w:rPr>
              <w:t>3.32</w:t>
            </w:r>
            <w:r>
              <w:rPr>
                <w:color w:val="000000"/>
                <w:sz w:val="16"/>
                <w:szCs w:val="16"/>
              </w:rPr>
              <w:t>)</w:t>
            </w: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No</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36.9</w:t>
            </w:r>
          </w:p>
        </w:tc>
        <w:tc>
          <w:tcPr>
            <w:tcW w:w="1110" w:type="dxa"/>
            <w:vAlign w:val="center"/>
          </w:tcPr>
          <w:p w:rsidR="00875675" w:rsidRPr="00507A06" w:rsidRDefault="00875675" w:rsidP="00875675">
            <w:pPr>
              <w:adjustRightInd w:val="0"/>
              <w:spacing w:before="20"/>
              <w:jc w:val="right"/>
              <w:rPr>
                <w:color w:val="000000"/>
                <w:sz w:val="16"/>
                <w:szCs w:val="16"/>
              </w:rPr>
            </w:pPr>
            <w:r>
              <w:rPr>
                <w:color w:val="000000"/>
                <w:sz w:val="16"/>
                <w:szCs w:val="16"/>
              </w:rPr>
              <w:t>1.00</w:t>
            </w:r>
          </w:p>
        </w:tc>
        <w:tc>
          <w:tcPr>
            <w:tcW w:w="1112" w:type="dxa"/>
            <w:gridSpan w:val="2"/>
            <w:vAlign w:val="center"/>
          </w:tcPr>
          <w:p w:rsidR="00875675" w:rsidRPr="00507A06" w:rsidRDefault="00875675" w:rsidP="00875675">
            <w:pPr>
              <w:adjustRightInd w:val="0"/>
              <w:spacing w:before="20"/>
              <w:jc w:val="right"/>
              <w:rPr>
                <w:color w:val="000000"/>
                <w:sz w:val="16"/>
                <w:szCs w:val="16"/>
              </w:rPr>
            </w:pPr>
          </w:p>
        </w:tc>
        <w:tc>
          <w:tcPr>
            <w:tcW w:w="839"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0.06</w:t>
            </w:r>
          </w:p>
        </w:tc>
      </w:tr>
      <w:tr w:rsidR="00875675" w:rsidRPr="009B1415" w:rsidTr="009F73AF">
        <w:tc>
          <w:tcPr>
            <w:tcW w:w="4274" w:type="dxa"/>
            <w:vAlign w:val="bottom"/>
          </w:tcPr>
          <w:p w:rsidR="00875675" w:rsidRPr="009B1415" w:rsidRDefault="00875675" w:rsidP="00875675">
            <w:pPr>
              <w:spacing w:before="20"/>
              <w:jc w:val="both"/>
              <w:rPr>
                <w:b/>
                <w:sz w:val="16"/>
                <w:szCs w:val="16"/>
              </w:rPr>
            </w:pPr>
            <w:r w:rsidRPr="009B1415">
              <w:rPr>
                <w:b/>
                <w:bCs/>
                <w:color w:val="000000"/>
                <w:sz w:val="16"/>
                <w:szCs w:val="16"/>
              </w:rPr>
              <w:t>Ever smoked daily for a period of time</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 </w:t>
            </w:r>
          </w:p>
        </w:tc>
        <w:tc>
          <w:tcPr>
            <w:tcW w:w="1110" w:type="dxa"/>
            <w:vAlign w:val="center"/>
          </w:tcPr>
          <w:p w:rsidR="00875675" w:rsidRPr="00507A06" w:rsidRDefault="00875675" w:rsidP="00875675">
            <w:pPr>
              <w:adjustRightInd w:val="0"/>
              <w:spacing w:before="20"/>
              <w:jc w:val="right"/>
              <w:rPr>
                <w:color w:val="000000"/>
                <w:sz w:val="16"/>
                <w:szCs w:val="16"/>
              </w:rPr>
            </w:pPr>
          </w:p>
        </w:tc>
        <w:tc>
          <w:tcPr>
            <w:tcW w:w="830" w:type="dxa"/>
            <w:vAlign w:val="center"/>
          </w:tcPr>
          <w:p w:rsidR="00875675" w:rsidRPr="00507A06" w:rsidRDefault="00875675" w:rsidP="00875675">
            <w:pPr>
              <w:adjustRightInd w:val="0"/>
              <w:spacing w:before="20"/>
              <w:jc w:val="right"/>
              <w:rPr>
                <w:color w:val="000000"/>
                <w:sz w:val="16"/>
                <w:szCs w:val="16"/>
              </w:rPr>
            </w:pPr>
          </w:p>
        </w:tc>
        <w:tc>
          <w:tcPr>
            <w:tcW w:w="282" w:type="dxa"/>
            <w:vAlign w:val="center"/>
          </w:tcPr>
          <w:p w:rsidR="00875675" w:rsidRPr="00507A06" w:rsidRDefault="00875675" w:rsidP="00875675">
            <w:pPr>
              <w:adjustRightInd w:val="0"/>
              <w:spacing w:before="20"/>
              <w:jc w:val="right"/>
              <w:rPr>
                <w:color w:val="000000"/>
                <w:sz w:val="16"/>
                <w:szCs w:val="16"/>
              </w:rPr>
            </w:pP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Yes</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52.9</w:t>
            </w:r>
          </w:p>
        </w:tc>
        <w:tc>
          <w:tcPr>
            <w:tcW w:w="1110"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1.98</w:t>
            </w:r>
          </w:p>
        </w:tc>
        <w:tc>
          <w:tcPr>
            <w:tcW w:w="1112" w:type="dxa"/>
            <w:gridSpan w:val="2"/>
            <w:vAlign w:val="center"/>
          </w:tcPr>
          <w:p w:rsidR="00875675" w:rsidRPr="00507A06" w:rsidRDefault="00875675" w:rsidP="00875675">
            <w:pPr>
              <w:adjustRightInd w:val="0"/>
              <w:spacing w:before="20"/>
              <w:jc w:val="right"/>
              <w:rPr>
                <w:color w:val="000000"/>
                <w:sz w:val="16"/>
                <w:szCs w:val="16"/>
              </w:rPr>
            </w:pPr>
            <w:r>
              <w:rPr>
                <w:color w:val="000000"/>
                <w:sz w:val="16"/>
                <w:szCs w:val="16"/>
              </w:rPr>
              <w:t>(</w:t>
            </w:r>
            <w:r w:rsidRPr="00507A06">
              <w:rPr>
                <w:color w:val="000000"/>
                <w:sz w:val="16"/>
                <w:szCs w:val="16"/>
              </w:rPr>
              <w:t>1.07</w:t>
            </w:r>
            <w:r>
              <w:rPr>
                <w:color w:val="000000"/>
                <w:sz w:val="16"/>
                <w:szCs w:val="16"/>
              </w:rPr>
              <w:t xml:space="preserve"> - </w:t>
            </w:r>
            <w:r w:rsidRPr="00507A06">
              <w:rPr>
                <w:color w:val="000000"/>
                <w:sz w:val="16"/>
                <w:szCs w:val="16"/>
              </w:rPr>
              <w:t>3.68</w:t>
            </w:r>
            <w:r>
              <w:rPr>
                <w:color w:val="000000"/>
                <w:sz w:val="16"/>
                <w:szCs w:val="16"/>
              </w:rPr>
              <w:t>)</w:t>
            </w: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No</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36.1</w:t>
            </w:r>
          </w:p>
        </w:tc>
        <w:tc>
          <w:tcPr>
            <w:tcW w:w="1110" w:type="dxa"/>
            <w:vAlign w:val="center"/>
          </w:tcPr>
          <w:p w:rsidR="00875675" w:rsidRPr="00507A06" w:rsidRDefault="00875675" w:rsidP="00875675">
            <w:pPr>
              <w:adjustRightInd w:val="0"/>
              <w:spacing w:before="20"/>
              <w:jc w:val="right"/>
              <w:rPr>
                <w:color w:val="000000"/>
                <w:sz w:val="16"/>
                <w:szCs w:val="16"/>
              </w:rPr>
            </w:pPr>
            <w:r>
              <w:rPr>
                <w:color w:val="000000"/>
                <w:sz w:val="16"/>
                <w:szCs w:val="16"/>
              </w:rPr>
              <w:t>1.00</w:t>
            </w:r>
          </w:p>
        </w:tc>
        <w:tc>
          <w:tcPr>
            <w:tcW w:w="1112" w:type="dxa"/>
            <w:gridSpan w:val="2"/>
            <w:vAlign w:val="center"/>
          </w:tcPr>
          <w:p w:rsidR="00875675" w:rsidRPr="00507A06" w:rsidRDefault="00875675" w:rsidP="00875675">
            <w:pPr>
              <w:adjustRightInd w:val="0"/>
              <w:spacing w:before="20"/>
              <w:jc w:val="right"/>
              <w:rPr>
                <w:color w:val="000000"/>
                <w:sz w:val="16"/>
                <w:szCs w:val="16"/>
              </w:rPr>
            </w:pPr>
          </w:p>
        </w:tc>
        <w:tc>
          <w:tcPr>
            <w:tcW w:w="839" w:type="dxa"/>
            <w:shd w:val="clear" w:color="auto" w:fill="D9D9D9" w:themeFill="background1" w:themeFillShade="D9"/>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0.03</w:t>
            </w:r>
          </w:p>
        </w:tc>
      </w:tr>
      <w:tr w:rsidR="00875675" w:rsidRPr="009B1415" w:rsidTr="009F73AF">
        <w:tc>
          <w:tcPr>
            <w:tcW w:w="4274" w:type="dxa"/>
            <w:vAlign w:val="bottom"/>
          </w:tcPr>
          <w:p w:rsidR="00875675" w:rsidRPr="009B1415" w:rsidRDefault="00875675" w:rsidP="00875675">
            <w:pPr>
              <w:spacing w:before="20"/>
              <w:jc w:val="both"/>
              <w:rPr>
                <w:b/>
                <w:sz w:val="16"/>
                <w:szCs w:val="16"/>
              </w:rPr>
            </w:pPr>
            <w:r w:rsidRPr="009B1415">
              <w:rPr>
                <w:b/>
                <w:bCs/>
                <w:color w:val="000000"/>
                <w:sz w:val="16"/>
                <w:szCs w:val="16"/>
              </w:rPr>
              <w:t>Current tobacco use</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 </w:t>
            </w:r>
          </w:p>
        </w:tc>
        <w:tc>
          <w:tcPr>
            <w:tcW w:w="1110" w:type="dxa"/>
            <w:vAlign w:val="center"/>
          </w:tcPr>
          <w:p w:rsidR="00875675" w:rsidRPr="00507A06" w:rsidRDefault="00875675" w:rsidP="00875675">
            <w:pPr>
              <w:adjustRightInd w:val="0"/>
              <w:spacing w:before="20"/>
              <w:jc w:val="right"/>
              <w:rPr>
                <w:color w:val="000000"/>
                <w:sz w:val="16"/>
                <w:szCs w:val="16"/>
              </w:rPr>
            </w:pPr>
          </w:p>
        </w:tc>
        <w:tc>
          <w:tcPr>
            <w:tcW w:w="830" w:type="dxa"/>
            <w:vAlign w:val="center"/>
          </w:tcPr>
          <w:p w:rsidR="00875675" w:rsidRPr="00507A06" w:rsidRDefault="00875675" w:rsidP="00875675">
            <w:pPr>
              <w:adjustRightInd w:val="0"/>
              <w:spacing w:before="20"/>
              <w:jc w:val="right"/>
              <w:rPr>
                <w:color w:val="000000"/>
                <w:sz w:val="16"/>
                <w:szCs w:val="16"/>
              </w:rPr>
            </w:pPr>
          </w:p>
        </w:tc>
        <w:tc>
          <w:tcPr>
            <w:tcW w:w="282" w:type="dxa"/>
            <w:vAlign w:val="center"/>
          </w:tcPr>
          <w:p w:rsidR="00875675" w:rsidRPr="00507A06" w:rsidRDefault="00875675" w:rsidP="00875675">
            <w:pPr>
              <w:adjustRightInd w:val="0"/>
              <w:spacing w:before="20"/>
              <w:jc w:val="right"/>
              <w:rPr>
                <w:color w:val="000000"/>
                <w:sz w:val="16"/>
                <w:szCs w:val="16"/>
              </w:rPr>
            </w:pP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sidRPr="009B1415">
              <w:rPr>
                <w:sz w:val="16"/>
                <w:szCs w:val="16"/>
              </w:rPr>
              <w:t>Does not smoke now</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41.9</w:t>
            </w:r>
          </w:p>
        </w:tc>
        <w:tc>
          <w:tcPr>
            <w:tcW w:w="1110"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1.23</w:t>
            </w:r>
          </w:p>
        </w:tc>
        <w:tc>
          <w:tcPr>
            <w:tcW w:w="1112" w:type="dxa"/>
            <w:gridSpan w:val="2"/>
            <w:vAlign w:val="center"/>
          </w:tcPr>
          <w:p w:rsidR="00875675" w:rsidRPr="00507A06" w:rsidRDefault="00875675" w:rsidP="00875675">
            <w:pPr>
              <w:adjustRightInd w:val="0"/>
              <w:spacing w:before="20"/>
              <w:jc w:val="right"/>
              <w:rPr>
                <w:color w:val="000000"/>
                <w:sz w:val="16"/>
                <w:szCs w:val="16"/>
              </w:rPr>
            </w:pPr>
            <w:r>
              <w:rPr>
                <w:color w:val="000000"/>
                <w:sz w:val="16"/>
                <w:szCs w:val="16"/>
              </w:rPr>
              <w:t>(</w:t>
            </w:r>
            <w:r w:rsidRPr="00507A06">
              <w:rPr>
                <w:color w:val="000000"/>
                <w:sz w:val="16"/>
                <w:szCs w:val="16"/>
              </w:rPr>
              <w:t>0.60</w:t>
            </w:r>
            <w:r>
              <w:rPr>
                <w:color w:val="000000"/>
                <w:sz w:val="16"/>
                <w:szCs w:val="16"/>
              </w:rPr>
              <w:t xml:space="preserve"> - </w:t>
            </w:r>
            <w:r w:rsidRPr="00507A06">
              <w:rPr>
                <w:color w:val="000000"/>
                <w:sz w:val="16"/>
                <w:szCs w:val="16"/>
              </w:rPr>
              <w:t>2.53</w:t>
            </w:r>
            <w:r>
              <w:rPr>
                <w:color w:val="000000"/>
                <w:sz w:val="16"/>
                <w:szCs w:val="16"/>
              </w:rPr>
              <w:t>)</w:t>
            </w: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Pr>
          <w:p w:rsidR="00875675" w:rsidRPr="009B1415" w:rsidRDefault="00875675" w:rsidP="00875675">
            <w:pPr>
              <w:spacing w:before="20"/>
              <w:ind w:left="176"/>
              <w:jc w:val="both"/>
              <w:rPr>
                <w:sz w:val="16"/>
                <w:szCs w:val="16"/>
              </w:rPr>
            </w:pPr>
            <w:r>
              <w:rPr>
                <w:sz w:val="16"/>
                <w:szCs w:val="16"/>
              </w:rPr>
              <w:t>Smokes at least once a day</w:t>
            </w:r>
          </w:p>
        </w:tc>
        <w:tc>
          <w:tcPr>
            <w:tcW w:w="971"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68.6</w:t>
            </w:r>
          </w:p>
        </w:tc>
        <w:tc>
          <w:tcPr>
            <w:tcW w:w="1110" w:type="dxa"/>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3.74</w:t>
            </w:r>
          </w:p>
        </w:tc>
        <w:tc>
          <w:tcPr>
            <w:tcW w:w="1112" w:type="dxa"/>
            <w:gridSpan w:val="2"/>
            <w:vAlign w:val="center"/>
          </w:tcPr>
          <w:p w:rsidR="00875675" w:rsidRPr="00507A06" w:rsidRDefault="00875675" w:rsidP="00875675">
            <w:pPr>
              <w:adjustRightInd w:val="0"/>
              <w:spacing w:before="20"/>
              <w:jc w:val="right"/>
              <w:rPr>
                <w:color w:val="000000"/>
                <w:sz w:val="16"/>
                <w:szCs w:val="16"/>
              </w:rPr>
            </w:pPr>
            <w:r>
              <w:rPr>
                <w:color w:val="000000"/>
                <w:sz w:val="16"/>
                <w:szCs w:val="16"/>
              </w:rPr>
              <w:t>(</w:t>
            </w:r>
            <w:r w:rsidRPr="00507A06">
              <w:rPr>
                <w:color w:val="000000"/>
                <w:sz w:val="16"/>
                <w:szCs w:val="16"/>
              </w:rPr>
              <w:t>1.48</w:t>
            </w:r>
            <w:r>
              <w:rPr>
                <w:color w:val="000000"/>
                <w:sz w:val="16"/>
                <w:szCs w:val="16"/>
              </w:rPr>
              <w:t xml:space="preserve"> - </w:t>
            </w:r>
            <w:r w:rsidRPr="00507A06">
              <w:rPr>
                <w:color w:val="000000"/>
                <w:sz w:val="16"/>
                <w:szCs w:val="16"/>
              </w:rPr>
              <w:t>9.45</w:t>
            </w:r>
            <w:r>
              <w:rPr>
                <w:color w:val="000000"/>
                <w:sz w:val="16"/>
                <w:szCs w:val="16"/>
              </w:rPr>
              <w:t>)</w:t>
            </w:r>
          </w:p>
        </w:tc>
        <w:tc>
          <w:tcPr>
            <w:tcW w:w="839" w:type="dxa"/>
            <w:vAlign w:val="center"/>
          </w:tcPr>
          <w:p w:rsidR="00875675" w:rsidRPr="00507A06" w:rsidRDefault="00875675" w:rsidP="00875675">
            <w:pPr>
              <w:adjustRightInd w:val="0"/>
              <w:spacing w:before="20"/>
              <w:jc w:val="right"/>
              <w:rPr>
                <w:color w:val="000000"/>
                <w:sz w:val="16"/>
                <w:szCs w:val="16"/>
              </w:rPr>
            </w:pPr>
          </w:p>
        </w:tc>
      </w:tr>
      <w:tr w:rsidR="00875675" w:rsidRPr="009B1415" w:rsidTr="009F73AF">
        <w:tc>
          <w:tcPr>
            <w:tcW w:w="4274" w:type="dxa"/>
            <w:tcBorders>
              <w:bottom w:val="single" w:sz="4" w:space="0" w:color="auto"/>
            </w:tcBorders>
          </w:tcPr>
          <w:p w:rsidR="00875675" w:rsidRPr="009B1415" w:rsidRDefault="00875675" w:rsidP="00875675">
            <w:pPr>
              <w:spacing w:before="20"/>
              <w:ind w:left="176"/>
              <w:jc w:val="both"/>
              <w:rPr>
                <w:sz w:val="16"/>
                <w:szCs w:val="16"/>
              </w:rPr>
            </w:pPr>
            <w:r w:rsidRPr="009B1415">
              <w:rPr>
                <w:sz w:val="16"/>
                <w:szCs w:val="16"/>
              </w:rPr>
              <w:t>Never smoked</w:t>
            </w:r>
          </w:p>
        </w:tc>
        <w:tc>
          <w:tcPr>
            <w:tcW w:w="971" w:type="dxa"/>
            <w:tcBorders>
              <w:bottom w:val="single" w:sz="4" w:space="0" w:color="auto"/>
            </w:tcBorders>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36.9</w:t>
            </w:r>
          </w:p>
        </w:tc>
        <w:tc>
          <w:tcPr>
            <w:tcW w:w="1110" w:type="dxa"/>
            <w:tcBorders>
              <w:bottom w:val="single" w:sz="4" w:space="0" w:color="auto"/>
            </w:tcBorders>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1.00</w:t>
            </w:r>
          </w:p>
        </w:tc>
        <w:tc>
          <w:tcPr>
            <w:tcW w:w="830" w:type="dxa"/>
            <w:tcBorders>
              <w:bottom w:val="single" w:sz="4" w:space="0" w:color="auto"/>
            </w:tcBorders>
            <w:vAlign w:val="center"/>
          </w:tcPr>
          <w:p w:rsidR="00875675" w:rsidRPr="00507A06" w:rsidRDefault="00875675" w:rsidP="00875675">
            <w:pPr>
              <w:adjustRightInd w:val="0"/>
              <w:spacing w:before="20"/>
              <w:jc w:val="right"/>
              <w:rPr>
                <w:color w:val="000000"/>
                <w:sz w:val="16"/>
                <w:szCs w:val="16"/>
              </w:rPr>
            </w:pPr>
          </w:p>
        </w:tc>
        <w:tc>
          <w:tcPr>
            <w:tcW w:w="282" w:type="dxa"/>
            <w:tcBorders>
              <w:bottom w:val="single" w:sz="4" w:space="0" w:color="auto"/>
            </w:tcBorders>
            <w:vAlign w:val="center"/>
          </w:tcPr>
          <w:p w:rsidR="00875675" w:rsidRPr="00507A06" w:rsidRDefault="00875675" w:rsidP="00875675">
            <w:pPr>
              <w:adjustRightInd w:val="0"/>
              <w:spacing w:before="20"/>
              <w:jc w:val="right"/>
              <w:rPr>
                <w:color w:val="000000"/>
                <w:sz w:val="16"/>
                <w:szCs w:val="16"/>
              </w:rPr>
            </w:pPr>
          </w:p>
        </w:tc>
        <w:tc>
          <w:tcPr>
            <w:tcW w:w="839" w:type="dxa"/>
            <w:tcBorders>
              <w:bottom w:val="single" w:sz="4" w:space="0" w:color="auto"/>
            </w:tcBorders>
            <w:shd w:val="clear" w:color="auto" w:fill="D9D9D9" w:themeFill="background1" w:themeFillShade="D9"/>
            <w:vAlign w:val="center"/>
          </w:tcPr>
          <w:p w:rsidR="00875675" w:rsidRPr="00507A06" w:rsidRDefault="00875675" w:rsidP="00875675">
            <w:pPr>
              <w:adjustRightInd w:val="0"/>
              <w:spacing w:before="20"/>
              <w:jc w:val="right"/>
              <w:rPr>
                <w:color w:val="000000"/>
                <w:sz w:val="16"/>
                <w:szCs w:val="16"/>
              </w:rPr>
            </w:pPr>
            <w:r w:rsidRPr="00507A06">
              <w:rPr>
                <w:color w:val="000000"/>
                <w:sz w:val="16"/>
                <w:szCs w:val="16"/>
              </w:rPr>
              <w:t>0.02</w:t>
            </w:r>
          </w:p>
        </w:tc>
      </w:tr>
    </w:tbl>
    <w:p w:rsidR="00695268" w:rsidRPr="002834B6" w:rsidRDefault="00695268" w:rsidP="00695268">
      <w:pPr>
        <w:rPr>
          <w:sz w:val="17"/>
          <w:szCs w:val="17"/>
        </w:rPr>
      </w:pPr>
      <w:r w:rsidRPr="002834B6">
        <w:rPr>
          <w:sz w:val="17"/>
          <w:szCs w:val="17"/>
        </w:rPr>
        <w:t>Data weighted for 2013 Census data (both Waves) and attrition (Wave 2)</w:t>
      </w:r>
    </w:p>
    <w:p w:rsidR="00FD72AF" w:rsidRDefault="00FD72AF" w:rsidP="00FD72AF">
      <w:pPr>
        <w:pStyle w:val="Heading3b"/>
        <w:numPr>
          <w:ilvl w:val="0"/>
          <w:numId w:val="0"/>
        </w:numPr>
        <w:spacing w:before="0" w:after="0"/>
        <w:jc w:val="both"/>
        <w:rPr>
          <w:rFonts w:ascii="Times New Roman" w:hAnsi="Times New Roman" w:cs="Times New Roman"/>
          <w:b/>
          <w:i w:val="0"/>
        </w:rPr>
      </w:pPr>
      <w:bookmarkStart w:id="281" w:name="_Toc420392637"/>
      <w:r w:rsidRPr="00D62954">
        <w:rPr>
          <w:rFonts w:ascii="Times New Roman" w:hAnsi="Times New Roman" w:cs="Times New Roman"/>
          <w:b/>
          <w:i w:val="0"/>
        </w:rPr>
        <w:lastRenderedPageBreak/>
        <w:t xml:space="preserve">Appendix </w:t>
      </w:r>
      <w:r w:rsidRPr="00D62954">
        <w:rPr>
          <w:rFonts w:ascii="Times New Roman" w:hAnsi="Times New Roman" w:cs="Times New Roman"/>
          <w:b/>
          <w:i w:val="0"/>
        </w:rPr>
        <w:fldChar w:fldCharType="begin"/>
      </w:r>
      <w:r w:rsidRPr="00D62954">
        <w:rPr>
          <w:rFonts w:ascii="Times New Roman" w:hAnsi="Times New Roman" w:cs="Times New Roman"/>
          <w:b/>
          <w:i w:val="0"/>
        </w:rPr>
        <w:instrText xml:space="preserve"> SEQ Appendix \* ARABIC </w:instrText>
      </w:r>
      <w:r w:rsidRPr="00D62954">
        <w:rPr>
          <w:rFonts w:ascii="Times New Roman" w:hAnsi="Times New Roman" w:cs="Times New Roman"/>
          <w:b/>
          <w:i w:val="0"/>
        </w:rPr>
        <w:fldChar w:fldCharType="separate"/>
      </w:r>
      <w:r w:rsidR="00B2175B">
        <w:rPr>
          <w:rFonts w:ascii="Times New Roman" w:hAnsi="Times New Roman" w:cs="Times New Roman"/>
          <w:b/>
          <w:i w:val="0"/>
          <w:noProof/>
        </w:rPr>
        <w:t>14</w:t>
      </w:r>
      <w:r w:rsidRPr="00D62954">
        <w:rPr>
          <w:rFonts w:ascii="Times New Roman" w:hAnsi="Times New Roman" w:cs="Times New Roman"/>
          <w:b/>
          <w:i w:val="0"/>
        </w:rPr>
        <w:fldChar w:fldCharType="end"/>
      </w:r>
      <w:r w:rsidRPr="00D62954">
        <w:rPr>
          <w:rFonts w:ascii="Times New Roman" w:hAnsi="Times New Roman" w:cs="Times New Roman"/>
          <w:b/>
          <w:i w:val="0"/>
        </w:rPr>
        <w:t xml:space="preserve">: </w:t>
      </w:r>
      <w:r w:rsidR="007F2FB4">
        <w:rPr>
          <w:rFonts w:ascii="Times New Roman" w:hAnsi="Times New Roman" w:cs="Times New Roman"/>
          <w:b/>
          <w:i w:val="0"/>
        </w:rPr>
        <w:t>B</w:t>
      </w:r>
      <w:r w:rsidR="00961354">
        <w:rPr>
          <w:rFonts w:ascii="Times New Roman" w:hAnsi="Times New Roman" w:cs="Times New Roman"/>
          <w:b/>
          <w:i w:val="0"/>
        </w:rPr>
        <w:t xml:space="preserve">ivariate </w:t>
      </w:r>
      <w:r w:rsidR="007F2FB4">
        <w:rPr>
          <w:rFonts w:ascii="Times New Roman" w:hAnsi="Times New Roman" w:cs="Times New Roman"/>
          <w:b/>
          <w:i w:val="0"/>
        </w:rPr>
        <w:t>associations</w:t>
      </w:r>
      <w:r w:rsidRPr="00D62954">
        <w:rPr>
          <w:rFonts w:ascii="Times New Roman" w:hAnsi="Times New Roman" w:cs="Times New Roman"/>
          <w:b/>
          <w:i w:val="0"/>
        </w:rPr>
        <w:t xml:space="preserve"> for initiation of gambling </w:t>
      </w:r>
      <w:r w:rsidR="006A32F0" w:rsidRPr="00D62954">
        <w:rPr>
          <w:rFonts w:ascii="Times New Roman" w:hAnsi="Times New Roman" w:cs="Times New Roman"/>
          <w:b/>
          <w:i w:val="0"/>
        </w:rPr>
        <w:t>in Wave 2</w:t>
      </w:r>
      <w:bookmarkEnd w:id="281"/>
    </w:p>
    <w:p w:rsidR="00FD72AF" w:rsidRDefault="00FD72AF" w:rsidP="00FD72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1105"/>
        <w:gridCol w:w="1110"/>
        <w:gridCol w:w="692"/>
        <w:gridCol w:w="381"/>
        <w:gridCol w:w="747"/>
      </w:tblGrid>
      <w:tr w:rsidR="00FD72AF" w:rsidRPr="009B1415" w:rsidTr="009F73AF">
        <w:trPr>
          <w:tblHeader/>
        </w:trPr>
        <w:tc>
          <w:tcPr>
            <w:tcW w:w="4271" w:type="dxa"/>
            <w:tcBorders>
              <w:top w:val="single" w:sz="4" w:space="0" w:color="auto"/>
              <w:bottom w:val="single" w:sz="4" w:space="0" w:color="auto"/>
            </w:tcBorders>
            <w:vAlign w:val="bottom"/>
          </w:tcPr>
          <w:p w:rsidR="00FD72AF" w:rsidRPr="009B1415" w:rsidRDefault="00FD72AF" w:rsidP="00FD72AF">
            <w:pPr>
              <w:spacing w:before="20"/>
              <w:jc w:val="both"/>
              <w:rPr>
                <w:b/>
                <w:sz w:val="16"/>
                <w:szCs w:val="16"/>
              </w:rPr>
            </w:pPr>
            <w:r w:rsidRPr="009B1415">
              <w:rPr>
                <w:b/>
                <w:sz w:val="16"/>
                <w:szCs w:val="16"/>
              </w:rPr>
              <w:t>Variable</w:t>
            </w:r>
          </w:p>
        </w:tc>
        <w:tc>
          <w:tcPr>
            <w:tcW w:w="1105" w:type="dxa"/>
            <w:tcBorders>
              <w:top w:val="single" w:sz="4" w:space="0" w:color="auto"/>
              <w:bottom w:val="single" w:sz="4" w:space="0" w:color="auto"/>
            </w:tcBorders>
            <w:vAlign w:val="center"/>
          </w:tcPr>
          <w:p w:rsidR="00FD72AF" w:rsidRPr="003F15C0" w:rsidRDefault="00FD72AF" w:rsidP="006A32F0">
            <w:pPr>
              <w:spacing w:before="20"/>
              <w:jc w:val="right"/>
              <w:rPr>
                <w:b/>
                <w:bCs/>
                <w:color w:val="000000"/>
                <w:sz w:val="16"/>
                <w:szCs w:val="16"/>
              </w:rPr>
            </w:pPr>
            <w:r w:rsidRPr="003F15C0">
              <w:rPr>
                <w:b/>
                <w:bCs/>
                <w:color w:val="000000"/>
                <w:sz w:val="16"/>
                <w:szCs w:val="16"/>
              </w:rPr>
              <w:t>%</w:t>
            </w:r>
          </w:p>
        </w:tc>
        <w:tc>
          <w:tcPr>
            <w:tcW w:w="1110" w:type="dxa"/>
            <w:tcBorders>
              <w:top w:val="single" w:sz="4" w:space="0" w:color="auto"/>
              <w:bottom w:val="single" w:sz="4" w:space="0" w:color="auto"/>
            </w:tcBorders>
            <w:vAlign w:val="center"/>
          </w:tcPr>
          <w:p w:rsidR="00FD72AF" w:rsidRPr="003F15C0" w:rsidRDefault="00FD72AF" w:rsidP="006A32F0">
            <w:pPr>
              <w:spacing w:before="20"/>
              <w:jc w:val="right"/>
              <w:rPr>
                <w:b/>
                <w:color w:val="000000"/>
                <w:sz w:val="16"/>
                <w:szCs w:val="16"/>
              </w:rPr>
            </w:pPr>
            <w:r w:rsidRPr="003F15C0">
              <w:rPr>
                <w:b/>
                <w:color w:val="000000"/>
                <w:sz w:val="16"/>
                <w:szCs w:val="16"/>
              </w:rPr>
              <w:t>Odds Ratio</w:t>
            </w:r>
          </w:p>
        </w:tc>
        <w:tc>
          <w:tcPr>
            <w:tcW w:w="1073" w:type="dxa"/>
            <w:gridSpan w:val="2"/>
            <w:tcBorders>
              <w:top w:val="single" w:sz="4" w:space="0" w:color="auto"/>
              <w:bottom w:val="single" w:sz="4" w:space="0" w:color="auto"/>
            </w:tcBorders>
            <w:vAlign w:val="center"/>
          </w:tcPr>
          <w:p w:rsidR="00FD72AF" w:rsidRPr="003F15C0" w:rsidRDefault="00FD72AF" w:rsidP="006A32F0">
            <w:pPr>
              <w:spacing w:before="20"/>
              <w:jc w:val="right"/>
              <w:rPr>
                <w:b/>
                <w:color w:val="000000"/>
                <w:sz w:val="16"/>
                <w:szCs w:val="16"/>
              </w:rPr>
            </w:pPr>
            <w:r w:rsidRPr="003F15C0">
              <w:rPr>
                <w:b/>
                <w:color w:val="000000"/>
                <w:sz w:val="16"/>
                <w:szCs w:val="16"/>
              </w:rPr>
              <w:t>(95% CI)</w:t>
            </w:r>
          </w:p>
        </w:tc>
        <w:tc>
          <w:tcPr>
            <w:tcW w:w="747" w:type="dxa"/>
            <w:tcBorders>
              <w:top w:val="single" w:sz="4" w:space="0" w:color="auto"/>
              <w:bottom w:val="single" w:sz="4" w:space="0" w:color="auto"/>
            </w:tcBorders>
            <w:vAlign w:val="center"/>
          </w:tcPr>
          <w:p w:rsidR="00FD72AF" w:rsidRPr="003F15C0" w:rsidRDefault="00FD72AF" w:rsidP="006A32F0">
            <w:pPr>
              <w:spacing w:before="20"/>
              <w:jc w:val="right"/>
              <w:rPr>
                <w:b/>
                <w:color w:val="000000"/>
                <w:sz w:val="16"/>
                <w:szCs w:val="16"/>
              </w:rPr>
            </w:pPr>
            <w:r w:rsidRPr="003F15C0">
              <w:rPr>
                <w:b/>
                <w:color w:val="000000"/>
                <w:sz w:val="16"/>
                <w:szCs w:val="16"/>
              </w:rPr>
              <w:t>p-value</w:t>
            </w:r>
          </w:p>
        </w:tc>
      </w:tr>
      <w:tr w:rsidR="00FD72AF" w:rsidRPr="009B1415" w:rsidTr="009F73AF">
        <w:tc>
          <w:tcPr>
            <w:tcW w:w="4271" w:type="dxa"/>
            <w:tcBorders>
              <w:top w:val="single" w:sz="4" w:space="0" w:color="auto"/>
            </w:tcBorders>
            <w:vAlign w:val="bottom"/>
          </w:tcPr>
          <w:p w:rsidR="00FD72AF" w:rsidRPr="009B1415" w:rsidRDefault="00FD72AF" w:rsidP="00FD72AF">
            <w:pPr>
              <w:spacing w:before="20"/>
              <w:jc w:val="both"/>
              <w:rPr>
                <w:b/>
                <w:sz w:val="16"/>
                <w:szCs w:val="16"/>
              </w:rPr>
            </w:pPr>
            <w:r w:rsidRPr="009B1415">
              <w:rPr>
                <w:b/>
                <w:sz w:val="16"/>
                <w:szCs w:val="16"/>
              </w:rPr>
              <w:t>Age group (years)</w:t>
            </w:r>
          </w:p>
        </w:tc>
        <w:tc>
          <w:tcPr>
            <w:tcW w:w="1105" w:type="dxa"/>
            <w:tcBorders>
              <w:top w:val="single" w:sz="4" w:space="0" w:color="auto"/>
            </w:tcBorders>
            <w:vAlign w:val="center"/>
          </w:tcPr>
          <w:p w:rsidR="00FD72AF" w:rsidRPr="009B1415" w:rsidRDefault="00FD72AF" w:rsidP="00FD72AF">
            <w:pPr>
              <w:spacing w:before="20"/>
              <w:jc w:val="center"/>
              <w:rPr>
                <w:rFonts w:ascii="Calibri" w:hAnsi="Calibri"/>
                <w:b/>
                <w:bCs/>
                <w:color w:val="000000"/>
                <w:sz w:val="16"/>
                <w:szCs w:val="16"/>
              </w:rPr>
            </w:pPr>
          </w:p>
        </w:tc>
        <w:tc>
          <w:tcPr>
            <w:tcW w:w="1110" w:type="dxa"/>
            <w:tcBorders>
              <w:top w:val="single" w:sz="4" w:space="0" w:color="auto"/>
            </w:tcBorders>
            <w:vAlign w:val="center"/>
          </w:tcPr>
          <w:p w:rsidR="00FD72AF" w:rsidRPr="009B1415" w:rsidRDefault="00FD72AF" w:rsidP="00FD72AF">
            <w:pPr>
              <w:spacing w:before="20"/>
              <w:jc w:val="center"/>
              <w:rPr>
                <w:rFonts w:ascii="Calibri" w:hAnsi="Calibri"/>
                <w:b/>
                <w:color w:val="000000"/>
                <w:sz w:val="16"/>
                <w:szCs w:val="16"/>
              </w:rPr>
            </w:pPr>
          </w:p>
        </w:tc>
        <w:tc>
          <w:tcPr>
            <w:tcW w:w="692" w:type="dxa"/>
            <w:tcBorders>
              <w:top w:val="single" w:sz="4" w:space="0" w:color="auto"/>
            </w:tcBorders>
            <w:vAlign w:val="center"/>
          </w:tcPr>
          <w:p w:rsidR="00FD72AF" w:rsidRPr="009B1415" w:rsidRDefault="00FD72AF" w:rsidP="00FD72AF">
            <w:pPr>
              <w:spacing w:before="20"/>
              <w:jc w:val="center"/>
              <w:rPr>
                <w:rFonts w:ascii="Calibri" w:hAnsi="Calibri"/>
                <w:b/>
                <w:color w:val="000000"/>
                <w:sz w:val="16"/>
                <w:szCs w:val="16"/>
              </w:rPr>
            </w:pPr>
          </w:p>
        </w:tc>
        <w:tc>
          <w:tcPr>
            <w:tcW w:w="381" w:type="dxa"/>
            <w:tcBorders>
              <w:top w:val="single" w:sz="4" w:space="0" w:color="auto"/>
            </w:tcBorders>
            <w:vAlign w:val="center"/>
          </w:tcPr>
          <w:p w:rsidR="00FD72AF" w:rsidRPr="009B1415" w:rsidRDefault="00FD72AF" w:rsidP="00FD72AF">
            <w:pPr>
              <w:spacing w:before="20"/>
              <w:jc w:val="center"/>
              <w:rPr>
                <w:rFonts w:ascii="Calibri" w:hAnsi="Calibri"/>
                <w:b/>
                <w:color w:val="000000"/>
                <w:sz w:val="16"/>
                <w:szCs w:val="16"/>
              </w:rPr>
            </w:pPr>
          </w:p>
        </w:tc>
        <w:tc>
          <w:tcPr>
            <w:tcW w:w="747" w:type="dxa"/>
            <w:tcBorders>
              <w:top w:val="single" w:sz="4" w:space="0" w:color="auto"/>
            </w:tcBorders>
            <w:vAlign w:val="center"/>
          </w:tcPr>
          <w:p w:rsidR="00FD72AF" w:rsidRPr="009B1415" w:rsidRDefault="00FD72AF" w:rsidP="00FD72AF">
            <w:pPr>
              <w:spacing w:before="20"/>
              <w:jc w:val="center"/>
              <w:rPr>
                <w:rFonts w:ascii="Calibri" w:hAnsi="Calibri"/>
                <w:b/>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18 - 24</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31.7</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25 - 34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32.1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0.43</w:t>
            </w:r>
            <w:r w:rsidR="005F7D22">
              <w:rPr>
                <w:color w:val="000000"/>
                <w:sz w:val="16"/>
                <w:szCs w:val="16"/>
              </w:rPr>
              <w:t xml:space="preserve"> - </w:t>
            </w:r>
            <w:r w:rsidR="005F7D22" w:rsidRPr="006A32F0">
              <w:rPr>
                <w:color w:val="000000"/>
                <w:sz w:val="16"/>
                <w:szCs w:val="16"/>
              </w:rPr>
              <w:t>2.40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35 - 44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29.2</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0.39</w:t>
            </w:r>
            <w:r w:rsidR="005F7D22">
              <w:rPr>
                <w:color w:val="000000"/>
                <w:sz w:val="16"/>
                <w:szCs w:val="16"/>
              </w:rPr>
              <w:t xml:space="preserve"> - </w:t>
            </w:r>
            <w:r w:rsidR="005F7D22" w:rsidRPr="006A32F0">
              <w:rPr>
                <w:color w:val="000000"/>
                <w:sz w:val="16"/>
                <w:szCs w:val="16"/>
              </w:rPr>
              <w:t>2.03</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45 - 54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39.7</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1.42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0.63</w:t>
            </w:r>
            <w:r w:rsidR="005F7D22">
              <w:rPr>
                <w:color w:val="000000"/>
                <w:sz w:val="16"/>
                <w:szCs w:val="16"/>
              </w:rPr>
              <w:t xml:space="preserve"> - </w:t>
            </w:r>
            <w:r w:rsidR="005F7D22" w:rsidRPr="006A32F0">
              <w:rPr>
                <w:color w:val="000000"/>
                <w:sz w:val="16"/>
                <w:szCs w:val="16"/>
              </w:rPr>
              <w:t>3.19</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55</w:t>
            </w:r>
            <w:r>
              <w:rPr>
                <w:sz w:val="16"/>
                <w:szCs w:val="16"/>
              </w:rPr>
              <w:t xml:space="preserve"> - 64</w:t>
            </w:r>
            <w:r w:rsidRPr="009B1415">
              <w:rPr>
                <w:sz w:val="16"/>
                <w:szCs w:val="16"/>
              </w:rPr>
              <w:t xml:space="preserve"> </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30.9</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0.97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0.40</w:t>
            </w:r>
            <w:r w:rsidR="005F7D22">
              <w:rPr>
                <w:color w:val="000000"/>
                <w:sz w:val="16"/>
                <w:szCs w:val="16"/>
              </w:rPr>
              <w:t xml:space="preserve"> - </w:t>
            </w:r>
            <w:r w:rsidR="005F7D22" w:rsidRPr="006A32F0">
              <w:rPr>
                <w:color w:val="000000"/>
                <w:sz w:val="16"/>
                <w:szCs w:val="16"/>
              </w:rPr>
              <w:t>2.33</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Pr>
                <w:sz w:val="16"/>
                <w:szCs w:val="16"/>
              </w:rPr>
              <w:t>65+</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28.4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0.86</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0.39</w:t>
            </w:r>
            <w:r w:rsidR="005F7D22">
              <w:rPr>
                <w:color w:val="000000"/>
                <w:sz w:val="16"/>
                <w:szCs w:val="16"/>
              </w:rPr>
              <w:t xml:space="preserve"> - </w:t>
            </w:r>
            <w:r w:rsidR="005F7D22" w:rsidRPr="006A32F0">
              <w:rPr>
                <w:color w:val="000000"/>
                <w:sz w:val="16"/>
                <w:szCs w:val="16"/>
              </w:rPr>
              <w:t>1.87</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0.76</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Gender</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Male</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33.0</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Female</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1.11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0.71</w:t>
            </w:r>
            <w:r w:rsidR="005F7D22">
              <w:rPr>
                <w:color w:val="000000"/>
                <w:sz w:val="16"/>
                <w:szCs w:val="16"/>
              </w:rPr>
              <w:t xml:space="preserve"> - </w:t>
            </w:r>
            <w:r w:rsidR="005F7D22" w:rsidRPr="006A32F0">
              <w:rPr>
                <w:color w:val="000000"/>
                <w:sz w:val="16"/>
                <w:szCs w:val="16"/>
              </w:rPr>
              <w:t>1.73</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0.66</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Ethnic group (prioritised)</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Māori</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55.6</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2.61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1.20</w:t>
            </w:r>
            <w:r w:rsidR="005F7D22">
              <w:rPr>
                <w:color w:val="000000"/>
                <w:sz w:val="16"/>
                <w:szCs w:val="16"/>
              </w:rPr>
              <w:t xml:space="preserve"> - </w:t>
            </w:r>
            <w:r w:rsidR="005F7D22" w:rsidRPr="006A32F0">
              <w:rPr>
                <w:color w:val="000000"/>
                <w:sz w:val="16"/>
                <w:szCs w:val="16"/>
              </w:rPr>
              <w:t>5.68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Pacific</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31.4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0.95</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0.52</w:t>
            </w:r>
            <w:r w:rsidR="005F7D22">
              <w:rPr>
                <w:color w:val="000000"/>
                <w:sz w:val="16"/>
                <w:szCs w:val="16"/>
              </w:rPr>
              <w:t xml:space="preserve"> - </w:t>
            </w:r>
            <w:r w:rsidR="005F7D22" w:rsidRPr="006A32F0">
              <w:rPr>
                <w:color w:val="000000"/>
                <w:sz w:val="16"/>
                <w:szCs w:val="16"/>
              </w:rPr>
              <w:t>1.74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Asian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22.5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0.60</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0.35</w:t>
            </w:r>
            <w:r w:rsidR="005F7D22">
              <w:rPr>
                <w:color w:val="000000"/>
                <w:sz w:val="16"/>
                <w:szCs w:val="16"/>
              </w:rPr>
              <w:t xml:space="preserve"> - </w:t>
            </w:r>
            <w:r w:rsidR="005F7D22" w:rsidRPr="006A32F0">
              <w:rPr>
                <w:color w:val="000000"/>
                <w:sz w:val="16"/>
                <w:szCs w:val="16"/>
              </w:rPr>
              <w:t>1.04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European/Other</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32.5</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shd w:val="clear" w:color="auto" w:fill="D9D9D9" w:themeFill="background1" w:themeFillShade="D9"/>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0.01</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Arrival in NZ</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NZ born</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35.6</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before 2008</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32.5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0.55</w:t>
            </w:r>
            <w:r w:rsidR="005F7D22">
              <w:rPr>
                <w:color w:val="000000"/>
                <w:sz w:val="16"/>
                <w:szCs w:val="16"/>
              </w:rPr>
              <w:t xml:space="preserve"> - </w:t>
            </w:r>
            <w:r w:rsidR="005F7D22" w:rsidRPr="006A32F0">
              <w:rPr>
                <w:color w:val="000000"/>
                <w:sz w:val="16"/>
                <w:szCs w:val="16"/>
              </w:rPr>
              <w:t>1.38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since 2008</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14.2</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0.30</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0.13</w:t>
            </w:r>
            <w:r w:rsidR="005F7D22">
              <w:rPr>
                <w:color w:val="000000"/>
                <w:sz w:val="16"/>
                <w:szCs w:val="16"/>
              </w:rPr>
              <w:t xml:space="preserve"> - </w:t>
            </w:r>
            <w:r w:rsidR="005F7D22" w:rsidRPr="006A32F0">
              <w:rPr>
                <w:color w:val="000000"/>
                <w:sz w:val="16"/>
                <w:szCs w:val="16"/>
              </w:rPr>
              <w:t>0.71</w:t>
            </w:r>
            <w:r>
              <w:rPr>
                <w:color w:val="000000"/>
                <w:sz w:val="16"/>
                <w:szCs w:val="16"/>
              </w:rPr>
              <w:t>)</w:t>
            </w:r>
          </w:p>
        </w:tc>
        <w:tc>
          <w:tcPr>
            <w:tcW w:w="747" w:type="dxa"/>
            <w:shd w:val="clear" w:color="auto" w:fill="D9D9D9" w:themeFill="background1" w:themeFillShade="D9"/>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0.02</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 xml:space="preserve">Country of </w:t>
            </w:r>
            <w:r>
              <w:rPr>
                <w:b/>
                <w:sz w:val="16"/>
                <w:szCs w:val="16"/>
              </w:rPr>
              <w:t>b</w:t>
            </w:r>
            <w:r w:rsidRPr="009B1415">
              <w:rPr>
                <w:b/>
                <w:sz w:val="16"/>
                <w:szCs w:val="16"/>
              </w:rPr>
              <w:t>irth</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NZ</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35.6</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Other</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27.6</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0.45</w:t>
            </w:r>
            <w:r w:rsidR="005F7D22">
              <w:rPr>
                <w:color w:val="000000"/>
                <w:sz w:val="16"/>
                <w:szCs w:val="16"/>
              </w:rPr>
              <w:t xml:space="preserve"> - </w:t>
            </w:r>
            <w:r w:rsidR="005F7D22" w:rsidRPr="006A32F0">
              <w:rPr>
                <w:color w:val="000000"/>
                <w:sz w:val="16"/>
                <w:szCs w:val="16"/>
              </w:rPr>
              <w:t>1.07</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0.10</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Religion</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Pr>
                <w:sz w:val="16"/>
                <w:szCs w:val="16"/>
              </w:rPr>
              <w:t>No r</w:t>
            </w:r>
            <w:r w:rsidRPr="009B1415">
              <w:rPr>
                <w:sz w:val="16"/>
                <w:szCs w:val="16"/>
              </w:rPr>
              <w:t>eligion</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40.7</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Anglican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42.3</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0.49</w:t>
            </w:r>
            <w:r w:rsidR="005F7D22">
              <w:rPr>
                <w:color w:val="000000"/>
                <w:sz w:val="16"/>
                <w:szCs w:val="16"/>
              </w:rPr>
              <w:t xml:space="preserve"> - </w:t>
            </w:r>
            <w:r w:rsidR="005F7D22" w:rsidRPr="006A32F0">
              <w:rPr>
                <w:color w:val="000000"/>
                <w:sz w:val="16"/>
                <w:szCs w:val="16"/>
              </w:rPr>
              <w:t>2.32</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Catholic</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48.4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1.37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0.65</w:t>
            </w:r>
            <w:r w:rsidR="005F7D22">
              <w:rPr>
                <w:color w:val="000000"/>
                <w:sz w:val="16"/>
                <w:szCs w:val="16"/>
              </w:rPr>
              <w:t xml:space="preserve"> - </w:t>
            </w:r>
            <w:r w:rsidR="005F7D22" w:rsidRPr="006A32F0">
              <w:rPr>
                <w:color w:val="000000"/>
                <w:sz w:val="16"/>
                <w:szCs w:val="16"/>
              </w:rPr>
              <w:t>2.86</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Presbyterian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36.1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0.32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0.17</w:t>
            </w:r>
            <w:r w:rsidR="005F7D22">
              <w:rPr>
                <w:color w:val="000000"/>
                <w:sz w:val="16"/>
                <w:szCs w:val="16"/>
              </w:rPr>
              <w:t xml:space="preserve"> - </w:t>
            </w:r>
            <w:r w:rsidR="005F7D22" w:rsidRPr="006A32F0">
              <w:rPr>
                <w:color w:val="000000"/>
                <w:sz w:val="16"/>
                <w:szCs w:val="16"/>
              </w:rPr>
              <w:t>0.59</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Other Christian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18.0</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0.44</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0.22</w:t>
            </w:r>
            <w:r w:rsidR="005F7D22">
              <w:rPr>
                <w:color w:val="000000"/>
                <w:sz w:val="16"/>
                <w:szCs w:val="16"/>
              </w:rPr>
              <w:t xml:space="preserve"> - </w:t>
            </w:r>
            <w:r w:rsidR="005F7D22" w:rsidRPr="006A32F0">
              <w:rPr>
                <w:color w:val="000000"/>
                <w:sz w:val="16"/>
                <w:szCs w:val="16"/>
              </w:rPr>
              <w:t>0.88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Pr>
                <w:sz w:val="16"/>
                <w:szCs w:val="16"/>
              </w:rPr>
              <w:t>Other r</w:t>
            </w:r>
            <w:r w:rsidRPr="009B1415">
              <w:rPr>
                <w:sz w:val="16"/>
                <w:szCs w:val="16"/>
              </w:rPr>
              <w:t>eligion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23.1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0.35</w:t>
            </w:r>
            <w:r w:rsidR="005F7D22">
              <w:rPr>
                <w:color w:val="000000"/>
                <w:sz w:val="16"/>
                <w:szCs w:val="16"/>
              </w:rPr>
              <w:t xml:space="preserve"> - </w:t>
            </w:r>
            <w:r w:rsidR="005F7D22" w:rsidRPr="006A32F0">
              <w:rPr>
                <w:color w:val="000000"/>
                <w:sz w:val="16"/>
                <w:szCs w:val="16"/>
              </w:rPr>
              <w:t>1.94</w:t>
            </w:r>
            <w:r>
              <w:rPr>
                <w:color w:val="000000"/>
                <w:sz w:val="16"/>
                <w:szCs w:val="16"/>
              </w:rPr>
              <w:t>)</w:t>
            </w:r>
          </w:p>
        </w:tc>
        <w:tc>
          <w:tcPr>
            <w:tcW w:w="747" w:type="dxa"/>
            <w:shd w:val="clear" w:color="auto" w:fill="D9D9D9" w:themeFill="background1" w:themeFillShade="D9"/>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0.0002</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Highest qualification</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No formal qualification</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31.9</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Pr>
                <w:sz w:val="16"/>
                <w:szCs w:val="16"/>
              </w:rPr>
              <w:t>Secondary s</w:t>
            </w:r>
            <w:r w:rsidRPr="009B1415">
              <w:rPr>
                <w:sz w:val="16"/>
                <w:szCs w:val="16"/>
              </w:rPr>
              <w:t>chool qualification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27.0</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0.79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0.39</w:t>
            </w:r>
            <w:r w:rsidR="005F7D22">
              <w:rPr>
                <w:color w:val="000000"/>
                <w:sz w:val="16"/>
                <w:szCs w:val="16"/>
              </w:rPr>
              <w:t xml:space="preserve"> - </w:t>
            </w:r>
            <w:r w:rsidR="005F7D22" w:rsidRPr="006A32F0">
              <w:rPr>
                <w:color w:val="000000"/>
                <w:sz w:val="16"/>
                <w:szCs w:val="16"/>
              </w:rPr>
              <w:t>1.60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Vocational or Trade qualification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32.0</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1.15</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0.61</w:t>
            </w:r>
            <w:r w:rsidR="005F7D22">
              <w:rPr>
                <w:color w:val="000000"/>
                <w:sz w:val="16"/>
                <w:szCs w:val="16"/>
              </w:rPr>
              <w:t xml:space="preserve"> - </w:t>
            </w:r>
            <w:r w:rsidR="005F7D22" w:rsidRPr="006A32F0">
              <w:rPr>
                <w:color w:val="000000"/>
                <w:sz w:val="16"/>
                <w:szCs w:val="16"/>
              </w:rPr>
              <w:t>2.17</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Universi</w:t>
            </w:r>
            <w:r>
              <w:rPr>
                <w:sz w:val="16"/>
                <w:szCs w:val="16"/>
              </w:rPr>
              <w:t>ty d</w:t>
            </w:r>
            <w:r w:rsidRPr="009B1415">
              <w:rPr>
                <w:sz w:val="16"/>
                <w:szCs w:val="16"/>
              </w:rPr>
              <w:t>egree or higher</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35.0</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0.46</w:t>
            </w:r>
            <w:r w:rsidR="005F7D22">
              <w:rPr>
                <w:color w:val="000000"/>
                <w:sz w:val="16"/>
                <w:szCs w:val="16"/>
              </w:rPr>
              <w:t xml:space="preserve"> - </w:t>
            </w:r>
            <w:r w:rsidR="005F7D22" w:rsidRPr="006A32F0">
              <w:rPr>
                <w:color w:val="000000"/>
                <w:sz w:val="16"/>
                <w:szCs w:val="16"/>
              </w:rPr>
              <w:t>2.20</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0.62</w:t>
            </w:r>
          </w:p>
        </w:tc>
      </w:tr>
      <w:tr w:rsidR="00FD72AF" w:rsidRPr="009B1415" w:rsidTr="009F73AF">
        <w:tc>
          <w:tcPr>
            <w:tcW w:w="4271" w:type="dxa"/>
            <w:vAlign w:val="bottom"/>
          </w:tcPr>
          <w:p w:rsidR="00FD72AF" w:rsidRPr="009B1415" w:rsidRDefault="00FD72AF" w:rsidP="00FD72AF">
            <w:pPr>
              <w:spacing w:before="20"/>
              <w:jc w:val="both"/>
              <w:rPr>
                <w:b/>
                <w:sz w:val="16"/>
                <w:szCs w:val="16"/>
              </w:rPr>
            </w:pPr>
            <w:r w:rsidRPr="009B1415">
              <w:rPr>
                <w:b/>
                <w:sz w:val="16"/>
                <w:szCs w:val="16"/>
              </w:rPr>
              <w:t>Labour force status</w:t>
            </w:r>
          </w:p>
        </w:tc>
        <w:tc>
          <w:tcPr>
            <w:tcW w:w="1105" w:type="dxa"/>
            <w:vAlign w:val="center"/>
          </w:tcPr>
          <w:p w:rsidR="00FD72AF" w:rsidRPr="00507A06" w:rsidRDefault="00FD72AF" w:rsidP="00FD72AF">
            <w:pPr>
              <w:adjustRightInd w:val="0"/>
              <w:spacing w:before="20"/>
              <w:jc w:val="right"/>
              <w:rPr>
                <w:color w:val="000000"/>
                <w:sz w:val="16"/>
                <w:szCs w:val="16"/>
              </w:rPr>
            </w:pPr>
          </w:p>
        </w:tc>
        <w:tc>
          <w:tcPr>
            <w:tcW w:w="1110" w:type="dxa"/>
            <w:vAlign w:val="center"/>
          </w:tcPr>
          <w:p w:rsidR="00FD72AF" w:rsidRPr="00507A06" w:rsidRDefault="00FD72AF" w:rsidP="00FD72AF">
            <w:pPr>
              <w:adjustRightInd w:val="0"/>
              <w:spacing w:before="20"/>
              <w:jc w:val="right"/>
              <w:rPr>
                <w:color w:val="000000"/>
                <w:sz w:val="16"/>
                <w:szCs w:val="16"/>
              </w:rPr>
            </w:pPr>
          </w:p>
        </w:tc>
        <w:tc>
          <w:tcPr>
            <w:tcW w:w="692" w:type="dxa"/>
            <w:vAlign w:val="center"/>
          </w:tcPr>
          <w:p w:rsidR="00FD72AF" w:rsidRPr="00507A06" w:rsidRDefault="00FD72AF" w:rsidP="00FD72AF">
            <w:pPr>
              <w:adjustRightInd w:val="0"/>
              <w:spacing w:before="20"/>
              <w:jc w:val="right"/>
              <w:rPr>
                <w:color w:val="000000"/>
                <w:sz w:val="16"/>
                <w:szCs w:val="16"/>
              </w:rPr>
            </w:pPr>
          </w:p>
        </w:tc>
        <w:tc>
          <w:tcPr>
            <w:tcW w:w="381" w:type="dxa"/>
            <w:vAlign w:val="center"/>
          </w:tcPr>
          <w:p w:rsidR="00FD72AF" w:rsidRPr="00507A06" w:rsidRDefault="00FD72AF" w:rsidP="00FD72AF">
            <w:pPr>
              <w:adjustRightInd w:val="0"/>
              <w:spacing w:before="20"/>
              <w:jc w:val="right"/>
              <w:rPr>
                <w:color w:val="000000"/>
                <w:sz w:val="16"/>
                <w:szCs w:val="16"/>
              </w:rPr>
            </w:pPr>
          </w:p>
        </w:tc>
        <w:tc>
          <w:tcPr>
            <w:tcW w:w="747" w:type="dxa"/>
            <w:vAlign w:val="center"/>
          </w:tcPr>
          <w:p w:rsidR="00FD72AF" w:rsidRPr="00507A06" w:rsidRDefault="00FD72AF" w:rsidP="00FD72AF">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Employed</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33.5</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Unemployed</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34.4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0.50</w:t>
            </w:r>
            <w:r w:rsidR="005F7D22">
              <w:rPr>
                <w:color w:val="000000"/>
                <w:sz w:val="16"/>
                <w:szCs w:val="16"/>
              </w:rPr>
              <w:t xml:space="preserve"> - </w:t>
            </w:r>
            <w:r w:rsidR="005F7D22" w:rsidRPr="006A32F0">
              <w:rPr>
                <w:color w:val="000000"/>
                <w:sz w:val="16"/>
                <w:szCs w:val="16"/>
              </w:rPr>
              <w:t>1.29</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Student/Homemaker/Retired</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28.9</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1.04</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0.49</w:t>
            </w:r>
            <w:r w:rsidR="005F7D22">
              <w:rPr>
                <w:color w:val="000000"/>
                <w:sz w:val="16"/>
                <w:szCs w:val="16"/>
              </w:rPr>
              <w:t xml:space="preserve"> - </w:t>
            </w:r>
            <w:r w:rsidR="005F7D22" w:rsidRPr="006A32F0">
              <w:rPr>
                <w:color w:val="000000"/>
                <w:sz w:val="16"/>
                <w:szCs w:val="16"/>
              </w:rPr>
              <w:t>2.20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0.63</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Household size</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1</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38.3</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2</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0.72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0.39</w:t>
            </w:r>
            <w:r w:rsidR="005F7D22">
              <w:rPr>
                <w:color w:val="000000"/>
                <w:sz w:val="16"/>
                <w:szCs w:val="16"/>
              </w:rPr>
              <w:t xml:space="preserve"> - </w:t>
            </w:r>
            <w:r w:rsidR="005F7D22" w:rsidRPr="006A32F0">
              <w:rPr>
                <w:color w:val="000000"/>
                <w:sz w:val="16"/>
                <w:szCs w:val="16"/>
              </w:rPr>
              <w:t>1.34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3</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29.4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0.67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0.33</w:t>
            </w:r>
            <w:r w:rsidR="005F7D22">
              <w:rPr>
                <w:color w:val="000000"/>
                <w:sz w:val="16"/>
                <w:szCs w:val="16"/>
              </w:rPr>
              <w:t xml:space="preserve"> - </w:t>
            </w:r>
            <w:r w:rsidR="005F7D22" w:rsidRPr="006A32F0">
              <w:rPr>
                <w:color w:val="000000"/>
                <w:sz w:val="16"/>
                <w:szCs w:val="16"/>
              </w:rPr>
              <w:t>1.36</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30.3</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0.70</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0.33</w:t>
            </w:r>
            <w:r w:rsidR="005F7D22">
              <w:rPr>
                <w:color w:val="000000"/>
                <w:sz w:val="16"/>
                <w:szCs w:val="16"/>
              </w:rPr>
              <w:t xml:space="preserve"> - </w:t>
            </w:r>
            <w:r w:rsidR="005F7D22" w:rsidRPr="006A32F0">
              <w:rPr>
                <w:color w:val="000000"/>
                <w:sz w:val="16"/>
                <w:szCs w:val="16"/>
              </w:rPr>
              <w:t>1.50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5+</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33.5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0.40</w:t>
            </w:r>
            <w:r w:rsidR="005F7D22">
              <w:rPr>
                <w:color w:val="000000"/>
                <w:sz w:val="16"/>
                <w:szCs w:val="16"/>
              </w:rPr>
              <w:t xml:space="preserve"> - </w:t>
            </w:r>
            <w:r w:rsidR="005F7D22" w:rsidRPr="006A32F0">
              <w:rPr>
                <w:color w:val="000000"/>
                <w:sz w:val="16"/>
                <w:szCs w:val="16"/>
              </w:rPr>
              <w:t>1.63</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0.81</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Personal income</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&lt;$20,000</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25.0</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$20,001 - $40,000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35.1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1.62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0.93</w:t>
            </w:r>
            <w:r w:rsidR="005F7D22">
              <w:rPr>
                <w:color w:val="000000"/>
                <w:sz w:val="16"/>
                <w:szCs w:val="16"/>
              </w:rPr>
              <w:t xml:space="preserve"> - </w:t>
            </w:r>
            <w:r w:rsidR="005F7D22" w:rsidRPr="006A32F0">
              <w:rPr>
                <w:color w:val="000000"/>
                <w:sz w:val="16"/>
                <w:szCs w:val="16"/>
              </w:rPr>
              <w:t>2.84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$40,001 - $60,000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31.4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1.37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0.69</w:t>
            </w:r>
            <w:r w:rsidR="005F7D22">
              <w:rPr>
                <w:color w:val="000000"/>
                <w:sz w:val="16"/>
                <w:szCs w:val="16"/>
              </w:rPr>
              <w:t xml:space="preserve"> - </w:t>
            </w:r>
            <w:r w:rsidR="005F7D22" w:rsidRPr="006A32F0">
              <w:rPr>
                <w:color w:val="000000"/>
                <w:sz w:val="16"/>
                <w:szCs w:val="16"/>
              </w:rPr>
              <w:t>2.74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$60,001 - $80,000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43.3</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2.29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0.86</w:t>
            </w:r>
            <w:r w:rsidR="005F7D22">
              <w:rPr>
                <w:color w:val="000000"/>
                <w:sz w:val="16"/>
                <w:szCs w:val="16"/>
              </w:rPr>
              <w:t xml:space="preserve"> - </w:t>
            </w:r>
            <w:r w:rsidR="005F7D22" w:rsidRPr="006A32F0">
              <w:rPr>
                <w:color w:val="000000"/>
                <w:sz w:val="16"/>
                <w:szCs w:val="16"/>
              </w:rPr>
              <w:t>6.08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$80,001 - $100,000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34.7</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1.59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0.48</w:t>
            </w:r>
            <w:r w:rsidR="005F7D22">
              <w:rPr>
                <w:color w:val="000000"/>
                <w:sz w:val="16"/>
                <w:szCs w:val="16"/>
              </w:rPr>
              <w:t xml:space="preserve"> - </w:t>
            </w:r>
            <w:r w:rsidR="005F7D22" w:rsidRPr="006A32F0">
              <w:rPr>
                <w:color w:val="000000"/>
                <w:sz w:val="16"/>
                <w:szCs w:val="16"/>
              </w:rPr>
              <w:t>5.23</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B41811" w:rsidRDefault="005F7D22" w:rsidP="006A32F0">
            <w:pPr>
              <w:spacing w:before="20"/>
              <w:ind w:left="176"/>
              <w:jc w:val="both"/>
              <w:rPr>
                <w:sz w:val="16"/>
                <w:szCs w:val="16"/>
              </w:rPr>
            </w:pPr>
            <w:r w:rsidRPr="00B41811">
              <w:rPr>
                <w:sz w:val="16"/>
                <w:szCs w:val="16"/>
              </w:rPr>
              <w:t>&gt;$100,000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48.1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2.78</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0.92</w:t>
            </w:r>
            <w:r w:rsidR="005F7D22">
              <w:rPr>
                <w:color w:val="000000"/>
                <w:sz w:val="16"/>
                <w:szCs w:val="16"/>
              </w:rPr>
              <w:t xml:space="preserve"> - </w:t>
            </w:r>
            <w:r w:rsidR="005F7D22" w:rsidRPr="006A32F0">
              <w:rPr>
                <w:color w:val="000000"/>
                <w:sz w:val="16"/>
                <w:szCs w:val="16"/>
              </w:rPr>
              <w:t>8.40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Borders>
              <w:bottom w:val="single" w:sz="4" w:space="0" w:color="auto"/>
            </w:tcBorders>
            <w:vAlign w:val="bottom"/>
          </w:tcPr>
          <w:p w:rsidR="005F7D22" w:rsidRPr="009B1415" w:rsidRDefault="005F7D22" w:rsidP="006A32F0">
            <w:pPr>
              <w:spacing w:before="20"/>
              <w:ind w:left="176"/>
              <w:jc w:val="both"/>
              <w:rPr>
                <w:sz w:val="16"/>
                <w:szCs w:val="16"/>
              </w:rPr>
            </w:pPr>
            <w:r w:rsidRPr="009B1415">
              <w:rPr>
                <w:sz w:val="16"/>
                <w:szCs w:val="16"/>
              </w:rPr>
              <w:t>Not reported</w:t>
            </w:r>
          </w:p>
        </w:tc>
        <w:tc>
          <w:tcPr>
            <w:tcW w:w="1105" w:type="dxa"/>
            <w:tcBorders>
              <w:bottom w:val="single" w:sz="4" w:space="0" w:color="auto"/>
            </w:tcBorders>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48.1</w:t>
            </w:r>
          </w:p>
        </w:tc>
        <w:tc>
          <w:tcPr>
            <w:tcW w:w="1110" w:type="dxa"/>
            <w:tcBorders>
              <w:bottom w:val="single" w:sz="4" w:space="0" w:color="auto"/>
            </w:tcBorders>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2.78</w:t>
            </w:r>
          </w:p>
        </w:tc>
        <w:tc>
          <w:tcPr>
            <w:tcW w:w="1073" w:type="dxa"/>
            <w:gridSpan w:val="2"/>
            <w:tcBorders>
              <w:bottom w:val="single" w:sz="4" w:space="0" w:color="auto"/>
            </w:tcBorders>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1.19</w:t>
            </w:r>
            <w:r w:rsidR="005F7D22">
              <w:rPr>
                <w:color w:val="000000"/>
                <w:sz w:val="16"/>
                <w:szCs w:val="16"/>
              </w:rPr>
              <w:t xml:space="preserve"> - </w:t>
            </w:r>
            <w:r w:rsidR="005F7D22" w:rsidRPr="006A32F0">
              <w:rPr>
                <w:color w:val="000000"/>
                <w:sz w:val="16"/>
                <w:szCs w:val="16"/>
              </w:rPr>
              <w:t>6.48</w:t>
            </w:r>
            <w:r>
              <w:rPr>
                <w:color w:val="000000"/>
                <w:sz w:val="16"/>
                <w:szCs w:val="16"/>
              </w:rPr>
              <w:t>)</w:t>
            </w:r>
          </w:p>
        </w:tc>
        <w:tc>
          <w:tcPr>
            <w:tcW w:w="747" w:type="dxa"/>
            <w:tcBorders>
              <w:bottom w:val="single" w:sz="4" w:space="0" w:color="auto"/>
            </w:tcBorders>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0.14</w:t>
            </w:r>
          </w:p>
        </w:tc>
      </w:tr>
      <w:tr w:rsidR="00FD72AF" w:rsidRPr="009B1415" w:rsidTr="009F73AF">
        <w:tc>
          <w:tcPr>
            <w:tcW w:w="4271" w:type="dxa"/>
            <w:tcBorders>
              <w:top w:val="single" w:sz="4" w:space="0" w:color="auto"/>
            </w:tcBorders>
            <w:vAlign w:val="bottom"/>
          </w:tcPr>
          <w:p w:rsidR="00FD72AF" w:rsidRPr="009B1415" w:rsidRDefault="00FD72AF" w:rsidP="00FD72AF">
            <w:pPr>
              <w:keepNext/>
              <w:spacing w:before="20"/>
              <w:jc w:val="both"/>
              <w:rPr>
                <w:b/>
                <w:sz w:val="16"/>
                <w:szCs w:val="16"/>
              </w:rPr>
            </w:pPr>
            <w:r w:rsidRPr="009B1415">
              <w:rPr>
                <w:b/>
                <w:sz w:val="16"/>
                <w:szCs w:val="16"/>
              </w:rPr>
              <w:lastRenderedPageBreak/>
              <w:t>Household income</w:t>
            </w:r>
          </w:p>
        </w:tc>
        <w:tc>
          <w:tcPr>
            <w:tcW w:w="1105" w:type="dxa"/>
            <w:tcBorders>
              <w:top w:val="single" w:sz="4" w:space="0" w:color="auto"/>
            </w:tcBorders>
            <w:vAlign w:val="center"/>
          </w:tcPr>
          <w:p w:rsidR="00FD72AF" w:rsidRPr="00CB35E8" w:rsidRDefault="00FD72AF" w:rsidP="00FD72AF">
            <w:pPr>
              <w:keepNext/>
              <w:adjustRightInd w:val="0"/>
              <w:spacing w:before="20"/>
              <w:jc w:val="center"/>
              <w:rPr>
                <w:color w:val="000000"/>
                <w:sz w:val="16"/>
                <w:szCs w:val="16"/>
              </w:rPr>
            </w:pPr>
          </w:p>
        </w:tc>
        <w:tc>
          <w:tcPr>
            <w:tcW w:w="1110" w:type="dxa"/>
            <w:tcBorders>
              <w:top w:val="single" w:sz="4" w:space="0" w:color="auto"/>
            </w:tcBorders>
            <w:vAlign w:val="center"/>
          </w:tcPr>
          <w:p w:rsidR="00FD72AF" w:rsidRPr="00CB35E8" w:rsidRDefault="00FD72AF" w:rsidP="00FD72AF">
            <w:pPr>
              <w:keepNext/>
              <w:adjustRightInd w:val="0"/>
              <w:spacing w:before="20"/>
              <w:jc w:val="center"/>
              <w:rPr>
                <w:color w:val="000000"/>
                <w:sz w:val="16"/>
                <w:szCs w:val="16"/>
              </w:rPr>
            </w:pPr>
          </w:p>
        </w:tc>
        <w:tc>
          <w:tcPr>
            <w:tcW w:w="692" w:type="dxa"/>
            <w:tcBorders>
              <w:top w:val="single" w:sz="4" w:space="0" w:color="auto"/>
            </w:tcBorders>
            <w:vAlign w:val="center"/>
          </w:tcPr>
          <w:p w:rsidR="00FD72AF" w:rsidRPr="00CB35E8" w:rsidRDefault="00FD72AF" w:rsidP="00FD72AF">
            <w:pPr>
              <w:keepNext/>
              <w:adjustRightInd w:val="0"/>
              <w:spacing w:before="20"/>
              <w:jc w:val="center"/>
              <w:rPr>
                <w:color w:val="000000"/>
                <w:sz w:val="16"/>
                <w:szCs w:val="16"/>
              </w:rPr>
            </w:pPr>
          </w:p>
        </w:tc>
        <w:tc>
          <w:tcPr>
            <w:tcW w:w="381" w:type="dxa"/>
            <w:tcBorders>
              <w:top w:val="single" w:sz="4" w:space="0" w:color="auto"/>
            </w:tcBorders>
            <w:vAlign w:val="center"/>
          </w:tcPr>
          <w:p w:rsidR="00FD72AF" w:rsidRPr="00CB35E8" w:rsidRDefault="00FD72AF" w:rsidP="00FD72AF">
            <w:pPr>
              <w:keepNext/>
              <w:adjustRightInd w:val="0"/>
              <w:spacing w:before="20"/>
              <w:jc w:val="center"/>
              <w:rPr>
                <w:color w:val="000000"/>
                <w:sz w:val="16"/>
                <w:szCs w:val="16"/>
              </w:rPr>
            </w:pPr>
          </w:p>
        </w:tc>
        <w:tc>
          <w:tcPr>
            <w:tcW w:w="747" w:type="dxa"/>
            <w:tcBorders>
              <w:top w:val="single" w:sz="4" w:space="0" w:color="auto"/>
            </w:tcBorders>
            <w:vAlign w:val="center"/>
          </w:tcPr>
          <w:p w:rsidR="00FD72AF" w:rsidRPr="00CB35E8" w:rsidRDefault="00FD72AF" w:rsidP="00FD72AF">
            <w:pPr>
              <w:keepNext/>
              <w:adjustRightInd w:val="0"/>
              <w:spacing w:before="20"/>
              <w:jc w:val="center"/>
              <w:rPr>
                <w:color w:val="000000"/>
                <w:sz w:val="16"/>
                <w:szCs w:val="16"/>
              </w:rPr>
            </w:pPr>
          </w:p>
        </w:tc>
      </w:tr>
      <w:tr w:rsidR="006A32F0" w:rsidRPr="009B1415" w:rsidTr="009F73AF">
        <w:tc>
          <w:tcPr>
            <w:tcW w:w="4271" w:type="dxa"/>
          </w:tcPr>
          <w:p w:rsidR="006A32F0" w:rsidRPr="009B1415" w:rsidRDefault="006A32F0" w:rsidP="006A32F0">
            <w:pPr>
              <w:keepNext/>
              <w:spacing w:before="20"/>
              <w:ind w:left="176"/>
              <w:jc w:val="both"/>
              <w:rPr>
                <w:sz w:val="16"/>
                <w:szCs w:val="16"/>
              </w:rPr>
            </w:pPr>
            <w:r w:rsidRPr="009B1415">
              <w:rPr>
                <w:sz w:val="16"/>
                <w:szCs w:val="16"/>
              </w:rPr>
              <w:t>&lt;$20,000</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26.9</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keepNext/>
              <w:spacing w:before="20"/>
              <w:ind w:left="176"/>
              <w:jc w:val="both"/>
              <w:rPr>
                <w:sz w:val="16"/>
                <w:szCs w:val="16"/>
              </w:rPr>
            </w:pPr>
            <w:r w:rsidRPr="009B1415">
              <w:rPr>
                <w:sz w:val="16"/>
                <w:szCs w:val="16"/>
              </w:rPr>
              <w:t>$20,001 - $40,000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25.5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0.93</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0.48</w:t>
            </w:r>
            <w:r w:rsidR="005F7D22">
              <w:rPr>
                <w:color w:val="000000"/>
                <w:sz w:val="16"/>
                <w:szCs w:val="16"/>
              </w:rPr>
              <w:t xml:space="preserve"> - </w:t>
            </w:r>
            <w:r w:rsidR="005F7D22" w:rsidRPr="006A32F0">
              <w:rPr>
                <w:color w:val="000000"/>
                <w:sz w:val="16"/>
                <w:szCs w:val="16"/>
              </w:rPr>
              <w:t>1.80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keepNext/>
              <w:spacing w:before="20"/>
              <w:ind w:left="176"/>
              <w:jc w:val="both"/>
              <w:rPr>
                <w:sz w:val="16"/>
                <w:szCs w:val="16"/>
              </w:rPr>
            </w:pPr>
            <w:r w:rsidRPr="009B1415">
              <w:rPr>
                <w:sz w:val="16"/>
                <w:szCs w:val="16"/>
              </w:rPr>
              <w:t>$40,001 - $60,000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1.21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0.58</w:t>
            </w:r>
            <w:r w:rsidR="005F7D22">
              <w:rPr>
                <w:color w:val="000000"/>
                <w:sz w:val="16"/>
                <w:szCs w:val="16"/>
              </w:rPr>
              <w:t xml:space="preserve"> - </w:t>
            </w:r>
            <w:r w:rsidR="005F7D22" w:rsidRPr="006A32F0">
              <w:rPr>
                <w:color w:val="000000"/>
                <w:sz w:val="16"/>
                <w:szCs w:val="16"/>
              </w:rPr>
              <w:t>2.52</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keepNext/>
              <w:spacing w:before="20"/>
              <w:ind w:left="176"/>
              <w:jc w:val="both"/>
              <w:rPr>
                <w:sz w:val="16"/>
                <w:szCs w:val="16"/>
              </w:rPr>
            </w:pPr>
            <w:r w:rsidRPr="009B1415">
              <w:rPr>
                <w:sz w:val="16"/>
                <w:szCs w:val="16"/>
              </w:rPr>
              <w:t>$60,001 - $80,000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27.0</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0.44</w:t>
            </w:r>
            <w:r w:rsidR="005F7D22">
              <w:rPr>
                <w:color w:val="000000"/>
                <w:sz w:val="16"/>
                <w:szCs w:val="16"/>
              </w:rPr>
              <w:t xml:space="preserve"> - </w:t>
            </w:r>
            <w:r w:rsidR="005F7D22" w:rsidRPr="006A32F0">
              <w:rPr>
                <w:color w:val="000000"/>
                <w:sz w:val="16"/>
                <w:szCs w:val="16"/>
              </w:rPr>
              <w:t>2.29</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keepNext/>
              <w:spacing w:before="20"/>
              <w:ind w:left="176"/>
              <w:jc w:val="both"/>
              <w:rPr>
                <w:sz w:val="16"/>
                <w:szCs w:val="16"/>
              </w:rPr>
            </w:pPr>
            <w:r w:rsidRPr="009B1415">
              <w:rPr>
                <w:sz w:val="16"/>
                <w:szCs w:val="16"/>
              </w:rPr>
              <w:t>$80,001 - $100,000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1.17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0.52</w:t>
            </w:r>
            <w:r w:rsidR="005F7D22">
              <w:rPr>
                <w:color w:val="000000"/>
                <w:sz w:val="16"/>
                <w:szCs w:val="16"/>
              </w:rPr>
              <w:t xml:space="preserve"> - </w:t>
            </w:r>
            <w:r w:rsidR="005F7D22" w:rsidRPr="006A32F0">
              <w:rPr>
                <w:color w:val="000000"/>
                <w:sz w:val="16"/>
                <w:szCs w:val="16"/>
              </w:rPr>
              <w:t>2.64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vAlign w:val="bottom"/>
          </w:tcPr>
          <w:p w:rsidR="005F7D22" w:rsidRDefault="005F7D22" w:rsidP="006A32F0">
            <w:pPr>
              <w:keepNext/>
              <w:spacing w:before="20"/>
              <w:ind w:left="176"/>
              <w:jc w:val="both"/>
              <w:rPr>
                <w:sz w:val="16"/>
                <w:szCs w:val="16"/>
              </w:rPr>
            </w:pPr>
            <w:r w:rsidRPr="00E02871">
              <w:rPr>
                <w:sz w:val="16"/>
                <w:szCs w:val="16"/>
              </w:rPr>
              <w:t>&gt;$100,000</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41.9</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1.96</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0.96</w:t>
            </w:r>
            <w:r w:rsidR="005F7D22">
              <w:rPr>
                <w:color w:val="000000"/>
                <w:sz w:val="16"/>
                <w:szCs w:val="16"/>
              </w:rPr>
              <w:t xml:space="preserve"> - </w:t>
            </w:r>
            <w:r w:rsidR="005F7D22" w:rsidRPr="006A32F0">
              <w:rPr>
                <w:color w:val="000000"/>
                <w:sz w:val="16"/>
                <w:szCs w:val="16"/>
              </w:rPr>
              <w:t>3.99</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vAlign w:val="bottom"/>
          </w:tcPr>
          <w:p w:rsidR="005F7D22" w:rsidRPr="009B1415" w:rsidRDefault="005F7D22" w:rsidP="006A32F0">
            <w:pPr>
              <w:spacing w:before="20"/>
              <w:ind w:left="176"/>
              <w:jc w:val="both"/>
              <w:rPr>
                <w:sz w:val="16"/>
                <w:szCs w:val="16"/>
              </w:rPr>
            </w:pPr>
            <w:r>
              <w:rPr>
                <w:sz w:val="16"/>
                <w:szCs w:val="16"/>
              </w:rPr>
              <w:t>Not r</w:t>
            </w:r>
            <w:r w:rsidRPr="009B1415">
              <w:rPr>
                <w:sz w:val="16"/>
                <w:szCs w:val="16"/>
              </w:rPr>
              <w:t>eported</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43.4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2.09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0.94</w:t>
            </w:r>
            <w:r w:rsidR="005F7D22">
              <w:rPr>
                <w:color w:val="000000"/>
                <w:sz w:val="16"/>
                <w:szCs w:val="16"/>
              </w:rPr>
              <w:t xml:space="preserve"> - </w:t>
            </w:r>
            <w:r w:rsidR="005F7D22" w:rsidRPr="006A32F0">
              <w:rPr>
                <w:color w:val="000000"/>
                <w:sz w:val="16"/>
                <w:szCs w:val="16"/>
              </w:rPr>
              <w:t>4.65</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0.29</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Area of residence</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Auckland</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28.9</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Wellington</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34.1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1.27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0.63</w:t>
            </w:r>
            <w:r w:rsidR="005F7D22">
              <w:rPr>
                <w:color w:val="000000"/>
                <w:sz w:val="16"/>
                <w:szCs w:val="16"/>
              </w:rPr>
              <w:t xml:space="preserve"> - </w:t>
            </w:r>
            <w:r w:rsidR="005F7D22" w:rsidRPr="006A32F0">
              <w:rPr>
                <w:color w:val="000000"/>
                <w:sz w:val="16"/>
                <w:szCs w:val="16"/>
              </w:rPr>
              <w:t>2.57</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Christchurch</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28.8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1.00</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0.34</w:t>
            </w:r>
            <w:r w:rsidR="005F7D22">
              <w:rPr>
                <w:color w:val="000000"/>
                <w:sz w:val="16"/>
                <w:szCs w:val="16"/>
              </w:rPr>
              <w:t xml:space="preserve"> - </w:t>
            </w:r>
            <w:r w:rsidR="005F7D22" w:rsidRPr="006A32F0">
              <w:rPr>
                <w:color w:val="000000"/>
                <w:sz w:val="16"/>
                <w:szCs w:val="16"/>
              </w:rPr>
              <w:t>2.88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Rest of NZ</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34.8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1.31</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0.81</w:t>
            </w:r>
            <w:r w:rsidR="005F7D22">
              <w:rPr>
                <w:color w:val="000000"/>
                <w:sz w:val="16"/>
                <w:szCs w:val="16"/>
              </w:rPr>
              <w:t xml:space="preserve"> - </w:t>
            </w:r>
            <w:r w:rsidR="005F7D22" w:rsidRPr="006A32F0">
              <w:rPr>
                <w:color w:val="000000"/>
                <w:sz w:val="16"/>
                <w:szCs w:val="16"/>
              </w:rPr>
              <w:t>2.12</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0.71</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 xml:space="preserve">New Zealand </w:t>
            </w:r>
            <w:r w:rsidR="00280A64">
              <w:rPr>
                <w:b/>
                <w:sz w:val="16"/>
                <w:szCs w:val="16"/>
              </w:rPr>
              <w:t xml:space="preserve">Individual </w:t>
            </w:r>
            <w:r w:rsidRPr="009B1415">
              <w:rPr>
                <w:b/>
                <w:sz w:val="16"/>
                <w:szCs w:val="16"/>
              </w:rPr>
              <w:t>Deprivation Index</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280A64" w:rsidRDefault="006A32F0" w:rsidP="006A32F0">
            <w:pPr>
              <w:spacing w:before="20"/>
              <w:ind w:left="176"/>
              <w:jc w:val="both"/>
              <w:rPr>
                <w:sz w:val="16"/>
                <w:szCs w:val="16"/>
              </w:rPr>
            </w:pPr>
            <w:r w:rsidRPr="00280A64">
              <w:rPr>
                <w:sz w:val="16"/>
                <w:szCs w:val="16"/>
              </w:rPr>
              <w:t>0</w:t>
            </w:r>
          </w:p>
        </w:tc>
        <w:tc>
          <w:tcPr>
            <w:tcW w:w="1105" w:type="dxa"/>
            <w:vAlign w:val="center"/>
          </w:tcPr>
          <w:p w:rsidR="006A32F0" w:rsidRPr="00280A64" w:rsidRDefault="006A32F0" w:rsidP="006A32F0">
            <w:pPr>
              <w:adjustRightInd w:val="0"/>
              <w:spacing w:before="20"/>
              <w:jc w:val="right"/>
              <w:rPr>
                <w:color w:val="000000"/>
                <w:sz w:val="16"/>
                <w:szCs w:val="16"/>
              </w:rPr>
            </w:pPr>
            <w:r w:rsidRPr="00280A64">
              <w:rPr>
                <w:color w:val="000000"/>
                <w:sz w:val="16"/>
                <w:szCs w:val="16"/>
              </w:rPr>
              <w:t>30.5</w:t>
            </w:r>
          </w:p>
        </w:tc>
        <w:tc>
          <w:tcPr>
            <w:tcW w:w="1110" w:type="dxa"/>
            <w:vAlign w:val="center"/>
          </w:tcPr>
          <w:p w:rsidR="006A32F0" w:rsidRPr="006A32F0" w:rsidRDefault="006A32F0" w:rsidP="006A32F0">
            <w:pPr>
              <w:adjustRightInd w:val="0"/>
              <w:spacing w:before="20"/>
              <w:jc w:val="right"/>
              <w:rPr>
                <w:color w:val="000000"/>
                <w:sz w:val="16"/>
                <w:szCs w:val="16"/>
              </w:rPr>
            </w:pPr>
            <w:r w:rsidRPr="00280A64">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1</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32.3</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0.62</w:t>
            </w:r>
            <w:r w:rsidR="005F7D22">
              <w:rPr>
                <w:color w:val="000000"/>
                <w:sz w:val="16"/>
                <w:szCs w:val="16"/>
              </w:rPr>
              <w:t xml:space="preserve"> - </w:t>
            </w:r>
            <w:r w:rsidR="005F7D22" w:rsidRPr="006A32F0">
              <w:rPr>
                <w:color w:val="000000"/>
                <w:sz w:val="16"/>
                <w:szCs w:val="16"/>
              </w:rPr>
              <w:t>1.90</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2</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34.6</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1.20</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0.59</w:t>
            </w:r>
            <w:r w:rsidR="005F7D22">
              <w:rPr>
                <w:color w:val="000000"/>
                <w:sz w:val="16"/>
                <w:szCs w:val="16"/>
              </w:rPr>
              <w:t xml:space="preserve"> - </w:t>
            </w:r>
            <w:r w:rsidR="005F7D22" w:rsidRPr="006A32F0">
              <w:rPr>
                <w:color w:val="000000"/>
                <w:sz w:val="16"/>
                <w:szCs w:val="16"/>
              </w:rPr>
              <w:t>2.45</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3</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27.1</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0.84</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0.33</w:t>
            </w:r>
            <w:r w:rsidR="005F7D22">
              <w:rPr>
                <w:color w:val="000000"/>
                <w:sz w:val="16"/>
                <w:szCs w:val="16"/>
              </w:rPr>
              <w:t xml:space="preserve"> - </w:t>
            </w:r>
            <w:r w:rsidR="005F7D22" w:rsidRPr="006A32F0">
              <w:rPr>
                <w:color w:val="000000"/>
                <w:sz w:val="16"/>
                <w:szCs w:val="16"/>
              </w:rPr>
              <w:t>2.18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30.9</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1.02</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0.36</w:t>
            </w:r>
            <w:r w:rsidR="005F7D22">
              <w:rPr>
                <w:color w:val="000000"/>
                <w:sz w:val="16"/>
                <w:szCs w:val="16"/>
              </w:rPr>
              <w:t xml:space="preserve"> - </w:t>
            </w:r>
            <w:r w:rsidR="005F7D22" w:rsidRPr="006A32F0">
              <w:rPr>
                <w:color w:val="000000"/>
                <w:sz w:val="16"/>
                <w:szCs w:val="16"/>
              </w:rPr>
              <w:t>2.88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Pr>
                <w:sz w:val="16"/>
                <w:szCs w:val="16"/>
              </w:rPr>
              <w:t>5</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39.4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1.48</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0.53</w:t>
            </w:r>
            <w:r w:rsidR="005F7D22">
              <w:rPr>
                <w:color w:val="000000"/>
                <w:sz w:val="16"/>
                <w:szCs w:val="16"/>
              </w:rPr>
              <w:t xml:space="preserve"> - </w:t>
            </w:r>
            <w:r w:rsidR="005F7D22" w:rsidRPr="006A32F0">
              <w:rPr>
                <w:color w:val="000000"/>
                <w:sz w:val="16"/>
                <w:szCs w:val="16"/>
              </w:rPr>
              <w:t>4.18</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Default="005F7D22" w:rsidP="006A32F0">
            <w:pPr>
              <w:spacing w:before="20"/>
              <w:ind w:left="176"/>
              <w:jc w:val="both"/>
              <w:rPr>
                <w:sz w:val="16"/>
                <w:szCs w:val="16"/>
              </w:rPr>
            </w:pPr>
            <w:r>
              <w:rPr>
                <w:sz w:val="16"/>
                <w:szCs w:val="16"/>
              </w:rPr>
              <w:t>6+</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1.09</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0.62</w:t>
            </w:r>
            <w:r w:rsidR="005F7D22">
              <w:rPr>
                <w:color w:val="000000"/>
                <w:sz w:val="16"/>
                <w:szCs w:val="16"/>
              </w:rPr>
              <w:t xml:space="preserve"> - </w:t>
            </w:r>
            <w:r w:rsidR="005F7D22" w:rsidRPr="006A32F0">
              <w:rPr>
                <w:color w:val="000000"/>
                <w:sz w:val="16"/>
                <w:szCs w:val="16"/>
              </w:rPr>
              <w:t>1.90</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0.96</w:t>
            </w:r>
          </w:p>
        </w:tc>
      </w:tr>
      <w:tr w:rsidR="006A32F0" w:rsidRPr="009B1415" w:rsidTr="009F73AF">
        <w:tc>
          <w:tcPr>
            <w:tcW w:w="4271" w:type="dxa"/>
            <w:vAlign w:val="bottom"/>
          </w:tcPr>
          <w:p w:rsidR="006A32F0" w:rsidRPr="009B1415" w:rsidRDefault="006A32F0" w:rsidP="006A32F0">
            <w:pPr>
              <w:spacing w:before="20"/>
              <w:jc w:val="both"/>
              <w:rPr>
                <w:b/>
                <w:sz w:val="16"/>
                <w:szCs w:val="16"/>
              </w:rPr>
            </w:pPr>
            <w:r w:rsidRPr="009B1415">
              <w:rPr>
                <w:b/>
                <w:sz w:val="16"/>
                <w:szCs w:val="16"/>
              </w:rPr>
              <w:t>Number of significant life events</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 </w:t>
            </w:r>
          </w:p>
        </w:tc>
        <w:tc>
          <w:tcPr>
            <w:tcW w:w="1110" w:type="dxa"/>
            <w:vAlign w:val="center"/>
          </w:tcPr>
          <w:p w:rsidR="006A32F0" w:rsidRPr="006A32F0" w:rsidRDefault="006A32F0" w:rsidP="006A32F0">
            <w:pPr>
              <w:adjustRightInd w:val="0"/>
              <w:spacing w:before="20"/>
              <w:jc w:val="right"/>
              <w:rPr>
                <w:color w:val="000000"/>
                <w:sz w:val="16"/>
                <w:szCs w:val="16"/>
              </w:rPr>
            </w:pP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6A32F0" w:rsidRPr="009B1415" w:rsidTr="009F73AF">
        <w:tc>
          <w:tcPr>
            <w:tcW w:w="4271" w:type="dxa"/>
          </w:tcPr>
          <w:p w:rsidR="006A32F0" w:rsidRPr="009B1415" w:rsidRDefault="006A32F0" w:rsidP="006A32F0">
            <w:pPr>
              <w:spacing w:before="20"/>
              <w:ind w:left="176"/>
              <w:jc w:val="both"/>
              <w:rPr>
                <w:sz w:val="16"/>
                <w:szCs w:val="16"/>
              </w:rPr>
            </w:pPr>
            <w:r w:rsidRPr="009B1415">
              <w:rPr>
                <w:sz w:val="16"/>
                <w:szCs w:val="16"/>
              </w:rPr>
              <w:t>0</w:t>
            </w:r>
          </w:p>
        </w:tc>
        <w:tc>
          <w:tcPr>
            <w:tcW w:w="1105"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33.8</w:t>
            </w:r>
          </w:p>
        </w:tc>
        <w:tc>
          <w:tcPr>
            <w:tcW w:w="1110" w:type="dxa"/>
            <w:vAlign w:val="center"/>
          </w:tcPr>
          <w:p w:rsidR="006A32F0" w:rsidRPr="006A32F0" w:rsidRDefault="006A32F0" w:rsidP="006A32F0">
            <w:pPr>
              <w:adjustRightInd w:val="0"/>
              <w:spacing w:before="20"/>
              <w:jc w:val="right"/>
              <w:rPr>
                <w:color w:val="000000"/>
                <w:sz w:val="16"/>
                <w:szCs w:val="16"/>
              </w:rPr>
            </w:pPr>
            <w:r w:rsidRPr="006A32F0">
              <w:rPr>
                <w:color w:val="000000"/>
                <w:sz w:val="16"/>
                <w:szCs w:val="16"/>
              </w:rPr>
              <w:t>1.00</w:t>
            </w:r>
          </w:p>
        </w:tc>
        <w:tc>
          <w:tcPr>
            <w:tcW w:w="692" w:type="dxa"/>
            <w:vAlign w:val="center"/>
          </w:tcPr>
          <w:p w:rsidR="006A32F0" w:rsidRPr="006A32F0" w:rsidRDefault="006A32F0" w:rsidP="006A32F0">
            <w:pPr>
              <w:adjustRightInd w:val="0"/>
              <w:spacing w:before="20"/>
              <w:jc w:val="right"/>
              <w:rPr>
                <w:color w:val="000000"/>
                <w:sz w:val="16"/>
                <w:szCs w:val="16"/>
              </w:rPr>
            </w:pPr>
          </w:p>
        </w:tc>
        <w:tc>
          <w:tcPr>
            <w:tcW w:w="381" w:type="dxa"/>
            <w:vAlign w:val="center"/>
          </w:tcPr>
          <w:p w:rsidR="006A32F0" w:rsidRPr="006A32F0" w:rsidRDefault="006A32F0" w:rsidP="006A32F0">
            <w:pPr>
              <w:adjustRightInd w:val="0"/>
              <w:spacing w:before="20"/>
              <w:jc w:val="right"/>
              <w:rPr>
                <w:color w:val="000000"/>
                <w:sz w:val="16"/>
                <w:szCs w:val="16"/>
              </w:rPr>
            </w:pPr>
          </w:p>
        </w:tc>
        <w:tc>
          <w:tcPr>
            <w:tcW w:w="747" w:type="dxa"/>
            <w:vAlign w:val="center"/>
          </w:tcPr>
          <w:p w:rsidR="006A32F0" w:rsidRPr="006A32F0" w:rsidRDefault="006A32F0"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1</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32.5</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0.94</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0.54</w:t>
            </w:r>
            <w:r w:rsidR="005F7D22">
              <w:rPr>
                <w:color w:val="000000"/>
                <w:sz w:val="16"/>
                <w:szCs w:val="16"/>
              </w:rPr>
              <w:t xml:space="preserve"> - </w:t>
            </w:r>
            <w:r w:rsidR="005F7D22" w:rsidRPr="006A32F0">
              <w:rPr>
                <w:color w:val="000000"/>
                <w:sz w:val="16"/>
                <w:szCs w:val="16"/>
              </w:rPr>
              <w:t>1.64</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2</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30.4</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0.86</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0.45</w:t>
            </w:r>
            <w:r w:rsidR="005F7D22">
              <w:rPr>
                <w:color w:val="000000"/>
                <w:sz w:val="16"/>
                <w:szCs w:val="16"/>
              </w:rPr>
              <w:t xml:space="preserve"> - </w:t>
            </w:r>
            <w:r w:rsidR="005F7D22" w:rsidRPr="006A32F0">
              <w:rPr>
                <w:color w:val="000000"/>
                <w:sz w:val="16"/>
                <w:szCs w:val="16"/>
              </w:rPr>
              <w:t>1.63</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3</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18.8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0.46</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0.19</w:t>
            </w:r>
            <w:r w:rsidR="005F7D22">
              <w:rPr>
                <w:color w:val="000000"/>
                <w:sz w:val="16"/>
                <w:szCs w:val="16"/>
              </w:rPr>
              <w:t xml:space="preserve"> - </w:t>
            </w:r>
            <w:r w:rsidR="005F7D22" w:rsidRPr="006A32F0">
              <w:rPr>
                <w:color w:val="000000"/>
                <w:sz w:val="16"/>
                <w:szCs w:val="16"/>
              </w:rPr>
              <w:t>1.11</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4</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37.2</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1.16</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0.43</w:t>
            </w:r>
            <w:r w:rsidR="005F7D22">
              <w:rPr>
                <w:color w:val="000000"/>
                <w:sz w:val="16"/>
                <w:szCs w:val="16"/>
              </w:rPr>
              <w:t xml:space="preserve"> - </w:t>
            </w:r>
            <w:r w:rsidR="005F7D22" w:rsidRPr="006A32F0">
              <w:rPr>
                <w:color w:val="000000"/>
                <w:sz w:val="16"/>
                <w:szCs w:val="16"/>
              </w:rPr>
              <w:t>3.12</w:t>
            </w:r>
            <w:r>
              <w:rPr>
                <w:color w:val="000000"/>
                <w:sz w:val="16"/>
                <w:szCs w:val="16"/>
              </w:rPr>
              <w:t>)</w:t>
            </w:r>
          </w:p>
        </w:tc>
        <w:tc>
          <w:tcPr>
            <w:tcW w:w="747" w:type="dxa"/>
            <w:vAlign w:val="center"/>
          </w:tcPr>
          <w:p w:rsidR="005F7D22" w:rsidRPr="006A32F0" w:rsidRDefault="005F7D22" w:rsidP="006A32F0">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6A32F0">
            <w:pPr>
              <w:spacing w:before="20"/>
              <w:ind w:left="176"/>
              <w:jc w:val="both"/>
              <w:rPr>
                <w:sz w:val="16"/>
                <w:szCs w:val="16"/>
              </w:rPr>
            </w:pPr>
            <w:r w:rsidRPr="009B1415">
              <w:rPr>
                <w:sz w:val="16"/>
                <w:szCs w:val="16"/>
              </w:rPr>
              <w:t>5+</w:t>
            </w:r>
          </w:p>
        </w:tc>
        <w:tc>
          <w:tcPr>
            <w:tcW w:w="1105"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42.8</w:t>
            </w:r>
          </w:p>
        </w:tc>
        <w:tc>
          <w:tcPr>
            <w:tcW w:w="1110" w:type="dxa"/>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1.47</w:t>
            </w:r>
          </w:p>
        </w:tc>
        <w:tc>
          <w:tcPr>
            <w:tcW w:w="1073" w:type="dxa"/>
            <w:gridSpan w:val="2"/>
            <w:vAlign w:val="center"/>
          </w:tcPr>
          <w:p w:rsidR="005F7D22" w:rsidRPr="006A32F0" w:rsidRDefault="00D62954" w:rsidP="005F7D22">
            <w:pPr>
              <w:adjustRightInd w:val="0"/>
              <w:spacing w:before="20"/>
              <w:jc w:val="right"/>
              <w:rPr>
                <w:color w:val="000000"/>
                <w:sz w:val="16"/>
                <w:szCs w:val="16"/>
              </w:rPr>
            </w:pPr>
            <w:r>
              <w:rPr>
                <w:color w:val="000000"/>
                <w:sz w:val="16"/>
                <w:szCs w:val="16"/>
              </w:rPr>
              <w:t>(</w:t>
            </w:r>
            <w:r w:rsidR="005F7D22" w:rsidRPr="006A32F0">
              <w:rPr>
                <w:color w:val="000000"/>
                <w:sz w:val="16"/>
                <w:szCs w:val="16"/>
              </w:rPr>
              <w:t>0.49</w:t>
            </w:r>
            <w:r w:rsidR="005F7D22">
              <w:rPr>
                <w:color w:val="000000"/>
                <w:sz w:val="16"/>
                <w:szCs w:val="16"/>
              </w:rPr>
              <w:t xml:space="preserve"> - </w:t>
            </w:r>
            <w:r w:rsidR="005F7D22" w:rsidRPr="006A32F0">
              <w:rPr>
                <w:color w:val="000000"/>
                <w:sz w:val="16"/>
                <w:szCs w:val="16"/>
              </w:rPr>
              <w:t>4.41</w:t>
            </w:r>
            <w:r>
              <w:rPr>
                <w:color w:val="000000"/>
                <w:sz w:val="16"/>
                <w:szCs w:val="16"/>
              </w:rPr>
              <w:t>)</w:t>
            </w:r>
          </w:p>
        </w:tc>
        <w:tc>
          <w:tcPr>
            <w:tcW w:w="747" w:type="dxa"/>
            <w:shd w:val="clear" w:color="auto" w:fill="auto"/>
            <w:vAlign w:val="center"/>
          </w:tcPr>
          <w:p w:rsidR="005F7D22" w:rsidRPr="006A32F0" w:rsidRDefault="005F7D22" w:rsidP="006A32F0">
            <w:pPr>
              <w:adjustRightInd w:val="0"/>
              <w:spacing w:before="20"/>
              <w:jc w:val="right"/>
              <w:rPr>
                <w:color w:val="000000"/>
                <w:sz w:val="16"/>
                <w:szCs w:val="16"/>
              </w:rPr>
            </w:pPr>
            <w:r w:rsidRPr="006A32F0">
              <w:rPr>
                <w:color w:val="000000"/>
                <w:sz w:val="16"/>
                <w:szCs w:val="16"/>
              </w:rPr>
              <w:t>0.52</w:t>
            </w:r>
          </w:p>
        </w:tc>
      </w:tr>
      <w:tr w:rsidR="00FD72AF" w:rsidRPr="009B1415" w:rsidTr="009F73AF">
        <w:tc>
          <w:tcPr>
            <w:tcW w:w="4271" w:type="dxa"/>
            <w:vAlign w:val="bottom"/>
          </w:tcPr>
          <w:p w:rsidR="00FD72AF" w:rsidRPr="009B1415" w:rsidRDefault="00FD72AF" w:rsidP="00FD72AF">
            <w:pPr>
              <w:spacing w:before="20"/>
              <w:jc w:val="both"/>
              <w:rPr>
                <w:b/>
                <w:sz w:val="16"/>
                <w:szCs w:val="16"/>
              </w:rPr>
            </w:pPr>
            <w:r w:rsidRPr="009B1415">
              <w:rPr>
                <w:b/>
                <w:sz w:val="16"/>
                <w:szCs w:val="16"/>
              </w:rPr>
              <w:t>Quality of life (WHOQoL-8)</w:t>
            </w:r>
          </w:p>
        </w:tc>
        <w:tc>
          <w:tcPr>
            <w:tcW w:w="1105" w:type="dxa"/>
            <w:vAlign w:val="center"/>
          </w:tcPr>
          <w:p w:rsidR="00FD72AF" w:rsidRPr="00507A06" w:rsidRDefault="00FD72AF" w:rsidP="00FD72AF">
            <w:pPr>
              <w:adjustRightInd w:val="0"/>
              <w:spacing w:before="20"/>
              <w:jc w:val="right"/>
              <w:rPr>
                <w:color w:val="000000"/>
                <w:sz w:val="16"/>
                <w:szCs w:val="16"/>
              </w:rPr>
            </w:pPr>
          </w:p>
        </w:tc>
        <w:tc>
          <w:tcPr>
            <w:tcW w:w="1110" w:type="dxa"/>
            <w:vAlign w:val="center"/>
          </w:tcPr>
          <w:p w:rsidR="00FD72AF" w:rsidRPr="00507A06" w:rsidRDefault="00FD72AF" w:rsidP="00FD72AF">
            <w:pPr>
              <w:adjustRightInd w:val="0"/>
              <w:spacing w:before="20"/>
              <w:jc w:val="right"/>
              <w:rPr>
                <w:color w:val="000000"/>
                <w:sz w:val="16"/>
                <w:szCs w:val="16"/>
              </w:rPr>
            </w:pPr>
          </w:p>
        </w:tc>
        <w:tc>
          <w:tcPr>
            <w:tcW w:w="692" w:type="dxa"/>
            <w:vAlign w:val="center"/>
          </w:tcPr>
          <w:p w:rsidR="00FD72AF" w:rsidRPr="00507A06" w:rsidRDefault="00FD72AF" w:rsidP="00FD72AF">
            <w:pPr>
              <w:adjustRightInd w:val="0"/>
              <w:spacing w:before="20"/>
              <w:jc w:val="right"/>
              <w:rPr>
                <w:color w:val="000000"/>
                <w:sz w:val="16"/>
                <w:szCs w:val="16"/>
              </w:rPr>
            </w:pPr>
          </w:p>
        </w:tc>
        <w:tc>
          <w:tcPr>
            <w:tcW w:w="381" w:type="dxa"/>
            <w:vAlign w:val="center"/>
          </w:tcPr>
          <w:p w:rsidR="00FD72AF" w:rsidRPr="00507A06" w:rsidRDefault="00FD72AF" w:rsidP="00FD72AF">
            <w:pPr>
              <w:adjustRightInd w:val="0"/>
              <w:spacing w:before="20"/>
              <w:jc w:val="right"/>
              <w:rPr>
                <w:color w:val="000000"/>
                <w:sz w:val="16"/>
                <w:szCs w:val="16"/>
              </w:rPr>
            </w:pPr>
          </w:p>
        </w:tc>
        <w:tc>
          <w:tcPr>
            <w:tcW w:w="747" w:type="dxa"/>
            <w:vAlign w:val="center"/>
          </w:tcPr>
          <w:p w:rsidR="00FD72AF" w:rsidRPr="00507A06" w:rsidRDefault="00FD72AF" w:rsidP="00FD72AF">
            <w:pPr>
              <w:adjustRightInd w:val="0"/>
              <w:spacing w:before="20"/>
              <w:jc w:val="right"/>
              <w:rPr>
                <w:color w:val="000000"/>
                <w:sz w:val="16"/>
                <w:szCs w:val="16"/>
              </w:rPr>
            </w:pPr>
          </w:p>
        </w:tc>
      </w:tr>
      <w:tr w:rsidR="002A3E37" w:rsidRPr="009B1415" w:rsidTr="009F73AF">
        <w:tc>
          <w:tcPr>
            <w:tcW w:w="4271" w:type="dxa"/>
          </w:tcPr>
          <w:p w:rsidR="002A3E37" w:rsidRPr="009B1415" w:rsidRDefault="002A3E37" w:rsidP="002A3E37">
            <w:pPr>
              <w:spacing w:before="20"/>
              <w:ind w:left="176"/>
              <w:jc w:val="both"/>
              <w:rPr>
                <w:sz w:val="16"/>
                <w:szCs w:val="16"/>
              </w:rPr>
            </w:pPr>
            <w:r w:rsidRPr="009B1415">
              <w:rPr>
                <w:sz w:val="16"/>
                <w:szCs w:val="16"/>
              </w:rPr>
              <w:t>Below median ( Score 0 - 24)</w:t>
            </w:r>
          </w:p>
        </w:tc>
        <w:tc>
          <w:tcPr>
            <w:tcW w:w="1105" w:type="dxa"/>
            <w:vAlign w:val="center"/>
          </w:tcPr>
          <w:p w:rsidR="002A3E37" w:rsidRPr="002A3E37" w:rsidRDefault="002A3E37" w:rsidP="002A3E37">
            <w:pPr>
              <w:adjustRightInd w:val="0"/>
              <w:spacing w:before="20"/>
              <w:jc w:val="right"/>
              <w:rPr>
                <w:color w:val="000000"/>
                <w:sz w:val="16"/>
                <w:szCs w:val="16"/>
              </w:rPr>
            </w:pPr>
            <w:r w:rsidRPr="002A3E37">
              <w:rPr>
                <w:color w:val="000000"/>
                <w:sz w:val="16"/>
                <w:szCs w:val="16"/>
              </w:rPr>
              <w:t>32.8</w:t>
            </w:r>
          </w:p>
        </w:tc>
        <w:tc>
          <w:tcPr>
            <w:tcW w:w="1110" w:type="dxa"/>
            <w:vAlign w:val="center"/>
          </w:tcPr>
          <w:p w:rsidR="002A3E37" w:rsidRPr="002A3E37" w:rsidRDefault="002A3E37" w:rsidP="002A3E37">
            <w:pPr>
              <w:adjustRightInd w:val="0"/>
              <w:spacing w:before="20"/>
              <w:jc w:val="right"/>
              <w:rPr>
                <w:color w:val="000000"/>
                <w:sz w:val="16"/>
                <w:szCs w:val="16"/>
              </w:rPr>
            </w:pPr>
            <w:r w:rsidRPr="002A3E37">
              <w:rPr>
                <w:color w:val="000000"/>
                <w:sz w:val="16"/>
                <w:szCs w:val="16"/>
              </w:rPr>
              <w:t>1.00</w:t>
            </w:r>
          </w:p>
        </w:tc>
        <w:tc>
          <w:tcPr>
            <w:tcW w:w="692" w:type="dxa"/>
            <w:vAlign w:val="center"/>
          </w:tcPr>
          <w:p w:rsidR="002A3E37" w:rsidRPr="002A3E37" w:rsidRDefault="002A3E37" w:rsidP="002A3E37">
            <w:pPr>
              <w:adjustRightInd w:val="0"/>
              <w:spacing w:before="20"/>
              <w:jc w:val="right"/>
              <w:rPr>
                <w:color w:val="000000"/>
                <w:sz w:val="16"/>
                <w:szCs w:val="16"/>
              </w:rPr>
            </w:pPr>
          </w:p>
        </w:tc>
        <w:tc>
          <w:tcPr>
            <w:tcW w:w="381" w:type="dxa"/>
            <w:vAlign w:val="center"/>
          </w:tcPr>
          <w:p w:rsidR="002A3E37" w:rsidRPr="002A3E37" w:rsidRDefault="002A3E37" w:rsidP="002A3E37">
            <w:pPr>
              <w:adjustRightInd w:val="0"/>
              <w:spacing w:before="20"/>
              <w:jc w:val="right"/>
              <w:rPr>
                <w:color w:val="000000"/>
                <w:sz w:val="16"/>
                <w:szCs w:val="16"/>
              </w:rPr>
            </w:pPr>
          </w:p>
        </w:tc>
        <w:tc>
          <w:tcPr>
            <w:tcW w:w="747" w:type="dxa"/>
            <w:vAlign w:val="center"/>
          </w:tcPr>
          <w:p w:rsidR="002A3E37" w:rsidRPr="002A3E37" w:rsidRDefault="002A3E37" w:rsidP="002A3E37">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2A3E37">
            <w:pPr>
              <w:spacing w:before="20"/>
              <w:ind w:left="176"/>
              <w:jc w:val="both"/>
              <w:rPr>
                <w:sz w:val="16"/>
                <w:szCs w:val="16"/>
              </w:rPr>
            </w:pPr>
            <w:r w:rsidRPr="009B1415">
              <w:rPr>
                <w:sz w:val="16"/>
                <w:szCs w:val="16"/>
              </w:rPr>
              <w:t>Median score (Score 25)</w:t>
            </w:r>
          </w:p>
        </w:tc>
        <w:tc>
          <w:tcPr>
            <w:tcW w:w="1105" w:type="dxa"/>
            <w:vAlign w:val="center"/>
          </w:tcPr>
          <w:p w:rsidR="005F7D22" w:rsidRPr="002A3E37" w:rsidRDefault="005F7D22" w:rsidP="002A3E37">
            <w:pPr>
              <w:adjustRightInd w:val="0"/>
              <w:spacing w:before="20"/>
              <w:jc w:val="right"/>
              <w:rPr>
                <w:color w:val="000000"/>
                <w:sz w:val="16"/>
                <w:szCs w:val="16"/>
              </w:rPr>
            </w:pPr>
            <w:r w:rsidRPr="002A3E37">
              <w:rPr>
                <w:color w:val="000000"/>
                <w:sz w:val="16"/>
                <w:szCs w:val="16"/>
              </w:rPr>
              <w:t>29.0</w:t>
            </w:r>
          </w:p>
        </w:tc>
        <w:tc>
          <w:tcPr>
            <w:tcW w:w="1110" w:type="dxa"/>
            <w:vAlign w:val="center"/>
          </w:tcPr>
          <w:p w:rsidR="005F7D22" w:rsidRPr="002A3E37" w:rsidRDefault="005F7D22" w:rsidP="002A3E37">
            <w:pPr>
              <w:adjustRightInd w:val="0"/>
              <w:spacing w:before="20"/>
              <w:jc w:val="right"/>
              <w:rPr>
                <w:color w:val="000000"/>
                <w:sz w:val="16"/>
                <w:szCs w:val="16"/>
              </w:rPr>
            </w:pPr>
            <w:r w:rsidRPr="002A3E37">
              <w:rPr>
                <w:color w:val="000000"/>
                <w:sz w:val="16"/>
                <w:szCs w:val="16"/>
              </w:rPr>
              <w:t>1.05</w:t>
            </w:r>
          </w:p>
        </w:tc>
        <w:tc>
          <w:tcPr>
            <w:tcW w:w="1073" w:type="dxa"/>
            <w:gridSpan w:val="2"/>
            <w:vAlign w:val="center"/>
          </w:tcPr>
          <w:p w:rsidR="005F7D22" w:rsidRPr="002A3E37" w:rsidRDefault="00D62954" w:rsidP="005F7D22">
            <w:pPr>
              <w:adjustRightInd w:val="0"/>
              <w:spacing w:before="20"/>
              <w:jc w:val="right"/>
              <w:rPr>
                <w:color w:val="000000"/>
                <w:sz w:val="16"/>
                <w:szCs w:val="16"/>
              </w:rPr>
            </w:pPr>
            <w:r>
              <w:rPr>
                <w:color w:val="000000"/>
                <w:sz w:val="16"/>
                <w:szCs w:val="16"/>
              </w:rPr>
              <w:t>(</w:t>
            </w:r>
            <w:r w:rsidR="005F7D22" w:rsidRPr="002A3E37">
              <w:rPr>
                <w:color w:val="000000"/>
                <w:sz w:val="16"/>
                <w:szCs w:val="16"/>
              </w:rPr>
              <w:t>0.66</w:t>
            </w:r>
            <w:r w:rsidR="005F7D22">
              <w:rPr>
                <w:color w:val="000000"/>
                <w:sz w:val="16"/>
                <w:szCs w:val="16"/>
              </w:rPr>
              <w:t xml:space="preserve"> - </w:t>
            </w:r>
            <w:r w:rsidR="005F7D22" w:rsidRPr="002A3E37">
              <w:rPr>
                <w:color w:val="000000"/>
                <w:sz w:val="16"/>
                <w:szCs w:val="16"/>
              </w:rPr>
              <w:t>1.67</w:t>
            </w:r>
            <w:r>
              <w:rPr>
                <w:color w:val="000000"/>
                <w:sz w:val="16"/>
                <w:szCs w:val="16"/>
              </w:rPr>
              <w:t>)</w:t>
            </w:r>
          </w:p>
        </w:tc>
        <w:tc>
          <w:tcPr>
            <w:tcW w:w="747" w:type="dxa"/>
            <w:vAlign w:val="center"/>
          </w:tcPr>
          <w:p w:rsidR="005F7D22" w:rsidRPr="002A3E37" w:rsidRDefault="005F7D22" w:rsidP="002A3E37">
            <w:pPr>
              <w:adjustRightInd w:val="0"/>
              <w:spacing w:before="20"/>
              <w:jc w:val="right"/>
              <w:rPr>
                <w:color w:val="000000"/>
                <w:sz w:val="16"/>
                <w:szCs w:val="16"/>
              </w:rPr>
            </w:pPr>
          </w:p>
        </w:tc>
      </w:tr>
      <w:tr w:rsidR="005F7D22" w:rsidRPr="009B1415" w:rsidTr="009F73AF">
        <w:tc>
          <w:tcPr>
            <w:tcW w:w="4271" w:type="dxa"/>
          </w:tcPr>
          <w:p w:rsidR="005F7D22" w:rsidRPr="009B1415" w:rsidRDefault="005F7D22" w:rsidP="002A3E37">
            <w:pPr>
              <w:spacing w:before="20"/>
              <w:ind w:left="176"/>
              <w:jc w:val="both"/>
              <w:rPr>
                <w:sz w:val="16"/>
                <w:szCs w:val="16"/>
              </w:rPr>
            </w:pPr>
            <w:r w:rsidRPr="009B1415">
              <w:rPr>
                <w:sz w:val="16"/>
                <w:szCs w:val="16"/>
              </w:rPr>
              <w:t>Above median (Score 26 - 32)</w:t>
            </w:r>
          </w:p>
        </w:tc>
        <w:tc>
          <w:tcPr>
            <w:tcW w:w="1105" w:type="dxa"/>
            <w:vAlign w:val="center"/>
          </w:tcPr>
          <w:p w:rsidR="005F7D22" w:rsidRPr="002A3E37" w:rsidRDefault="005F7D22" w:rsidP="002A3E37">
            <w:pPr>
              <w:adjustRightInd w:val="0"/>
              <w:spacing w:before="20"/>
              <w:jc w:val="right"/>
              <w:rPr>
                <w:color w:val="000000"/>
                <w:sz w:val="16"/>
                <w:szCs w:val="16"/>
              </w:rPr>
            </w:pPr>
            <w:r w:rsidRPr="002A3E37">
              <w:rPr>
                <w:color w:val="000000"/>
                <w:sz w:val="16"/>
                <w:szCs w:val="16"/>
              </w:rPr>
              <w:t>31.7</w:t>
            </w:r>
          </w:p>
        </w:tc>
        <w:tc>
          <w:tcPr>
            <w:tcW w:w="1110" w:type="dxa"/>
            <w:vAlign w:val="center"/>
          </w:tcPr>
          <w:p w:rsidR="005F7D22" w:rsidRPr="002A3E37" w:rsidRDefault="005F7D22" w:rsidP="002A3E37">
            <w:pPr>
              <w:adjustRightInd w:val="0"/>
              <w:spacing w:before="20"/>
              <w:jc w:val="right"/>
              <w:rPr>
                <w:color w:val="000000"/>
                <w:sz w:val="16"/>
                <w:szCs w:val="16"/>
              </w:rPr>
            </w:pPr>
            <w:r w:rsidRPr="002A3E37">
              <w:rPr>
                <w:color w:val="000000"/>
                <w:sz w:val="16"/>
                <w:szCs w:val="16"/>
              </w:rPr>
              <w:t>0.88</w:t>
            </w:r>
          </w:p>
        </w:tc>
        <w:tc>
          <w:tcPr>
            <w:tcW w:w="1073" w:type="dxa"/>
            <w:gridSpan w:val="2"/>
            <w:vAlign w:val="center"/>
          </w:tcPr>
          <w:p w:rsidR="005F7D22" w:rsidRPr="002A3E37" w:rsidRDefault="00D62954" w:rsidP="005F7D22">
            <w:pPr>
              <w:adjustRightInd w:val="0"/>
              <w:spacing w:before="20"/>
              <w:jc w:val="right"/>
              <w:rPr>
                <w:color w:val="000000"/>
                <w:sz w:val="16"/>
                <w:szCs w:val="16"/>
              </w:rPr>
            </w:pPr>
            <w:r>
              <w:rPr>
                <w:color w:val="000000"/>
                <w:sz w:val="16"/>
                <w:szCs w:val="16"/>
              </w:rPr>
              <w:t>(</w:t>
            </w:r>
            <w:r w:rsidR="005F7D22" w:rsidRPr="002A3E37">
              <w:rPr>
                <w:color w:val="000000"/>
                <w:sz w:val="16"/>
                <w:szCs w:val="16"/>
              </w:rPr>
              <w:t>0.41</w:t>
            </w:r>
            <w:r w:rsidR="005F7D22">
              <w:rPr>
                <w:color w:val="000000"/>
                <w:sz w:val="16"/>
                <w:szCs w:val="16"/>
              </w:rPr>
              <w:t xml:space="preserve"> - </w:t>
            </w:r>
            <w:r w:rsidR="005F7D22" w:rsidRPr="002A3E37">
              <w:rPr>
                <w:color w:val="000000"/>
                <w:sz w:val="16"/>
                <w:szCs w:val="16"/>
              </w:rPr>
              <w:t>1.90</w:t>
            </w:r>
            <w:r>
              <w:rPr>
                <w:color w:val="000000"/>
                <w:sz w:val="16"/>
                <w:szCs w:val="16"/>
              </w:rPr>
              <w:t>)</w:t>
            </w:r>
          </w:p>
        </w:tc>
        <w:tc>
          <w:tcPr>
            <w:tcW w:w="747" w:type="dxa"/>
            <w:shd w:val="clear" w:color="auto" w:fill="auto"/>
            <w:vAlign w:val="center"/>
          </w:tcPr>
          <w:p w:rsidR="005F7D22" w:rsidRPr="002A3E37" w:rsidRDefault="005F7D22" w:rsidP="002A3E37">
            <w:pPr>
              <w:adjustRightInd w:val="0"/>
              <w:spacing w:before="20"/>
              <w:jc w:val="right"/>
              <w:rPr>
                <w:color w:val="000000"/>
                <w:sz w:val="16"/>
                <w:szCs w:val="16"/>
              </w:rPr>
            </w:pPr>
            <w:r w:rsidRPr="002A3E37">
              <w:rPr>
                <w:color w:val="000000"/>
                <w:sz w:val="16"/>
                <w:szCs w:val="16"/>
              </w:rPr>
              <w:t>0.90</w:t>
            </w:r>
          </w:p>
        </w:tc>
      </w:tr>
      <w:tr w:rsidR="002A3E37" w:rsidRPr="009B1415" w:rsidTr="009F73AF">
        <w:tc>
          <w:tcPr>
            <w:tcW w:w="4271" w:type="dxa"/>
            <w:vAlign w:val="bottom"/>
          </w:tcPr>
          <w:p w:rsidR="002A3E37" w:rsidRPr="009B1415" w:rsidRDefault="002A3E37" w:rsidP="002A3E37">
            <w:pPr>
              <w:spacing w:before="20"/>
              <w:jc w:val="both"/>
              <w:rPr>
                <w:b/>
                <w:sz w:val="16"/>
                <w:szCs w:val="16"/>
              </w:rPr>
            </w:pPr>
            <w:r w:rsidRPr="009B1415">
              <w:rPr>
                <w:b/>
                <w:sz w:val="16"/>
                <w:szCs w:val="16"/>
              </w:rPr>
              <w:t>Psychological distress (Kessler-10)</w:t>
            </w:r>
          </w:p>
        </w:tc>
        <w:tc>
          <w:tcPr>
            <w:tcW w:w="1105" w:type="dxa"/>
            <w:vAlign w:val="center"/>
          </w:tcPr>
          <w:p w:rsidR="002A3E37" w:rsidRPr="002A3E37" w:rsidRDefault="002A3E37" w:rsidP="002A3E37">
            <w:pPr>
              <w:adjustRightInd w:val="0"/>
              <w:spacing w:before="20"/>
              <w:jc w:val="right"/>
              <w:rPr>
                <w:color w:val="000000"/>
                <w:sz w:val="16"/>
                <w:szCs w:val="16"/>
              </w:rPr>
            </w:pPr>
            <w:r w:rsidRPr="002A3E37">
              <w:rPr>
                <w:color w:val="000000"/>
                <w:sz w:val="16"/>
                <w:szCs w:val="16"/>
              </w:rPr>
              <w:t> </w:t>
            </w:r>
          </w:p>
        </w:tc>
        <w:tc>
          <w:tcPr>
            <w:tcW w:w="1110" w:type="dxa"/>
            <w:vAlign w:val="center"/>
          </w:tcPr>
          <w:p w:rsidR="002A3E37" w:rsidRPr="002A3E37" w:rsidRDefault="002A3E37" w:rsidP="002A3E37">
            <w:pPr>
              <w:adjustRightInd w:val="0"/>
              <w:spacing w:before="20"/>
              <w:jc w:val="right"/>
              <w:rPr>
                <w:color w:val="000000"/>
                <w:sz w:val="16"/>
                <w:szCs w:val="16"/>
              </w:rPr>
            </w:pPr>
          </w:p>
        </w:tc>
        <w:tc>
          <w:tcPr>
            <w:tcW w:w="692" w:type="dxa"/>
            <w:vAlign w:val="center"/>
          </w:tcPr>
          <w:p w:rsidR="002A3E37" w:rsidRPr="002A3E37" w:rsidRDefault="002A3E37" w:rsidP="002A3E37">
            <w:pPr>
              <w:adjustRightInd w:val="0"/>
              <w:spacing w:before="20"/>
              <w:jc w:val="right"/>
              <w:rPr>
                <w:color w:val="000000"/>
                <w:sz w:val="16"/>
                <w:szCs w:val="16"/>
              </w:rPr>
            </w:pPr>
          </w:p>
        </w:tc>
        <w:tc>
          <w:tcPr>
            <w:tcW w:w="381" w:type="dxa"/>
            <w:vAlign w:val="center"/>
          </w:tcPr>
          <w:p w:rsidR="002A3E37" w:rsidRPr="002A3E37" w:rsidRDefault="002A3E37" w:rsidP="002A3E37">
            <w:pPr>
              <w:adjustRightInd w:val="0"/>
              <w:spacing w:before="20"/>
              <w:jc w:val="right"/>
              <w:rPr>
                <w:color w:val="000000"/>
                <w:sz w:val="16"/>
                <w:szCs w:val="16"/>
              </w:rPr>
            </w:pPr>
          </w:p>
        </w:tc>
        <w:tc>
          <w:tcPr>
            <w:tcW w:w="747" w:type="dxa"/>
            <w:vAlign w:val="center"/>
          </w:tcPr>
          <w:p w:rsidR="002A3E37" w:rsidRPr="002A3E37" w:rsidRDefault="002A3E37" w:rsidP="002A3E37">
            <w:pPr>
              <w:adjustRightInd w:val="0"/>
              <w:spacing w:before="20"/>
              <w:jc w:val="right"/>
              <w:rPr>
                <w:color w:val="000000"/>
                <w:sz w:val="16"/>
                <w:szCs w:val="16"/>
              </w:rPr>
            </w:pPr>
          </w:p>
        </w:tc>
      </w:tr>
      <w:tr w:rsidR="002A3E37" w:rsidRPr="009B1415" w:rsidTr="009F73AF">
        <w:tc>
          <w:tcPr>
            <w:tcW w:w="4271" w:type="dxa"/>
          </w:tcPr>
          <w:p w:rsidR="002A3E37" w:rsidRPr="009B1415" w:rsidRDefault="002A3E37" w:rsidP="002A3E37">
            <w:pPr>
              <w:spacing w:before="20"/>
              <w:ind w:left="176"/>
              <w:jc w:val="both"/>
              <w:rPr>
                <w:sz w:val="16"/>
                <w:szCs w:val="16"/>
              </w:rPr>
            </w:pPr>
            <w:r w:rsidRPr="009B1415">
              <w:rPr>
                <w:sz w:val="16"/>
                <w:szCs w:val="16"/>
              </w:rPr>
              <w:t>Score 0 - 5</w:t>
            </w:r>
          </w:p>
        </w:tc>
        <w:tc>
          <w:tcPr>
            <w:tcW w:w="1105" w:type="dxa"/>
            <w:vAlign w:val="center"/>
          </w:tcPr>
          <w:p w:rsidR="002A3E37" w:rsidRPr="002A3E37" w:rsidRDefault="002A3E37" w:rsidP="002A3E37">
            <w:pPr>
              <w:adjustRightInd w:val="0"/>
              <w:spacing w:before="20"/>
              <w:jc w:val="right"/>
              <w:rPr>
                <w:color w:val="000000"/>
                <w:sz w:val="16"/>
                <w:szCs w:val="16"/>
              </w:rPr>
            </w:pPr>
            <w:r w:rsidRPr="002A3E37">
              <w:rPr>
                <w:color w:val="000000"/>
                <w:sz w:val="16"/>
                <w:szCs w:val="16"/>
              </w:rPr>
              <w:t>33.9</w:t>
            </w:r>
          </w:p>
        </w:tc>
        <w:tc>
          <w:tcPr>
            <w:tcW w:w="1110" w:type="dxa"/>
            <w:vAlign w:val="center"/>
          </w:tcPr>
          <w:p w:rsidR="002A3E37" w:rsidRPr="002A3E37" w:rsidRDefault="002A3E37" w:rsidP="002A3E37">
            <w:pPr>
              <w:adjustRightInd w:val="0"/>
              <w:spacing w:before="20"/>
              <w:jc w:val="right"/>
              <w:rPr>
                <w:color w:val="000000"/>
                <w:sz w:val="16"/>
                <w:szCs w:val="16"/>
              </w:rPr>
            </w:pPr>
            <w:r w:rsidRPr="002A3E37">
              <w:rPr>
                <w:color w:val="000000"/>
                <w:sz w:val="16"/>
                <w:szCs w:val="16"/>
              </w:rPr>
              <w:t>1.00</w:t>
            </w:r>
          </w:p>
        </w:tc>
        <w:tc>
          <w:tcPr>
            <w:tcW w:w="692" w:type="dxa"/>
            <w:vAlign w:val="center"/>
          </w:tcPr>
          <w:p w:rsidR="002A3E37" w:rsidRPr="002A3E37" w:rsidRDefault="002A3E37" w:rsidP="002A3E37">
            <w:pPr>
              <w:adjustRightInd w:val="0"/>
              <w:spacing w:before="20"/>
              <w:jc w:val="right"/>
              <w:rPr>
                <w:color w:val="000000"/>
                <w:sz w:val="16"/>
                <w:szCs w:val="16"/>
              </w:rPr>
            </w:pPr>
          </w:p>
        </w:tc>
        <w:tc>
          <w:tcPr>
            <w:tcW w:w="381" w:type="dxa"/>
            <w:vAlign w:val="center"/>
          </w:tcPr>
          <w:p w:rsidR="002A3E37" w:rsidRPr="002A3E37" w:rsidRDefault="002A3E37" w:rsidP="002A3E37">
            <w:pPr>
              <w:adjustRightInd w:val="0"/>
              <w:spacing w:before="20"/>
              <w:jc w:val="right"/>
              <w:rPr>
                <w:color w:val="000000"/>
                <w:sz w:val="16"/>
                <w:szCs w:val="16"/>
              </w:rPr>
            </w:pPr>
          </w:p>
        </w:tc>
        <w:tc>
          <w:tcPr>
            <w:tcW w:w="747" w:type="dxa"/>
            <w:vAlign w:val="center"/>
          </w:tcPr>
          <w:p w:rsidR="002A3E37" w:rsidRPr="002A3E37" w:rsidRDefault="002A3E37" w:rsidP="002A3E37">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Score 6 - 11</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17.0</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0.40</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0.20</w:t>
            </w:r>
            <w:r>
              <w:rPr>
                <w:color w:val="000000"/>
                <w:sz w:val="16"/>
                <w:szCs w:val="16"/>
              </w:rPr>
              <w:t xml:space="preserve"> - </w:t>
            </w:r>
            <w:r w:rsidRPr="002A3E37">
              <w:rPr>
                <w:color w:val="000000"/>
                <w:sz w:val="16"/>
                <w:szCs w:val="16"/>
              </w:rPr>
              <w:t>0.81</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Score 12 - 19</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52.1</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2.12</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0.90</w:t>
            </w:r>
            <w:r>
              <w:rPr>
                <w:color w:val="000000"/>
                <w:sz w:val="16"/>
                <w:szCs w:val="16"/>
              </w:rPr>
              <w:t xml:space="preserve"> - </w:t>
            </w:r>
            <w:r w:rsidRPr="002A3E37">
              <w:rPr>
                <w:color w:val="000000"/>
                <w:sz w:val="16"/>
                <w:szCs w:val="16"/>
              </w:rPr>
              <w:t>5.03</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Score 20 - 40</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37.8</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1.19</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0.31</w:t>
            </w:r>
            <w:r>
              <w:rPr>
                <w:color w:val="000000"/>
                <w:sz w:val="16"/>
                <w:szCs w:val="16"/>
              </w:rPr>
              <w:t xml:space="preserve"> - </w:t>
            </w:r>
            <w:r w:rsidRPr="002A3E37">
              <w:rPr>
                <w:color w:val="000000"/>
                <w:sz w:val="16"/>
                <w:szCs w:val="16"/>
              </w:rPr>
              <w:t>4.53</w:t>
            </w:r>
            <w:r>
              <w:rPr>
                <w:color w:val="000000"/>
                <w:sz w:val="16"/>
                <w:szCs w:val="16"/>
              </w:rPr>
              <w:t>)</w:t>
            </w:r>
          </w:p>
        </w:tc>
        <w:tc>
          <w:tcPr>
            <w:tcW w:w="747" w:type="dxa"/>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0.01</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sz w:val="16"/>
                <w:szCs w:val="16"/>
              </w:rPr>
              <w:t xml:space="preserve">Hazardous alcohol consumption (AUDIT-C) </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29.5</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1.00</w:t>
            </w: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42.2</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1.74</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1.01</w:t>
            </w:r>
            <w:r>
              <w:rPr>
                <w:color w:val="000000"/>
                <w:sz w:val="16"/>
                <w:szCs w:val="16"/>
              </w:rPr>
              <w:t xml:space="preserve"> - </w:t>
            </w:r>
            <w:r w:rsidRPr="002A3E37">
              <w:rPr>
                <w:color w:val="000000"/>
                <w:sz w:val="16"/>
                <w:szCs w:val="16"/>
              </w:rPr>
              <w:t>3.01</w:t>
            </w:r>
            <w:r>
              <w:rPr>
                <w:color w:val="000000"/>
                <w:sz w:val="16"/>
                <w:szCs w:val="16"/>
              </w:rPr>
              <w:t>)</w:t>
            </w:r>
          </w:p>
        </w:tc>
        <w:tc>
          <w:tcPr>
            <w:tcW w:w="747" w:type="dxa"/>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0.05</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sz w:val="16"/>
                <w:szCs w:val="16"/>
              </w:rPr>
              <w:t>Does not use drugs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36.8</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1.00</w:t>
            </w: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31.4</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0.79</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0.32</w:t>
            </w:r>
            <w:r>
              <w:rPr>
                <w:color w:val="000000"/>
                <w:sz w:val="16"/>
                <w:szCs w:val="16"/>
              </w:rPr>
              <w:t xml:space="preserve"> - </w:t>
            </w:r>
            <w:r w:rsidRPr="002A3E37">
              <w:rPr>
                <w:color w:val="000000"/>
                <w:sz w:val="16"/>
                <w:szCs w:val="16"/>
              </w:rPr>
              <w:t>1.96</w:t>
            </w:r>
            <w:r>
              <w:rPr>
                <w:color w:val="000000"/>
                <w:sz w:val="16"/>
                <w:szCs w:val="16"/>
              </w:rPr>
              <w:t>)</w:t>
            </w:r>
          </w:p>
        </w:tc>
        <w:tc>
          <w:tcPr>
            <w:tcW w:w="747" w:type="dxa"/>
            <w:shd w:val="clear" w:color="auto" w:fill="auto"/>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0.61</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sz w:val="16"/>
                <w:szCs w:val="16"/>
              </w:rPr>
              <w:t>Cannabis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31.7</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1.00</w:t>
            </w: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32.7</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1.05</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0.36</w:t>
            </w:r>
            <w:r>
              <w:rPr>
                <w:color w:val="000000"/>
                <w:sz w:val="16"/>
                <w:szCs w:val="16"/>
              </w:rPr>
              <w:t xml:space="preserve"> - </w:t>
            </w:r>
            <w:r w:rsidRPr="002A3E37">
              <w:rPr>
                <w:color w:val="000000"/>
                <w:sz w:val="16"/>
                <w:szCs w:val="16"/>
              </w:rPr>
              <w:t>3.05</w:t>
            </w:r>
            <w:r>
              <w:rPr>
                <w:color w:val="000000"/>
                <w:sz w:val="16"/>
                <w:szCs w:val="16"/>
              </w:rPr>
              <w:t>)</w:t>
            </w:r>
          </w:p>
        </w:tc>
        <w:tc>
          <w:tcPr>
            <w:tcW w:w="747" w:type="dxa"/>
            <w:shd w:val="clear" w:color="auto" w:fill="auto"/>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0.93</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bCs/>
                <w:color w:val="000000"/>
                <w:sz w:val="16"/>
                <w:szCs w:val="16"/>
              </w:rPr>
              <w:t>Ever smoked tobacco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39.8</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1.99</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1.28</w:t>
            </w:r>
            <w:r>
              <w:rPr>
                <w:color w:val="000000"/>
                <w:sz w:val="16"/>
                <w:szCs w:val="16"/>
              </w:rPr>
              <w:t xml:space="preserve"> - </w:t>
            </w:r>
            <w:r w:rsidRPr="002A3E37">
              <w:rPr>
                <w:color w:val="000000"/>
                <w:sz w:val="16"/>
                <w:szCs w:val="16"/>
              </w:rPr>
              <w:t>3.09</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24.9</w:t>
            </w:r>
          </w:p>
        </w:tc>
        <w:tc>
          <w:tcPr>
            <w:tcW w:w="1110" w:type="dxa"/>
            <w:vAlign w:val="center"/>
          </w:tcPr>
          <w:p w:rsidR="002866E8" w:rsidRPr="002A3E37" w:rsidRDefault="002866E8" w:rsidP="002866E8">
            <w:pPr>
              <w:adjustRightInd w:val="0"/>
              <w:spacing w:before="20"/>
              <w:jc w:val="right"/>
              <w:rPr>
                <w:color w:val="000000"/>
                <w:sz w:val="16"/>
                <w:szCs w:val="16"/>
              </w:rPr>
            </w:pPr>
            <w:r>
              <w:rPr>
                <w:color w:val="000000"/>
                <w:sz w:val="16"/>
                <w:szCs w:val="16"/>
              </w:rPr>
              <w:t>1.00</w:t>
            </w:r>
          </w:p>
        </w:tc>
        <w:tc>
          <w:tcPr>
            <w:tcW w:w="1073" w:type="dxa"/>
            <w:gridSpan w:val="2"/>
            <w:vAlign w:val="center"/>
          </w:tcPr>
          <w:p w:rsidR="002866E8" w:rsidRPr="002A3E37" w:rsidRDefault="002866E8" w:rsidP="002866E8">
            <w:pPr>
              <w:adjustRightInd w:val="0"/>
              <w:spacing w:before="20"/>
              <w:jc w:val="right"/>
              <w:rPr>
                <w:color w:val="000000"/>
                <w:sz w:val="16"/>
                <w:szCs w:val="16"/>
              </w:rPr>
            </w:pPr>
          </w:p>
        </w:tc>
        <w:tc>
          <w:tcPr>
            <w:tcW w:w="747" w:type="dxa"/>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0.002</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bCs/>
                <w:color w:val="000000"/>
                <w:sz w:val="16"/>
                <w:szCs w:val="16"/>
              </w:rPr>
              <w:t>Ever smoked more than 100 cigarettes in lifetime</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45.6</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2.45</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1.55</w:t>
            </w:r>
            <w:r>
              <w:rPr>
                <w:color w:val="000000"/>
                <w:sz w:val="16"/>
                <w:szCs w:val="16"/>
              </w:rPr>
              <w:t xml:space="preserve"> - </w:t>
            </w:r>
            <w:r w:rsidRPr="002A3E37">
              <w:rPr>
                <w:color w:val="000000"/>
                <w:sz w:val="16"/>
                <w:szCs w:val="16"/>
              </w:rPr>
              <w:t>3.88</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25.5</w:t>
            </w:r>
          </w:p>
        </w:tc>
        <w:tc>
          <w:tcPr>
            <w:tcW w:w="1110" w:type="dxa"/>
            <w:vAlign w:val="center"/>
          </w:tcPr>
          <w:p w:rsidR="002866E8" w:rsidRPr="002A3E37" w:rsidRDefault="002866E8" w:rsidP="002866E8">
            <w:pPr>
              <w:adjustRightInd w:val="0"/>
              <w:spacing w:before="20"/>
              <w:jc w:val="right"/>
              <w:rPr>
                <w:color w:val="000000"/>
                <w:sz w:val="16"/>
                <w:szCs w:val="16"/>
              </w:rPr>
            </w:pPr>
            <w:r>
              <w:rPr>
                <w:color w:val="000000"/>
                <w:sz w:val="16"/>
                <w:szCs w:val="16"/>
              </w:rPr>
              <w:t>1.00</w:t>
            </w:r>
          </w:p>
        </w:tc>
        <w:tc>
          <w:tcPr>
            <w:tcW w:w="1073" w:type="dxa"/>
            <w:gridSpan w:val="2"/>
            <w:vAlign w:val="center"/>
          </w:tcPr>
          <w:p w:rsidR="002866E8" w:rsidRPr="002A3E37" w:rsidRDefault="002866E8" w:rsidP="002866E8">
            <w:pPr>
              <w:adjustRightInd w:val="0"/>
              <w:spacing w:before="20"/>
              <w:jc w:val="right"/>
              <w:rPr>
                <w:color w:val="000000"/>
                <w:sz w:val="16"/>
                <w:szCs w:val="16"/>
              </w:rPr>
            </w:pPr>
          </w:p>
        </w:tc>
        <w:tc>
          <w:tcPr>
            <w:tcW w:w="747" w:type="dxa"/>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0.0001</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bCs/>
                <w:color w:val="000000"/>
                <w:sz w:val="16"/>
                <w:szCs w:val="16"/>
              </w:rPr>
              <w:t>Ever smoked daily for a period of time</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 </w:t>
            </w:r>
          </w:p>
        </w:tc>
        <w:tc>
          <w:tcPr>
            <w:tcW w:w="1110" w:type="dxa"/>
            <w:vAlign w:val="center"/>
          </w:tcPr>
          <w:p w:rsidR="002866E8" w:rsidRPr="002A3E37" w:rsidRDefault="002866E8" w:rsidP="002866E8">
            <w:pPr>
              <w:adjustRightInd w:val="0"/>
              <w:spacing w:before="20"/>
              <w:jc w:val="right"/>
              <w:rPr>
                <w:color w:val="000000"/>
                <w:sz w:val="16"/>
                <w:szCs w:val="16"/>
              </w:rPr>
            </w:pPr>
          </w:p>
        </w:tc>
        <w:tc>
          <w:tcPr>
            <w:tcW w:w="692" w:type="dxa"/>
            <w:vAlign w:val="center"/>
          </w:tcPr>
          <w:p w:rsidR="002866E8" w:rsidRPr="002A3E37" w:rsidRDefault="002866E8" w:rsidP="002866E8">
            <w:pPr>
              <w:adjustRightInd w:val="0"/>
              <w:spacing w:before="20"/>
              <w:jc w:val="right"/>
              <w:rPr>
                <w:color w:val="000000"/>
                <w:sz w:val="16"/>
                <w:szCs w:val="16"/>
              </w:rPr>
            </w:pPr>
          </w:p>
        </w:tc>
        <w:tc>
          <w:tcPr>
            <w:tcW w:w="381" w:type="dxa"/>
            <w:vAlign w:val="center"/>
          </w:tcPr>
          <w:p w:rsidR="002866E8" w:rsidRPr="002A3E37" w:rsidRDefault="002866E8" w:rsidP="002866E8">
            <w:pPr>
              <w:adjustRightInd w:val="0"/>
              <w:spacing w:before="20"/>
              <w:jc w:val="right"/>
              <w:rPr>
                <w:color w:val="000000"/>
                <w:sz w:val="16"/>
                <w:szCs w:val="16"/>
              </w:rPr>
            </w:pP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Yes</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46.4</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2.49</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1.56</w:t>
            </w:r>
            <w:r>
              <w:rPr>
                <w:color w:val="000000"/>
                <w:sz w:val="16"/>
                <w:szCs w:val="16"/>
              </w:rPr>
              <w:t xml:space="preserve"> - </w:t>
            </w:r>
            <w:r w:rsidRPr="002A3E37">
              <w:rPr>
                <w:color w:val="000000"/>
                <w:sz w:val="16"/>
                <w:szCs w:val="16"/>
              </w:rPr>
              <w:t>3.97</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No</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25.8</w:t>
            </w:r>
          </w:p>
        </w:tc>
        <w:tc>
          <w:tcPr>
            <w:tcW w:w="1110" w:type="dxa"/>
            <w:vAlign w:val="center"/>
          </w:tcPr>
          <w:p w:rsidR="002866E8" w:rsidRPr="002A3E37" w:rsidRDefault="002866E8" w:rsidP="002866E8">
            <w:pPr>
              <w:adjustRightInd w:val="0"/>
              <w:spacing w:before="20"/>
              <w:jc w:val="right"/>
              <w:rPr>
                <w:color w:val="000000"/>
                <w:sz w:val="16"/>
                <w:szCs w:val="16"/>
              </w:rPr>
            </w:pPr>
            <w:r>
              <w:rPr>
                <w:color w:val="000000"/>
                <w:sz w:val="16"/>
                <w:szCs w:val="16"/>
              </w:rPr>
              <w:t>1.00</w:t>
            </w:r>
          </w:p>
        </w:tc>
        <w:tc>
          <w:tcPr>
            <w:tcW w:w="1073" w:type="dxa"/>
            <w:gridSpan w:val="2"/>
            <w:vAlign w:val="center"/>
          </w:tcPr>
          <w:p w:rsidR="002866E8" w:rsidRPr="002A3E37" w:rsidRDefault="002866E8" w:rsidP="002866E8">
            <w:pPr>
              <w:adjustRightInd w:val="0"/>
              <w:spacing w:before="20"/>
              <w:jc w:val="right"/>
              <w:rPr>
                <w:color w:val="000000"/>
                <w:sz w:val="16"/>
                <w:szCs w:val="16"/>
              </w:rPr>
            </w:pPr>
          </w:p>
        </w:tc>
        <w:tc>
          <w:tcPr>
            <w:tcW w:w="747" w:type="dxa"/>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0.0001</w:t>
            </w:r>
          </w:p>
        </w:tc>
      </w:tr>
      <w:tr w:rsidR="002866E8" w:rsidRPr="009B1415" w:rsidTr="009F73AF">
        <w:tc>
          <w:tcPr>
            <w:tcW w:w="4271" w:type="dxa"/>
            <w:vAlign w:val="bottom"/>
          </w:tcPr>
          <w:p w:rsidR="002866E8" w:rsidRPr="009B1415" w:rsidRDefault="002866E8" w:rsidP="002866E8">
            <w:pPr>
              <w:spacing w:before="20"/>
              <w:jc w:val="both"/>
              <w:rPr>
                <w:b/>
                <w:sz w:val="16"/>
                <w:szCs w:val="16"/>
              </w:rPr>
            </w:pPr>
            <w:r w:rsidRPr="009B1415">
              <w:rPr>
                <w:b/>
                <w:bCs/>
                <w:color w:val="000000"/>
                <w:sz w:val="16"/>
                <w:szCs w:val="16"/>
              </w:rPr>
              <w:t>Current tobacco use</w:t>
            </w:r>
          </w:p>
        </w:tc>
        <w:tc>
          <w:tcPr>
            <w:tcW w:w="1105" w:type="dxa"/>
            <w:vAlign w:val="center"/>
          </w:tcPr>
          <w:p w:rsidR="002866E8" w:rsidRPr="00507A06" w:rsidRDefault="002866E8" w:rsidP="002866E8">
            <w:pPr>
              <w:adjustRightInd w:val="0"/>
              <w:spacing w:before="20"/>
              <w:jc w:val="right"/>
              <w:rPr>
                <w:color w:val="000000"/>
                <w:sz w:val="16"/>
                <w:szCs w:val="16"/>
              </w:rPr>
            </w:pPr>
          </w:p>
        </w:tc>
        <w:tc>
          <w:tcPr>
            <w:tcW w:w="1110" w:type="dxa"/>
            <w:vAlign w:val="center"/>
          </w:tcPr>
          <w:p w:rsidR="002866E8" w:rsidRPr="00507A06" w:rsidRDefault="002866E8" w:rsidP="002866E8">
            <w:pPr>
              <w:adjustRightInd w:val="0"/>
              <w:spacing w:before="20"/>
              <w:jc w:val="right"/>
              <w:rPr>
                <w:color w:val="000000"/>
                <w:sz w:val="16"/>
                <w:szCs w:val="16"/>
              </w:rPr>
            </w:pPr>
          </w:p>
        </w:tc>
        <w:tc>
          <w:tcPr>
            <w:tcW w:w="692" w:type="dxa"/>
            <w:vAlign w:val="center"/>
          </w:tcPr>
          <w:p w:rsidR="002866E8" w:rsidRPr="00507A06" w:rsidRDefault="002866E8" w:rsidP="002866E8">
            <w:pPr>
              <w:adjustRightInd w:val="0"/>
              <w:spacing w:before="20"/>
              <w:jc w:val="right"/>
              <w:rPr>
                <w:color w:val="000000"/>
                <w:sz w:val="16"/>
                <w:szCs w:val="16"/>
              </w:rPr>
            </w:pPr>
          </w:p>
        </w:tc>
        <w:tc>
          <w:tcPr>
            <w:tcW w:w="381" w:type="dxa"/>
            <w:vAlign w:val="center"/>
          </w:tcPr>
          <w:p w:rsidR="002866E8" w:rsidRPr="00507A06" w:rsidRDefault="002866E8" w:rsidP="002866E8">
            <w:pPr>
              <w:adjustRightInd w:val="0"/>
              <w:spacing w:before="20"/>
              <w:jc w:val="right"/>
              <w:rPr>
                <w:color w:val="000000"/>
                <w:sz w:val="16"/>
                <w:szCs w:val="16"/>
              </w:rPr>
            </w:pPr>
          </w:p>
        </w:tc>
        <w:tc>
          <w:tcPr>
            <w:tcW w:w="747" w:type="dxa"/>
            <w:vAlign w:val="center"/>
          </w:tcPr>
          <w:p w:rsidR="002866E8" w:rsidRPr="00507A06"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sidRPr="009B1415">
              <w:rPr>
                <w:sz w:val="16"/>
                <w:szCs w:val="16"/>
              </w:rPr>
              <w:t>Does not smoke now</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43.1</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2.21</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1.26</w:t>
            </w:r>
            <w:r>
              <w:rPr>
                <w:color w:val="000000"/>
                <w:sz w:val="16"/>
                <w:szCs w:val="16"/>
              </w:rPr>
              <w:t xml:space="preserve"> - </w:t>
            </w:r>
            <w:r w:rsidRPr="002A3E37">
              <w:rPr>
                <w:color w:val="000000"/>
                <w:sz w:val="16"/>
                <w:szCs w:val="16"/>
              </w:rPr>
              <w:t>3.87</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Pr="009B1415" w:rsidRDefault="002866E8" w:rsidP="002866E8">
            <w:pPr>
              <w:spacing w:before="20"/>
              <w:ind w:left="176"/>
              <w:jc w:val="both"/>
              <w:rPr>
                <w:sz w:val="16"/>
                <w:szCs w:val="16"/>
              </w:rPr>
            </w:pPr>
            <w:r>
              <w:rPr>
                <w:sz w:val="16"/>
                <w:szCs w:val="16"/>
              </w:rPr>
              <w:t>Smokes at least once a day</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53.8</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3.40</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1.77</w:t>
            </w:r>
            <w:r>
              <w:rPr>
                <w:color w:val="000000"/>
                <w:sz w:val="16"/>
                <w:szCs w:val="16"/>
              </w:rPr>
              <w:t xml:space="preserve"> - </w:t>
            </w:r>
            <w:r w:rsidRPr="002A3E37">
              <w:rPr>
                <w:color w:val="000000"/>
                <w:sz w:val="16"/>
                <w:szCs w:val="16"/>
              </w:rPr>
              <w:t>6.52</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Pr>
          <w:p w:rsidR="002866E8" w:rsidRDefault="002866E8" w:rsidP="002866E8">
            <w:pPr>
              <w:spacing w:before="20"/>
              <w:ind w:left="176"/>
              <w:jc w:val="both"/>
              <w:rPr>
                <w:sz w:val="16"/>
                <w:szCs w:val="16"/>
              </w:rPr>
            </w:pPr>
            <w:r>
              <w:rPr>
                <w:sz w:val="16"/>
                <w:szCs w:val="16"/>
              </w:rPr>
              <w:t>Smokes at least once a week</w:t>
            </w:r>
          </w:p>
        </w:tc>
        <w:tc>
          <w:tcPr>
            <w:tcW w:w="1105"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3.7</w:t>
            </w:r>
          </w:p>
        </w:tc>
        <w:tc>
          <w:tcPr>
            <w:tcW w:w="1110" w:type="dxa"/>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0.11</w:t>
            </w:r>
          </w:p>
        </w:tc>
        <w:tc>
          <w:tcPr>
            <w:tcW w:w="1073" w:type="dxa"/>
            <w:gridSpan w:val="2"/>
            <w:vAlign w:val="center"/>
          </w:tcPr>
          <w:p w:rsidR="002866E8" w:rsidRPr="002A3E37" w:rsidRDefault="002866E8" w:rsidP="002866E8">
            <w:pPr>
              <w:adjustRightInd w:val="0"/>
              <w:spacing w:before="20"/>
              <w:jc w:val="right"/>
              <w:rPr>
                <w:color w:val="000000"/>
                <w:sz w:val="16"/>
                <w:szCs w:val="16"/>
              </w:rPr>
            </w:pPr>
            <w:r>
              <w:rPr>
                <w:color w:val="000000"/>
                <w:sz w:val="16"/>
                <w:szCs w:val="16"/>
              </w:rPr>
              <w:t>(</w:t>
            </w:r>
            <w:r w:rsidRPr="002A3E37">
              <w:rPr>
                <w:color w:val="000000"/>
                <w:sz w:val="16"/>
                <w:szCs w:val="16"/>
              </w:rPr>
              <w:t>0.01</w:t>
            </w:r>
            <w:r>
              <w:rPr>
                <w:color w:val="000000"/>
                <w:sz w:val="16"/>
                <w:szCs w:val="16"/>
              </w:rPr>
              <w:t xml:space="preserve"> - </w:t>
            </w:r>
            <w:r w:rsidRPr="002A3E37">
              <w:rPr>
                <w:color w:val="000000"/>
                <w:sz w:val="16"/>
                <w:szCs w:val="16"/>
              </w:rPr>
              <w:t>1.06</w:t>
            </w:r>
            <w:r>
              <w:rPr>
                <w:color w:val="000000"/>
                <w:sz w:val="16"/>
                <w:szCs w:val="16"/>
              </w:rPr>
              <w:t>)</w:t>
            </w:r>
          </w:p>
        </w:tc>
        <w:tc>
          <w:tcPr>
            <w:tcW w:w="747" w:type="dxa"/>
            <w:vAlign w:val="center"/>
          </w:tcPr>
          <w:p w:rsidR="002866E8" w:rsidRPr="002A3E37" w:rsidRDefault="002866E8" w:rsidP="002866E8">
            <w:pPr>
              <w:adjustRightInd w:val="0"/>
              <w:spacing w:before="20"/>
              <w:jc w:val="right"/>
              <w:rPr>
                <w:color w:val="000000"/>
                <w:sz w:val="16"/>
                <w:szCs w:val="16"/>
              </w:rPr>
            </w:pPr>
          </w:p>
        </w:tc>
      </w:tr>
      <w:tr w:rsidR="002866E8" w:rsidRPr="009B1415" w:rsidTr="009F73AF">
        <w:tc>
          <w:tcPr>
            <w:tcW w:w="4271" w:type="dxa"/>
            <w:tcBorders>
              <w:bottom w:val="single" w:sz="4" w:space="0" w:color="auto"/>
            </w:tcBorders>
          </w:tcPr>
          <w:p w:rsidR="002866E8" w:rsidRPr="009B1415" w:rsidRDefault="002866E8" w:rsidP="002866E8">
            <w:pPr>
              <w:spacing w:before="20"/>
              <w:ind w:left="176"/>
              <w:jc w:val="both"/>
              <w:rPr>
                <w:sz w:val="16"/>
                <w:szCs w:val="16"/>
              </w:rPr>
            </w:pPr>
            <w:r w:rsidRPr="009B1415">
              <w:rPr>
                <w:sz w:val="16"/>
                <w:szCs w:val="16"/>
              </w:rPr>
              <w:t>Never smoked</w:t>
            </w:r>
          </w:p>
        </w:tc>
        <w:tc>
          <w:tcPr>
            <w:tcW w:w="1105" w:type="dxa"/>
            <w:tcBorders>
              <w:bottom w:val="single" w:sz="4" w:space="0" w:color="auto"/>
            </w:tcBorders>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25.5</w:t>
            </w:r>
          </w:p>
        </w:tc>
        <w:tc>
          <w:tcPr>
            <w:tcW w:w="1110" w:type="dxa"/>
            <w:tcBorders>
              <w:bottom w:val="single" w:sz="4" w:space="0" w:color="auto"/>
            </w:tcBorders>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1.00</w:t>
            </w:r>
          </w:p>
        </w:tc>
        <w:tc>
          <w:tcPr>
            <w:tcW w:w="692" w:type="dxa"/>
            <w:tcBorders>
              <w:bottom w:val="single" w:sz="4" w:space="0" w:color="auto"/>
            </w:tcBorders>
            <w:vAlign w:val="center"/>
          </w:tcPr>
          <w:p w:rsidR="002866E8" w:rsidRPr="002A3E37" w:rsidRDefault="002866E8" w:rsidP="002866E8">
            <w:pPr>
              <w:adjustRightInd w:val="0"/>
              <w:spacing w:before="20"/>
              <w:jc w:val="right"/>
              <w:rPr>
                <w:color w:val="000000"/>
                <w:sz w:val="16"/>
                <w:szCs w:val="16"/>
              </w:rPr>
            </w:pPr>
          </w:p>
        </w:tc>
        <w:tc>
          <w:tcPr>
            <w:tcW w:w="381" w:type="dxa"/>
            <w:tcBorders>
              <w:bottom w:val="single" w:sz="4" w:space="0" w:color="auto"/>
            </w:tcBorders>
            <w:vAlign w:val="center"/>
          </w:tcPr>
          <w:p w:rsidR="002866E8" w:rsidRPr="002A3E37" w:rsidRDefault="002866E8" w:rsidP="002866E8">
            <w:pPr>
              <w:adjustRightInd w:val="0"/>
              <w:spacing w:before="20"/>
              <w:jc w:val="right"/>
              <w:rPr>
                <w:color w:val="000000"/>
                <w:sz w:val="16"/>
                <w:szCs w:val="16"/>
              </w:rPr>
            </w:pPr>
          </w:p>
        </w:tc>
        <w:tc>
          <w:tcPr>
            <w:tcW w:w="747" w:type="dxa"/>
            <w:tcBorders>
              <w:bottom w:val="single" w:sz="4" w:space="0" w:color="auto"/>
            </w:tcBorders>
            <w:shd w:val="clear" w:color="auto" w:fill="D9D9D9" w:themeFill="background1" w:themeFillShade="D9"/>
            <w:vAlign w:val="center"/>
          </w:tcPr>
          <w:p w:rsidR="002866E8" w:rsidRPr="002A3E37" w:rsidRDefault="002866E8" w:rsidP="002866E8">
            <w:pPr>
              <w:adjustRightInd w:val="0"/>
              <w:spacing w:before="20"/>
              <w:jc w:val="right"/>
              <w:rPr>
                <w:color w:val="000000"/>
                <w:sz w:val="16"/>
                <w:szCs w:val="16"/>
              </w:rPr>
            </w:pPr>
            <w:r w:rsidRPr="002A3E37">
              <w:rPr>
                <w:color w:val="000000"/>
                <w:sz w:val="16"/>
                <w:szCs w:val="16"/>
              </w:rPr>
              <w:t>&lt;</w:t>
            </w:r>
            <w:r>
              <w:rPr>
                <w:color w:val="000000"/>
                <w:sz w:val="16"/>
                <w:szCs w:val="16"/>
              </w:rPr>
              <w:t>0</w:t>
            </w:r>
            <w:r w:rsidRPr="002A3E37">
              <w:rPr>
                <w:color w:val="000000"/>
                <w:sz w:val="16"/>
                <w:szCs w:val="16"/>
              </w:rPr>
              <w:t>.0001</w:t>
            </w:r>
          </w:p>
        </w:tc>
      </w:tr>
    </w:tbl>
    <w:p w:rsidR="00A523AC" w:rsidRPr="007D4B0B" w:rsidRDefault="00FD72AF" w:rsidP="00370CEE">
      <w:r w:rsidRPr="002834B6">
        <w:rPr>
          <w:sz w:val="17"/>
          <w:szCs w:val="17"/>
        </w:rPr>
        <w:t>Data weighted for 2013 Census data (both Waves) and attrition (Wave 2)</w:t>
      </w:r>
    </w:p>
    <w:sectPr w:rsidR="00A523AC" w:rsidRPr="007D4B0B" w:rsidSect="00971A85">
      <w:headerReference w:type="default" r:id="rId20"/>
      <w:footerReference w:type="default" r:id="rId21"/>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216" w:rsidRDefault="00F56216">
      <w:r>
        <w:separator/>
      </w:r>
    </w:p>
    <w:p w:rsidR="00F56216" w:rsidRDefault="00F56216"/>
  </w:endnote>
  <w:endnote w:type="continuationSeparator" w:id="0">
    <w:p w:rsidR="00F56216" w:rsidRDefault="00F56216">
      <w:r>
        <w:continuationSeparator/>
      </w:r>
    </w:p>
    <w:p w:rsidR="00F56216" w:rsidRDefault="00F562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umnst777 Blk BT">
    <w:altName w:val="Tahoma"/>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Mäori">
    <w:altName w:val="Arial"/>
    <w:charset w:val="00"/>
    <w:family w:val="swiss"/>
    <w:pitch w:val="variable"/>
    <w:sig w:usb0="20007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16" w:rsidRDefault="00F56216" w:rsidP="002503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6216" w:rsidRDefault="00F56216" w:rsidP="00497C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16" w:rsidRDefault="00F56216" w:rsidP="00971A85">
    <w:pPr>
      <w:pStyle w:val="Footer"/>
      <w:jc w:val="right"/>
    </w:pPr>
  </w:p>
  <w:p w:rsidR="00F56216" w:rsidRDefault="00F56216" w:rsidP="000B272E">
    <w:pPr>
      <w:pStyle w:val="Footer"/>
      <w:jc w:val="right"/>
    </w:pPr>
  </w:p>
  <w:p w:rsidR="00F56216" w:rsidRPr="006D213F" w:rsidRDefault="00F56216" w:rsidP="000B272E">
    <w:pPr>
      <w:pStyle w:val="Footer"/>
      <w:rPr>
        <w:color w:val="333333"/>
        <w:sz w:val="18"/>
        <w:szCs w:val="18"/>
      </w:rPr>
    </w:pPr>
  </w:p>
  <w:p w:rsidR="00F56216" w:rsidRPr="006D213F" w:rsidRDefault="00F56216" w:rsidP="006D213F">
    <w:pPr>
      <w:pStyle w:val="Footer"/>
      <w:rPr>
        <w:color w:val="333333"/>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172844"/>
      <w:docPartObj>
        <w:docPartGallery w:val="Page Numbers (Bottom of Page)"/>
        <w:docPartUnique/>
      </w:docPartObj>
    </w:sdtPr>
    <w:sdtEndPr>
      <w:rPr>
        <w:noProof/>
      </w:rPr>
    </w:sdtEndPr>
    <w:sdtContent>
      <w:p w:rsidR="00F56216" w:rsidRDefault="00F56216" w:rsidP="00971A85">
        <w:pPr>
          <w:pStyle w:val="Footer"/>
          <w:jc w:val="right"/>
        </w:pPr>
        <w:r>
          <w:fldChar w:fldCharType="begin"/>
        </w:r>
        <w:r>
          <w:instrText xml:space="preserve"> PAGE   \* MERGEFORMAT </w:instrText>
        </w:r>
        <w:r>
          <w:fldChar w:fldCharType="separate"/>
        </w:r>
        <w:r w:rsidR="00B2175B">
          <w:rPr>
            <w:noProof/>
          </w:rPr>
          <w:t>59</w:t>
        </w:r>
        <w:r>
          <w:rPr>
            <w:noProof/>
          </w:rPr>
          <w:fldChar w:fldCharType="end"/>
        </w:r>
      </w:p>
    </w:sdtContent>
  </w:sdt>
  <w:p w:rsidR="00F56216" w:rsidRPr="002475E5" w:rsidRDefault="00F56216" w:rsidP="002475E5">
    <w:pPr>
      <w:pStyle w:val="Footer"/>
      <w:rPr>
        <w:color w:val="808080" w:themeColor="background1" w:themeShade="80"/>
        <w:sz w:val="18"/>
        <w:szCs w:val="18"/>
      </w:rPr>
    </w:pPr>
    <w:r w:rsidRPr="002475E5">
      <w:rPr>
        <w:color w:val="808080" w:themeColor="background1" w:themeShade="80"/>
        <w:sz w:val="18"/>
        <w:szCs w:val="18"/>
      </w:rPr>
      <w:t xml:space="preserve">New Zealand National Gambling Study: Wave 2 (2013)  </w:t>
    </w:r>
  </w:p>
  <w:p w:rsidR="00F56216" w:rsidRPr="002475E5" w:rsidRDefault="00F56216" w:rsidP="002475E5">
    <w:pPr>
      <w:pStyle w:val="Footer"/>
      <w:rPr>
        <w:color w:val="808080" w:themeColor="background1" w:themeShade="80"/>
        <w:sz w:val="18"/>
        <w:szCs w:val="18"/>
      </w:rPr>
    </w:pPr>
    <w:r w:rsidRPr="002475E5">
      <w:rPr>
        <w:color w:val="808080" w:themeColor="background1" w:themeShade="80"/>
        <w:sz w:val="18"/>
        <w:szCs w:val="18"/>
      </w:rPr>
      <w:t>Provider No: 467589, Contract Nos.: 335667/00, 01 and 02</w:t>
    </w:r>
  </w:p>
  <w:p w:rsidR="00F56216" w:rsidRPr="002475E5" w:rsidRDefault="00F56216" w:rsidP="00971A85">
    <w:pPr>
      <w:pStyle w:val="Footer"/>
      <w:rPr>
        <w:color w:val="808080" w:themeColor="background1" w:themeShade="80"/>
        <w:sz w:val="18"/>
        <w:szCs w:val="18"/>
      </w:rPr>
    </w:pPr>
    <w:r w:rsidRPr="002475E5">
      <w:rPr>
        <w:color w:val="808080" w:themeColor="background1" w:themeShade="80"/>
        <w:sz w:val="18"/>
        <w:szCs w:val="18"/>
      </w:rPr>
      <w:t>Auckland University of Technology, Gambling and Addictions Research Centre</w:t>
    </w:r>
  </w:p>
  <w:p w:rsidR="00F56216" w:rsidRPr="002475E5" w:rsidRDefault="007603E0" w:rsidP="00971A85">
    <w:pPr>
      <w:pStyle w:val="Footer"/>
      <w:rPr>
        <w:color w:val="808080" w:themeColor="background1" w:themeShade="80"/>
        <w:sz w:val="18"/>
        <w:szCs w:val="18"/>
      </w:rPr>
    </w:pPr>
    <w:r>
      <w:rPr>
        <w:color w:val="808080" w:themeColor="background1" w:themeShade="80"/>
        <w:sz w:val="18"/>
        <w:szCs w:val="18"/>
      </w:rPr>
      <w:t>Final Report Number 4, 23 October</w:t>
    </w:r>
    <w:r w:rsidR="00F56216" w:rsidRPr="002475E5">
      <w:rPr>
        <w:color w:val="808080" w:themeColor="background1" w:themeShade="80"/>
        <w:sz w:val="18"/>
        <w:szCs w:val="18"/>
      </w:rPr>
      <w:t xml:space="preserve"> 2015</w:t>
    </w:r>
  </w:p>
  <w:p w:rsidR="00F56216" w:rsidRDefault="00F56216" w:rsidP="000B272E">
    <w:pPr>
      <w:pStyle w:val="Footer"/>
      <w:jc w:val="right"/>
    </w:pPr>
  </w:p>
  <w:p w:rsidR="00F56216" w:rsidRPr="006D213F" w:rsidRDefault="00F56216" w:rsidP="000B272E">
    <w:pPr>
      <w:pStyle w:val="Footer"/>
      <w:rPr>
        <w:color w:val="333333"/>
        <w:sz w:val="18"/>
        <w:szCs w:val="18"/>
      </w:rPr>
    </w:pPr>
  </w:p>
  <w:p w:rsidR="00F56216" w:rsidRPr="006D213F" w:rsidRDefault="00F56216" w:rsidP="006D213F">
    <w:pPr>
      <w:pStyle w:val="Footer"/>
      <w:rPr>
        <w:color w:val="333333"/>
        <w:sz w:val="18"/>
        <w:szCs w:val="18"/>
      </w:rPr>
    </w:pPr>
  </w:p>
  <w:p w:rsidR="00F56216" w:rsidRDefault="00F562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216" w:rsidRDefault="00F56216">
      <w:r>
        <w:separator/>
      </w:r>
    </w:p>
    <w:p w:rsidR="00F56216" w:rsidRDefault="00F56216"/>
  </w:footnote>
  <w:footnote w:type="continuationSeparator" w:id="0">
    <w:p w:rsidR="00F56216" w:rsidRDefault="00F56216">
      <w:r>
        <w:continuationSeparator/>
      </w:r>
    </w:p>
    <w:p w:rsidR="00F56216" w:rsidRDefault="00F56216"/>
  </w:footnote>
  <w:footnote w:id="1">
    <w:p w:rsidR="00F56216" w:rsidRPr="00D75DB8" w:rsidRDefault="00F56216" w:rsidP="00D75DB8">
      <w:pPr>
        <w:pStyle w:val="FootnoteText"/>
        <w:jc w:val="both"/>
        <w:rPr>
          <w:lang w:val="en-NZ"/>
        </w:rPr>
      </w:pPr>
      <w:r>
        <w:rPr>
          <w:rStyle w:val="FootnoteReference"/>
        </w:rPr>
        <w:footnoteRef/>
      </w:r>
      <w:r>
        <w:t xml:space="preserve"> </w:t>
      </w:r>
      <w:r w:rsidRPr="00D75DB8">
        <w:t>In SWELOGS this category usually incudes problem gamblers and moderate-risk gamblers combined</w:t>
      </w:r>
      <w:r>
        <w:t>.</w:t>
      </w:r>
    </w:p>
  </w:footnote>
  <w:footnote w:id="2">
    <w:p w:rsidR="00F56216" w:rsidRPr="00C878F3" w:rsidRDefault="00F56216" w:rsidP="00C878F3">
      <w:pPr>
        <w:pStyle w:val="FootnoteText"/>
        <w:jc w:val="both"/>
        <w:rPr>
          <w:lang w:val="en-NZ"/>
        </w:rPr>
      </w:pPr>
      <w:r>
        <w:rPr>
          <w:rStyle w:val="FootnoteReference"/>
        </w:rPr>
        <w:footnoteRef/>
      </w:r>
      <w:r>
        <w:t xml:space="preserve"> </w:t>
      </w:r>
      <w:r>
        <w:rPr>
          <w:lang w:val="en-NZ"/>
        </w:rPr>
        <w:t>Available from the Gambling and Addictions Research Centre, Auckland University of Technology website: www.aut-grc.ac.nz</w:t>
      </w:r>
    </w:p>
  </w:footnote>
  <w:footnote w:id="3">
    <w:p w:rsidR="00F56216" w:rsidRPr="0032464B" w:rsidRDefault="00F56216" w:rsidP="0032464B">
      <w:pPr>
        <w:pStyle w:val="FootnoteText"/>
        <w:jc w:val="both"/>
        <w:rPr>
          <w:lang w:val="en-NZ"/>
        </w:rPr>
      </w:pPr>
      <w:r>
        <w:rPr>
          <w:rStyle w:val="FootnoteReference"/>
        </w:rPr>
        <w:footnoteRef/>
      </w:r>
      <w:r>
        <w:t xml:space="preserve"> </w:t>
      </w:r>
      <w:r w:rsidRPr="0032464B">
        <w:t>The design effect is the ratio of the variance of the estimator under the complex sample design to the sa</w:t>
      </w:r>
      <w:r>
        <w:t>me estimator under a simple rand</w:t>
      </w:r>
      <w:r w:rsidRPr="0032464B">
        <w:t xml:space="preserve">om sample design of the same size. </w:t>
      </w:r>
      <w:r>
        <w:t xml:space="preserve"> </w:t>
      </w:r>
      <w:r w:rsidRPr="0032464B">
        <w:t>It is an inflation/deflation factor for the variance due to using a design different from a simple random sample</w:t>
      </w:r>
      <w:r>
        <w:t>.</w:t>
      </w:r>
    </w:p>
  </w:footnote>
  <w:footnote w:id="4">
    <w:p w:rsidR="00F56216" w:rsidRPr="00633485" w:rsidRDefault="00F56216" w:rsidP="00633485">
      <w:pPr>
        <w:pStyle w:val="FootnoteText"/>
        <w:jc w:val="both"/>
        <w:rPr>
          <w:lang w:val="en-NZ"/>
        </w:rPr>
      </w:pPr>
      <w:r>
        <w:rPr>
          <w:rStyle w:val="FootnoteReference"/>
        </w:rPr>
        <w:footnoteRef/>
      </w:r>
      <w:r>
        <w:t xml:space="preserve"> </w:t>
      </w:r>
      <w:r>
        <w:rPr>
          <w:lang w:val="en-NZ"/>
        </w:rPr>
        <w:t>The confidence intervals overlap 1.00.  This is likely due to small sample size and where this occurs, the results should be treated as indicative only.</w:t>
      </w:r>
    </w:p>
  </w:footnote>
  <w:footnote w:id="5">
    <w:p w:rsidR="00F56216" w:rsidRPr="00B03978" w:rsidRDefault="00F56216" w:rsidP="00B03978">
      <w:pPr>
        <w:pStyle w:val="FootnoteText"/>
        <w:jc w:val="both"/>
        <w:rPr>
          <w:lang w:val="en-NZ"/>
        </w:rPr>
      </w:pPr>
      <w:r>
        <w:rPr>
          <w:rStyle w:val="FootnoteReference"/>
        </w:rPr>
        <w:footnoteRef/>
      </w:r>
      <w:r>
        <w:t xml:space="preserve"> </w:t>
      </w:r>
      <w:r w:rsidRPr="00B03978">
        <w:t xml:space="preserve">Although a level of statistical significance was </w:t>
      </w:r>
      <w:r>
        <w:t xml:space="preserve">also </w:t>
      </w:r>
      <w:r w:rsidRPr="00B03978">
        <w:t>attained for educational status, the odds ratios are close to 1.00 and the confidence intervals overlap 1.00.  This finding is considered likely to be an artefact of small sample sizes and of little relevance.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16" w:rsidRPr="00546382" w:rsidRDefault="00F56216" w:rsidP="00546382">
    <w:pPr>
      <w:pStyle w:val="Header"/>
      <w:jc w:val="center"/>
      <w:rPr>
        <w:szCs w:val="20"/>
      </w:rPr>
    </w:pPr>
    <w:r>
      <w:rPr>
        <w:noProof/>
        <w:lang w:eastAsia="en-NZ"/>
      </w:rPr>
      <w:drawing>
        <wp:inline distT="0" distB="0" distL="0" distR="0" wp14:anchorId="381E6EB2" wp14:editId="028981FA">
          <wp:extent cx="5271770" cy="397510"/>
          <wp:effectExtent l="19050" t="0" r="5080" b="0"/>
          <wp:docPr id="2" name="Picture 2" descr="GARC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 logo 2012"/>
                  <pic:cNvPicPr>
                    <a:picLocks noChangeAspect="1" noChangeArrowheads="1"/>
                  </pic:cNvPicPr>
                </pic:nvPicPr>
                <pic:blipFill>
                  <a:blip r:embed="rId1"/>
                  <a:srcRect/>
                  <a:stretch>
                    <a:fillRect/>
                  </a:stretch>
                </pic:blipFill>
                <pic:spPr bwMode="auto">
                  <a:xfrm>
                    <a:off x="0" y="0"/>
                    <a:ext cx="5271770" cy="39751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216" w:rsidRDefault="00F56216" w:rsidP="00497C90">
    <w:pPr>
      <w:pStyle w:val="Header"/>
      <w:jc w:val="right"/>
    </w:pPr>
  </w:p>
  <w:p w:rsidR="00F56216" w:rsidRDefault="00F562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A7649"/>
    <w:multiLevelType w:val="hybridMultilevel"/>
    <w:tmpl w:val="C19E5924"/>
    <w:lvl w:ilvl="0" w:tplc="18888DD0">
      <w:start w:val="1"/>
      <w:numFmt w:val="lowerRoman"/>
      <w:pStyle w:val="Indentlast"/>
      <w:lvlText w:val="%1."/>
      <w:lvlJc w:val="left"/>
      <w:pPr>
        <w:ind w:left="567" w:hanging="567"/>
      </w:pPr>
    </w:lvl>
    <w:lvl w:ilvl="1" w:tplc="8E749F8A">
      <w:start w:val="1"/>
      <w:numFmt w:val="decimal"/>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0A3B3E"/>
    <w:multiLevelType w:val="hybridMultilevel"/>
    <w:tmpl w:val="8518526C"/>
    <w:lvl w:ilvl="0" w:tplc="FDC06D20">
      <w:start w:val="1"/>
      <w:numFmt w:val="bullet"/>
      <w:lvlText w:val=""/>
      <w:lvlJc w:val="left"/>
      <w:pPr>
        <w:tabs>
          <w:tab w:val="num" w:pos="360"/>
        </w:tabs>
        <w:ind w:left="360" w:hanging="360"/>
      </w:pPr>
      <w:rPr>
        <w:rFonts w:ascii="Symbol" w:hAnsi="Symbol" w:hint="default"/>
        <w:color w:val="auto"/>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pStyle w:val="Heading3b43"/>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6E3263"/>
    <w:multiLevelType w:val="hybridMultilevel"/>
    <w:tmpl w:val="38C422EA"/>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CE48580A">
      <w:start w:val="1"/>
      <w:numFmt w:val="lowerLetter"/>
      <w:lvlText w:val="%4."/>
      <w:lvlJc w:val="left"/>
      <w:pPr>
        <w:ind w:left="3240" w:hanging="720"/>
      </w:pPr>
      <w:rPr>
        <w:rFonts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571360"/>
    <w:multiLevelType w:val="multilevel"/>
    <w:tmpl w:val="463E1084"/>
    <w:lvl w:ilvl="0">
      <w:start w:val="1"/>
      <w:numFmt w:val="decimal"/>
      <w:pStyle w:val="StyleBodyTextFirstline0cm"/>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90C4CED"/>
    <w:multiLevelType w:val="multilevel"/>
    <w:tmpl w:val="6EFE9BE6"/>
    <w:lvl w:ilvl="0">
      <w:start w:val="1"/>
      <w:numFmt w:val="decimal"/>
      <w:lvlText w:val="%1"/>
      <w:lvlJc w:val="left"/>
      <w:pPr>
        <w:tabs>
          <w:tab w:val="num" w:pos="1800"/>
        </w:tabs>
        <w:ind w:left="1800" w:hanging="720"/>
      </w:pPr>
      <w:rPr>
        <w:rFonts w:hint="default"/>
      </w:rPr>
    </w:lvl>
    <w:lvl w:ilvl="1">
      <w:start w:val="1"/>
      <w:numFmt w:val="decimal"/>
      <w:pStyle w:val="StyleHeading2Left127cm"/>
      <w:lvlText w:val="%1.%2"/>
      <w:lvlJc w:val="left"/>
      <w:pPr>
        <w:tabs>
          <w:tab w:val="num" w:pos="2520"/>
        </w:tabs>
        <w:ind w:left="2520" w:hanging="72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5" w15:restartNumberingAfterBreak="0">
    <w:nsid w:val="09412D75"/>
    <w:multiLevelType w:val="hybridMultilevel"/>
    <w:tmpl w:val="3962EE8A"/>
    <w:lvl w:ilvl="0" w:tplc="93547F16">
      <w:start w:val="1"/>
      <w:numFmt w:val="decimal"/>
      <w:pStyle w:val="Style2"/>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96802E6"/>
    <w:multiLevelType w:val="multilevel"/>
    <w:tmpl w:val="DDC0ADB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3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09E71B6F"/>
    <w:multiLevelType w:val="hybridMultilevel"/>
    <w:tmpl w:val="EA5A012A"/>
    <w:lvl w:ilvl="0" w:tplc="14090001">
      <w:start w:val="1"/>
      <w:numFmt w:val="bullet"/>
      <w:lvlText w:val=""/>
      <w:lvlJc w:val="left"/>
      <w:pPr>
        <w:ind w:left="720" w:hanging="360"/>
      </w:pPr>
      <w:rPr>
        <w:rFonts w:ascii="Symbol" w:hAnsi="Symbol" w:hint="default"/>
      </w:rPr>
    </w:lvl>
    <w:lvl w:ilvl="1" w:tplc="E9A6386C">
      <w:start w:val="5"/>
      <w:numFmt w:val="bullet"/>
      <w:lvlText w:val="•"/>
      <w:lvlJc w:val="left"/>
      <w:pPr>
        <w:ind w:left="1800" w:hanging="720"/>
      </w:pPr>
      <w:rPr>
        <w:rFonts w:ascii="Times New Roman" w:eastAsia="Times New Roman"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C001EDB"/>
    <w:multiLevelType w:val="hybridMultilevel"/>
    <w:tmpl w:val="D8640F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E550848"/>
    <w:multiLevelType w:val="multilevel"/>
    <w:tmpl w:val="E146D058"/>
    <w:styleLink w:val="Heading33"/>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14675D81"/>
    <w:multiLevelType w:val="multilevel"/>
    <w:tmpl w:val="ADFAF3CE"/>
    <w:lvl w:ilvl="0">
      <w:start w:val="4"/>
      <w:numFmt w:val="decimal"/>
      <w:lvlText w:val="%1"/>
      <w:lvlJc w:val="left"/>
      <w:pPr>
        <w:tabs>
          <w:tab w:val="num" w:pos="357"/>
        </w:tabs>
        <w:ind w:left="357" w:hanging="357"/>
      </w:pPr>
      <w:rPr>
        <w:rFonts w:hint="default"/>
      </w:rPr>
    </w:lvl>
    <w:lvl w:ilvl="1">
      <w:start w:val="1"/>
      <w:numFmt w:val="decimal"/>
      <w:lvlRestart w:val="0"/>
      <w:pStyle w:val="MEB4"/>
      <w:lvlText w:val="%1.%2"/>
      <w:lvlJc w:val="left"/>
      <w:pPr>
        <w:tabs>
          <w:tab w:val="num" w:pos="2517"/>
        </w:tabs>
        <w:ind w:left="2517" w:hanging="720"/>
      </w:pPr>
      <w:rPr>
        <w:rFonts w:hint="default"/>
      </w:rPr>
    </w:lvl>
    <w:lvl w:ilvl="2">
      <w:start w:val="1"/>
      <w:numFmt w:val="decimal"/>
      <w:lvlText w:val="%1.%2.%3"/>
      <w:lvlJc w:val="left"/>
      <w:pPr>
        <w:tabs>
          <w:tab w:val="num" w:pos="354"/>
        </w:tabs>
        <w:ind w:left="354" w:hanging="357"/>
      </w:pPr>
      <w:rPr>
        <w:rFonts w:hint="default"/>
      </w:rPr>
    </w:lvl>
    <w:lvl w:ilvl="3">
      <w:start w:val="1"/>
      <w:numFmt w:val="decimal"/>
      <w:lvlText w:val="%1.%2.%3a"/>
      <w:lvlJc w:val="left"/>
      <w:pPr>
        <w:tabs>
          <w:tab w:val="num" w:pos="3957"/>
        </w:tabs>
        <w:ind w:left="3957" w:hanging="720"/>
      </w:pPr>
      <w:rPr>
        <w:rFonts w:hint="default"/>
      </w:rPr>
    </w:lvl>
    <w:lvl w:ilvl="4">
      <w:start w:val="1"/>
      <w:numFmt w:val="decimal"/>
      <w:lvlText w:val="%1.%2.%3.%4.%5"/>
      <w:lvlJc w:val="left"/>
      <w:pPr>
        <w:tabs>
          <w:tab w:val="num" w:pos="5037"/>
        </w:tabs>
        <w:ind w:left="5037" w:hanging="1080"/>
      </w:pPr>
      <w:rPr>
        <w:rFonts w:hint="default"/>
      </w:rPr>
    </w:lvl>
    <w:lvl w:ilvl="5">
      <w:start w:val="1"/>
      <w:numFmt w:val="decimal"/>
      <w:lvlText w:val="%1.%2.%3.%4.%5.%6"/>
      <w:lvlJc w:val="left"/>
      <w:pPr>
        <w:tabs>
          <w:tab w:val="num" w:pos="5757"/>
        </w:tabs>
        <w:ind w:left="5757" w:hanging="1080"/>
      </w:pPr>
      <w:rPr>
        <w:rFonts w:hint="default"/>
      </w:rPr>
    </w:lvl>
    <w:lvl w:ilvl="6">
      <w:start w:val="1"/>
      <w:numFmt w:val="decimal"/>
      <w:lvlText w:val="%1.%2.%3.%4.%5.%6.%7"/>
      <w:lvlJc w:val="left"/>
      <w:pPr>
        <w:tabs>
          <w:tab w:val="num" w:pos="6837"/>
        </w:tabs>
        <w:ind w:left="6837" w:hanging="1440"/>
      </w:pPr>
      <w:rPr>
        <w:rFonts w:hint="default"/>
      </w:rPr>
    </w:lvl>
    <w:lvl w:ilvl="7">
      <w:start w:val="1"/>
      <w:numFmt w:val="decimal"/>
      <w:lvlText w:val="%1.%2.%3.%4.%5.%6.%7.%8"/>
      <w:lvlJc w:val="left"/>
      <w:pPr>
        <w:tabs>
          <w:tab w:val="num" w:pos="7557"/>
        </w:tabs>
        <w:ind w:left="7557" w:hanging="1440"/>
      </w:pPr>
      <w:rPr>
        <w:rFonts w:hint="default"/>
      </w:rPr>
    </w:lvl>
    <w:lvl w:ilvl="8">
      <w:start w:val="1"/>
      <w:numFmt w:val="decimal"/>
      <w:lvlText w:val="%1.%2.%3.%4.%5.%6.%7.%8.%9"/>
      <w:lvlJc w:val="left"/>
      <w:pPr>
        <w:tabs>
          <w:tab w:val="num" w:pos="8637"/>
        </w:tabs>
        <w:ind w:left="8637" w:hanging="1800"/>
      </w:pPr>
      <w:rPr>
        <w:rFonts w:hint="default"/>
      </w:rPr>
    </w:lvl>
  </w:abstractNum>
  <w:abstractNum w:abstractNumId="11" w15:restartNumberingAfterBreak="0">
    <w:nsid w:val="17CB09AA"/>
    <w:multiLevelType w:val="multilevel"/>
    <w:tmpl w:val="3EB6406E"/>
    <w:lvl w:ilvl="0">
      <w:start w:val="4"/>
      <w:numFmt w:val="decimal"/>
      <w:lvlText w:val="%1"/>
      <w:lvlJc w:val="left"/>
      <w:pPr>
        <w:tabs>
          <w:tab w:val="num" w:pos="1080"/>
        </w:tabs>
        <w:ind w:left="1080" w:hanging="720"/>
      </w:pPr>
      <w:rPr>
        <w:rFonts w:hint="default"/>
      </w:rPr>
    </w:lvl>
    <w:lvl w:ilvl="1">
      <w:start w:val="1"/>
      <w:numFmt w:val="decimal"/>
      <w:pStyle w:val="Heading2b"/>
      <w:lvlText w:val="%1.%2"/>
      <w:lvlJc w:val="left"/>
      <w:pPr>
        <w:tabs>
          <w:tab w:val="num" w:pos="862"/>
        </w:tabs>
        <w:ind w:left="862" w:hanging="720"/>
      </w:pPr>
      <w:rPr>
        <w:rFonts w:hint="default"/>
        <w:sz w:val="22"/>
        <w:szCs w:val="22"/>
      </w:rPr>
    </w:lvl>
    <w:lvl w:ilvl="2">
      <w:start w:val="1"/>
      <w:numFmt w:val="decimal"/>
      <w:lvlText w:val="5.%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18E1211A"/>
    <w:multiLevelType w:val="hybridMultilevel"/>
    <w:tmpl w:val="9A9010F4"/>
    <w:lvl w:ilvl="0" w:tplc="65FABC70">
      <w:start w:val="1"/>
      <w:numFmt w:val="lowerLetter"/>
      <w:lvlText w:val="%1."/>
      <w:lvlJc w:val="left"/>
      <w:pPr>
        <w:ind w:left="567" w:hanging="567"/>
      </w:pPr>
    </w:lvl>
    <w:lvl w:ilvl="1" w:tplc="8E749F8A">
      <w:start w:val="1"/>
      <w:numFmt w:val="decimal"/>
      <w:lvlText w:val="%2."/>
      <w:lvlJc w:val="left"/>
      <w:pPr>
        <w:ind w:left="1800" w:hanging="720"/>
      </w:pPr>
    </w:lvl>
    <w:lvl w:ilvl="2" w:tplc="E7E4C192">
      <w:start w:val="2"/>
      <w:numFmt w:val="lowerLetter"/>
      <w:pStyle w:val="Heading4"/>
      <w:lvlText w:val="%3."/>
      <w:lvlJc w:val="left"/>
      <w:pPr>
        <w:ind w:left="567" w:hanging="567"/>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C679DA"/>
    <w:multiLevelType w:val="hybridMultilevel"/>
    <w:tmpl w:val="C9E6FBC6"/>
    <w:lvl w:ilvl="0" w:tplc="14090001">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4" w15:restartNumberingAfterBreak="0">
    <w:nsid w:val="21311B41"/>
    <w:multiLevelType w:val="hybridMultilevel"/>
    <w:tmpl w:val="760AF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886A4E"/>
    <w:multiLevelType w:val="multilevel"/>
    <w:tmpl w:val="61DEE70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pStyle w:val="Heading3b"/>
      <w:lvlText w:val="%1.%2.%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F800693"/>
    <w:multiLevelType w:val="hybridMultilevel"/>
    <w:tmpl w:val="30BCE8DE"/>
    <w:lvl w:ilvl="0" w:tplc="FDC06D20">
      <w:start w:val="1"/>
      <w:numFmt w:val="bullet"/>
      <w:lvlText w:val=""/>
      <w:lvlJc w:val="left"/>
      <w:pPr>
        <w:tabs>
          <w:tab w:val="num" w:pos="720"/>
        </w:tabs>
        <w:ind w:left="720" w:hanging="360"/>
      </w:pPr>
      <w:rPr>
        <w:rFonts w:ascii="Symbol" w:hAnsi="Symbol" w:hint="default"/>
        <w:color w:val="auto"/>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pStyle w:val="Heading3b44"/>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65547C"/>
    <w:multiLevelType w:val="hybridMultilevel"/>
    <w:tmpl w:val="DCE4D0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9F188C"/>
    <w:multiLevelType w:val="multilevel"/>
    <w:tmpl w:val="1D1C3B34"/>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4.%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3F1C5D36"/>
    <w:multiLevelType w:val="multilevel"/>
    <w:tmpl w:val="3DC8AEF0"/>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3a"/>
      <w:lvlText w:val="%2.%1.%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3F531CB5"/>
    <w:multiLevelType w:val="multilevel"/>
    <w:tmpl w:val="F7CE5188"/>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Restart w:val="0"/>
      <w:pStyle w:val="MEB35"/>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419816B4"/>
    <w:multiLevelType w:val="hybridMultilevel"/>
    <w:tmpl w:val="36163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B67975"/>
    <w:multiLevelType w:val="hybridMultilevel"/>
    <w:tmpl w:val="5B5A19EA"/>
    <w:lvl w:ilvl="0" w:tplc="14090001">
      <w:start w:val="1"/>
      <w:numFmt w:val="bullet"/>
      <w:lvlText w:val=""/>
      <w:lvlJc w:val="left"/>
      <w:pPr>
        <w:ind w:left="1080" w:hanging="72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D741A0"/>
    <w:multiLevelType w:val="multilevel"/>
    <w:tmpl w:val="C110F888"/>
    <w:lvl w:ilvl="0">
      <w:start w:val="17"/>
      <w:numFmt w:val="decimal"/>
      <w:lvlText w:val="(%1"/>
      <w:lvlJc w:val="left"/>
      <w:pPr>
        <w:ind w:left="552" w:hanging="552"/>
      </w:pPr>
      <w:rPr>
        <w:rFonts w:hint="default"/>
      </w:rPr>
    </w:lvl>
    <w:lvl w:ilvl="1">
      <w:start w:val="71"/>
      <w:numFmt w:val="decimal"/>
      <w:lvlText w:val="(%1.%2"/>
      <w:lvlJc w:val="left"/>
      <w:pPr>
        <w:ind w:left="552" w:hanging="55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6097CFB"/>
    <w:multiLevelType w:val="multilevel"/>
    <w:tmpl w:val="3620B93E"/>
    <w:lvl w:ilvl="0">
      <w:start w:val="3"/>
      <w:numFmt w:val="decimal"/>
      <w:pStyle w:val="MEB34"/>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Restart w:val="0"/>
      <w:pStyle w:val="MEB34"/>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46520516"/>
    <w:multiLevelType w:val="multilevel"/>
    <w:tmpl w:val="8AB2710A"/>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Restart w:val="0"/>
      <w:pStyle w:val="MEB42"/>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8285DAD"/>
    <w:multiLevelType w:val="multilevel"/>
    <w:tmpl w:val="7DA82172"/>
    <w:lvl w:ilvl="0">
      <w:start w:val="4"/>
      <w:numFmt w:val="decimal"/>
      <w:pStyle w:val="MEB4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MEB41"/>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CD30793"/>
    <w:multiLevelType w:val="multilevel"/>
    <w:tmpl w:val="3300F4D4"/>
    <w:lvl w:ilvl="0">
      <w:start w:val="3"/>
      <w:numFmt w:val="decimal"/>
      <w:pStyle w:val="Heading311"/>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D4B70F6"/>
    <w:multiLevelType w:val="hybridMultilevel"/>
    <w:tmpl w:val="78609878"/>
    <w:lvl w:ilvl="0" w:tplc="14090001">
      <w:start w:val="1"/>
      <w:numFmt w:val="bullet"/>
      <w:lvlText w:val=""/>
      <w:lvlJc w:val="left"/>
      <w:pPr>
        <w:ind w:left="1080" w:hanging="72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851AE5"/>
    <w:multiLevelType w:val="hybridMultilevel"/>
    <w:tmpl w:val="EFC4EBA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ED8680C"/>
    <w:multiLevelType w:val="multilevel"/>
    <w:tmpl w:val="A4CE15E2"/>
    <w:lvl w:ilvl="0">
      <w:start w:val="3"/>
      <w:numFmt w:val="decimal"/>
      <w:lvlText w:val="%1"/>
      <w:lvlJc w:val="left"/>
      <w:pPr>
        <w:tabs>
          <w:tab w:val="num" w:pos="4320"/>
        </w:tabs>
        <w:ind w:left="4320" w:hanging="720"/>
      </w:pPr>
      <w:rPr>
        <w:rFonts w:hint="default"/>
      </w:rPr>
    </w:lvl>
    <w:lvl w:ilvl="1">
      <w:start w:val="4"/>
      <w:numFmt w:val="decimal"/>
      <w:lvlText w:val="%1.%2"/>
      <w:lvlJc w:val="left"/>
      <w:pPr>
        <w:tabs>
          <w:tab w:val="num" w:pos="5040"/>
        </w:tabs>
        <w:ind w:left="5040" w:hanging="720"/>
      </w:pPr>
      <w:rPr>
        <w:rFonts w:hint="default"/>
      </w:rPr>
    </w:lvl>
    <w:lvl w:ilvl="2">
      <w:start w:val="1"/>
      <w:numFmt w:val="decimal"/>
      <w:pStyle w:val="Style5"/>
      <w:lvlText w:val="%1.%2.%3"/>
      <w:lvlJc w:val="left"/>
      <w:pPr>
        <w:tabs>
          <w:tab w:val="num" w:pos="5760"/>
        </w:tabs>
        <w:ind w:left="5760" w:hanging="720"/>
      </w:pPr>
      <w:rPr>
        <w:rFonts w:hint="default"/>
      </w:rPr>
    </w:lvl>
    <w:lvl w:ilvl="3">
      <w:start w:val="1"/>
      <w:numFmt w:val="decimal"/>
      <w:lvlText w:val="%1.%2.%3.%4"/>
      <w:lvlJc w:val="left"/>
      <w:pPr>
        <w:tabs>
          <w:tab w:val="num" w:pos="6480"/>
        </w:tabs>
        <w:ind w:left="64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080"/>
        </w:tabs>
        <w:ind w:left="10080" w:hanging="1440"/>
      </w:pPr>
      <w:rPr>
        <w:rFonts w:hint="default"/>
      </w:rPr>
    </w:lvl>
    <w:lvl w:ilvl="8">
      <w:start w:val="1"/>
      <w:numFmt w:val="decimal"/>
      <w:lvlText w:val="%1.%2.%3.%4.%5.%6.%7.%8.%9"/>
      <w:lvlJc w:val="left"/>
      <w:pPr>
        <w:tabs>
          <w:tab w:val="num" w:pos="11160"/>
        </w:tabs>
        <w:ind w:left="11160" w:hanging="1800"/>
      </w:pPr>
      <w:rPr>
        <w:rFonts w:hint="default"/>
      </w:rPr>
    </w:lvl>
  </w:abstractNum>
  <w:abstractNum w:abstractNumId="31" w15:restartNumberingAfterBreak="0">
    <w:nsid w:val="582A15AD"/>
    <w:multiLevelType w:val="multilevel"/>
    <w:tmpl w:val="22DC9628"/>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pStyle w:val="heading2b0"/>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59177ECD"/>
    <w:multiLevelType w:val="hybridMultilevel"/>
    <w:tmpl w:val="AFA00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9E45887"/>
    <w:multiLevelType w:val="multilevel"/>
    <w:tmpl w:val="3EF6EA4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4.2.%3."/>
      <w:lvlJc w:val="left"/>
      <w:pPr>
        <w:tabs>
          <w:tab w:val="num" w:pos="1146"/>
        </w:tabs>
        <w:ind w:left="1146"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5B0D4C24"/>
    <w:multiLevelType w:val="multilevel"/>
    <w:tmpl w:val="4672F43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2"/>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5" w15:restartNumberingAfterBreak="0">
    <w:nsid w:val="5CE16279"/>
    <w:multiLevelType w:val="multilevel"/>
    <w:tmpl w:val="FD229FD6"/>
    <w:lvl w:ilvl="0">
      <w:start w:val="5"/>
      <w:numFmt w:val="decimal"/>
      <w:lvlText w:val="%1"/>
      <w:lvlJc w:val="left"/>
      <w:pPr>
        <w:ind w:left="360" w:hanging="360"/>
      </w:pPr>
      <w:rPr>
        <w:rFonts w:hint="default"/>
      </w:rPr>
    </w:lvl>
    <w:lvl w:ilvl="1">
      <w:start w:val="1"/>
      <w:numFmt w:val="decimal"/>
      <w:lvlText w:val="4.%2"/>
      <w:lvlJc w:val="left"/>
      <w:pPr>
        <w:ind w:left="1440" w:hanging="360"/>
      </w:pPr>
      <w:rPr>
        <w:rFonts w:hint="default"/>
      </w:rPr>
    </w:lvl>
    <w:lvl w:ilvl="2">
      <w:start w:val="4"/>
      <w:numFmt w:val="decimal"/>
      <w:lvlText w:val="4.3.%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6" w15:restartNumberingAfterBreak="0">
    <w:nsid w:val="5F615F8C"/>
    <w:multiLevelType w:val="multilevel"/>
    <w:tmpl w:val="A112B16C"/>
    <w:lvl w:ilvl="0">
      <w:start w:val="3"/>
      <w:numFmt w:val="decimal"/>
      <w:lvlText w:val="%1"/>
      <w:lvlJc w:val="left"/>
      <w:pPr>
        <w:tabs>
          <w:tab w:val="num" w:pos="1800"/>
        </w:tabs>
        <w:ind w:left="1800" w:hanging="720"/>
      </w:pPr>
      <w:rPr>
        <w:rFonts w:hint="default"/>
      </w:rPr>
    </w:lvl>
    <w:lvl w:ilvl="1">
      <w:start w:val="2"/>
      <w:numFmt w:val="decimal"/>
      <w:lvlText w:val="%1.%2"/>
      <w:lvlJc w:val="left"/>
      <w:pPr>
        <w:tabs>
          <w:tab w:val="num" w:pos="2520"/>
        </w:tabs>
        <w:ind w:left="2520" w:hanging="720"/>
      </w:pPr>
      <w:rPr>
        <w:rFonts w:hint="default"/>
      </w:rPr>
    </w:lvl>
    <w:lvl w:ilvl="2">
      <w:start w:val="1"/>
      <w:numFmt w:val="decimal"/>
      <w:pStyle w:val="Heading3"/>
      <w:lvlText w:val="%1.%2.%3"/>
      <w:lvlJc w:val="left"/>
      <w:pPr>
        <w:tabs>
          <w:tab w:val="num" w:pos="3240"/>
        </w:tabs>
        <w:ind w:left="324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5760"/>
        </w:tabs>
        <w:ind w:left="576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560"/>
        </w:tabs>
        <w:ind w:left="7560" w:hanging="1440"/>
      </w:pPr>
      <w:rPr>
        <w:rFonts w:hint="default"/>
      </w:rPr>
    </w:lvl>
    <w:lvl w:ilvl="8">
      <w:start w:val="1"/>
      <w:numFmt w:val="decimal"/>
      <w:lvlText w:val="%1.%2.%3.%4.%5.%6.%7.%8.%9"/>
      <w:lvlJc w:val="left"/>
      <w:pPr>
        <w:tabs>
          <w:tab w:val="num" w:pos="8640"/>
        </w:tabs>
        <w:ind w:left="8640" w:hanging="1800"/>
      </w:pPr>
      <w:rPr>
        <w:rFonts w:hint="default"/>
      </w:rPr>
    </w:lvl>
  </w:abstractNum>
  <w:abstractNum w:abstractNumId="37" w15:restartNumberingAfterBreak="0">
    <w:nsid w:val="62105443"/>
    <w:multiLevelType w:val="hybridMultilevel"/>
    <w:tmpl w:val="E736A9FE"/>
    <w:lvl w:ilvl="0" w:tplc="10B2CB30">
      <w:start w:val="1"/>
      <w:numFmt w:val="decimal"/>
      <w:pStyle w:val="Heading1"/>
      <w:lvlText w:val="%1."/>
      <w:lvlJc w:val="left"/>
      <w:pPr>
        <w:tabs>
          <w:tab w:val="num" w:pos="502"/>
        </w:tabs>
        <w:ind w:left="502" w:hanging="360"/>
      </w:pPr>
    </w:lvl>
    <w:lvl w:ilvl="1" w:tplc="0C09000F">
      <w:start w:val="1"/>
      <w:numFmt w:val="decimal"/>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62616A58"/>
    <w:multiLevelType w:val="multilevel"/>
    <w:tmpl w:val="408CC57C"/>
    <w:lvl w:ilvl="0">
      <w:start w:val="1"/>
      <w:numFmt w:val="decimal"/>
      <w:pStyle w:val="Style3"/>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37A7C4C"/>
    <w:multiLevelType w:val="hybridMultilevel"/>
    <w:tmpl w:val="873C9C2C"/>
    <w:lvl w:ilvl="0" w:tplc="E54AD798">
      <w:start w:val="1"/>
      <w:numFmt w:val="decimal"/>
      <w:pStyle w:val="MEB51"/>
      <w:lvlText w:val="5.%1."/>
      <w:lvlJc w:val="left"/>
      <w:pPr>
        <w:tabs>
          <w:tab w:val="num" w:pos="324"/>
        </w:tabs>
        <w:ind w:left="324" w:hanging="360"/>
      </w:pPr>
      <w:rPr>
        <w:rFonts w:ascii="Times New Roman" w:hAnsi="Times New Roman" w:hint="default"/>
        <w:color w:val="auto"/>
        <w:sz w:val="22"/>
      </w:rPr>
    </w:lvl>
    <w:lvl w:ilvl="1" w:tplc="14090019" w:tentative="1">
      <w:start w:val="1"/>
      <w:numFmt w:val="lowerLetter"/>
      <w:lvlText w:val="%2."/>
      <w:lvlJc w:val="left"/>
      <w:pPr>
        <w:ind w:left="1044" w:hanging="360"/>
      </w:pPr>
    </w:lvl>
    <w:lvl w:ilvl="2" w:tplc="1409001B" w:tentative="1">
      <w:start w:val="1"/>
      <w:numFmt w:val="lowerRoman"/>
      <w:lvlText w:val="%3."/>
      <w:lvlJc w:val="right"/>
      <w:pPr>
        <w:ind w:left="1764" w:hanging="180"/>
      </w:pPr>
    </w:lvl>
    <w:lvl w:ilvl="3" w:tplc="1409000F" w:tentative="1">
      <w:start w:val="1"/>
      <w:numFmt w:val="decimal"/>
      <w:lvlText w:val="%4."/>
      <w:lvlJc w:val="left"/>
      <w:pPr>
        <w:ind w:left="2484" w:hanging="360"/>
      </w:pPr>
    </w:lvl>
    <w:lvl w:ilvl="4" w:tplc="14090019" w:tentative="1">
      <w:start w:val="1"/>
      <w:numFmt w:val="lowerLetter"/>
      <w:lvlText w:val="%5."/>
      <w:lvlJc w:val="left"/>
      <w:pPr>
        <w:ind w:left="3204" w:hanging="360"/>
      </w:pPr>
    </w:lvl>
    <w:lvl w:ilvl="5" w:tplc="1409001B" w:tentative="1">
      <w:start w:val="1"/>
      <w:numFmt w:val="lowerRoman"/>
      <w:lvlText w:val="%6."/>
      <w:lvlJc w:val="right"/>
      <w:pPr>
        <w:ind w:left="3924" w:hanging="180"/>
      </w:pPr>
    </w:lvl>
    <w:lvl w:ilvl="6" w:tplc="1409000F" w:tentative="1">
      <w:start w:val="1"/>
      <w:numFmt w:val="decimal"/>
      <w:lvlText w:val="%7."/>
      <w:lvlJc w:val="left"/>
      <w:pPr>
        <w:ind w:left="4644" w:hanging="360"/>
      </w:pPr>
    </w:lvl>
    <w:lvl w:ilvl="7" w:tplc="14090019" w:tentative="1">
      <w:start w:val="1"/>
      <w:numFmt w:val="lowerLetter"/>
      <w:lvlText w:val="%8."/>
      <w:lvlJc w:val="left"/>
      <w:pPr>
        <w:ind w:left="5364" w:hanging="360"/>
      </w:pPr>
    </w:lvl>
    <w:lvl w:ilvl="8" w:tplc="1409001B" w:tentative="1">
      <w:start w:val="1"/>
      <w:numFmt w:val="lowerRoman"/>
      <w:lvlText w:val="%9."/>
      <w:lvlJc w:val="right"/>
      <w:pPr>
        <w:ind w:left="6084" w:hanging="180"/>
      </w:pPr>
    </w:lvl>
  </w:abstractNum>
  <w:abstractNum w:abstractNumId="40" w15:restartNumberingAfterBreak="0">
    <w:nsid w:val="64CF2E42"/>
    <w:multiLevelType w:val="multilevel"/>
    <w:tmpl w:val="ADA88CBE"/>
    <w:lvl w:ilvl="0">
      <w:start w:val="5"/>
      <w:numFmt w:val="decimal"/>
      <w:lvlText w:val="%1"/>
      <w:lvlJc w:val="left"/>
      <w:pPr>
        <w:ind w:left="360" w:hanging="360"/>
      </w:pPr>
      <w:rPr>
        <w:rFonts w:hint="default"/>
      </w:rPr>
    </w:lvl>
    <w:lvl w:ilvl="1">
      <w:start w:val="3"/>
      <w:numFmt w:val="decimal"/>
      <w:lvlText w:val="4.%2"/>
      <w:lvlJc w:val="left"/>
      <w:pPr>
        <w:ind w:left="1440" w:hanging="360"/>
      </w:pPr>
      <w:rPr>
        <w:rFonts w:hint="default"/>
      </w:rPr>
    </w:lvl>
    <w:lvl w:ilvl="2">
      <w:start w:val="1"/>
      <w:numFmt w:val="decimal"/>
      <w:lvlText w:val="4.3.%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1" w15:restartNumberingAfterBreak="0">
    <w:nsid w:val="67B14482"/>
    <w:multiLevelType w:val="hybridMultilevel"/>
    <w:tmpl w:val="C9DC9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8D2C9E"/>
    <w:multiLevelType w:val="singleLevel"/>
    <w:tmpl w:val="976C8326"/>
    <w:lvl w:ilvl="0">
      <w:start w:val="1"/>
      <w:numFmt w:val="bullet"/>
      <w:pStyle w:val="Source"/>
      <w:lvlText w:val=""/>
      <w:lvlJc w:val="left"/>
      <w:pPr>
        <w:tabs>
          <w:tab w:val="num" w:pos="360"/>
        </w:tabs>
        <w:ind w:left="284" w:hanging="284"/>
      </w:pPr>
      <w:rPr>
        <w:rFonts w:ascii="Symbol" w:hAnsi="Symbol" w:hint="default"/>
        <w:sz w:val="18"/>
      </w:rPr>
    </w:lvl>
  </w:abstractNum>
  <w:abstractNum w:abstractNumId="43" w15:restartNumberingAfterBreak="0">
    <w:nsid w:val="696B718B"/>
    <w:multiLevelType w:val="multilevel"/>
    <w:tmpl w:val="7166DAFE"/>
    <w:lvl w:ilvl="0">
      <w:start w:val="1"/>
      <w:numFmt w:val="decimal"/>
      <w:pStyle w:val="StyleArial11ptBoldJustifiedLinespacingMultiple13li"/>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CF66435"/>
    <w:multiLevelType w:val="hybridMultilevel"/>
    <w:tmpl w:val="5E044802"/>
    <w:lvl w:ilvl="0" w:tplc="CD42F778">
      <w:start w:val="1"/>
      <w:numFmt w:val="bullet"/>
      <w:pStyle w:val="Bullet"/>
      <w:lvlText w:val=""/>
      <w:lvlJc w:val="left"/>
      <w:pPr>
        <w:ind w:left="454" w:hanging="45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49970C5"/>
    <w:multiLevelType w:val="multilevel"/>
    <w:tmpl w:val="609E1128"/>
    <w:lvl w:ilvl="0">
      <w:start w:val="2"/>
      <w:numFmt w:val="decimal"/>
      <w:lvlText w:val="%1"/>
      <w:lvlJc w:val="left"/>
      <w:pPr>
        <w:tabs>
          <w:tab w:val="num" w:pos="1080"/>
        </w:tabs>
        <w:ind w:left="1080" w:hanging="720"/>
      </w:pPr>
      <w:rPr>
        <w:rFonts w:hint="default"/>
      </w:rPr>
    </w:lvl>
    <w:lvl w:ilvl="1">
      <w:start w:val="1"/>
      <w:numFmt w:val="decimal"/>
      <w:pStyle w:val="heading2a"/>
      <w:lvlText w:val="%1.%2"/>
      <w:lvlJc w:val="left"/>
      <w:pPr>
        <w:tabs>
          <w:tab w:val="num" w:pos="1800"/>
        </w:tabs>
        <w:ind w:left="180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040"/>
        </w:tabs>
        <w:ind w:left="5040" w:hanging="108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840"/>
        </w:tabs>
        <w:ind w:left="6840" w:hanging="1440"/>
      </w:pPr>
      <w:rPr>
        <w:rFonts w:hint="default"/>
      </w:rPr>
    </w:lvl>
    <w:lvl w:ilvl="8">
      <w:start w:val="1"/>
      <w:numFmt w:val="decimal"/>
      <w:lvlText w:val="%1.%2.%3.%4.%5.%6.%7.%8.%9"/>
      <w:lvlJc w:val="left"/>
      <w:pPr>
        <w:tabs>
          <w:tab w:val="num" w:pos="7920"/>
        </w:tabs>
        <w:ind w:left="7920" w:hanging="1800"/>
      </w:pPr>
      <w:rPr>
        <w:rFonts w:hint="default"/>
      </w:rPr>
    </w:lvl>
  </w:abstractNum>
  <w:abstractNum w:abstractNumId="46" w15:restartNumberingAfterBreak="0">
    <w:nsid w:val="77432A15"/>
    <w:multiLevelType w:val="multilevel"/>
    <w:tmpl w:val="5456E50E"/>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Restart w:val="0"/>
      <w:pStyle w:val="MEB26"/>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779857C6"/>
    <w:multiLevelType w:val="hybridMultilevel"/>
    <w:tmpl w:val="2D10097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4"/>
  </w:num>
  <w:num w:numId="4">
    <w:abstractNumId w:val="16"/>
  </w:num>
  <w:num w:numId="5">
    <w:abstractNumId w:val="1"/>
  </w:num>
  <w:num w:numId="6">
    <w:abstractNumId w:val="3"/>
  </w:num>
  <w:num w:numId="7">
    <w:abstractNumId w:val="38"/>
  </w:num>
  <w:num w:numId="8">
    <w:abstractNumId w:val="9"/>
  </w:num>
  <w:num w:numId="9">
    <w:abstractNumId w:val="31"/>
  </w:num>
  <w:num w:numId="10">
    <w:abstractNumId w:val="19"/>
  </w:num>
  <w:num w:numId="11">
    <w:abstractNumId w:val="27"/>
  </w:num>
  <w:num w:numId="12">
    <w:abstractNumId w:val="36"/>
  </w:num>
  <w:num w:numId="13">
    <w:abstractNumId w:val="30"/>
  </w:num>
  <w:num w:numId="14">
    <w:abstractNumId w:val="26"/>
  </w:num>
  <w:num w:numId="15">
    <w:abstractNumId w:val="43"/>
  </w:num>
  <w:num w:numId="16">
    <w:abstractNumId w:val="46"/>
  </w:num>
  <w:num w:numId="17">
    <w:abstractNumId w:val="24"/>
  </w:num>
  <w:num w:numId="18">
    <w:abstractNumId w:val="20"/>
  </w:num>
  <w:num w:numId="19">
    <w:abstractNumId w:val="6"/>
  </w:num>
  <w:num w:numId="20">
    <w:abstractNumId w:val="10"/>
  </w:num>
  <w:num w:numId="21">
    <w:abstractNumId w:val="25"/>
  </w:num>
  <w:num w:numId="22">
    <w:abstractNumId w:val="15"/>
  </w:num>
  <w:num w:numId="23">
    <w:abstractNumId w:val="39"/>
  </w:num>
  <w:num w:numId="24">
    <w:abstractNumId w:val="11"/>
  </w:num>
  <w:num w:numId="25">
    <w:abstractNumId w:val="14"/>
  </w:num>
  <w:num w:numId="26">
    <w:abstractNumId w:val="34"/>
  </w:num>
  <w:num w:numId="27">
    <w:abstractNumId w:val="45"/>
  </w:num>
  <w:num w:numId="28">
    <w:abstractNumId w:val="35"/>
  </w:num>
  <w:num w:numId="29">
    <w:abstractNumId w:val="44"/>
  </w:num>
  <w:num w:numId="30">
    <w:abstractNumId w:val="42"/>
  </w:num>
  <w:num w:numId="31">
    <w:abstractNumId w:val="12"/>
  </w:num>
  <w:num w:numId="32">
    <w:abstractNumId w:val="0"/>
  </w:num>
  <w:num w:numId="33">
    <w:abstractNumId w:val="29"/>
  </w:num>
  <w:num w:numId="34">
    <w:abstractNumId w:val="13"/>
  </w:num>
  <w:num w:numId="35">
    <w:abstractNumId w:val="2"/>
  </w:num>
  <w:num w:numId="36">
    <w:abstractNumId w:val="7"/>
  </w:num>
  <w:num w:numId="37">
    <w:abstractNumId w:val="17"/>
  </w:num>
  <w:num w:numId="38">
    <w:abstractNumId w:val="47"/>
  </w:num>
  <w:num w:numId="39">
    <w:abstractNumId w:val="33"/>
  </w:num>
  <w:num w:numId="40">
    <w:abstractNumId w:val="18"/>
  </w:num>
  <w:num w:numId="41">
    <w:abstractNumId w:val="40"/>
  </w:num>
  <w:num w:numId="42">
    <w:abstractNumId w:val="41"/>
  </w:num>
  <w:num w:numId="43">
    <w:abstractNumId w:val="8"/>
  </w:num>
  <w:num w:numId="44">
    <w:abstractNumId w:val="22"/>
  </w:num>
  <w:num w:numId="45">
    <w:abstractNumId w:val="28"/>
  </w:num>
  <w:num w:numId="46">
    <w:abstractNumId w:val="21"/>
  </w:num>
  <w:num w:numId="47">
    <w:abstractNumId w:val="32"/>
  </w:num>
  <w:num w:numId="48">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en-NZ"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542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ria&amp;apos;s endnote.enl&lt;/item&gt;&lt;/Libraries&gt;&lt;/ENLibraries&gt;"/>
  </w:docVars>
  <w:rsids>
    <w:rsidRoot w:val="001F26FE"/>
    <w:rsid w:val="000009A4"/>
    <w:rsid w:val="00000F19"/>
    <w:rsid w:val="000022DC"/>
    <w:rsid w:val="00002341"/>
    <w:rsid w:val="000026A7"/>
    <w:rsid w:val="00003440"/>
    <w:rsid w:val="0000365B"/>
    <w:rsid w:val="00003A31"/>
    <w:rsid w:val="00003CE8"/>
    <w:rsid w:val="0000404B"/>
    <w:rsid w:val="00004228"/>
    <w:rsid w:val="000043E6"/>
    <w:rsid w:val="00004F3C"/>
    <w:rsid w:val="00004F68"/>
    <w:rsid w:val="00005B5A"/>
    <w:rsid w:val="00007657"/>
    <w:rsid w:val="0001040F"/>
    <w:rsid w:val="000114E5"/>
    <w:rsid w:val="00011CFB"/>
    <w:rsid w:val="000122C8"/>
    <w:rsid w:val="00012BD8"/>
    <w:rsid w:val="00012D9F"/>
    <w:rsid w:val="00012DBB"/>
    <w:rsid w:val="000134D5"/>
    <w:rsid w:val="00013566"/>
    <w:rsid w:val="0001397F"/>
    <w:rsid w:val="000144F8"/>
    <w:rsid w:val="000145C3"/>
    <w:rsid w:val="000148EE"/>
    <w:rsid w:val="00014AF2"/>
    <w:rsid w:val="00014DED"/>
    <w:rsid w:val="0001527C"/>
    <w:rsid w:val="00015B9A"/>
    <w:rsid w:val="00015DC4"/>
    <w:rsid w:val="00015E05"/>
    <w:rsid w:val="00016123"/>
    <w:rsid w:val="000165C4"/>
    <w:rsid w:val="000167EE"/>
    <w:rsid w:val="00016D8C"/>
    <w:rsid w:val="00016FA2"/>
    <w:rsid w:val="0001740B"/>
    <w:rsid w:val="0001751F"/>
    <w:rsid w:val="00017B76"/>
    <w:rsid w:val="000205A0"/>
    <w:rsid w:val="00020C91"/>
    <w:rsid w:val="00022506"/>
    <w:rsid w:val="00022C38"/>
    <w:rsid w:val="00023140"/>
    <w:rsid w:val="000238DC"/>
    <w:rsid w:val="00023B91"/>
    <w:rsid w:val="00023C7E"/>
    <w:rsid w:val="00024117"/>
    <w:rsid w:val="00024DA4"/>
    <w:rsid w:val="000250E1"/>
    <w:rsid w:val="00025413"/>
    <w:rsid w:val="000257BF"/>
    <w:rsid w:val="00026060"/>
    <w:rsid w:val="000266EE"/>
    <w:rsid w:val="0002671A"/>
    <w:rsid w:val="00026890"/>
    <w:rsid w:val="00026A73"/>
    <w:rsid w:val="000271E3"/>
    <w:rsid w:val="00027612"/>
    <w:rsid w:val="0002786B"/>
    <w:rsid w:val="00027B41"/>
    <w:rsid w:val="00027E41"/>
    <w:rsid w:val="0003085F"/>
    <w:rsid w:val="00030BF4"/>
    <w:rsid w:val="00030DCD"/>
    <w:rsid w:val="00030F17"/>
    <w:rsid w:val="00031392"/>
    <w:rsid w:val="000313BB"/>
    <w:rsid w:val="00031E7A"/>
    <w:rsid w:val="00032498"/>
    <w:rsid w:val="00032665"/>
    <w:rsid w:val="000327ED"/>
    <w:rsid w:val="00032AE0"/>
    <w:rsid w:val="00033356"/>
    <w:rsid w:val="00033673"/>
    <w:rsid w:val="000337D5"/>
    <w:rsid w:val="000338EC"/>
    <w:rsid w:val="00033B16"/>
    <w:rsid w:val="00033BC9"/>
    <w:rsid w:val="0003452B"/>
    <w:rsid w:val="00034E84"/>
    <w:rsid w:val="00034F38"/>
    <w:rsid w:val="000353EC"/>
    <w:rsid w:val="000357A6"/>
    <w:rsid w:val="00035B92"/>
    <w:rsid w:val="0003606A"/>
    <w:rsid w:val="00036578"/>
    <w:rsid w:val="000366E0"/>
    <w:rsid w:val="00036968"/>
    <w:rsid w:val="00036A40"/>
    <w:rsid w:val="00036F44"/>
    <w:rsid w:val="00037017"/>
    <w:rsid w:val="00040463"/>
    <w:rsid w:val="00041232"/>
    <w:rsid w:val="00041607"/>
    <w:rsid w:val="00041609"/>
    <w:rsid w:val="000419A2"/>
    <w:rsid w:val="00042142"/>
    <w:rsid w:val="00042517"/>
    <w:rsid w:val="00042B01"/>
    <w:rsid w:val="00043049"/>
    <w:rsid w:val="000432E3"/>
    <w:rsid w:val="00043ABE"/>
    <w:rsid w:val="000441BC"/>
    <w:rsid w:val="000448F8"/>
    <w:rsid w:val="00044912"/>
    <w:rsid w:val="00045E7F"/>
    <w:rsid w:val="00045FFC"/>
    <w:rsid w:val="00046335"/>
    <w:rsid w:val="0004656A"/>
    <w:rsid w:val="000466B9"/>
    <w:rsid w:val="00046A65"/>
    <w:rsid w:val="00046F80"/>
    <w:rsid w:val="000501EA"/>
    <w:rsid w:val="00050261"/>
    <w:rsid w:val="00050444"/>
    <w:rsid w:val="00051110"/>
    <w:rsid w:val="0005145C"/>
    <w:rsid w:val="00051AD5"/>
    <w:rsid w:val="00051C20"/>
    <w:rsid w:val="00051D3B"/>
    <w:rsid w:val="0005213A"/>
    <w:rsid w:val="00052E09"/>
    <w:rsid w:val="00052F2B"/>
    <w:rsid w:val="00053085"/>
    <w:rsid w:val="00054001"/>
    <w:rsid w:val="00054010"/>
    <w:rsid w:val="000549D1"/>
    <w:rsid w:val="00054C41"/>
    <w:rsid w:val="00055354"/>
    <w:rsid w:val="000566F7"/>
    <w:rsid w:val="000567A9"/>
    <w:rsid w:val="00056B01"/>
    <w:rsid w:val="0005754A"/>
    <w:rsid w:val="00057C02"/>
    <w:rsid w:val="00060975"/>
    <w:rsid w:val="00060E02"/>
    <w:rsid w:val="000618DB"/>
    <w:rsid w:val="00061B3B"/>
    <w:rsid w:val="00061D0C"/>
    <w:rsid w:val="00061DDA"/>
    <w:rsid w:val="00061F08"/>
    <w:rsid w:val="000624C0"/>
    <w:rsid w:val="00062E5E"/>
    <w:rsid w:val="00062E97"/>
    <w:rsid w:val="0006346E"/>
    <w:rsid w:val="00063C40"/>
    <w:rsid w:val="000643C0"/>
    <w:rsid w:val="00064A9E"/>
    <w:rsid w:val="000654B2"/>
    <w:rsid w:val="000664D2"/>
    <w:rsid w:val="00066727"/>
    <w:rsid w:val="00066DB7"/>
    <w:rsid w:val="0006719E"/>
    <w:rsid w:val="00067366"/>
    <w:rsid w:val="000675D7"/>
    <w:rsid w:val="00067B14"/>
    <w:rsid w:val="000700BF"/>
    <w:rsid w:val="00070CC8"/>
    <w:rsid w:val="00071637"/>
    <w:rsid w:val="000745A9"/>
    <w:rsid w:val="0007546A"/>
    <w:rsid w:val="00075654"/>
    <w:rsid w:val="000765A3"/>
    <w:rsid w:val="00076AA9"/>
    <w:rsid w:val="000772BB"/>
    <w:rsid w:val="00077B8F"/>
    <w:rsid w:val="000824B6"/>
    <w:rsid w:val="000825C6"/>
    <w:rsid w:val="00082E43"/>
    <w:rsid w:val="00084361"/>
    <w:rsid w:val="000844EC"/>
    <w:rsid w:val="0008485E"/>
    <w:rsid w:val="00084EA5"/>
    <w:rsid w:val="00084EBA"/>
    <w:rsid w:val="00084EE3"/>
    <w:rsid w:val="00084FAC"/>
    <w:rsid w:val="000853B6"/>
    <w:rsid w:val="000858F7"/>
    <w:rsid w:val="00085C0C"/>
    <w:rsid w:val="00086374"/>
    <w:rsid w:val="000867CD"/>
    <w:rsid w:val="00086959"/>
    <w:rsid w:val="0008769F"/>
    <w:rsid w:val="00087720"/>
    <w:rsid w:val="00087858"/>
    <w:rsid w:val="00090BFC"/>
    <w:rsid w:val="000912BD"/>
    <w:rsid w:val="00091386"/>
    <w:rsid w:val="00091EC9"/>
    <w:rsid w:val="00092224"/>
    <w:rsid w:val="00092362"/>
    <w:rsid w:val="000933BF"/>
    <w:rsid w:val="000936E4"/>
    <w:rsid w:val="0009394C"/>
    <w:rsid w:val="0009405A"/>
    <w:rsid w:val="00094220"/>
    <w:rsid w:val="00094228"/>
    <w:rsid w:val="000943F7"/>
    <w:rsid w:val="00094BD4"/>
    <w:rsid w:val="000958EA"/>
    <w:rsid w:val="00095A19"/>
    <w:rsid w:val="00097156"/>
    <w:rsid w:val="0009732F"/>
    <w:rsid w:val="000976EA"/>
    <w:rsid w:val="00097C2F"/>
    <w:rsid w:val="00097D4A"/>
    <w:rsid w:val="000A0943"/>
    <w:rsid w:val="000A0BAA"/>
    <w:rsid w:val="000A1189"/>
    <w:rsid w:val="000A1AA0"/>
    <w:rsid w:val="000A23AF"/>
    <w:rsid w:val="000A2605"/>
    <w:rsid w:val="000A2F0E"/>
    <w:rsid w:val="000A3C75"/>
    <w:rsid w:val="000A3CBD"/>
    <w:rsid w:val="000A3CDC"/>
    <w:rsid w:val="000A3D18"/>
    <w:rsid w:val="000A3DE7"/>
    <w:rsid w:val="000A4F26"/>
    <w:rsid w:val="000A5163"/>
    <w:rsid w:val="000A567E"/>
    <w:rsid w:val="000A5D16"/>
    <w:rsid w:val="000A718F"/>
    <w:rsid w:val="000A7DD3"/>
    <w:rsid w:val="000B1297"/>
    <w:rsid w:val="000B186D"/>
    <w:rsid w:val="000B1AF2"/>
    <w:rsid w:val="000B260F"/>
    <w:rsid w:val="000B272E"/>
    <w:rsid w:val="000B28AB"/>
    <w:rsid w:val="000B37DC"/>
    <w:rsid w:val="000B37DD"/>
    <w:rsid w:val="000B3997"/>
    <w:rsid w:val="000B3B9A"/>
    <w:rsid w:val="000B3E09"/>
    <w:rsid w:val="000B47F6"/>
    <w:rsid w:val="000B4B18"/>
    <w:rsid w:val="000B4D76"/>
    <w:rsid w:val="000B5DF2"/>
    <w:rsid w:val="000B64AE"/>
    <w:rsid w:val="000B6EDE"/>
    <w:rsid w:val="000B7AB1"/>
    <w:rsid w:val="000C0400"/>
    <w:rsid w:val="000C1985"/>
    <w:rsid w:val="000C1AB9"/>
    <w:rsid w:val="000C1ECA"/>
    <w:rsid w:val="000C2595"/>
    <w:rsid w:val="000C265D"/>
    <w:rsid w:val="000C5C66"/>
    <w:rsid w:val="000C61AA"/>
    <w:rsid w:val="000C63D5"/>
    <w:rsid w:val="000C64F1"/>
    <w:rsid w:val="000C6A83"/>
    <w:rsid w:val="000C7650"/>
    <w:rsid w:val="000C7726"/>
    <w:rsid w:val="000D04C7"/>
    <w:rsid w:val="000D06A9"/>
    <w:rsid w:val="000D0A3C"/>
    <w:rsid w:val="000D26E6"/>
    <w:rsid w:val="000D2E2C"/>
    <w:rsid w:val="000D2FB0"/>
    <w:rsid w:val="000D31A9"/>
    <w:rsid w:val="000D33DB"/>
    <w:rsid w:val="000D37DD"/>
    <w:rsid w:val="000D4174"/>
    <w:rsid w:val="000D41D8"/>
    <w:rsid w:val="000D45D6"/>
    <w:rsid w:val="000D4686"/>
    <w:rsid w:val="000D56AA"/>
    <w:rsid w:val="000D5867"/>
    <w:rsid w:val="000D5ABE"/>
    <w:rsid w:val="000D5FB1"/>
    <w:rsid w:val="000D65C0"/>
    <w:rsid w:val="000D67BB"/>
    <w:rsid w:val="000D72DF"/>
    <w:rsid w:val="000E0066"/>
    <w:rsid w:val="000E01D3"/>
    <w:rsid w:val="000E08DE"/>
    <w:rsid w:val="000E1600"/>
    <w:rsid w:val="000E239D"/>
    <w:rsid w:val="000E2C72"/>
    <w:rsid w:val="000E2CE6"/>
    <w:rsid w:val="000E2F39"/>
    <w:rsid w:val="000E35C7"/>
    <w:rsid w:val="000E36A0"/>
    <w:rsid w:val="000E3C27"/>
    <w:rsid w:val="000E4133"/>
    <w:rsid w:val="000E55D0"/>
    <w:rsid w:val="000E5816"/>
    <w:rsid w:val="000E581E"/>
    <w:rsid w:val="000E5C74"/>
    <w:rsid w:val="000E60AE"/>
    <w:rsid w:val="000E7074"/>
    <w:rsid w:val="000E79F9"/>
    <w:rsid w:val="000E7AC5"/>
    <w:rsid w:val="000E7FE8"/>
    <w:rsid w:val="000F12E3"/>
    <w:rsid w:val="000F1924"/>
    <w:rsid w:val="000F2110"/>
    <w:rsid w:val="000F25DF"/>
    <w:rsid w:val="000F269B"/>
    <w:rsid w:val="000F340A"/>
    <w:rsid w:val="000F345C"/>
    <w:rsid w:val="000F3D0B"/>
    <w:rsid w:val="000F4773"/>
    <w:rsid w:val="000F51A2"/>
    <w:rsid w:val="000F564E"/>
    <w:rsid w:val="000F5E7B"/>
    <w:rsid w:val="000F60E0"/>
    <w:rsid w:val="000F658C"/>
    <w:rsid w:val="000F6A2E"/>
    <w:rsid w:val="000F7335"/>
    <w:rsid w:val="000F7EA4"/>
    <w:rsid w:val="000F7F3E"/>
    <w:rsid w:val="00100322"/>
    <w:rsid w:val="001006F3"/>
    <w:rsid w:val="00100D6D"/>
    <w:rsid w:val="0010148F"/>
    <w:rsid w:val="00101745"/>
    <w:rsid w:val="001026BD"/>
    <w:rsid w:val="00102764"/>
    <w:rsid w:val="00102DBD"/>
    <w:rsid w:val="00102EFF"/>
    <w:rsid w:val="0010307E"/>
    <w:rsid w:val="001035B7"/>
    <w:rsid w:val="00103942"/>
    <w:rsid w:val="00103E5F"/>
    <w:rsid w:val="001045CA"/>
    <w:rsid w:val="00104F97"/>
    <w:rsid w:val="001056E0"/>
    <w:rsid w:val="0010594A"/>
    <w:rsid w:val="001060A4"/>
    <w:rsid w:val="001061B7"/>
    <w:rsid w:val="00106347"/>
    <w:rsid w:val="00106835"/>
    <w:rsid w:val="00106E47"/>
    <w:rsid w:val="00107912"/>
    <w:rsid w:val="001079D2"/>
    <w:rsid w:val="00107C48"/>
    <w:rsid w:val="00110BEC"/>
    <w:rsid w:val="001111D3"/>
    <w:rsid w:val="00111C86"/>
    <w:rsid w:val="001121FA"/>
    <w:rsid w:val="00112D63"/>
    <w:rsid w:val="001147F1"/>
    <w:rsid w:val="00114B92"/>
    <w:rsid w:val="00114FA1"/>
    <w:rsid w:val="0011517C"/>
    <w:rsid w:val="001157C0"/>
    <w:rsid w:val="00115F33"/>
    <w:rsid w:val="00116184"/>
    <w:rsid w:val="00116600"/>
    <w:rsid w:val="00116631"/>
    <w:rsid w:val="0011677E"/>
    <w:rsid w:val="00117073"/>
    <w:rsid w:val="00117400"/>
    <w:rsid w:val="00117E75"/>
    <w:rsid w:val="00117F32"/>
    <w:rsid w:val="00120522"/>
    <w:rsid w:val="00120BC5"/>
    <w:rsid w:val="00120E21"/>
    <w:rsid w:val="001211AC"/>
    <w:rsid w:val="00121DA2"/>
    <w:rsid w:val="0012252A"/>
    <w:rsid w:val="00123976"/>
    <w:rsid w:val="00123A17"/>
    <w:rsid w:val="00124077"/>
    <w:rsid w:val="00124D36"/>
    <w:rsid w:val="00124E38"/>
    <w:rsid w:val="00124E65"/>
    <w:rsid w:val="001251E1"/>
    <w:rsid w:val="00125321"/>
    <w:rsid w:val="00125674"/>
    <w:rsid w:val="00125D2D"/>
    <w:rsid w:val="0012615B"/>
    <w:rsid w:val="0012625F"/>
    <w:rsid w:val="001262EE"/>
    <w:rsid w:val="001263D8"/>
    <w:rsid w:val="0012679D"/>
    <w:rsid w:val="00126BA3"/>
    <w:rsid w:val="00126F4E"/>
    <w:rsid w:val="00127A4A"/>
    <w:rsid w:val="00127A6F"/>
    <w:rsid w:val="00127C52"/>
    <w:rsid w:val="001310ED"/>
    <w:rsid w:val="00131338"/>
    <w:rsid w:val="00131E68"/>
    <w:rsid w:val="00132696"/>
    <w:rsid w:val="00132BA3"/>
    <w:rsid w:val="00132C04"/>
    <w:rsid w:val="00132D03"/>
    <w:rsid w:val="00133474"/>
    <w:rsid w:val="00133604"/>
    <w:rsid w:val="00133B42"/>
    <w:rsid w:val="00133FCD"/>
    <w:rsid w:val="00134036"/>
    <w:rsid w:val="00134062"/>
    <w:rsid w:val="0013431F"/>
    <w:rsid w:val="00135073"/>
    <w:rsid w:val="001355D8"/>
    <w:rsid w:val="0013573E"/>
    <w:rsid w:val="00135890"/>
    <w:rsid w:val="00135F95"/>
    <w:rsid w:val="001360C2"/>
    <w:rsid w:val="00136595"/>
    <w:rsid w:val="001366A5"/>
    <w:rsid w:val="00136A22"/>
    <w:rsid w:val="00136AEB"/>
    <w:rsid w:val="00136D7A"/>
    <w:rsid w:val="00137013"/>
    <w:rsid w:val="0013791B"/>
    <w:rsid w:val="00137BAE"/>
    <w:rsid w:val="00140142"/>
    <w:rsid w:val="00140267"/>
    <w:rsid w:val="00140812"/>
    <w:rsid w:val="00141A30"/>
    <w:rsid w:val="001424E0"/>
    <w:rsid w:val="00142549"/>
    <w:rsid w:val="0014280D"/>
    <w:rsid w:val="0014304E"/>
    <w:rsid w:val="00143EFC"/>
    <w:rsid w:val="00144435"/>
    <w:rsid w:val="00144596"/>
    <w:rsid w:val="001448C6"/>
    <w:rsid w:val="00144D21"/>
    <w:rsid w:val="00144EA1"/>
    <w:rsid w:val="00145060"/>
    <w:rsid w:val="00145D70"/>
    <w:rsid w:val="0014701E"/>
    <w:rsid w:val="001471AC"/>
    <w:rsid w:val="001500CD"/>
    <w:rsid w:val="0015099A"/>
    <w:rsid w:val="001515E0"/>
    <w:rsid w:val="0015164E"/>
    <w:rsid w:val="00151FE9"/>
    <w:rsid w:val="001523A9"/>
    <w:rsid w:val="00152EF0"/>
    <w:rsid w:val="00153353"/>
    <w:rsid w:val="00153958"/>
    <w:rsid w:val="00154210"/>
    <w:rsid w:val="0015438D"/>
    <w:rsid w:val="00154CA5"/>
    <w:rsid w:val="00154E74"/>
    <w:rsid w:val="00155733"/>
    <w:rsid w:val="00157FB4"/>
    <w:rsid w:val="0016001B"/>
    <w:rsid w:val="001600D3"/>
    <w:rsid w:val="001605BD"/>
    <w:rsid w:val="00160D77"/>
    <w:rsid w:val="00160ED4"/>
    <w:rsid w:val="00161194"/>
    <w:rsid w:val="001619AA"/>
    <w:rsid w:val="00161C05"/>
    <w:rsid w:val="00161DB9"/>
    <w:rsid w:val="00162228"/>
    <w:rsid w:val="001626D2"/>
    <w:rsid w:val="00162DE5"/>
    <w:rsid w:val="001634E1"/>
    <w:rsid w:val="001641C5"/>
    <w:rsid w:val="0016428B"/>
    <w:rsid w:val="00165B90"/>
    <w:rsid w:val="00165DCD"/>
    <w:rsid w:val="00166B58"/>
    <w:rsid w:val="00166D64"/>
    <w:rsid w:val="00166E57"/>
    <w:rsid w:val="0016737A"/>
    <w:rsid w:val="0016763C"/>
    <w:rsid w:val="0016790D"/>
    <w:rsid w:val="00167E1F"/>
    <w:rsid w:val="00170376"/>
    <w:rsid w:val="00170A26"/>
    <w:rsid w:val="00170D62"/>
    <w:rsid w:val="00171A16"/>
    <w:rsid w:val="00171B10"/>
    <w:rsid w:val="00171F43"/>
    <w:rsid w:val="0017206B"/>
    <w:rsid w:val="0017260B"/>
    <w:rsid w:val="00173058"/>
    <w:rsid w:val="0017366A"/>
    <w:rsid w:val="00173A33"/>
    <w:rsid w:val="00173EB8"/>
    <w:rsid w:val="00174163"/>
    <w:rsid w:val="00175200"/>
    <w:rsid w:val="0017566B"/>
    <w:rsid w:val="00175853"/>
    <w:rsid w:val="0017599E"/>
    <w:rsid w:val="00175A81"/>
    <w:rsid w:val="00176699"/>
    <w:rsid w:val="0017678F"/>
    <w:rsid w:val="00176C76"/>
    <w:rsid w:val="00176E73"/>
    <w:rsid w:val="00177215"/>
    <w:rsid w:val="00177256"/>
    <w:rsid w:val="001778D4"/>
    <w:rsid w:val="00180DAB"/>
    <w:rsid w:val="00181307"/>
    <w:rsid w:val="00181439"/>
    <w:rsid w:val="001818D2"/>
    <w:rsid w:val="001819B3"/>
    <w:rsid w:val="00181CAF"/>
    <w:rsid w:val="00182170"/>
    <w:rsid w:val="0018253E"/>
    <w:rsid w:val="00182845"/>
    <w:rsid w:val="001838E0"/>
    <w:rsid w:val="001842EC"/>
    <w:rsid w:val="00185A68"/>
    <w:rsid w:val="00185F95"/>
    <w:rsid w:val="00186C34"/>
    <w:rsid w:val="00186C83"/>
    <w:rsid w:val="001873B3"/>
    <w:rsid w:val="001874CA"/>
    <w:rsid w:val="00190F7C"/>
    <w:rsid w:val="00191428"/>
    <w:rsid w:val="00191482"/>
    <w:rsid w:val="001928F8"/>
    <w:rsid w:val="0019390F"/>
    <w:rsid w:val="00193A23"/>
    <w:rsid w:val="00193BF1"/>
    <w:rsid w:val="00193F41"/>
    <w:rsid w:val="00194167"/>
    <w:rsid w:val="001948DA"/>
    <w:rsid w:val="0019494C"/>
    <w:rsid w:val="00195648"/>
    <w:rsid w:val="00195DC2"/>
    <w:rsid w:val="00196269"/>
    <w:rsid w:val="0019755C"/>
    <w:rsid w:val="001A0645"/>
    <w:rsid w:val="001A09DB"/>
    <w:rsid w:val="001A1116"/>
    <w:rsid w:val="001A206C"/>
    <w:rsid w:val="001A254C"/>
    <w:rsid w:val="001A2776"/>
    <w:rsid w:val="001A2B59"/>
    <w:rsid w:val="001A2E99"/>
    <w:rsid w:val="001A2F73"/>
    <w:rsid w:val="001A33B1"/>
    <w:rsid w:val="001A44BD"/>
    <w:rsid w:val="001A5A51"/>
    <w:rsid w:val="001A5DB0"/>
    <w:rsid w:val="001A6689"/>
    <w:rsid w:val="001A6D67"/>
    <w:rsid w:val="001A6FB2"/>
    <w:rsid w:val="001B0CD5"/>
    <w:rsid w:val="001B0ED6"/>
    <w:rsid w:val="001B1FD0"/>
    <w:rsid w:val="001B2352"/>
    <w:rsid w:val="001B243A"/>
    <w:rsid w:val="001B309C"/>
    <w:rsid w:val="001B3785"/>
    <w:rsid w:val="001B3D39"/>
    <w:rsid w:val="001B49B8"/>
    <w:rsid w:val="001B4BF2"/>
    <w:rsid w:val="001B5070"/>
    <w:rsid w:val="001B539B"/>
    <w:rsid w:val="001B5CD5"/>
    <w:rsid w:val="001B5E05"/>
    <w:rsid w:val="001B5F35"/>
    <w:rsid w:val="001B6470"/>
    <w:rsid w:val="001B66C2"/>
    <w:rsid w:val="001B76DC"/>
    <w:rsid w:val="001B790C"/>
    <w:rsid w:val="001B7DED"/>
    <w:rsid w:val="001C036F"/>
    <w:rsid w:val="001C12D7"/>
    <w:rsid w:val="001C187B"/>
    <w:rsid w:val="001C2165"/>
    <w:rsid w:val="001C3403"/>
    <w:rsid w:val="001C3B11"/>
    <w:rsid w:val="001C3DC0"/>
    <w:rsid w:val="001C4008"/>
    <w:rsid w:val="001C432D"/>
    <w:rsid w:val="001C47B5"/>
    <w:rsid w:val="001C48F8"/>
    <w:rsid w:val="001C58CC"/>
    <w:rsid w:val="001C5BEB"/>
    <w:rsid w:val="001C5E05"/>
    <w:rsid w:val="001C6717"/>
    <w:rsid w:val="001C722A"/>
    <w:rsid w:val="001C7B2B"/>
    <w:rsid w:val="001C7ED8"/>
    <w:rsid w:val="001D0AE2"/>
    <w:rsid w:val="001D13E3"/>
    <w:rsid w:val="001D162A"/>
    <w:rsid w:val="001D2D8B"/>
    <w:rsid w:val="001D397E"/>
    <w:rsid w:val="001D3A78"/>
    <w:rsid w:val="001D3EF6"/>
    <w:rsid w:val="001D4569"/>
    <w:rsid w:val="001D4ACD"/>
    <w:rsid w:val="001D51F6"/>
    <w:rsid w:val="001D5426"/>
    <w:rsid w:val="001D562D"/>
    <w:rsid w:val="001D5B60"/>
    <w:rsid w:val="001D655C"/>
    <w:rsid w:val="001D67BA"/>
    <w:rsid w:val="001D67FD"/>
    <w:rsid w:val="001D6975"/>
    <w:rsid w:val="001D6C4D"/>
    <w:rsid w:val="001D7D79"/>
    <w:rsid w:val="001E1395"/>
    <w:rsid w:val="001E1C2E"/>
    <w:rsid w:val="001E2449"/>
    <w:rsid w:val="001E2C59"/>
    <w:rsid w:val="001E2E15"/>
    <w:rsid w:val="001E3970"/>
    <w:rsid w:val="001E41B5"/>
    <w:rsid w:val="001E4BD3"/>
    <w:rsid w:val="001E534C"/>
    <w:rsid w:val="001E72DF"/>
    <w:rsid w:val="001F0EB3"/>
    <w:rsid w:val="001F0F8E"/>
    <w:rsid w:val="001F10AF"/>
    <w:rsid w:val="001F16F6"/>
    <w:rsid w:val="001F1B4B"/>
    <w:rsid w:val="001F1C0A"/>
    <w:rsid w:val="001F1D11"/>
    <w:rsid w:val="001F1F77"/>
    <w:rsid w:val="001F2026"/>
    <w:rsid w:val="001F26FE"/>
    <w:rsid w:val="001F282D"/>
    <w:rsid w:val="001F2ACC"/>
    <w:rsid w:val="001F2FEA"/>
    <w:rsid w:val="001F3013"/>
    <w:rsid w:val="001F3622"/>
    <w:rsid w:val="001F3CD5"/>
    <w:rsid w:val="001F3FA5"/>
    <w:rsid w:val="001F4026"/>
    <w:rsid w:val="001F41A2"/>
    <w:rsid w:val="001F491F"/>
    <w:rsid w:val="001F56A6"/>
    <w:rsid w:val="001F5C49"/>
    <w:rsid w:val="001F63F6"/>
    <w:rsid w:val="001F64EC"/>
    <w:rsid w:val="001F6AFF"/>
    <w:rsid w:val="001F7602"/>
    <w:rsid w:val="0020003E"/>
    <w:rsid w:val="00200BB6"/>
    <w:rsid w:val="002020F3"/>
    <w:rsid w:val="00202BFD"/>
    <w:rsid w:val="002049FE"/>
    <w:rsid w:val="00204ADF"/>
    <w:rsid w:val="00204C00"/>
    <w:rsid w:val="00205603"/>
    <w:rsid w:val="00205652"/>
    <w:rsid w:val="002057D0"/>
    <w:rsid w:val="00205BC2"/>
    <w:rsid w:val="00205D8A"/>
    <w:rsid w:val="00206001"/>
    <w:rsid w:val="00206056"/>
    <w:rsid w:val="002062AA"/>
    <w:rsid w:val="0020637F"/>
    <w:rsid w:val="002066D6"/>
    <w:rsid w:val="0020696C"/>
    <w:rsid w:val="00206F4D"/>
    <w:rsid w:val="00207203"/>
    <w:rsid w:val="002105F4"/>
    <w:rsid w:val="00210F02"/>
    <w:rsid w:val="0021116B"/>
    <w:rsid w:val="0021233E"/>
    <w:rsid w:val="00215107"/>
    <w:rsid w:val="0021528E"/>
    <w:rsid w:val="00215813"/>
    <w:rsid w:val="00216D24"/>
    <w:rsid w:val="00217548"/>
    <w:rsid w:val="002202F9"/>
    <w:rsid w:val="002209FB"/>
    <w:rsid w:val="00221C5B"/>
    <w:rsid w:val="00221D0E"/>
    <w:rsid w:val="00221E31"/>
    <w:rsid w:val="00222196"/>
    <w:rsid w:val="0022317E"/>
    <w:rsid w:val="002234AE"/>
    <w:rsid w:val="00224599"/>
    <w:rsid w:val="00224D4C"/>
    <w:rsid w:val="00224F31"/>
    <w:rsid w:val="00224FDE"/>
    <w:rsid w:val="002251E7"/>
    <w:rsid w:val="0022524D"/>
    <w:rsid w:val="00225883"/>
    <w:rsid w:val="00225B20"/>
    <w:rsid w:val="00225DE4"/>
    <w:rsid w:val="0022627D"/>
    <w:rsid w:val="00226BB4"/>
    <w:rsid w:val="00226D02"/>
    <w:rsid w:val="00230471"/>
    <w:rsid w:val="00230499"/>
    <w:rsid w:val="002308DC"/>
    <w:rsid w:val="00230C86"/>
    <w:rsid w:val="00231044"/>
    <w:rsid w:val="00231132"/>
    <w:rsid w:val="002313ED"/>
    <w:rsid w:val="00232878"/>
    <w:rsid w:val="00232A1D"/>
    <w:rsid w:val="00232CEE"/>
    <w:rsid w:val="0023380E"/>
    <w:rsid w:val="0023389C"/>
    <w:rsid w:val="00233BEF"/>
    <w:rsid w:val="002352B1"/>
    <w:rsid w:val="0023559C"/>
    <w:rsid w:val="002358BE"/>
    <w:rsid w:val="00235A21"/>
    <w:rsid w:val="00236184"/>
    <w:rsid w:val="002364A5"/>
    <w:rsid w:val="0023667D"/>
    <w:rsid w:val="00236DFA"/>
    <w:rsid w:val="00237229"/>
    <w:rsid w:val="00237AB9"/>
    <w:rsid w:val="00237F56"/>
    <w:rsid w:val="00240087"/>
    <w:rsid w:val="00241170"/>
    <w:rsid w:val="002426E5"/>
    <w:rsid w:val="002433AB"/>
    <w:rsid w:val="0024356B"/>
    <w:rsid w:val="00243C61"/>
    <w:rsid w:val="002444BA"/>
    <w:rsid w:val="0024527E"/>
    <w:rsid w:val="00245656"/>
    <w:rsid w:val="002459F8"/>
    <w:rsid w:val="00246155"/>
    <w:rsid w:val="002463AE"/>
    <w:rsid w:val="002463B1"/>
    <w:rsid w:val="0024664F"/>
    <w:rsid w:val="002467C5"/>
    <w:rsid w:val="00246899"/>
    <w:rsid w:val="00246A9B"/>
    <w:rsid w:val="00246BAA"/>
    <w:rsid w:val="002475E5"/>
    <w:rsid w:val="00247BF0"/>
    <w:rsid w:val="00250102"/>
    <w:rsid w:val="00250376"/>
    <w:rsid w:val="0025041D"/>
    <w:rsid w:val="00251272"/>
    <w:rsid w:val="00251481"/>
    <w:rsid w:val="00251A67"/>
    <w:rsid w:val="00252425"/>
    <w:rsid w:val="00252DE8"/>
    <w:rsid w:val="00252F2B"/>
    <w:rsid w:val="002531C1"/>
    <w:rsid w:val="0025378A"/>
    <w:rsid w:val="00255486"/>
    <w:rsid w:val="002555BF"/>
    <w:rsid w:val="00255AF8"/>
    <w:rsid w:val="00255D55"/>
    <w:rsid w:val="00256152"/>
    <w:rsid w:val="00257C9B"/>
    <w:rsid w:val="002608E7"/>
    <w:rsid w:val="002621F3"/>
    <w:rsid w:val="0026335D"/>
    <w:rsid w:val="0026362B"/>
    <w:rsid w:val="00264E4A"/>
    <w:rsid w:val="00265574"/>
    <w:rsid w:val="002669A7"/>
    <w:rsid w:val="00267308"/>
    <w:rsid w:val="00267964"/>
    <w:rsid w:val="00267F98"/>
    <w:rsid w:val="00267FBC"/>
    <w:rsid w:val="00270170"/>
    <w:rsid w:val="002701DB"/>
    <w:rsid w:val="00270971"/>
    <w:rsid w:val="00270F9D"/>
    <w:rsid w:val="00271CB8"/>
    <w:rsid w:val="0027246C"/>
    <w:rsid w:val="00272591"/>
    <w:rsid w:val="00274C40"/>
    <w:rsid w:val="0027517E"/>
    <w:rsid w:val="002752B7"/>
    <w:rsid w:val="0027587B"/>
    <w:rsid w:val="002763EC"/>
    <w:rsid w:val="00276B10"/>
    <w:rsid w:val="00276FCF"/>
    <w:rsid w:val="0027749D"/>
    <w:rsid w:val="002778F1"/>
    <w:rsid w:val="00280624"/>
    <w:rsid w:val="00280A00"/>
    <w:rsid w:val="00280A64"/>
    <w:rsid w:val="00280C6F"/>
    <w:rsid w:val="0028155F"/>
    <w:rsid w:val="002817FE"/>
    <w:rsid w:val="00281D3B"/>
    <w:rsid w:val="00281D8E"/>
    <w:rsid w:val="0028256B"/>
    <w:rsid w:val="002828D9"/>
    <w:rsid w:val="00282DF9"/>
    <w:rsid w:val="00282F82"/>
    <w:rsid w:val="002834B6"/>
    <w:rsid w:val="00285E14"/>
    <w:rsid w:val="00286328"/>
    <w:rsid w:val="002866E8"/>
    <w:rsid w:val="002868B7"/>
    <w:rsid w:val="00286A9E"/>
    <w:rsid w:val="00286BE9"/>
    <w:rsid w:val="002875BC"/>
    <w:rsid w:val="00287AAA"/>
    <w:rsid w:val="00287CC8"/>
    <w:rsid w:val="00287DF3"/>
    <w:rsid w:val="00287EFC"/>
    <w:rsid w:val="0029071D"/>
    <w:rsid w:val="00290D5D"/>
    <w:rsid w:val="002913EF"/>
    <w:rsid w:val="002916F1"/>
    <w:rsid w:val="002917D5"/>
    <w:rsid w:val="00291B10"/>
    <w:rsid w:val="0029206C"/>
    <w:rsid w:val="002921CC"/>
    <w:rsid w:val="002923BC"/>
    <w:rsid w:val="00292583"/>
    <w:rsid w:val="002929C7"/>
    <w:rsid w:val="00293307"/>
    <w:rsid w:val="00293A83"/>
    <w:rsid w:val="00293A88"/>
    <w:rsid w:val="00294C35"/>
    <w:rsid w:val="00295080"/>
    <w:rsid w:val="0029572B"/>
    <w:rsid w:val="002957F6"/>
    <w:rsid w:val="00295A15"/>
    <w:rsid w:val="00295D46"/>
    <w:rsid w:val="00296014"/>
    <w:rsid w:val="00296F32"/>
    <w:rsid w:val="0029710D"/>
    <w:rsid w:val="002A0159"/>
    <w:rsid w:val="002A0CC8"/>
    <w:rsid w:val="002A174E"/>
    <w:rsid w:val="002A1C52"/>
    <w:rsid w:val="002A210E"/>
    <w:rsid w:val="002A2661"/>
    <w:rsid w:val="002A3385"/>
    <w:rsid w:val="002A356E"/>
    <w:rsid w:val="002A3BA6"/>
    <w:rsid w:val="002A3D33"/>
    <w:rsid w:val="002A3E37"/>
    <w:rsid w:val="002A4296"/>
    <w:rsid w:val="002A43B8"/>
    <w:rsid w:val="002A52CC"/>
    <w:rsid w:val="002A6112"/>
    <w:rsid w:val="002A7EFC"/>
    <w:rsid w:val="002B0403"/>
    <w:rsid w:val="002B0C42"/>
    <w:rsid w:val="002B0F86"/>
    <w:rsid w:val="002B110D"/>
    <w:rsid w:val="002B134D"/>
    <w:rsid w:val="002B31BA"/>
    <w:rsid w:val="002B388E"/>
    <w:rsid w:val="002B3A81"/>
    <w:rsid w:val="002B4A56"/>
    <w:rsid w:val="002B4F05"/>
    <w:rsid w:val="002B51BB"/>
    <w:rsid w:val="002B730D"/>
    <w:rsid w:val="002B79FD"/>
    <w:rsid w:val="002C07BB"/>
    <w:rsid w:val="002C1089"/>
    <w:rsid w:val="002C11B7"/>
    <w:rsid w:val="002C1813"/>
    <w:rsid w:val="002C18EE"/>
    <w:rsid w:val="002C255F"/>
    <w:rsid w:val="002C327D"/>
    <w:rsid w:val="002C4BF8"/>
    <w:rsid w:val="002C4DFC"/>
    <w:rsid w:val="002C4FBC"/>
    <w:rsid w:val="002C503C"/>
    <w:rsid w:val="002C5708"/>
    <w:rsid w:val="002C63EF"/>
    <w:rsid w:val="002C6B40"/>
    <w:rsid w:val="002C6C99"/>
    <w:rsid w:val="002C75FC"/>
    <w:rsid w:val="002C7D63"/>
    <w:rsid w:val="002C7F34"/>
    <w:rsid w:val="002C7F3C"/>
    <w:rsid w:val="002D14A5"/>
    <w:rsid w:val="002D1566"/>
    <w:rsid w:val="002D16B4"/>
    <w:rsid w:val="002D24E1"/>
    <w:rsid w:val="002D26C5"/>
    <w:rsid w:val="002D33C6"/>
    <w:rsid w:val="002D342B"/>
    <w:rsid w:val="002D3A61"/>
    <w:rsid w:val="002D418F"/>
    <w:rsid w:val="002D4489"/>
    <w:rsid w:val="002D50D8"/>
    <w:rsid w:val="002D5721"/>
    <w:rsid w:val="002D5F16"/>
    <w:rsid w:val="002D640F"/>
    <w:rsid w:val="002D68C9"/>
    <w:rsid w:val="002D6998"/>
    <w:rsid w:val="002D7175"/>
    <w:rsid w:val="002D7AD7"/>
    <w:rsid w:val="002E010A"/>
    <w:rsid w:val="002E0314"/>
    <w:rsid w:val="002E104A"/>
    <w:rsid w:val="002E17A9"/>
    <w:rsid w:val="002E1A32"/>
    <w:rsid w:val="002E240F"/>
    <w:rsid w:val="002E241D"/>
    <w:rsid w:val="002E279D"/>
    <w:rsid w:val="002E2A32"/>
    <w:rsid w:val="002E2FF0"/>
    <w:rsid w:val="002E3DE0"/>
    <w:rsid w:val="002E4304"/>
    <w:rsid w:val="002E475A"/>
    <w:rsid w:val="002E5401"/>
    <w:rsid w:val="002E5C0E"/>
    <w:rsid w:val="002E6237"/>
    <w:rsid w:val="002E6406"/>
    <w:rsid w:val="002E6842"/>
    <w:rsid w:val="002E6A48"/>
    <w:rsid w:val="002E6F3E"/>
    <w:rsid w:val="002E71DD"/>
    <w:rsid w:val="002E7332"/>
    <w:rsid w:val="002E7572"/>
    <w:rsid w:val="002E7792"/>
    <w:rsid w:val="002E78BA"/>
    <w:rsid w:val="002F002F"/>
    <w:rsid w:val="002F041B"/>
    <w:rsid w:val="002F08E4"/>
    <w:rsid w:val="002F0947"/>
    <w:rsid w:val="002F123D"/>
    <w:rsid w:val="002F2C83"/>
    <w:rsid w:val="002F3AFF"/>
    <w:rsid w:val="002F3C16"/>
    <w:rsid w:val="002F3C7A"/>
    <w:rsid w:val="002F4A3E"/>
    <w:rsid w:val="002F4C6A"/>
    <w:rsid w:val="002F4D3B"/>
    <w:rsid w:val="002F532F"/>
    <w:rsid w:val="002F5B02"/>
    <w:rsid w:val="002F5B34"/>
    <w:rsid w:val="002F68F7"/>
    <w:rsid w:val="002F6ED4"/>
    <w:rsid w:val="002F76D0"/>
    <w:rsid w:val="002F79B8"/>
    <w:rsid w:val="003003C0"/>
    <w:rsid w:val="00300F0D"/>
    <w:rsid w:val="00302ADB"/>
    <w:rsid w:val="00303325"/>
    <w:rsid w:val="00303491"/>
    <w:rsid w:val="003038D9"/>
    <w:rsid w:val="0030431C"/>
    <w:rsid w:val="003050D4"/>
    <w:rsid w:val="003077B8"/>
    <w:rsid w:val="00307902"/>
    <w:rsid w:val="00310111"/>
    <w:rsid w:val="00310264"/>
    <w:rsid w:val="00310818"/>
    <w:rsid w:val="0031138F"/>
    <w:rsid w:val="00312A6C"/>
    <w:rsid w:val="00312D51"/>
    <w:rsid w:val="00314FFC"/>
    <w:rsid w:val="0031529E"/>
    <w:rsid w:val="00315C18"/>
    <w:rsid w:val="00317A94"/>
    <w:rsid w:val="00317E67"/>
    <w:rsid w:val="00320536"/>
    <w:rsid w:val="0032059A"/>
    <w:rsid w:val="003205BF"/>
    <w:rsid w:val="00320C42"/>
    <w:rsid w:val="0032134C"/>
    <w:rsid w:val="003213C0"/>
    <w:rsid w:val="0032148C"/>
    <w:rsid w:val="00321DF3"/>
    <w:rsid w:val="003227F4"/>
    <w:rsid w:val="00322EE1"/>
    <w:rsid w:val="0032338A"/>
    <w:rsid w:val="0032338D"/>
    <w:rsid w:val="003235C9"/>
    <w:rsid w:val="0032396A"/>
    <w:rsid w:val="00323D09"/>
    <w:rsid w:val="0032464B"/>
    <w:rsid w:val="003251A8"/>
    <w:rsid w:val="00325556"/>
    <w:rsid w:val="00326443"/>
    <w:rsid w:val="00326591"/>
    <w:rsid w:val="003266A5"/>
    <w:rsid w:val="0032695C"/>
    <w:rsid w:val="003270B5"/>
    <w:rsid w:val="003277F0"/>
    <w:rsid w:val="00327C3B"/>
    <w:rsid w:val="0033056D"/>
    <w:rsid w:val="0033088A"/>
    <w:rsid w:val="00331311"/>
    <w:rsid w:val="0033132A"/>
    <w:rsid w:val="00331477"/>
    <w:rsid w:val="00331BC6"/>
    <w:rsid w:val="00332221"/>
    <w:rsid w:val="0033228C"/>
    <w:rsid w:val="00332BFE"/>
    <w:rsid w:val="00333096"/>
    <w:rsid w:val="0033309F"/>
    <w:rsid w:val="00334361"/>
    <w:rsid w:val="0033468D"/>
    <w:rsid w:val="00336A3E"/>
    <w:rsid w:val="00337141"/>
    <w:rsid w:val="00337C2D"/>
    <w:rsid w:val="00337D74"/>
    <w:rsid w:val="0034037A"/>
    <w:rsid w:val="00340B50"/>
    <w:rsid w:val="00340DAE"/>
    <w:rsid w:val="0034147D"/>
    <w:rsid w:val="0034184F"/>
    <w:rsid w:val="00341B1F"/>
    <w:rsid w:val="0034241E"/>
    <w:rsid w:val="00342899"/>
    <w:rsid w:val="003428D0"/>
    <w:rsid w:val="00343748"/>
    <w:rsid w:val="00343E24"/>
    <w:rsid w:val="00344691"/>
    <w:rsid w:val="00344D96"/>
    <w:rsid w:val="003455FE"/>
    <w:rsid w:val="00345C68"/>
    <w:rsid w:val="00346040"/>
    <w:rsid w:val="0034608E"/>
    <w:rsid w:val="00346323"/>
    <w:rsid w:val="00346918"/>
    <w:rsid w:val="00346BFF"/>
    <w:rsid w:val="003475BF"/>
    <w:rsid w:val="003477D4"/>
    <w:rsid w:val="00347A3D"/>
    <w:rsid w:val="00347BAA"/>
    <w:rsid w:val="00347BB9"/>
    <w:rsid w:val="00350A1A"/>
    <w:rsid w:val="00350C06"/>
    <w:rsid w:val="003521C6"/>
    <w:rsid w:val="00352AEB"/>
    <w:rsid w:val="00352BDA"/>
    <w:rsid w:val="003530A1"/>
    <w:rsid w:val="00353618"/>
    <w:rsid w:val="00353B06"/>
    <w:rsid w:val="00353E42"/>
    <w:rsid w:val="00354266"/>
    <w:rsid w:val="003542E9"/>
    <w:rsid w:val="003548C3"/>
    <w:rsid w:val="00354D68"/>
    <w:rsid w:val="00354EB8"/>
    <w:rsid w:val="00355C25"/>
    <w:rsid w:val="00355E8E"/>
    <w:rsid w:val="0035783F"/>
    <w:rsid w:val="00357EF2"/>
    <w:rsid w:val="00360614"/>
    <w:rsid w:val="003613EB"/>
    <w:rsid w:val="00361425"/>
    <w:rsid w:val="0036161E"/>
    <w:rsid w:val="00361920"/>
    <w:rsid w:val="00361965"/>
    <w:rsid w:val="003619FC"/>
    <w:rsid w:val="00361C45"/>
    <w:rsid w:val="00361E5B"/>
    <w:rsid w:val="00361E5D"/>
    <w:rsid w:val="003626CC"/>
    <w:rsid w:val="00362B3C"/>
    <w:rsid w:val="00363263"/>
    <w:rsid w:val="00364B1B"/>
    <w:rsid w:val="00364E9A"/>
    <w:rsid w:val="00365360"/>
    <w:rsid w:val="00365AE2"/>
    <w:rsid w:val="00365C88"/>
    <w:rsid w:val="0036652C"/>
    <w:rsid w:val="00366B4B"/>
    <w:rsid w:val="00366F26"/>
    <w:rsid w:val="0037019F"/>
    <w:rsid w:val="00370C03"/>
    <w:rsid w:val="00370CEE"/>
    <w:rsid w:val="00371059"/>
    <w:rsid w:val="0037152D"/>
    <w:rsid w:val="00371C70"/>
    <w:rsid w:val="00372ED7"/>
    <w:rsid w:val="00372FC9"/>
    <w:rsid w:val="00373331"/>
    <w:rsid w:val="003737F4"/>
    <w:rsid w:val="0037389E"/>
    <w:rsid w:val="00374012"/>
    <w:rsid w:val="00374341"/>
    <w:rsid w:val="00374F67"/>
    <w:rsid w:val="00376BB6"/>
    <w:rsid w:val="00377D5B"/>
    <w:rsid w:val="0038079E"/>
    <w:rsid w:val="00380DFF"/>
    <w:rsid w:val="00380ED1"/>
    <w:rsid w:val="003813C8"/>
    <w:rsid w:val="00381561"/>
    <w:rsid w:val="0038190E"/>
    <w:rsid w:val="00381E06"/>
    <w:rsid w:val="00382A64"/>
    <w:rsid w:val="00382CAD"/>
    <w:rsid w:val="003833A5"/>
    <w:rsid w:val="00383D39"/>
    <w:rsid w:val="003843A2"/>
    <w:rsid w:val="00386522"/>
    <w:rsid w:val="00387891"/>
    <w:rsid w:val="00387EDB"/>
    <w:rsid w:val="003904EE"/>
    <w:rsid w:val="003906CA"/>
    <w:rsid w:val="00391150"/>
    <w:rsid w:val="00392708"/>
    <w:rsid w:val="00392B49"/>
    <w:rsid w:val="003936A7"/>
    <w:rsid w:val="00393CB2"/>
    <w:rsid w:val="00395C12"/>
    <w:rsid w:val="00396BA9"/>
    <w:rsid w:val="0039704A"/>
    <w:rsid w:val="0039794E"/>
    <w:rsid w:val="00397CFC"/>
    <w:rsid w:val="003A0085"/>
    <w:rsid w:val="003A01DC"/>
    <w:rsid w:val="003A036F"/>
    <w:rsid w:val="003A076D"/>
    <w:rsid w:val="003A0D09"/>
    <w:rsid w:val="003A1288"/>
    <w:rsid w:val="003A1387"/>
    <w:rsid w:val="003A158E"/>
    <w:rsid w:val="003A19B8"/>
    <w:rsid w:val="003A2181"/>
    <w:rsid w:val="003A2628"/>
    <w:rsid w:val="003A29CB"/>
    <w:rsid w:val="003A2F00"/>
    <w:rsid w:val="003A3A1F"/>
    <w:rsid w:val="003A3B06"/>
    <w:rsid w:val="003A3E2E"/>
    <w:rsid w:val="003A3F1A"/>
    <w:rsid w:val="003A41C0"/>
    <w:rsid w:val="003A49E6"/>
    <w:rsid w:val="003A4BD8"/>
    <w:rsid w:val="003A51E5"/>
    <w:rsid w:val="003A5242"/>
    <w:rsid w:val="003A58FC"/>
    <w:rsid w:val="003A6A94"/>
    <w:rsid w:val="003A6CB0"/>
    <w:rsid w:val="003A6FA4"/>
    <w:rsid w:val="003A719D"/>
    <w:rsid w:val="003A79D4"/>
    <w:rsid w:val="003A7CD9"/>
    <w:rsid w:val="003A7F02"/>
    <w:rsid w:val="003B0634"/>
    <w:rsid w:val="003B08B1"/>
    <w:rsid w:val="003B08D0"/>
    <w:rsid w:val="003B0D88"/>
    <w:rsid w:val="003B1001"/>
    <w:rsid w:val="003B1182"/>
    <w:rsid w:val="003B2B9F"/>
    <w:rsid w:val="003B2BD0"/>
    <w:rsid w:val="003B34F0"/>
    <w:rsid w:val="003B3C33"/>
    <w:rsid w:val="003B3E74"/>
    <w:rsid w:val="003B4874"/>
    <w:rsid w:val="003B490B"/>
    <w:rsid w:val="003B4A5C"/>
    <w:rsid w:val="003B4D9B"/>
    <w:rsid w:val="003B4DE4"/>
    <w:rsid w:val="003B6192"/>
    <w:rsid w:val="003B71A5"/>
    <w:rsid w:val="003B78B0"/>
    <w:rsid w:val="003C0BFB"/>
    <w:rsid w:val="003C1B38"/>
    <w:rsid w:val="003C1C47"/>
    <w:rsid w:val="003C1F7B"/>
    <w:rsid w:val="003C2148"/>
    <w:rsid w:val="003C228D"/>
    <w:rsid w:val="003C2861"/>
    <w:rsid w:val="003C2869"/>
    <w:rsid w:val="003C2E2E"/>
    <w:rsid w:val="003C3810"/>
    <w:rsid w:val="003C4421"/>
    <w:rsid w:val="003C450E"/>
    <w:rsid w:val="003C571E"/>
    <w:rsid w:val="003C5E5A"/>
    <w:rsid w:val="003C6322"/>
    <w:rsid w:val="003C68B0"/>
    <w:rsid w:val="003C6A29"/>
    <w:rsid w:val="003C6B6E"/>
    <w:rsid w:val="003C6D6E"/>
    <w:rsid w:val="003C6DE7"/>
    <w:rsid w:val="003C7EB3"/>
    <w:rsid w:val="003D01CB"/>
    <w:rsid w:val="003D07A8"/>
    <w:rsid w:val="003D0802"/>
    <w:rsid w:val="003D09B9"/>
    <w:rsid w:val="003D0DB4"/>
    <w:rsid w:val="003D10BD"/>
    <w:rsid w:val="003D187C"/>
    <w:rsid w:val="003D230E"/>
    <w:rsid w:val="003D24A4"/>
    <w:rsid w:val="003D2B01"/>
    <w:rsid w:val="003D33EA"/>
    <w:rsid w:val="003D3ABA"/>
    <w:rsid w:val="003D3E3B"/>
    <w:rsid w:val="003D3EDC"/>
    <w:rsid w:val="003D3FB8"/>
    <w:rsid w:val="003D444C"/>
    <w:rsid w:val="003D4624"/>
    <w:rsid w:val="003D4AF4"/>
    <w:rsid w:val="003D518A"/>
    <w:rsid w:val="003D551A"/>
    <w:rsid w:val="003D55B0"/>
    <w:rsid w:val="003D681F"/>
    <w:rsid w:val="003D6C7F"/>
    <w:rsid w:val="003D7835"/>
    <w:rsid w:val="003E040E"/>
    <w:rsid w:val="003E1E3A"/>
    <w:rsid w:val="003E30B5"/>
    <w:rsid w:val="003E326E"/>
    <w:rsid w:val="003E368C"/>
    <w:rsid w:val="003E372A"/>
    <w:rsid w:val="003E49F4"/>
    <w:rsid w:val="003E4B31"/>
    <w:rsid w:val="003E58F4"/>
    <w:rsid w:val="003E5C6B"/>
    <w:rsid w:val="003E5D0C"/>
    <w:rsid w:val="003E5FD7"/>
    <w:rsid w:val="003E6DDA"/>
    <w:rsid w:val="003E6EA5"/>
    <w:rsid w:val="003E70A4"/>
    <w:rsid w:val="003E767F"/>
    <w:rsid w:val="003F031E"/>
    <w:rsid w:val="003F067F"/>
    <w:rsid w:val="003F15C0"/>
    <w:rsid w:val="003F17CD"/>
    <w:rsid w:val="003F18CD"/>
    <w:rsid w:val="003F25B3"/>
    <w:rsid w:val="003F2964"/>
    <w:rsid w:val="003F2E6F"/>
    <w:rsid w:val="003F2F67"/>
    <w:rsid w:val="003F335D"/>
    <w:rsid w:val="003F3AAE"/>
    <w:rsid w:val="003F46C9"/>
    <w:rsid w:val="003F490B"/>
    <w:rsid w:val="003F5353"/>
    <w:rsid w:val="003F576B"/>
    <w:rsid w:val="003F66C1"/>
    <w:rsid w:val="003F7812"/>
    <w:rsid w:val="003F7937"/>
    <w:rsid w:val="00400035"/>
    <w:rsid w:val="00400AA5"/>
    <w:rsid w:val="00400FDB"/>
    <w:rsid w:val="0040109D"/>
    <w:rsid w:val="0040154C"/>
    <w:rsid w:val="004015D1"/>
    <w:rsid w:val="00401696"/>
    <w:rsid w:val="00401943"/>
    <w:rsid w:val="0040215E"/>
    <w:rsid w:val="00402E62"/>
    <w:rsid w:val="00403969"/>
    <w:rsid w:val="00404174"/>
    <w:rsid w:val="0040460C"/>
    <w:rsid w:val="00404D70"/>
    <w:rsid w:val="00405041"/>
    <w:rsid w:val="00405602"/>
    <w:rsid w:val="004058B6"/>
    <w:rsid w:val="004059B6"/>
    <w:rsid w:val="004060CC"/>
    <w:rsid w:val="004074A0"/>
    <w:rsid w:val="00407B8C"/>
    <w:rsid w:val="00407C33"/>
    <w:rsid w:val="00407EA4"/>
    <w:rsid w:val="00410330"/>
    <w:rsid w:val="004119F7"/>
    <w:rsid w:val="00411DDA"/>
    <w:rsid w:val="00412920"/>
    <w:rsid w:val="00412C36"/>
    <w:rsid w:val="0041354E"/>
    <w:rsid w:val="00413754"/>
    <w:rsid w:val="00414276"/>
    <w:rsid w:val="00414483"/>
    <w:rsid w:val="00414AC3"/>
    <w:rsid w:val="00414E8E"/>
    <w:rsid w:val="00414FD6"/>
    <w:rsid w:val="004156D2"/>
    <w:rsid w:val="004159DB"/>
    <w:rsid w:val="00415C14"/>
    <w:rsid w:val="00415F02"/>
    <w:rsid w:val="0041681E"/>
    <w:rsid w:val="00416843"/>
    <w:rsid w:val="004175DF"/>
    <w:rsid w:val="00420828"/>
    <w:rsid w:val="004212A0"/>
    <w:rsid w:val="00421550"/>
    <w:rsid w:val="004217A5"/>
    <w:rsid w:val="00421B68"/>
    <w:rsid w:val="00423194"/>
    <w:rsid w:val="00423560"/>
    <w:rsid w:val="00423629"/>
    <w:rsid w:val="00423AB6"/>
    <w:rsid w:val="00423B2F"/>
    <w:rsid w:val="00423F80"/>
    <w:rsid w:val="00424BCE"/>
    <w:rsid w:val="004250F0"/>
    <w:rsid w:val="00425786"/>
    <w:rsid w:val="004266C9"/>
    <w:rsid w:val="004269EF"/>
    <w:rsid w:val="004277D2"/>
    <w:rsid w:val="004279B9"/>
    <w:rsid w:val="00427B8B"/>
    <w:rsid w:val="00427C94"/>
    <w:rsid w:val="004310E5"/>
    <w:rsid w:val="00431D72"/>
    <w:rsid w:val="00432072"/>
    <w:rsid w:val="0043208C"/>
    <w:rsid w:val="004323F8"/>
    <w:rsid w:val="00432B1A"/>
    <w:rsid w:val="00432E11"/>
    <w:rsid w:val="004330DC"/>
    <w:rsid w:val="0043345F"/>
    <w:rsid w:val="004334FA"/>
    <w:rsid w:val="004343BA"/>
    <w:rsid w:val="004346AD"/>
    <w:rsid w:val="00435C08"/>
    <w:rsid w:val="00435C4D"/>
    <w:rsid w:val="00436050"/>
    <w:rsid w:val="004363DB"/>
    <w:rsid w:val="004367F9"/>
    <w:rsid w:val="00436A4A"/>
    <w:rsid w:val="0043709A"/>
    <w:rsid w:val="00437453"/>
    <w:rsid w:val="004379D9"/>
    <w:rsid w:val="00440844"/>
    <w:rsid w:val="0044091B"/>
    <w:rsid w:val="00441040"/>
    <w:rsid w:val="004417B9"/>
    <w:rsid w:val="004420E0"/>
    <w:rsid w:val="004427ED"/>
    <w:rsid w:val="004429B3"/>
    <w:rsid w:val="00442D33"/>
    <w:rsid w:val="004437F7"/>
    <w:rsid w:val="00443A1C"/>
    <w:rsid w:val="00443AF9"/>
    <w:rsid w:val="00443EB3"/>
    <w:rsid w:val="00444EA2"/>
    <w:rsid w:val="00445C8F"/>
    <w:rsid w:val="0044629E"/>
    <w:rsid w:val="004465CB"/>
    <w:rsid w:val="00447325"/>
    <w:rsid w:val="004475C6"/>
    <w:rsid w:val="0045047C"/>
    <w:rsid w:val="00451302"/>
    <w:rsid w:val="004513CB"/>
    <w:rsid w:val="00451C55"/>
    <w:rsid w:val="0045205E"/>
    <w:rsid w:val="004520E7"/>
    <w:rsid w:val="004525C5"/>
    <w:rsid w:val="00453245"/>
    <w:rsid w:val="00453906"/>
    <w:rsid w:val="00453945"/>
    <w:rsid w:val="0045399C"/>
    <w:rsid w:val="00453DA4"/>
    <w:rsid w:val="004540CF"/>
    <w:rsid w:val="00455314"/>
    <w:rsid w:val="004564F7"/>
    <w:rsid w:val="00456D6F"/>
    <w:rsid w:val="00456FED"/>
    <w:rsid w:val="00457AF3"/>
    <w:rsid w:val="00457B84"/>
    <w:rsid w:val="00457B90"/>
    <w:rsid w:val="00457F6F"/>
    <w:rsid w:val="00460595"/>
    <w:rsid w:val="0046100A"/>
    <w:rsid w:val="004620AE"/>
    <w:rsid w:val="0046210B"/>
    <w:rsid w:val="00462B01"/>
    <w:rsid w:val="00462F6E"/>
    <w:rsid w:val="00463198"/>
    <w:rsid w:val="00463269"/>
    <w:rsid w:val="0046469C"/>
    <w:rsid w:val="004649FE"/>
    <w:rsid w:val="00465F8B"/>
    <w:rsid w:val="00466B2D"/>
    <w:rsid w:val="004672B6"/>
    <w:rsid w:val="00471D3A"/>
    <w:rsid w:val="00472A31"/>
    <w:rsid w:val="00473B65"/>
    <w:rsid w:val="00473BC8"/>
    <w:rsid w:val="00473DD8"/>
    <w:rsid w:val="004753D2"/>
    <w:rsid w:val="00475C2B"/>
    <w:rsid w:val="004760DE"/>
    <w:rsid w:val="00476781"/>
    <w:rsid w:val="004770A0"/>
    <w:rsid w:val="00477A16"/>
    <w:rsid w:val="00480315"/>
    <w:rsid w:val="00480559"/>
    <w:rsid w:val="004816AD"/>
    <w:rsid w:val="0048185A"/>
    <w:rsid w:val="00481F66"/>
    <w:rsid w:val="00482A4F"/>
    <w:rsid w:val="00483304"/>
    <w:rsid w:val="004835F0"/>
    <w:rsid w:val="00483EE2"/>
    <w:rsid w:val="004840FA"/>
    <w:rsid w:val="0048495D"/>
    <w:rsid w:val="00484D5A"/>
    <w:rsid w:val="00484E38"/>
    <w:rsid w:val="00485084"/>
    <w:rsid w:val="00485BA3"/>
    <w:rsid w:val="00485F07"/>
    <w:rsid w:val="004864E8"/>
    <w:rsid w:val="004865F7"/>
    <w:rsid w:val="00486E07"/>
    <w:rsid w:val="00486E0A"/>
    <w:rsid w:val="00486E71"/>
    <w:rsid w:val="00486F3F"/>
    <w:rsid w:val="00487003"/>
    <w:rsid w:val="004871E2"/>
    <w:rsid w:val="00487556"/>
    <w:rsid w:val="004914AC"/>
    <w:rsid w:val="00492778"/>
    <w:rsid w:val="00492A74"/>
    <w:rsid w:val="00493632"/>
    <w:rsid w:val="00493682"/>
    <w:rsid w:val="004939E7"/>
    <w:rsid w:val="004945E2"/>
    <w:rsid w:val="00494FDA"/>
    <w:rsid w:val="00495341"/>
    <w:rsid w:val="00495B56"/>
    <w:rsid w:val="00495B5F"/>
    <w:rsid w:val="00495B94"/>
    <w:rsid w:val="0049601C"/>
    <w:rsid w:val="004969E2"/>
    <w:rsid w:val="00496FE5"/>
    <w:rsid w:val="00497C90"/>
    <w:rsid w:val="004A05F7"/>
    <w:rsid w:val="004A0CCD"/>
    <w:rsid w:val="004A0CDB"/>
    <w:rsid w:val="004A253F"/>
    <w:rsid w:val="004A2687"/>
    <w:rsid w:val="004A2A07"/>
    <w:rsid w:val="004A3656"/>
    <w:rsid w:val="004A3CB4"/>
    <w:rsid w:val="004A4AFF"/>
    <w:rsid w:val="004A4D8F"/>
    <w:rsid w:val="004A5099"/>
    <w:rsid w:val="004A55B2"/>
    <w:rsid w:val="004A560A"/>
    <w:rsid w:val="004A5703"/>
    <w:rsid w:val="004A6E4A"/>
    <w:rsid w:val="004A6EE1"/>
    <w:rsid w:val="004A70BA"/>
    <w:rsid w:val="004A73B3"/>
    <w:rsid w:val="004A7AC6"/>
    <w:rsid w:val="004A7E18"/>
    <w:rsid w:val="004B04C6"/>
    <w:rsid w:val="004B11D5"/>
    <w:rsid w:val="004B2112"/>
    <w:rsid w:val="004B2981"/>
    <w:rsid w:val="004B2FEB"/>
    <w:rsid w:val="004B3A6F"/>
    <w:rsid w:val="004B3E5A"/>
    <w:rsid w:val="004B3EA3"/>
    <w:rsid w:val="004B42F6"/>
    <w:rsid w:val="004B4467"/>
    <w:rsid w:val="004B5BE7"/>
    <w:rsid w:val="004B76C3"/>
    <w:rsid w:val="004B7D7D"/>
    <w:rsid w:val="004C03FA"/>
    <w:rsid w:val="004C046A"/>
    <w:rsid w:val="004C051A"/>
    <w:rsid w:val="004C0E24"/>
    <w:rsid w:val="004C1F1A"/>
    <w:rsid w:val="004C21E8"/>
    <w:rsid w:val="004C24B5"/>
    <w:rsid w:val="004C2823"/>
    <w:rsid w:val="004C307B"/>
    <w:rsid w:val="004C3B5C"/>
    <w:rsid w:val="004C44C8"/>
    <w:rsid w:val="004C47B1"/>
    <w:rsid w:val="004C4A69"/>
    <w:rsid w:val="004C4EF6"/>
    <w:rsid w:val="004C5664"/>
    <w:rsid w:val="004C5D0D"/>
    <w:rsid w:val="004C6A20"/>
    <w:rsid w:val="004C6A99"/>
    <w:rsid w:val="004C7100"/>
    <w:rsid w:val="004C753D"/>
    <w:rsid w:val="004C783A"/>
    <w:rsid w:val="004C7A0C"/>
    <w:rsid w:val="004C7AFA"/>
    <w:rsid w:val="004D0488"/>
    <w:rsid w:val="004D06B0"/>
    <w:rsid w:val="004D0A7F"/>
    <w:rsid w:val="004D1D38"/>
    <w:rsid w:val="004D28B4"/>
    <w:rsid w:val="004D3E94"/>
    <w:rsid w:val="004D4C08"/>
    <w:rsid w:val="004D4CFD"/>
    <w:rsid w:val="004D4FD5"/>
    <w:rsid w:val="004D5D4C"/>
    <w:rsid w:val="004D5EDE"/>
    <w:rsid w:val="004D7015"/>
    <w:rsid w:val="004D7810"/>
    <w:rsid w:val="004D7A90"/>
    <w:rsid w:val="004D7BE4"/>
    <w:rsid w:val="004E0063"/>
    <w:rsid w:val="004E0B0C"/>
    <w:rsid w:val="004E0E07"/>
    <w:rsid w:val="004E10A9"/>
    <w:rsid w:val="004E129B"/>
    <w:rsid w:val="004E1441"/>
    <w:rsid w:val="004E1A2E"/>
    <w:rsid w:val="004E1BA0"/>
    <w:rsid w:val="004E231A"/>
    <w:rsid w:val="004E29BF"/>
    <w:rsid w:val="004E319E"/>
    <w:rsid w:val="004E3B82"/>
    <w:rsid w:val="004E4C68"/>
    <w:rsid w:val="004E4D37"/>
    <w:rsid w:val="004E5211"/>
    <w:rsid w:val="004E572E"/>
    <w:rsid w:val="004E6113"/>
    <w:rsid w:val="004E62B1"/>
    <w:rsid w:val="004E63FE"/>
    <w:rsid w:val="004E6C14"/>
    <w:rsid w:val="004E7843"/>
    <w:rsid w:val="004F0AFD"/>
    <w:rsid w:val="004F0BA2"/>
    <w:rsid w:val="004F1B27"/>
    <w:rsid w:val="004F2B7F"/>
    <w:rsid w:val="004F3CFB"/>
    <w:rsid w:val="004F4B4C"/>
    <w:rsid w:val="004F4FBB"/>
    <w:rsid w:val="004F5E82"/>
    <w:rsid w:val="004F63F0"/>
    <w:rsid w:val="004F6A5E"/>
    <w:rsid w:val="004F6C55"/>
    <w:rsid w:val="004F74CD"/>
    <w:rsid w:val="004F78F9"/>
    <w:rsid w:val="004F7D06"/>
    <w:rsid w:val="004F7D0B"/>
    <w:rsid w:val="004F7E0F"/>
    <w:rsid w:val="00500479"/>
    <w:rsid w:val="00500551"/>
    <w:rsid w:val="00500E8F"/>
    <w:rsid w:val="005013B0"/>
    <w:rsid w:val="00501B05"/>
    <w:rsid w:val="00502417"/>
    <w:rsid w:val="005027E6"/>
    <w:rsid w:val="00502EE4"/>
    <w:rsid w:val="00503B29"/>
    <w:rsid w:val="00503D69"/>
    <w:rsid w:val="00504932"/>
    <w:rsid w:val="00504AA2"/>
    <w:rsid w:val="00504F77"/>
    <w:rsid w:val="0050602F"/>
    <w:rsid w:val="00506386"/>
    <w:rsid w:val="00506954"/>
    <w:rsid w:val="00507194"/>
    <w:rsid w:val="005078F9"/>
    <w:rsid w:val="00507A06"/>
    <w:rsid w:val="00510C7E"/>
    <w:rsid w:val="00511E06"/>
    <w:rsid w:val="00511F09"/>
    <w:rsid w:val="00512038"/>
    <w:rsid w:val="005126A0"/>
    <w:rsid w:val="00512936"/>
    <w:rsid w:val="00512BC9"/>
    <w:rsid w:val="0051324F"/>
    <w:rsid w:val="005132DC"/>
    <w:rsid w:val="00513B43"/>
    <w:rsid w:val="00513D88"/>
    <w:rsid w:val="00514153"/>
    <w:rsid w:val="0051479D"/>
    <w:rsid w:val="00514BD6"/>
    <w:rsid w:val="00514C29"/>
    <w:rsid w:val="005157C9"/>
    <w:rsid w:val="00515E9E"/>
    <w:rsid w:val="005161A4"/>
    <w:rsid w:val="0051638C"/>
    <w:rsid w:val="00516F53"/>
    <w:rsid w:val="005176CB"/>
    <w:rsid w:val="0051772B"/>
    <w:rsid w:val="005179A2"/>
    <w:rsid w:val="00517D7A"/>
    <w:rsid w:val="0052020B"/>
    <w:rsid w:val="005208AE"/>
    <w:rsid w:val="00520DF6"/>
    <w:rsid w:val="00521762"/>
    <w:rsid w:val="0052181A"/>
    <w:rsid w:val="00521BFF"/>
    <w:rsid w:val="0052277B"/>
    <w:rsid w:val="0052295F"/>
    <w:rsid w:val="00522A2B"/>
    <w:rsid w:val="00523225"/>
    <w:rsid w:val="0052363E"/>
    <w:rsid w:val="00524815"/>
    <w:rsid w:val="00525071"/>
    <w:rsid w:val="005251AE"/>
    <w:rsid w:val="0052528F"/>
    <w:rsid w:val="005256F4"/>
    <w:rsid w:val="005258E8"/>
    <w:rsid w:val="00525A4C"/>
    <w:rsid w:val="00525DDE"/>
    <w:rsid w:val="0052752A"/>
    <w:rsid w:val="00527FE1"/>
    <w:rsid w:val="005302F7"/>
    <w:rsid w:val="00530962"/>
    <w:rsid w:val="00530CE8"/>
    <w:rsid w:val="00530EC6"/>
    <w:rsid w:val="005314F0"/>
    <w:rsid w:val="00531626"/>
    <w:rsid w:val="00531A07"/>
    <w:rsid w:val="0053227A"/>
    <w:rsid w:val="005325E8"/>
    <w:rsid w:val="005328B1"/>
    <w:rsid w:val="00532BB2"/>
    <w:rsid w:val="00532DBC"/>
    <w:rsid w:val="005330D3"/>
    <w:rsid w:val="0053334A"/>
    <w:rsid w:val="005333D0"/>
    <w:rsid w:val="00533698"/>
    <w:rsid w:val="00534B0C"/>
    <w:rsid w:val="00534BFA"/>
    <w:rsid w:val="005353B3"/>
    <w:rsid w:val="00535AA7"/>
    <w:rsid w:val="00536AC2"/>
    <w:rsid w:val="005371DE"/>
    <w:rsid w:val="0053733E"/>
    <w:rsid w:val="00537672"/>
    <w:rsid w:val="005377FB"/>
    <w:rsid w:val="00537805"/>
    <w:rsid w:val="0054075D"/>
    <w:rsid w:val="00540EFC"/>
    <w:rsid w:val="0054127A"/>
    <w:rsid w:val="005414C6"/>
    <w:rsid w:val="005415E8"/>
    <w:rsid w:val="00541B39"/>
    <w:rsid w:val="0054278B"/>
    <w:rsid w:val="0054377D"/>
    <w:rsid w:val="00543D6D"/>
    <w:rsid w:val="00544005"/>
    <w:rsid w:val="005445D4"/>
    <w:rsid w:val="005447C2"/>
    <w:rsid w:val="00544F80"/>
    <w:rsid w:val="0054515D"/>
    <w:rsid w:val="00545450"/>
    <w:rsid w:val="00545A90"/>
    <w:rsid w:val="00545C27"/>
    <w:rsid w:val="00545DED"/>
    <w:rsid w:val="00546382"/>
    <w:rsid w:val="00546F37"/>
    <w:rsid w:val="00547790"/>
    <w:rsid w:val="00550303"/>
    <w:rsid w:val="00550FEB"/>
    <w:rsid w:val="00551131"/>
    <w:rsid w:val="005511D0"/>
    <w:rsid w:val="0055125C"/>
    <w:rsid w:val="00551278"/>
    <w:rsid w:val="00551FE3"/>
    <w:rsid w:val="0055204A"/>
    <w:rsid w:val="0055209D"/>
    <w:rsid w:val="0055302F"/>
    <w:rsid w:val="00553371"/>
    <w:rsid w:val="00554459"/>
    <w:rsid w:val="00554839"/>
    <w:rsid w:val="00554D41"/>
    <w:rsid w:val="00554DF0"/>
    <w:rsid w:val="00555B51"/>
    <w:rsid w:val="0055658E"/>
    <w:rsid w:val="00556797"/>
    <w:rsid w:val="00556A09"/>
    <w:rsid w:val="00556B13"/>
    <w:rsid w:val="0055746D"/>
    <w:rsid w:val="00557BB3"/>
    <w:rsid w:val="00561127"/>
    <w:rsid w:val="00561173"/>
    <w:rsid w:val="005613E2"/>
    <w:rsid w:val="0056141C"/>
    <w:rsid w:val="00561835"/>
    <w:rsid w:val="00561B79"/>
    <w:rsid w:val="00562125"/>
    <w:rsid w:val="00562B6A"/>
    <w:rsid w:val="00562D09"/>
    <w:rsid w:val="00562DC6"/>
    <w:rsid w:val="0056317F"/>
    <w:rsid w:val="005636CC"/>
    <w:rsid w:val="00563E54"/>
    <w:rsid w:val="00563EE8"/>
    <w:rsid w:val="0056590D"/>
    <w:rsid w:val="005659DF"/>
    <w:rsid w:val="005665BF"/>
    <w:rsid w:val="00566A0A"/>
    <w:rsid w:val="00566B29"/>
    <w:rsid w:val="00567737"/>
    <w:rsid w:val="00567B48"/>
    <w:rsid w:val="00567F8B"/>
    <w:rsid w:val="00570243"/>
    <w:rsid w:val="00570A66"/>
    <w:rsid w:val="00570E0C"/>
    <w:rsid w:val="00570FD2"/>
    <w:rsid w:val="00571C50"/>
    <w:rsid w:val="005723C1"/>
    <w:rsid w:val="00572465"/>
    <w:rsid w:val="00572711"/>
    <w:rsid w:val="00572770"/>
    <w:rsid w:val="00572F6C"/>
    <w:rsid w:val="00573244"/>
    <w:rsid w:val="0057370D"/>
    <w:rsid w:val="00573D0F"/>
    <w:rsid w:val="005742D8"/>
    <w:rsid w:val="00574614"/>
    <w:rsid w:val="00574CF9"/>
    <w:rsid w:val="005750C2"/>
    <w:rsid w:val="00575881"/>
    <w:rsid w:val="005758EB"/>
    <w:rsid w:val="00576170"/>
    <w:rsid w:val="00576566"/>
    <w:rsid w:val="00576993"/>
    <w:rsid w:val="00577BD5"/>
    <w:rsid w:val="00577CDD"/>
    <w:rsid w:val="00580098"/>
    <w:rsid w:val="0058052E"/>
    <w:rsid w:val="0058068B"/>
    <w:rsid w:val="00580956"/>
    <w:rsid w:val="005814AA"/>
    <w:rsid w:val="00581AC8"/>
    <w:rsid w:val="00582D2D"/>
    <w:rsid w:val="00583E4C"/>
    <w:rsid w:val="00584484"/>
    <w:rsid w:val="00584820"/>
    <w:rsid w:val="00584F8A"/>
    <w:rsid w:val="00585053"/>
    <w:rsid w:val="0058512F"/>
    <w:rsid w:val="00585802"/>
    <w:rsid w:val="00585838"/>
    <w:rsid w:val="00585BAE"/>
    <w:rsid w:val="00585D49"/>
    <w:rsid w:val="00585F62"/>
    <w:rsid w:val="0058617B"/>
    <w:rsid w:val="0058650F"/>
    <w:rsid w:val="00586662"/>
    <w:rsid w:val="00586B0C"/>
    <w:rsid w:val="00590D70"/>
    <w:rsid w:val="00591771"/>
    <w:rsid w:val="0059198D"/>
    <w:rsid w:val="00591DB8"/>
    <w:rsid w:val="00592157"/>
    <w:rsid w:val="0059249A"/>
    <w:rsid w:val="00592A21"/>
    <w:rsid w:val="00593E83"/>
    <w:rsid w:val="00593FE9"/>
    <w:rsid w:val="00594C36"/>
    <w:rsid w:val="00594CF6"/>
    <w:rsid w:val="00594FEF"/>
    <w:rsid w:val="0059546B"/>
    <w:rsid w:val="00595531"/>
    <w:rsid w:val="0059567A"/>
    <w:rsid w:val="00595B93"/>
    <w:rsid w:val="00596408"/>
    <w:rsid w:val="0059665D"/>
    <w:rsid w:val="00597197"/>
    <w:rsid w:val="00597391"/>
    <w:rsid w:val="00597B62"/>
    <w:rsid w:val="005A0410"/>
    <w:rsid w:val="005A0C65"/>
    <w:rsid w:val="005A128E"/>
    <w:rsid w:val="005A1587"/>
    <w:rsid w:val="005A2147"/>
    <w:rsid w:val="005A26ED"/>
    <w:rsid w:val="005A289A"/>
    <w:rsid w:val="005A289B"/>
    <w:rsid w:val="005A2B06"/>
    <w:rsid w:val="005A33B3"/>
    <w:rsid w:val="005A3463"/>
    <w:rsid w:val="005A3D45"/>
    <w:rsid w:val="005A4341"/>
    <w:rsid w:val="005A4C04"/>
    <w:rsid w:val="005A4D92"/>
    <w:rsid w:val="005A4F17"/>
    <w:rsid w:val="005A5EC9"/>
    <w:rsid w:val="005A6438"/>
    <w:rsid w:val="005A6D0D"/>
    <w:rsid w:val="005B0564"/>
    <w:rsid w:val="005B05BA"/>
    <w:rsid w:val="005B07C0"/>
    <w:rsid w:val="005B0900"/>
    <w:rsid w:val="005B163C"/>
    <w:rsid w:val="005B16AF"/>
    <w:rsid w:val="005B19A2"/>
    <w:rsid w:val="005B1BBF"/>
    <w:rsid w:val="005B26B5"/>
    <w:rsid w:val="005B304F"/>
    <w:rsid w:val="005B3185"/>
    <w:rsid w:val="005B34BE"/>
    <w:rsid w:val="005B4673"/>
    <w:rsid w:val="005B4A26"/>
    <w:rsid w:val="005B51D6"/>
    <w:rsid w:val="005B52F7"/>
    <w:rsid w:val="005B5C29"/>
    <w:rsid w:val="005B602E"/>
    <w:rsid w:val="005B6170"/>
    <w:rsid w:val="005B6552"/>
    <w:rsid w:val="005B69A1"/>
    <w:rsid w:val="005B70F1"/>
    <w:rsid w:val="005C01E0"/>
    <w:rsid w:val="005C01FF"/>
    <w:rsid w:val="005C03B5"/>
    <w:rsid w:val="005C33CE"/>
    <w:rsid w:val="005C3F13"/>
    <w:rsid w:val="005C5465"/>
    <w:rsid w:val="005C54D0"/>
    <w:rsid w:val="005C5AAA"/>
    <w:rsid w:val="005C5F48"/>
    <w:rsid w:val="005C74F4"/>
    <w:rsid w:val="005D0263"/>
    <w:rsid w:val="005D1026"/>
    <w:rsid w:val="005D16A7"/>
    <w:rsid w:val="005D18C2"/>
    <w:rsid w:val="005D2158"/>
    <w:rsid w:val="005D2859"/>
    <w:rsid w:val="005D2F01"/>
    <w:rsid w:val="005D3236"/>
    <w:rsid w:val="005D3562"/>
    <w:rsid w:val="005D3657"/>
    <w:rsid w:val="005D36D3"/>
    <w:rsid w:val="005D3956"/>
    <w:rsid w:val="005D3A8D"/>
    <w:rsid w:val="005D3CA5"/>
    <w:rsid w:val="005D47AF"/>
    <w:rsid w:val="005D56C1"/>
    <w:rsid w:val="005D56C9"/>
    <w:rsid w:val="005D623C"/>
    <w:rsid w:val="005D64C5"/>
    <w:rsid w:val="005D65D4"/>
    <w:rsid w:val="005D6A6A"/>
    <w:rsid w:val="005D6FA2"/>
    <w:rsid w:val="005D7E70"/>
    <w:rsid w:val="005D7F42"/>
    <w:rsid w:val="005E0366"/>
    <w:rsid w:val="005E0427"/>
    <w:rsid w:val="005E1688"/>
    <w:rsid w:val="005E178B"/>
    <w:rsid w:val="005E19CB"/>
    <w:rsid w:val="005E1A60"/>
    <w:rsid w:val="005E1C26"/>
    <w:rsid w:val="005E1CDA"/>
    <w:rsid w:val="005E1FC3"/>
    <w:rsid w:val="005E244A"/>
    <w:rsid w:val="005E296D"/>
    <w:rsid w:val="005E2E77"/>
    <w:rsid w:val="005E3063"/>
    <w:rsid w:val="005E343B"/>
    <w:rsid w:val="005E38EB"/>
    <w:rsid w:val="005E3AD4"/>
    <w:rsid w:val="005E3B68"/>
    <w:rsid w:val="005E42CF"/>
    <w:rsid w:val="005E4BFE"/>
    <w:rsid w:val="005E5DBC"/>
    <w:rsid w:val="005E5FB1"/>
    <w:rsid w:val="005E64CB"/>
    <w:rsid w:val="005E6C43"/>
    <w:rsid w:val="005E78E8"/>
    <w:rsid w:val="005F15B3"/>
    <w:rsid w:val="005F29CD"/>
    <w:rsid w:val="005F3159"/>
    <w:rsid w:val="005F35BD"/>
    <w:rsid w:val="005F389B"/>
    <w:rsid w:val="005F3ECE"/>
    <w:rsid w:val="005F3FA5"/>
    <w:rsid w:val="005F45A0"/>
    <w:rsid w:val="005F5E5C"/>
    <w:rsid w:val="005F62BA"/>
    <w:rsid w:val="005F6634"/>
    <w:rsid w:val="005F6697"/>
    <w:rsid w:val="005F68B6"/>
    <w:rsid w:val="005F6C0A"/>
    <w:rsid w:val="005F73D2"/>
    <w:rsid w:val="005F799C"/>
    <w:rsid w:val="005F79C7"/>
    <w:rsid w:val="005F7D22"/>
    <w:rsid w:val="005F7EB6"/>
    <w:rsid w:val="00600075"/>
    <w:rsid w:val="0060068C"/>
    <w:rsid w:val="00600A97"/>
    <w:rsid w:val="00600E89"/>
    <w:rsid w:val="0060215B"/>
    <w:rsid w:val="00602291"/>
    <w:rsid w:val="00602694"/>
    <w:rsid w:val="00602EFB"/>
    <w:rsid w:val="00603F33"/>
    <w:rsid w:val="0060427C"/>
    <w:rsid w:val="006044DC"/>
    <w:rsid w:val="00605124"/>
    <w:rsid w:val="006051F4"/>
    <w:rsid w:val="00605920"/>
    <w:rsid w:val="00606970"/>
    <w:rsid w:val="0060704D"/>
    <w:rsid w:val="006076B0"/>
    <w:rsid w:val="00610946"/>
    <w:rsid w:val="0061106B"/>
    <w:rsid w:val="00613443"/>
    <w:rsid w:val="00613BFC"/>
    <w:rsid w:val="0061400B"/>
    <w:rsid w:val="00615083"/>
    <w:rsid w:val="0061519A"/>
    <w:rsid w:val="0061526E"/>
    <w:rsid w:val="006153A8"/>
    <w:rsid w:val="00616222"/>
    <w:rsid w:val="006168EF"/>
    <w:rsid w:val="00617EAC"/>
    <w:rsid w:val="00620861"/>
    <w:rsid w:val="00620FD1"/>
    <w:rsid w:val="006210A9"/>
    <w:rsid w:val="00621ACF"/>
    <w:rsid w:val="00621E15"/>
    <w:rsid w:val="006224B9"/>
    <w:rsid w:val="00622B63"/>
    <w:rsid w:val="00622C48"/>
    <w:rsid w:val="00623156"/>
    <w:rsid w:val="0062420A"/>
    <w:rsid w:val="006246DD"/>
    <w:rsid w:val="006253F7"/>
    <w:rsid w:val="00625A0E"/>
    <w:rsid w:val="0062604B"/>
    <w:rsid w:val="00626C13"/>
    <w:rsid w:val="006273A3"/>
    <w:rsid w:val="0063048B"/>
    <w:rsid w:val="006305B8"/>
    <w:rsid w:val="0063068E"/>
    <w:rsid w:val="00630A0A"/>
    <w:rsid w:val="00630CE8"/>
    <w:rsid w:val="00630F67"/>
    <w:rsid w:val="00630FF7"/>
    <w:rsid w:val="006315F2"/>
    <w:rsid w:val="00632C88"/>
    <w:rsid w:val="00632FE6"/>
    <w:rsid w:val="0063326B"/>
    <w:rsid w:val="00633485"/>
    <w:rsid w:val="00633B6D"/>
    <w:rsid w:val="00633E19"/>
    <w:rsid w:val="0063440D"/>
    <w:rsid w:val="00634CD8"/>
    <w:rsid w:val="006353AA"/>
    <w:rsid w:val="0063582D"/>
    <w:rsid w:val="00635A6C"/>
    <w:rsid w:val="0063607B"/>
    <w:rsid w:val="006367A9"/>
    <w:rsid w:val="0063730B"/>
    <w:rsid w:val="0063748C"/>
    <w:rsid w:val="00637A7C"/>
    <w:rsid w:val="00637EC1"/>
    <w:rsid w:val="00637ECA"/>
    <w:rsid w:val="00640014"/>
    <w:rsid w:val="00640C0E"/>
    <w:rsid w:val="00640C3D"/>
    <w:rsid w:val="00641137"/>
    <w:rsid w:val="00641930"/>
    <w:rsid w:val="00641DF3"/>
    <w:rsid w:val="00642650"/>
    <w:rsid w:val="006426A0"/>
    <w:rsid w:val="00642791"/>
    <w:rsid w:val="00642A30"/>
    <w:rsid w:val="00642D4E"/>
    <w:rsid w:val="006433C0"/>
    <w:rsid w:val="006438AE"/>
    <w:rsid w:val="00643ADD"/>
    <w:rsid w:val="0064448E"/>
    <w:rsid w:val="00644791"/>
    <w:rsid w:val="00644975"/>
    <w:rsid w:val="006505D1"/>
    <w:rsid w:val="00651FBC"/>
    <w:rsid w:val="00652008"/>
    <w:rsid w:val="00652237"/>
    <w:rsid w:val="0065231E"/>
    <w:rsid w:val="0065249A"/>
    <w:rsid w:val="00652504"/>
    <w:rsid w:val="006525A3"/>
    <w:rsid w:val="0065275B"/>
    <w:rsid w:val="006544E8"/>
    <w:rsid w:val="00654FA5"/>
    <w:rsid w:val="00656013"/>
    <w:rsid w:val="006560F3"/>
    <w:rsid w:val="006563DD"/>
    <w:rsid w:val="0065643C"/>
    <w:rsid w:val="00656BBA"/>
    <w:rsid w:val="00657525"/>
    <w:rsid w:val="006578E3"/>
    <w:rsid w:val="00657B74"/>
    <w:rsid w:val="006600B2"/>
    <w:rsid w:val="006605C9"/>
    <w:rsid w:val="00660808"/>
    <w:rsid w:val="006612CE"/>
    <w:rsid w:val="006617E3"/>
    <w:rsid w:val="00661FDB"/>
    <w:rsid w:val="00662082"/>
    <w:rsid w:val="006622E6"/>
    <w:rsid w:val="00662508"/>
    <w:rsid w:val="00662A96"/>
    <w:rsid w:val="00662E13"/>
    <w:rsid w:val="0066319B"/>
    <w:rsid w:val="006637A8"/>
    <w:rsid w:val="0066391B"/>
    <w:rsid w:val="006639E3"/>
    <w:rsid w:val="00663FF6"/>
    <w:rsid w:val="00664ED7"/>
    <w:rsid w:val="00664F4A"/>
    <w:rsid w:val="00664FBC"/>
    <w:rsid w:val="00665230"/>
    <w:rsid w:val="00665A34"/>
    <w:rsid w:val="00665A93"/>
    <w:rsid w:val="00665BB8"/>
    <w:rsid w:val="00665CF4"/>
    <w:rsid w:val="00665EFA"/>
    <w:rsid w:val="006662B1"/>
    <w:rsid w:val="00666D0D"/>
    <w:rsid w:val="00666F27"/>
    <w:rsid w:val="0067008D"/>
    <w:rsid w:val="006706B7"/>
    <w:rsid w:val="00670CC7"/>
    <w:rsid w:val="00671073"/>
    <w:rsid w:val="00671F61"/>
    <w:rsid w:val="00672B00"/>
    <w:rsid w:val="00672E04"/>
    <w:rsid w:val="00673466"/>
    <w:rsid w:val="00673524"/>
    <w:rsid w:val="00673FE8"/>
    <w:rsid w:val="006743F6"/>
    <w:rsid w:val="00674C25"/>
    <w:rsid w:val="00674E5A"/>
    <w:rsid w:val="006753CD"/>
    <w:rsid w:val="00675530"/>
    <w:rsid w:val="006763CA"/>
    <w:rsid w:val="00676DA0"/>
    <w:rsid w:val="00677406"/>
    <w:rsid w:val="0068028D"/>
    <w:rsid w:val="00680B16"/>
    <w:rsid w:val="00680E23"/>
    <w:rsid w:val="00680F09"/>
    <w:rsid w:val="006832A0"/>
    <w:rsid w:val="006836EA"/>
    <w:rsid w:val="0068393A"/>
    <w:rsid w:val="0068402D"/>
    <w:rsid w:val="00684332"/>
    <w:rsid w:val="00684C5E"/>
    <w:rsid w:val="00684CF2"/>
    <w:rsid w:val="0068515F"/>
    <w:rsid w:val="006852C4"/>
    <w:rsid w:val="006854D7"/>
    <w:rsid w:val="0068563A"/>
    <w:rsid w:val="0068667B"/>
    <w:rsid w:val="00686979"/>
    <w:rsid w:val="00686C02"/>
    <w:rsid w:val="006878FC"/>
    <w:rsid w:val="00687A6A"/>
    <w:rsid w:val="00690E08"/>
    <w:rsid w:val="00690FBC"/>
    <w:rsid w:val="00691005"/>
    <w:rsid w:val="00691E1D"/>
    <w:rsid w:val="00692EDC"/>
    <w:rsid w:val="00694243"/>
    <w:rsid w:val="006949D1"/>
    <w:rsid w:val="00694D58"/>
    <w:rsid w:val="00695268"/>
    <w:rsid w:val="00696369"/>
    <w:rsid w:val="0069636E"/>
    <w:rsid w:val="006974F7"/>
    <w:rsid w:val="006977E5"/>
    <w:rsid w:val="00697864"/>
    <w:rsid w:val="00697CCA"/>
    <w:rsid w:val="006A011F"/>
    <w:rsid w:val="006A09D3"/>
    <w:rsid w:val="006A207E"/>
    <w:rsid w:val="006A23D3"/>
    <w:rsid w:val="006A26FF"/>
    <w:rsid w:val="006A2AB7"/>
    <w:rsid w:val="006A2F83"/>
    <w:rsid w:val="006A32F0"/>
    <w:rsid w:val="006A4610"/>
    <w:rsid w:val="006A4A25"/>
    <w:rsid w:val="006A51B6"/>
    <w:rsid w:val="006A566B"/>
    <w:rsid w:val="006A6230"/>
    <w:rsid w:val="006A631F"/>
    <w:rsid w:val="006A724D"/>
    <w:rsid w:val="006B005C"/>
    <w:rsid w:val="006B0247"/>
    <w:rsid w:val="006B026C"/>
    <w:rsid w:val="006B0979"/>
    <w:rsid w:val="006B0C02"/>
    <w:rsid w:val="006B0CDE"/>
    <w:rsid w:val="006B1391"/>
    <w:rsid w:val="006B13B5"/>
    <w:rsid w:val="006B1996"/>
    <w:rsid w:val="006B233E"/>
    <w:rsid w:val="006B2415"/>
    <w:rsid w:val="006B2A7F"/>
    <w:rsid w:val="006B2CBB"/>
    <w:rsid w:val="006B37BC"/>
    <w:rsid w:val="006B3BBD"/>
    <w:rsid w:val="006B42C9"/>
    <w:rsid w:val="006B4F4B"/>
    <w:rsid w:val="006B5B7C"/>
    <w:rsid w:val="006B5F0F"/>
    <w:rsid w:val="006B64F6"/>
    <w:rsid w:val="006B6F63"/>
    <w:rsid w:val="006B78CF"/>
    <w:rsid w:val="006B7A47"/>
    <w:rsid w:val="006B7CE2"/>
    <w:rsid w:val="006C0134"/>
    <w:rsid w:val="006C0362"/>
    <w:rsid w:val="006C13A9"/>
    <w:rsid w:val="006C198E"/>
    <w:rsid w:val="006C1DAA"/>
    <w:rsid w:val="006C20F0"/>
    <w:rsid w:val="006C2F0A"/>
    <w:rsid w:val="006C4AC4"/>
    <w:rsid w:val="006C519D"/>
    <w:rsid w:val="006C56DC"/>
    <w:rsid w:val="006C5D8B"/>
    <w:rsid w:val="006C6671"/>
    <w:rsid w:val="006C6924"/>
    <w:rsid w:val="006C6C3D"/>
    <w:rsid w:val="006C7A4F"/>
    <w:rsid w:val="006C7BF8"/>
    <w:rsid w:val="006C7C50"/>
    <w:rsid w:val="006C7D66"/>
    <w:rsid w:val="006C7D68"/>
    <w:rsid w:val="006D008C"/>
    <w:rsid w:val="006D0097"/>
    <w:rsid w:val="006D03CF"/>
    <w:rsid w:val="006D0410"/>
    <w:rsid w:val="006D0C12"/>
    <w:rsid w:val="006D0FCF"/>
    <w:rsid w:val="006D1647"/>
    <w:rsid w:val="006D1E71"/>
    <w:rsid w:val="006D213F"/>
    <w:rsid w:val="006D2562"/>
    <w:rsid w:val="006D2955"/>
    <w:rsid w:val="006D2D5D"/>
    <w:rsid w:val="006D361E"/>
    <w:rsid w:val="006D391C"/>
    <w:rsid w:val="006D47E5"/>
    <w:rsid w:val="006D4D60"/>
    <w:rsid w:val="006D573B"/>
    <w:rsid w:val="006D62D6"/>
    <w:rsid w:val="006D63CF"/>
    <w:rsid w:val="006D6C30"/>
    <w:rsid w:val="006D702B"/>
    <w:rsid w:val="006D7778"/>
    <w:rsid w:val="006D78EC"/>
    <w:rsid w:val="006D7A8E"/>
    <w:rsid w:val="006E05DC"/>
    <w:rsid w:val="006E0A17"/>
    <w:rsid w:val="006E0E4A"/>
    <w:rsid w:val="006E11F9"/>
    <w:rsid w:val="006E16CD"/>
    <w:rsid w:val="006E229C"/>
    <w:rsid w:val="006E22A9"/>
    <w:rsid w:val="006E24FE"/>
    <w:rsid w:val="006E25BC"/>
    <w:rsid w:val="006E35F5"/>
    <w:rsid w:val="006E396F"/>
    <w:rsid w:val="006E3B32"/>
    <w:rsid w:val="006E3CD1"/>
    <w:rsid w:val="006E4046"/>
    <w:rsid w:val="006E410F"/>
    <w:rsid w:val="006E46BC"/>
    <w:rsid w:val="006E562A"/>
    <w:rsid w:val="006E57B4"/>
    <w:rsid w:val="006E60D0"/>
    <w:rsid w:val="006E6134"/>
    <w:rsid w:val="006E6393"/>
    <w:rsid w:val="006E68DF"/>
    <w:rsid w:val="006E6DE6"/>
    <w:rsid w:val="006F0C10"/>
    <w:rsid w:val="006F0EFB"/>
    <w:rsid w:val="006F108D"/>
    <w:rsid w:val="006F14EA"/>
    <w:rsid w:val="006F160D"/>
    <w:rsid w:val="006F1A3E"/>
    <w:rsid w:val="006F1DEA"/>
    <w:rsid w:val="006F2AA3"/>
    <w:rsid w:val="006F31A3"/>
    <w:rsid w:val="006F38D4"/>
    <w:rsid w:val="006F3C21"/>
    <w:rsid w:val="006F417A"/>
    <w:rsid w:val="006F4C4D"/>
    <w:rsid w:val="006F4D0F"/>
    <w:rsid w:val="006F53E2"/>
    <w:rsid w:val="006F5A06"/>
    <w:rsid w:val="006F5AF8"/>
    <w:rsid w:val="006F6128"/>
    <w:rsid w:val="006F6D99"/>
    <w:rsid w:val="006F6DFC"/>
    <w:rsid w:val="006F6FF1"/>
    <w:rsid w:val="006F7A65"/>
    <w:rsid w:val="00700268"/>
    <w:rsid w:val="00700A19"/>
    <w:rsid w:val="00700D98"/>
    <w:rsid w:val="00701369"/>
    <w:rsid w:val="00701DBE"/>
    <w:rsid w:val="00701E1C"/>
    <w:rsid w:val="007024DD"/>
    <w:rsid w:val="007026F3"/>
    <w:rsid w:val="00703076"/>
    <w:rsid w:val="00703CCA"/>
    <w:rsid w:val="00703ED4"/>
    <w:rsid w:val="0070400D"/>
    <w:rsid w:val="00704185"/>
    <w:rsid w:val="00704BE4"/>
    <w:rsid w:val="00705266"/>
    <w:rsid w:val="0070538E"/>
    <w:rsid w:val="00705718"/>
    <w:rsid w:val="0070580A"/>
    <w:rsid w:val="00705A44"/>
    <w:rsid w:val="00705C88"/>
    <w:rsid w:val="00706365"/>
    <w:rsid w:val="00706513"/>
    <w:rsid w:val="00710493"/>
    <w:rsid w:val="00710805"/>
    <w:rsid w:val="0071080C"/>
    <w:rsid w:val="007108C5"/>
    <w:rsid w:val="00711BA3"/>
    <w:rsid w:val="0071252F"/>
    <w:rsid w:val="00712697"/>
    <w:rsid w:val="00712A3D"/>
    <w:rsid w:val="00714309"/>
    <w:rsid w:val="00714F5C"/>
    <w:rsid w:val="00715773"/>
    <w:rsid w:val="00715B7F"/>
    <w:rsid w:val="00715D86"/>
    <w:rsid w:val="00715DDF"/>
    <w:rsid w:val="00715F37"/>
    <w:rsid w:val="00716156"/>
    <w:rsid w:val="00716598"/>
    <w:rsid w:val="007165C2"/>
    <w:rsid w:val="00717698"/>
    <w:rsid w:val="00717A3B"/>
    <w:rsid w:val="00717BFF"/>
    <w:rsid w:val="00717DA0"/>
    <w:rsid w:val="00720FCF"/>
    <w:rsid w:val="007218ED"/>
    <w:rsid w:val="00721A28"/>
    <w:rsid w:val="00721AD6"/>
    <w:rsid w:val="00722246"/>
    <w:rsid w:val="007227BA"/>
    <w:rsid w:val="00722DDA"/>
    <w:rsid w:val="0072306E"/>
    <w:rsid w:val="007236D2"/>
    <w:rsid w:val="007236FC"/>
    <w:rsid w:val="007238EF"/>
    <w:rsid w:val="00724070"/>
    <w:rsid w:val="007251F8"/>
    <w:rsid w:val="007252AE"/>
    <w:rsid w:val="00725764"/>
    <w:rsid w:val="007258A4"/>
    <w:rsid w:val="00725DA6"/>
    <w:rsid w:val="00726075"/>
    <w:rsid w:val="0072639E"/>
    <w:rsid w:val="00726B00"/>
    <w:rsid w:val="00727B80"/>
    <w:rsid w:val="00730092"/>
    <w:rsid w:val="0073156E"/>
    <w:rsid w:val="0073175A"/>
    <w:rsid w:val="0073249D"/>
    <w:rsid w:val="00732BDA"/>
    <w:rsid w:val="00732E4C"/>
    <w:rsid w:val="00733240"/>
    <w:rsid w:val="00733B7A"/>
    <w:rsid w:val="00733E64"/>
    <w:rsid w:val="007340B3"/>
    <w:rsid w:val="00734454"/>
    <w:rsid w:val="00734497"/>
    <w:rsid w:val="00734AE2"/>
    <w:rsid w:val="0073652A"/>
    <w:rsid w:val="007366AE"/>
    <w:rsid w:val="00736D96"/>
    <w:rsid w:val="00736F06"/>
    <w:rsid w:val="00737683"/>
    <w:rsid w:val="00737E30"/>
    <w:rsid w:val="007401D3"/>
    <w:rsid w:val="007411AC"/>
    <w:rsid w:val="007415BB"/>
    <w:rsid w:val="007420A4"/>
    <w:rsid w:val="00742E0A"/>
    <w:rsid w:val="00742FE4"/>
    <w:rsid w:val="007435CF"/>
    <w:rsid w:val="00743E99"/>
    <w:rsid w:val="00744034"/>
    <w:rsid w:val="00744372"/>
    <w:rsid w:val="00746F81"/>
    <w:rsid w:val="00750A04"/>
    <w:rsid w:val="00750BBE"/>
    <w:rsid w:val="007515DD"/>
    <w:rsid w:val="007519B7"/>
    <w:rsid w:val="00751B7E"/>
    <w:rsid w:val="00751BC3"/>
    <w:rsid w:val="00751DFE"/>
    <w:rsid w:val="007526FB"/>
    <w:rsid w:val="00752C7A"/>
    <w:rsid w:val="00753039"/>
    <w:rsid w:val="00754365"/>
    <w:rsid w:val="00754489"/>
    <w:rsid w:val="00756D59"/>
    <w:rsid w:val="0075745F"/>
    <w:rsid w:val="00760158"/>
    <w:rsid w:val="007603E0"/>
    <w:rsid w:val="00760941"/>
    <w:rsid w:val="00760AD4"/>
    <w:rsid w:val="00760AFB"/>
    <w:rsid w:val="00761576"/>
    <w:rsid w:val="0076193D"/>
    <w:rsid w:val="00762246"/>
    <w:rsid w:val="007630DD"/>
    <w:rsid w:val="00763A03"/>
    <w:rsid w:val="00763ACC"/>
    <w:rsid w:val="00764522"/>
    <w:rsid w:val="007649F5"/>
    <w:rsid w:val="00764D0F"/>
    <w:rsid w:val="007659C4"/>
    <w:rsid w:val="00765AF5"/>
    <w:rsid w:val="00765BA6"/>
    <w:rsid w:val="0076654B"/>
    <w:rsid w:val="00766630"/>
    <w:rsid w:val="007668E8"/>
    <w:rsid w:val="00766BFA"/>
    <w:rsid w:val="0076750D"/>
    <w:rsid w:val="007678DC"/>
    <w:rsid w:val="007703DF"/>
    <w:rsid w:val="007714E3"/>
    <w:rsid w:val="007716E2"/>
    <w:rsid w:val="0077180C"/>
    <w:rsid w:val="00772043"/>
    <w:rsid w:val="0077281E"/>
    <w:rsid w:val="00772953"/>
    <w:rsid w:val="00772E6A"/>
    <w:rsid w:val="00773564"/>
    <w:rsid w:val="007738CA"/>
    <w:rsid w:val="00773C4E"/>
    <w:rsid w:val="0077410D"/>
    <w:rsid w:val="00774387"/>
    <w:rsid w:val="007743B9"/>
    <w:rsid w:val="00774AEB"/>
    <w:rsid w:val="007753F3"/>
    <w:rsid w:val="007756CB"/>
    <w:rsid w:val="00775B3B"/>
    <w:rsid w:val="00775BA3"/>
    <w:rsid w:val="0077612E"/>
    <w:rsid w:val="00776459"/>
    <w:rsid w:val="00776CF4"/>
    <w:rsid w:val="00776E19"/>
    <w:rsid w:val="0077717B"/>
    <w:rsid w:val="00777DAB"/>
    <w:rsid w:val="00780191"/>
    <w:rsid w:val="007809CF"/>
    <w:rsid w:val="00780B00"/>
    <w:rsid w:val="00780FF8"/>
    <w:rsid w:val="0078191C"/>
    <w:rsid w:val="0078198E"/>
    <w:rsid w:val="00782BCB"/>
    <w:rsid w:val="00783817"/>
    <w:rsid w:val="0078392B"/>
    <w:rsid w:val="00784234"/>
    <w:rsid w:val="00785A63"/>
    <w:rsid w:val="00785E74"/>
    <w:rsid w:val="0078688F"/>
    <w:rsid w:val="00786959"/>
    <w:rsid w:val="00786DBF"/>
    <w:rsid w:val="00786F4E"/>
    <w:rsid w:val="007870CD"/>
    <w:rsid w:val="007872B5"/>
    <w:rsid w:val="0078732F"/>
    <w:rsid w:val="00787750"/>
    <w:rsid w:val="00787864"/>
    <w:rsid w:val="007879EE"/>
    <w:rsid w:val="00787C7D"/>
    <w:rsid w:val="00787D3C"/>
    <w:rsid w:val="00790501"/>
    <w:rsid w:val="00790C39"/>
    <w:rsid w:val="00790C60"/>
    <w:rsid w:val="00791129"/>
    <w:rsid w:val="007914FB"/>
    <w:rsid w:val="00791C6A"/>
    <w:rsid w:val="00791CC8"/>
    <w:rsid w:val="00791DF3"/>
    <w:rsid w:val="007927C8"/>
    <w:rsid w:val="0079285B"/>
    <w:rsid w:val="00793381"/>
    <w:rsid w:val="00793A9D"/>
    <w:rsid w:val="00793C06"/>
    <w:rsid w:val="00793C72"/>
    <w:rsid w:val="00794776"/>
    <w:rsid w:val="007949AC"/>
    <w:rsid w:val="00795D00"/>
    <w:rsid w:val="00795DEE"/>
    <w:rsid w:val="00796AF6"/>
    <w:rsid w:val="00797207"/>
    <w:rsid w:val="007975B7"/>
    <w:rsid w:val="00797EA4"/>
    <w:rsid w:val="007A00A1"/>
    <w:rsid w:val="007A0757"/>
    <w:rsid w:val="007A2253"/>
    <w:rsid w:val="007A282D"/>
    <w:rsid w:val="007A2D09"/>
    <w:rsid w:val="007A3332"/>
    <w:rsid w:val="007A47CA"/>
    <w:rsid w:val="007A55AD"/>
    <w:rsid w:val="007A5823"/>
    <w:rsid w:val="007A6C53"/>
    <w:rsid w:val="007A703E"/>
    <w:rsid w:val="007A7C70"/>
    <w:rsid w:val="007A7D8F"/>
    <w:rsid w:val="007B06DD"/>
    <w:rsid w:val="007B0B98"/>
    <w:rsid w:val="007B1E82"/>
    <w:rsid w:val="007B3264"/>
    <w:rsid w:val="007B344F"/>
    <w:rsid w:val="007B3A16"/>
    <w:rsid w:val="007B3AA0"/>
    <w:rsid w:val="007B45DE"/>
    <w:rsid w:val="007B50FA"/>
    <w:rsid w:val="007B5F85"/>
    <w:rsid w:val="007B6671"/>
    <w:rsid w:val="007C01A1"/>
    <w:rsid w:val="007C0ABA"/>
    <w:rsid w:val="007C12BA"/>
    <w:rsid w:val="007C15B5"/>
    <w:rsid w:val="007C175E"/>
    <w:rsid w:val="007C1FD0"/>
    <w:rsid w:val="007C22E9"/>
    <w:rsid w:val="007C2A3F"/>
    <w:rsid w:val="007C2EA3"/>
    <w:rsid w:val="007C3AA6"/>
    <w:rsid w:val="007C3CA3"/>
    <w:rsid w:val="007C56C7"/>
    <w:rsid w:val="007C65E0"/>
    <w:rsid w:val="007C67C5"/>
    <w:rsid w:val="007C6817"/>
    <w:rsid w:val="007C6BEA"/>
    <w:rsid w:val="007C6D36"/>
    <w:rsid w:val="007C6F5D"/>
    <w:rsid w:val="007C6FCF"/>
    <w:rsid w:val="007C72C5"/>
    <w:rsid w:val="007C735B"/>
    <w:rsid w:val="007C741E"/>
    <w:rsid w:val="007C7502"/>
    <w:rsid w:val="007C7674"/>
    <w:rsid w:val="007C76A5"/>
    <w:rsid w:val="007C78E9"/>
    <w:rsid w:val="007D025F"/>
    <w:rsid w:val="007D064B"/>
    <w:rsid w:val="007D0977"/>
    <w:rsid w:val="007D1525"/>
    <w:rsid w:val="007D1B18"/>
    <w:rsid w:val="007D1C57"/>
    <w:rsid w:val="007D2053"/>
    <w:rsid w:val="007D2077"/>
    <w:rsid w:val="007D2D6E"/>
    <w:rsid w:val="007D33A7"/>
    <w:rsid w:val="007D3DAD"/>
    <w:rsid w:val="007D49BD"/>
    <w:rsid w:val="007D4B0B"/>
    <w:rsid w:val="007D54EB"/>
    <w:rsid w:val="007D568C"/>
    <w:rsid w:val="007D58A4"/>
    <w:rsid w:val="007D629F"/>
    <w:rsid w:val="007D6459"/>
    <w:rsid w:val="007D66D7"/>
    <w:rsid w:val="007D69C1"/>
    <w:rsid w:val="007D6FE5"/>
    <w:rsid w:val="007D719F"/>
    <w:rsid w:val="007E01C0"/>
    <w:rsid w:val="007E07CF"/>
    <w:rsid w:val="007E088D"/>
    <w:rsid w:val="007E1BE7"/>
    <w:rsid w:val="007E24FD"/>
    <w:rsid w:val="007E3C8C"/>
    <w:rsid w:val="007E3CB6"/>
    <w:rsid w:val="007E3EAE"/>
    <w:rsid w:val="007E3F7D"/>
    <w:rsid w:val="007E4882"/>
    <w:rsid w:val="007E4A42"/>
    <w:rsid w:val="007E4F86"/>
    <w:rsid w:val="007E5169"/>
    <w:rsid w:val="007E574F"/>
    <w:rsid w:val="007E5B88"/>
    <w:rsid w:val="007E5EE3"/>
    <w:rsid w:val="007E6584"/>
    <w:rsid w:val="007E672B"/>
    <w:rsid w:val="007E675F"/>
    <w:rsid w:val="007E6A45"/>
    <w:rsid w:val="007E73B7"/>
    <w:rsid w:val="007E7625"/>
    <w:rsid w:val="007E7C16"/>
    <w:rsid w:val="007E7C5C"/>
    <w:rsid w:val="007E7DE1"/>
    <w:rsid w:val="007F08E1"/>
    <w:rsid w:val="007F2FB4"/>
    <w:rsid w:val="007F46DB"/>
    <w:rsid w:val="007F46F5"/>
    <w:rsid w:val="007F498C"/>
    <w:rsid w:val="007F5617"/>
    <w:rsid w:val="007F5EE4"/>
    <w:rsid w:val="007F68D9"/>
    <w:rsid w:val="007F6EC6"/>
    <w:rsid w:val="007F7891"/>
    <w:rsid w:val="00800716"/>
    <w:rsid w:val="00801C74"/>
    <w:rsid w:val="00802473"/>
    <w:rsid w:val="00802D14"/>
    <w:rsid w:val="0080361D"/>
    <w:rsid w:val="008039F1"/>
    <w:rsid w:val="00803CBD"/>
    <w:rsid w:val="008040B3"/>
    <w:rsid w:val="008060BE"/>
    <w:rsid w:val="00806534"/>
    <w:rsid w:val="008065C1"/>
    <w:rsid w:val="008075B6"/>
    <w:rsid w:val="008075F5"/>
    <w:rsid w:val="0081083E"/>
    <w:rsid w:val="00810D33"/>
    <w:rsid w:val="00810EC7"/>
    <w:rsid w:val="008110D8"/>
    <w:rsid w:val="00811789"/>
    <w:rsid w:val="008121B7"/>
    <w:rsid w:val="008125B8"/>
    <w:rsid w:val="008127C7"/>
    <w:rsid w:val="00812980"/>
    <w:rsid w:val="0081319C"/>
    <w:rsid w:val="00813858"/>
    <w:rsid w:val="00813A90"/>
    <w:rsid w:val="00813E10"/>
    <w:rsid w:val="00815999"/>
    <w:rsid w:val="00815B8D"/>
    <w:rsid w:val="00816BBB"/>
    <w:rsid w:val="00816D67"/>
    <w:rsid w:val="00816F1B"/>
    <w:rsid w:val="0081733C"/>
    <w:rsid w:val="00817D24"/>
    <w:rsid w:val="008201D7"/>
    <w:rsid w:val="00820AE1"/>
    <w:rsid w:val="00821BB3"/>
    <w:rsid w:val="008226A4"/>
    <w:rsid w:val="00822865"/>
    <w:rsid w:val="00822C7F"/>
    <w:rsid w:val="00822D82"/>
    <w:rsid w:val="00823775"/>
    <w:rsid w:val="00824B24"/>
    <w:rsid w:val="00825FC2"/>
    <w:rsid w:val="00826243"/>
    <w:rsid w:val="00826297"/>
    <w:rsid w:val="0082727E"/>
    <w:rsid w:val="008279B4"/>
    <w:rsid w:val="00827D04"/>
    <w:rsid w:val="0083059D"/>
    <w:rsid w:val="008308C9"/>
    <w:rsid w:val="00830B86"/>
    <w:rsid w:val="00830D93"/>
    <w:rsid w:val="0083168A"/>
    <w:rsid w:val="00831A75"/>
    <w:rsid w:val="00832A80"/>
    <w:rsid w:val="00832DBB"/>
    <w:rsid w:val="0083552A"/>
    <w:rsid w:val="00835739"/>
    <w:rsid w:val="00835A6F"/>
    <w:rsid w:val="00835AA9"/>
    <w:rsid w:val="0083607D"/>
    <w:rsid w:val="0083616B"/>
    <w:rsid w:val="008363EB"/>
    <w:rsid w:val="00836621"/>
    <w:rsid w:val="008371E6"/>
    <w:rsid w:val="00841B98"/>
    <w:rsid w:val="0084242D"/>
    <w:rsid w:val="00842B5C"/>
    <w:rsid w:val="00842DC7"/>
    <w:rsid w:val="00842E94"/>
    <w:rsid w:val="00843001"/>
    <w:rsid w:val="00843BD0"/>
    <w:rsid w:val="008440CD"/>
    <w:rsid w:val="00844FB9"/>
    <w:rsid w:val="008453FE"/>
    <w:rsid w:val="00845943"/>
    <w:rsid w:val="00845D1F"/>
    <w:rsid w:val="00845ED9"/>
    <w:rsid w:val="00847295"/>
    <w:rsid w:val="00847878"/>
    <w:rsid w:val="00847A76"/>
    <w:rsid w:val="008502FB"/>
    <w:rsid w:val="008506B6"/>
    <w:rsid w:val="00850DEB"/>
    <w:rsid w:val="0085139F"/>
    <w:rsid w:val="00851711"/>
    <w:rsid w:val="0085199F"/>
    <w:rsid w:val="00851DF9"/>
    <w:rsid w:val="008520E2"/>
    <w:rsid w:val="00852334"/>
    <w:rsid w:val="00852993"/>
    <w:rsid w:val="00852BDD"/>
    <w:rsid w:val="00852FF6"/>
    <w:rsid w:val="00853FF1"/>
    <w:rsid w:val="00853FFC"/>
    <w:rsid w:val="008544B9"/>
    <w:rsid w:val="00855066"/>
    <w:rsid w:val="00855FB8"/>
    <w:rsid w:val="00856057"/>
    <w:rsid w:val="008562F8"/>
    <w:rsid w:val="0085649C"/>
    <w:rsid w:val="0085722A"/>
    <w:rsid w:val="008574A6"/>
    <w:rsid w:val="008574E3"/>
    <w:rsid w:val="00857910"/>
    <w:rsid w:val="008601FF"/>
    <w:rsid w:val="0086025B"/>
    <w:rsid w:val="008603D1"/>
    <w:rsid w:val="008605E0"/>
    <w:rsid w:val="00860D11"/>
    <w:rsid w:val="00860DC6"/>
    <w:rsid w:val="00860E5D"/>
    <w:rsid w:val="008613F3"/>
    <w:rsid w:val="0086147C"/>
    <w:rsid w:val="008627B5"/>
    <w:rsid w:val="0086324F"/>
    <w:rsid w:val="0086371A"/>
    <w:rsid w:val="00864149"/>
    <w:rsid w:val="0086429A"/>
    <w:rsid w:val="008642C3"/>
    <w:rsid w:val="00865452"/>
    <w:rsid w:val="008654AC"/>
    <w:rsid w:val="00865FA4"/>
    <w:rsid w:val="008667F2"/>
    <w:rsid w:val="00867784"/>
    <w:rsid w:val="00867925"/>
    <w:rsid w:val="008679D3"/>
    <w:rsid w:val="008705B3"/>
    <w:rsid w:val="00870AFD"/>
    <w:rsid w:val="00870B27"/>
    <w:rsid w:val="00871064"/>
    <w:rsid w:val="0087109B"/>
    <w:rsid w:val="00871532"/>
    <w:rsid w:val="008717AF"/>
    <w:rsid w:val="00872937"/>
    <w:rsid w:val="00872C20"/>
    <w:rsid w:val="008731CC"/>
    <w:rsid w:val="00875578"/>
    <w:rsid w:val="008755E4"/>
    <w:rsid w:val="00875675"/>
    <w:rsid w:val="00875690"/>
    <w:rsid w:val="00875A98"/>
    <w:rsid w:val="00875AF4"/>
    <w:rsid w:val="00876D96"/>
    <w:rsid w:val="00877152"/>
    <w:rsid w:val="00877A51"/>
    <w:rsid w:val="00877BD2"/>
    <w:rsid w:val="00880ABA"/>
    <w:rsid w:val="008811AB"/>
    <w:rsid w:val="00881A98"/>
    <w:rsid w:val="008824CB"/>
    <w:rsid w:val="008828B3"/>
    <w:rsid w:val="008830EB"/>
    <w:rsid w:val="0088361D"/>
    <w:rsid w:val="0088399C"/>
    <w:rsid w:val="008840D4"/>
    <w:rsid w:val="00884121"/>
    <w:rsid w:val="00884807"/>
    <w:rsid w:val="008854FD"/>
    <w:rsid w:val="00885876"/>
    <w:rsid w:val="00887FAB"/>
    <w:rsid w:val="008903C8"/>
    <w:rsid w:val="0089080E"/>
    <w:rsid w:val="008911A7"/>
    <w:rsid w:val="00891818"/>
    <w:rsid w:val="008924AA"/>
    <w:rsid w:val="00892C61"/>
    <w:rsid w:val="008932BD"/>
    <w:rsid w:val="0089384C"/>
    <w:rsid w:val="0089396C"/>
    <w:rsid w:val="0089441C"/>
    <w:rsid w:val="00894B40"/>
    <w:rsid w:val="00894FC5"/>
    <w:rsid w:val="0089533D"/>
    <w:rsid w:val="008963C0"/>
    <w:rsid w:val="0089644E"/>
    <w:rsid w:val="00896DD3"/>
    <w:rsid w:val="00897197"/>
    <w:rsid w:val="008A02EA"/>
    <w:rsid w:val="008A0878"/>
    <w:rsid w:val="008A0DFA"/>
    <w:rsid w:val="008A121D"/>
    <w:rsid w:val="008A1D23"/>
    <w:rsid w:val="008A1FAD"/>
    <w:rsid w:val="008A2B44"/>
    <w:rsid w:val="008A3E5A"/>
    <w:rsid w:val="008A3F15"/>
    <w:rsid w:val="008A4F37"/>
    <w:rsid w:val="008A57D8"/>
    <w:rsid w:val="008A65CF"/>
    <w:rsid w:val="008A7113"/>
    <w:rsid w:val="008A71DA"/>
    <w:rsid w:val="008A7750"/>
    <w:rsid w:val="008A7F49"/>
    <w:rsid w:val="008B0046"/>
    <w:rsid w:val="008B0074"/>
    <w:rsid w:val="008B0890"/>
    <w:rsid w:val="008B1F29"/>
    <w:rsid w:val="008B307A"/>
    <w:rsid w:val="008B333B"/>
    <w:rsid w:val="008B37BF"/>
    <w:rsid w:val="008B41CA"/>
    <w:rsid w:val="008B4307"/>
    <w:rsid w:val="008B47EC"/>
    <w:rsid w:val="008B4947"/>
    <w:rsid w:val="008B5408"/>
    <w:rsid w:val="008B58C4"/>
    <w:rsid w:val="008B5FE7"/>
    <w:rsid w:val="008B6172"/>
    <w:rsid w:val="008B631B"/>
    <w:rsid w:val="008B6644"/>
    <w:rsid w:val="008B6D86"/>
    <w:rsid w:val="008B6DA5"/>
    <w:rsid w:val="008B78FD"/>
    <w:rsid w:val="008C0975"/>
    <w:rsid w:val="008C0D78"/>
    <w:rsid w:val="008C1132"/>
    <w:rsid w:val="008C12C4"/>
    <w:rsid w:val="008C17AE"/>
    <w:rsid w:val="008C1856"/>
    <w:rsid w:val="008C1B21"/>
    <w:rsid w:val="008C292E"/>
    <w:rsid w:val="008C360A"/>
    <w:rsid w:val="008C3B36"/>
    <w:rsid w:val="008C3DD3"/>
    <w:rsid w:val="008C3F63"/>
    <w:rsid w:val="008C40AA"/>
    <w:rsid w:val="008C50E3"/>
    <w:rsid w:val="008C57B1"/>
    <w:rsid w:val="008C5A7E"/>
    <w:rsid w:val="008C5ECD"/>
    <w:rsid w:val="008C637C"/>
    <w:rsid w:val="008C63DD"/>
    <w:rsid w:val="008C66F2"/>
    <w:rsid w:val="008C6FAE"/>
    <w:rsid w:val="008C732C"/>
    <w:rsid w:val="008C7615"/>
    <w:rsid w:val="008C782E"/>
    <w:rsid w:val="008C7BFC"/>
    <w:rsid w:val="008D03B2"/>
    <w:rsid w:val="008D0F3C"/>
    <w:rsid w:val="008D149C"/>
    <w:rsid w:val="008D16C8"/>
    <w:rsid w:val="008D18C7"/>
    <w:rsid w:val="008D18D1"/>
    <w:rsid w:val="008D1BAA"/>
    <w:rsid w:val="008D1EE4"/>
    <w:rsid w:val="008D2F41"/>
    <w:rsid w:val="008D3079"/>
    <w:rsid w:val="008D3418"/>
    <w:rsid w:val="008D36EE"/>
    <w:rsid w:val="008D41C0"/>
    <w:rsid w:val="008D47A6"/>
    <w:rsid w:val="008D4A24"/>
    <w:rsid w:val="008D5398"/>
    <w:rsid w:val="008D540F"/>
    <w:rsid w:val="008D6037"/>
    <w:rsid w:val="008D6A67"/>
    <w:rsid w:val="008D6E6C"/>
    <w:rsid w:val="008D73BE"/>
    <w:rsid w:val="008E00BA"/>
    <w:rsid w:val="008E03E8"/>
    <w:rsid w:val="008E06AC"/>
    <w:rsid w:val="008E076C"/>
    <w:rsid w:val="008E12CE"/>
    <w:rsid w:val="008E17A6"/>
    <w:rsid w:val="008E284D"/>
    <w:rsid w:val="008E2B1D"/>
    <w:rsid w:val="008E3603"/>
    <w:rsid w:val="008E38AC"/>
    <w:rsid w:val="008E4A9A"/>
    <w:rsid w:val="008E4B27"/>
    <w:rsid w:val="008E4DA9"/>
    <w:rsid w:val="008E5342"/>
    <w:rsid w:val="008E5D00"/>
    <w:rsid w:val="008E630C"/>
    <w:rsid w:val="008E6364"/>
    <w:rsid w:val="008E65CA"/>
    <w:rsid w:val="008E6872"/>
    <w:rsid w:val="008E788C"/>
    <w:rsid w:val="008F0106"/>
    <w:rsid w:val="008F0467"/>
    <w:rsid w:val="008F0547"/>
    <w:rsid w:val="008F0DE8"/>
    <w:rsid w:val="008F0F1F"/>
    <w:rsid w:val="008F0F7D"/>
    <w:rsid w:val="008F192D"/>
    <w:rsid w:val="008F23B1"/>
    <w:rsid w:val="008F268A"/>
    <w:rsid w:val="008F26EA"/>
    <w:rsid w:val="008F2B9D"/>
    <w:rsid w:val="008F2C12"/>
    <w:rsid w:val="008F30DF"/>
    <w:rsid w:val="008F4FA3"/>
    <w:rsid w:val="008F5151"/>
    <w:rsid w:val="008F6BAD"/>
    <w:rsid w:val="008F7D7F"/>
    <w:rsid w:val="008F7FB5"/>
    <w:rsid w:val="0090040E"/>
    <w:rsid w:val="00900F81"/>
    <w:rsid w:val="00901211"/>
    <w:rsid w:val="00901457"/>
    <w:rsid w:val="00902503"/>
    <w:rsid w:val="00902748"/>
    <w:rsid w:val="00902985"/>
    <w:rsid w:val="00903A09"/>
    <w:rsid w:val="00904A36"/>
    <w:rsid w:val="00904D3A"/>
    <w:rsid w:val="009059BC"/>
    <w:rsid w:val="00905F73"/>
    <w:rsid w:val="00906231"/>
    <w:rsid w:val="00906B5C"/>
    <w:rsid w:val="00906FD8"/>
    <w:rsid w:val="00907701"/>
    <w:rsid w:val="009102BD"/>
    <w:rsid w:val="00910487"/>
    <w:rsid w:val="009106A8"/>
    <w:rsid w:val="0091072B"/>
    <w:rsid w:val="0091099D"/>
    <w:rsid w:val="00910ADC"/>
    <w:rsid w:val="00911397"/>
    <w:rsid w:val="009116CE"/>
    <w:rsid w:val="0091258B"/>
    <w:rsid w:val="00912E3F"/>
    <w:rsid w:val="00913386"/>
    <w:rsid w:val="00913E25"/>
    <w:rsid w:val="00914235"/>
    <w:rsid w:val="00914368"/>
    <w:rsid w:val="009156DC"/>
    <w:rsid w:val="00916AFF"/>
    <w:rsid w:val="00916B97"/>
    <w:rsid w:val="0091750E"/>
    <w:rsid w:val="00917FD2"/>
    <w:rsid w:val="0092006B"/>
    <w:rsid w:val="00920426"/>
    <w:rsid w:val="00920712"/>
    <w:rsid w:val="009217BA"/>
    <w:rsid w:val="00921E4B"/>
    <w:rsid w:val="00922521"/>
    <w:rsid w:val="0092296E"/>
    <w:rsid w:val="00922C4D"/>
    <w:rsid w:val="009235B1"/>
    <w:rsid w:val="00923D13"/>
    <w:rsid w:val="00923E43"/>
    <w:rsid w:val="00924146"/>
    <w:rsid w:val="00924985"/>
    <w:rsid w:val="00924AD8"/>
    <w:rsid w:val="00924F8C"/>
    <w:rsid w:val="00925044"/>
    <w:rsid w:val="009254FF"/>
    <w:rsid w:val="009255DA"/>
    <w:rsid w:val="00925B89"/>
    <w:rsid w:val="00925C01"/>
    <w:rsid w:val="009301B4"/>
    <w:rsid w:val="00930280"/>
    <w:rsid w:val="0093150A"/>
    <w:rsid w:val="00931A28"/>
    <w:rsid w:val="00931A4A"/>
    <w:rsid w:val="0093224A"/>
    <w:rsid w:val="009329FF"/>
    <w:rsid w:val="00932ECC"/>
    <w:rsid w:val="00933D25"/>
    <w:rsid w:val="00934094"/>
    <w:rsid w:val="009341D2"/>
    <w:rsid w:val="00934341"/>
    <w:rsid w:val="009345E4"/>
    <w:rsid w:val="009346D8"/>
    <w:rsid w:val="009346F2"/>
    <w:rsid w:val="0093493A"/>
    <w:rsid w:val="0093494A"/>
    <w:rsid w:val="00934E6A"/>
    <w:rsid w:val="00935014"/>
    <w:rsid w:val="009352CB"/>
    <w:rsid w:val="00935D60"/>
    <w:rsid w:val="00936E66"/>
    <w:rsid w:val="009372AA"/>
    <w:rsid w:val="009372D6"/>
    <w:rsid w:val="009410B3"/>
    <w:rsid w:val="00941D74"/>
    <w:rsid w:val="00942CAC"/>
    <w:rsid w:val="009443C0"/>
    <w:rsid w:val="00944C15"/>
    <w:rsid w:val="00944F62"/>
    <w:rsid w:val="00944FC9"/>
    <w:rsid w:val="0094530A"/>
    <w:rsid w:val="00945A37"/>
    <w:rsid w:val="00945D76"/>
    <w:rsid w:val="009460D1"/>
    <w:rsid w:val="00946784"/>
    <w:rsid w:val="0094799F"/>
    <w:rsid w:val="00947B67"/>
    <w:rsid w:val="00947F4B"/>
    <w:rsid w:val="00947FC0"/>
    <w:rsid w:val="00950105"/>
    <w:rsid w:val="0095045E"/>
    <w:rsid w:val="00950D5F"/>
    <w:rsid w:val="009524E9"/>
    <w:rsid w:val="00952AEB"/>
    <w:rsid w:val="00952B6B"/>
    <w:rsid w:val="0095322A"/>
    <w:rsid w:val="0095457C"/>
    <w:rsid w:val="00954AD8"/>
    <w:rsid w:val="00954E46"/>
    <w:rsid w:val="00955512"/>
    <w:rsid w:val="00955830"/>
    <w:rsid w:val="00955D0D"/>
    <w:rsid w:val="00955FC6"/>
    <w:rsid w:val="009561DD"/>
    <w:rsid w:val="00956339"/>
    <w:rsid w:val="009567CB"/>
    <w:rsid w:val="00956A18"/>
    <w:rsid w:val="00956B18"/>
    <w:rsid w:val="009570A9"/>
    <w:rsid w:val="00960500"/>
    <w:rsid w:val="00960F56"/>
    <w:rsid w:val="00961354"/>
    <w:rsid w:val="00961D34"/>
    <w:rsid w:val="00962612"/>
    <w:rsid w:val="0096262F"/>
    <w:rsid w:val="00962B63"/>
    <w:rsid w:val="00963ACC"/>
    <w:rsid w:val="00963B47"/>
    <w:rsid w:val="00963E2A"/>
    <w:rsid w:val="00963FB3"/>
    <w:rsid w:val="0096443B"/>
    <w:rsid w:val="00964B49"/>
    <w:rsid w:val="00964BE6"/>
    <w:rsid w:val="00964D0B"/>
    <w:rsid w:val="00966804"/>
    <w:rsid w:val="009673D8"/>
    <w:rsid w:val="009674B5"/>
    <w:rsid w:val="009676D2"/>
    <w:rsid w:val="009700CE"/>
    <w:rsid w:val="009706F5"/>
    <w:rsid w:val="0097083C"/>
    <w:rsid w:val="00971147"/>
    <w:rsid w:val="0097176F"/>
    <w:rsid w:val="00971A85"/>
    <w:rsid w:val="009725D4"/>
    <w:rsid w:val="00973A31"/>
    <w:rsid w:val="00973DBE"/>
    <w:rsid w:val="009740A5"/>
    <w:rsid w:val="00974873"/>
    <w:rsid w:val="009748EC"/>
    <w:rsid w:val="00974C89"/>
    <w:rsid w:val="00974EC2"/>
    <w:rsid w:val="0097500B"/>
    <w:rsid w:val="00976AF6"/>
    <w:rsid w:val="009775E8"/>
    <w:rsid w:val="009801A6"/>
    <w:rsid w:val="0098102D"/>
    <w:rsid w:val="009818FB"/>
    <w:rsid w:val="00982367"/>
    <w:rsid w:val="0098291F"/>
    <w:rsid w:val="00982D03"/>
    <w:rsid w:val="00982FB3"/>
    <w:rsid w:val="009838B0"/>
    <w:rsid w:val="00983A4C"/>
    <w:rsid w:val="00984A5C"/>
    <w:rsid w:val="009850C5"/>
    <w:rsid w:val="009858D7"/>
    <w:rsid w:val="00985F5A"/>
    <w:rsid w:val="00985F5E"/>
    <w:rsid w:val="00985F89"/>
    <w:rsid w:val="00990074"/>
    <w:rsid w:val="0099029C"/>
    <w:rsid w:val="0099157B"/>
    <w:rsid w:val="009917D4"/>
    <w:rsid w:val="00991B41"/>
    <w:rsid w:val="0099230D"/>
    <w:rsid w:val="009923AC"/>
    <w:rsid w:val="0099256C"/>
    <w:rsid w:val="0099298F"/>
    <w:rsid w:val="00993635"/>
    <w:rsid w:val="00993A0F"/>
    <w:rsid w:val="00993ECA"/>
    <w:rsid w:val="00995DBE"/>
    <w:rsid w:val="0099613B"/>
    <w:rsid w:val="00996710"/>
    <w:rsid w:val="00996767"/>
    <w:rsid w:val="00996AC5"/>
    <w:rsid w:val="0099704F"/>
    <w:rsid w:val="00997301"/>
    <w:rsid w:val="0099739D"/>
    <w:rsid w:val="00997D45"/>
    <w:rsid w:val="009A003D"/>
    <w:rsid w:val="009A02CE"/>
    <w:rsid w:val="009A02F6"/>
    <w:rsid w:val="009A09E4"/>
    <w:rsid w:val="009A1A5A"/>
    <w:rsid w:val="009A29FD"/>
    <w:rsid w:val="009A2A37"/>
    <w:rsid w:val="009A2DDA"/>
    <w:rsid w:val="009A2FE2"/>
    <w:rsid w:val="009A346F"/>
    <w:rsid w:val="009A39DB"/>
    <w:rsid w:val="009A4122"/>
    <w:rsid w:val="009A45B6"/>
    <w:rsid w:val="009A514C"/>
    <w:rsid w:val="009A5218"/>
    <w:rsid w:val="009A56CE"/>
    <w:rsid w:val="009A67F6"/>
    <w:rsid w:val="009A6858"/>
    <w:rsid w:val="009A6E8E"/>
    <w:rsid w:val="009A7221"/>
    <w:rsid w:val="009A7854"/>
    <w:rsid w:val="009B0102"/>
    <w:rsid w:val="009B01F0"/>
    <w:rsid w:val="009B089E"/>
    <w:rsid w:val="009B11DC"/>
    <w:rsid w:val="009B12BB"/>
    <w:rsid w:val="009B12FA"/>
    <w:rsid w:val="009B1415"/>
    <w:rsid w:val="009B1551"/>
    <w:rsid w:val="009B2246"/>
    <w:rsid w:val="009B3741"/>
    <w:rsid w:val="009B39E9"/>
    <w:rsid w:val="009B4716"/>
    <w:rsid w:val="009B4B8B"/>
    <w:rsid w:val="009B4E5D"/>
    <w:rsid w:val="009B5054"/>
    <w:rsid w:val="009B5CD4"/>
    <w:rsid w:val="009B5E9D"/>
    <w:rsid w:val="009B64B2"/>
    <w:rsid w:val="009B694C"/>
    <w:rsid w:val="009B6B5D"/>
    <w:rsid w:val="009B786D"/>
    <w:rsid w:val="009B78D8"/>
    <w:rsid w:val="009B7D23"/>
    <w:rsid w:val="009C01C2"/>
    <w:rsid w:val="009C044E"/>
    <w:rsid w:val="009C0953"/>
    <w:rsid w:val="009C115D"/>
    <w:rsid w:val="009C197A"/>
    <w:rsid w:val="009C238C"/>
    <w:rsid w:val="009C23D4"/>
    <w:rsid w:val="009C2606"/>
    <w:rsid w:val="009C3C2E"/>
    <w:rsid w:val="009C4254"/>
    <w:rsid w:val="009C42D5"/>
    <w:rsid w:val="009C45DA"/>
    <w:rsid w:val="009C5646"/>
    <w:rsid w:val="009C6895"/>
    <w:rsid w:val="009C75BB"/>
    <w:rsid w:val="009C799B"/>
    <w:rsid w:val="009C7D16"/>
    <w:rsid w:val="009D1236"/>
    <w:rsid w:val="009D145D"/>
    <w:rsid w:val="009D18F1"/>
    <w:rsid w:val="009D2376"/>
    <w:rsid w:val="009D2F60"/>
    <w:rsid w:val="009D308A"/>
    <w:rsid w:val="009D3CB4"/>
    <w:rsid w:val="009D48DB"/>
    <w:rsid w:val="009D52CE"/>
    <w:rsid w:val="009D55FA"/>
    <w:rsid w:val="009D575A"/>
    <w:rsid w:val="009D5AC8"/>
    <w:rsid w:val="009D6886"/>
    <w:rsid w:val="009D6F88"/>
    <w:rsid w:val="009D6FAE"/>
    <w:rsid w:val="009E062A"/>
    <w:rsid w:val="009E085E"/>
    <w:rsid w:val="009E0BD9"/>
    <w:rsid w:val="009E14EA"/>
    <w:rsid w:val="009E15B5"/>
    <w:rsid w:val="009E18E5"/>
    <w:rsid w:val="009E225E"/>
    <w:rsid w:val="009E314A"/>
    <w:rsid w:val="009E32A1"/>
    <w:rsid w:val="009E3A0B"/>
    <w:rsid w:val="009E464C"/>
    <w:rsid w:val="009E598F"/>
    <w:rsid w:val="009E5A0A"/>
    <w:rsid w:val="009E5A4F"/>
    <w:rsid w:val="009E5AE0"/>
    <w:rsid w:val="009E6522"/>
    <w:rsid w:val="009E6602"/>
    <w:rsid w:val="009E6948"/>
    <w:rsid w:val="009E6A29"/>
    <w:rsid w:val="009F000F"/>
    <w:rsid w:val="009F06D6"/>
    <w:rsid w:val="009F1353"/>
    <w:rsid w:val="009F193C"/>
    <w:rsid w:val="009F2C35"/>
    <w:rsid w:val="009F34F3"/>
    <w:rsid w:val="009F3CE3"/>
    <w:rsid w:val="009F3CFC"/>
    <w:rsid w:val="009F460A"/>
    <w:rsid w:val="009F495E"/>
    <w:rsid w:val="009F4E4B"/>
    <w:rsid w:val="009F4F33"/>
    <w:rsid w:val="009F52BC"/>
    <w:rsid w:val="009F5536"/>
    <w:rsid w:val="009F55F1"/>
    <w:rsid w:val="009F568C"/>
    <w:rsid w:val="009F5E09"/>
    <w:rsid w:val="009F6A9D"/>
    <w:rsid w:val="009F703A"/>
    <w:rsid w:val="009F73AF"/>
    <w:rsid w:val="00A00573"/>
    <w:rsid w:val="00A00C7A"/>
    <w:rsid w:val="00A00E24"/>
    <w:rsid w:val="00A0167C"/>
    <w:rsid w:val="00A01C76"/>
    <w:rsid w:val="00A026CA"/>
    <w:rsid w:val="00A02826"/>
    <w:rsid w:val="00A02F81"/>
    <w:rsid w:val="00A03A01"/>
    <w:rsid w:val="00A03DD3"/>
    <w:rsid w:val="00A04B88"/>
    <w:rsid w:val="00A052F4"/>
    <w:rsid w:val="00A0552D"/>
    <w:rsid w:val="00A0562A"/>
    <w:rsid w:val="00A05DF8"/>
    <w:rsid w:val="00A06D02"/>
    <w:rsid w:val="00A06F05"/>
    <w:rsid w:val="00A071F7"/>
    <w:rsid w:val="00A07607"/>
    <w:rsid w:val="00A07AA7"/>
    <w:rsid w:val="00A07F96"/>
    <w:rsid w:val="00A10703"/>
    <w:rsid w:val="00A11239"/>
    <w:rsid w:val="00A12169"/>
    <w:rsid w:val="00A123AC"/>
    <w:rsid w:val="00A12A39"/>
    <w:rsid w:val="00A13072"/>
    <w:rsid w:val="00A1334E"/>
    <w:rsid w:val="00A1373E"/>
    <w:rsid w:val="00A13AA5"/>
    <w:rsid w:val="00A13BF3"/>
    <w:rsid w:val="00A13C09"/>
    <w:rsid w:val="00A1452E"/>
    <w:rsid w:val="00A14714"/>
    <w:rsid w:val="00A1539E"/>
    <w:rsid w:val="00A153C4"/>
    <w:rsid w:val="00A155E6"/>
    <w:rsid w:val="00A15A36"/>
    <w:rsid w:val="00A1651F"/>
    <w:rsid w:val="00A16522"/>
    <w:rsid w:val="00A16A9A"/>
    <w:rsid w:val="00A16C11"/>
    <w:rsid w:val="00A17400"/>
    <w:rsid w:val="00A17C3D"/>
    <w:rsid w:val="00A205E8"/>
    <w:rsid w:val="00A21121"/>
    <w:rsid w:val="00A2141A"/>
    <w:rsid w:val="00A214E7"/>
    <w:rsid w:val="00A223AB"/>
    <w:rsid w:val="00A22949"/>
    <w:rsid w:val="00A22D07"/>
    <w:rsid w:val="00A23D73"/>
    <w:rsid w:val="00A243E3"/>
    <w:rsid w:val="00A24721"/>
    <w:rsid w:val="00A24871"/>
    <w:rsid w:val="00A25950"/>
    <w:rsid w:val="00A27220"/>
    <w:rsid w:val="00A272BA"/>
    <w:rsid w:val="00A273FC"/>
    <w:rsid w:val="00A300FA"/>
    <w:rsid w:val="00A30177"/>
    <w:rsid w:val="00A3139B"/>
    <w:rsid w:val="00A31938"/>
    <w:rsid w:val="00A33309"/>
    <w:rsid w:val="00A3387B"/>
    <w:rsid w:val="00A34BDB"/>
    <w:rsid w:val="00A359FB"/>
    <w:rsid w:val="00A35E75"/>
    <w:rsid w:val="00A37672"/>
    <w:rsid w:val="00A37860"/>
    <w:rsid w:val="00A403A6"/>
    <w:rsid w:val="00A404DB"/>
    <w:rsid w:val="00A4068E"/>
    <w:rsid w:val="00A40777"/>
    <w:rsid w:val="00A4080D"/>
    <w:rsid w:val="00A40F2D"/>
    <w:rsid w:val="00A41106"/>
    <w:rsid w:val="00A41169"/>
    <w:rsid w:val="00A4170A"/>
    <w:rsid w:val="00A426FC"/>
    <w:rsid w:val="00A429CF"/>
    <w:rsid w:val="00A430E7"/>
    <w:rsid w:val="00A45898"/>
    <w:rsid w:val="00A45DB8"/>
    <w:rsid w:val="00A4604B"/>
    <w:rsid w:val="00A463DC"/>
    <w:rsid w:val="00A464CE"/>
    <w:rsid w:val="00A466DC"/>
    <w:rsid w:val="00A47105"/>
    <w:rsid w:val="00A476E3"/>
    <w:rsid w:val="00A47D0A"/>
    <w:rsid w:val="00A47ED3"/>
    <w:rsid w:val="00A50569"/>
    <w:rsid w:val="00A50DB2"/>
    <w:rsid w:val="00A51DE2"/>
    <w:rsid w:val="00A51E9C"/>
    <w:rsid w:val="00A523AC"/>
    <w:rsid w:val="00A523E3"/>
    <w:rsid w:val="00A52851"/>
    <w:rsid w:val="00A5348D"/>
    <w:rsid w:val="00A53CD1"/>
    <w:rsid w:val="00A5404F"/>
    <w:rsid w:val="00A54261"/>
    <w:rsid w:val="00A559F5"/>
    <w:rsid w:val="00A55DA7"/>
    <w:rsid w:val="00A55DE2"/>
    <w:rsid w:val="00A56070"/>
    <w:rsid w:val="00A56ACC"/>
    <w:rsid w:val="00A6030C"/>
    <w:rsid w:val="00A60385"/>
    <w:rsid w:val="00A60D90"/>
    <w:rsid w:val="00A6178F"/>
    <w:rsid w:val="00A62330"/>
    <w:rsid w:val="00A6242B"/>
    <w:rsid w:val="00A628FC"/>
    <w:rsid w:val="00A628FD"/>
    <w:rsid w:val="00A63035"/>
    <w:rsid w:val="00A63058"/>
    <w:rsid w:val="00A63147"/>
    <w:rsid w:val="00A63362"/>
    <w:rsid w:val="00A63D39"/>
    <w:rsid w:val="00A642E9"/>
    <w:rsid w:val="00A64A3F"/>
    <w:rsid w:val="00A64BA9"/>
    <w:rsid w:val="00A65561"/>
    <w:rsid w:val="00A667B6"/>
    <w:rsid w:val="00A66907"/>
    <w:rsid w:val="00A67A98"/>
    <w:rsid w:val="00A67EEF"/>
    <w:rsid w:val="00A7000F"/>
    <w:rsid w:val="00A70754"/>
    <w:rsid w:val="00A70E69"/>
    <w:rsid w:val="00A712C4"/>
    <w:rsid w:val="00A71451"/>
    <w:rsid w:val="00A7199A"/>
    <w:rsid w:val="00A71E2A"/>
    <w:rsid w:val="00A720C9"/>
    <w:rsid w:val="00A72508"/>
    <w:rsid w:val="00A72571"/>
    <w:rsid w:val="00A72577"/>
    <w:rsid w:val="00A72ADF"/>
    <w:rsid w:val="00A72B4E"/>
    <w:rsid w:val="00A72C88"/>
    <w:rsid w:val="00A72E4E"/>
    <w:rsid w:val="00A731A5"/>
    <w:rsid w:val="00A73326"/>
    <w:rsid w:val="00A73400"/>
    <w:rsid w:val="00A73551"/>
    <w:rsid w:val="00A740C9"/>
    <w:rsid w:val="00A74C3B"/>
    <w:rsid w:val="00A74D67"/>
    <w:rsid w:val="00A751A5"/>
    <w:rsid w:val="00A75340"/>
    <w:rsid w:val="00A75655"/>
    <w:rsid w:val="00A75962"/>
    <w:rsid w:val="00A75E9D"/>
    <w:rsid w:val="00A7651D"/>
    <w:rsid w:val="00A7712B"/>
    <w:rsid w:val="00A77DEC"/>
    <w:rsid w:val="00A77F2A"/>
    <w:rsid w:val="00A802C5"/>
    <w:rsid w:val="00A80761"/>
    <w:rsid w:val="00A80BD5"/>
    <w:rsid w:val="00A81F6D"/>
    <w:rsid w:val="00A82284"/>
    <w:rsid w:val="00A82E1B"/>
    <w:rsid w:val="00A83207"/>
    <w:rsid w:val="00A83979"/>
    <w:rsid w:val="00A83B4F"/>
    <w:rsid w:val="00A83B6A"/>
    <w:rsid w:val="00A83D3B"/>
    <w:rsid w:val="00A84358"/>
    <w:rsid w:val="00A847B0"/>
    <w:rsid w:val="00A84C9E"/>
    <w:rsid w:val="00A853DA"/>
    <w:rsid w:val="00A85744"/>
    <w:rsid w:val="00A8606D"/>
    <w:rsid w:val="00A8753C"/>
    <w:rsid w:val="00A878F9"/>
    <w:rsid w:val="00A87CE8"/>
    <w:rsid w:val="00A9067A"/>
    <w:rsid w:val="00A90836"/>
    <w:rsid w:val="00A90A9D"/>
    <w:rsid w:val="00A90DCF"/>
    <w:rsid w:val="00A910B3"/>
    <w:rsid w:val="00A911B0"/>
    <w:rsid w:val="00A9192C"/>
    <w:rsid w:val="00A92605"/>
    <w:rsid w:val="00A92AD0"/>
    <w:rsid w:val="00A92B55"/>
    <w:rsid w:val="00A936BD"/>
    <w:rsid w:val="00A937D8"/>
    <w:rsid w:val="00A94F0D"/>
    <w:rsid w:val="00A94FE8"/>
    <w:rsid w:val="00A95570"/>
    <w:rsid w:val="00A9601F"/>
    <w:rsid w:val="00A964CF"/>
    <w:rsid w:val="00A97079"/>
    <w:rsid w:val="00A9724F"/>
    <w:rsid w:val="00A975D6"/>
    <w:rsid w:val="00A977C3"/>
    <w:rsid w:val="00A97DB4"/>
    <w:rsid w:val="00AA0260"/>
    <w:rsid w:val="00AA09E4"/>
    <w:rsid w:val="00AA1608"/>
    <w:rsid w:val="00AA1894"/>
    <w:rsid w:val="00AA21C9"/>
    <w:rsid w:val="00AA2F8D"/>
    <w:rsid w:val="00AA32F6"/>
    <w:rsid w:val="00AA367A"/>
    <w:rsid w:val="00AA3B21"/>
    <w:rsid w:val="00AA4D4F"/>
    <w:rsid w:val="00AA66F1"/>
    <w:rsid w:val="00AB02B1"/>
    <w:rsid w:val="00AB034C"/>
    <w:rsid w:val="00AB04EF"/>
    <w:rsid w:val="00AB0633"/>
    <w:rsid w:val="00AB1582"/>
    <w:rsid w:val="00AB1754"/>
    <w:rsid w:val="00AB1D56"/>
    <w:rsid w:val="00AB22BB"/>
    <w:rsid w:val="00AB27B4"/>
    <w:rsid w:val="00AB29F8"/>
    <w:rsid w:val="00AB2B49"/>
    <w:rsid w:val="00AB3000"/>
    <w:rsid w:val="00AB38BE"/>
    <w:rsid w:val="00AB3A37"/>
    <w:rsid w:val="00AB5100"/>
    <w:rsid w:val="00AB57AF"/>
    <w:rsid w:val="00AB602B"/>
    <w:rsid w:val="00AB619E"/>
    <w:rsid w:val="00AB68CD"/>
    <w:rsid w:val="00AB6EC6"/>
    <w:rsid w:val="00AB71EF"/>
    <w:rsid w:val="00AB78C6"/>
    <w:rsid w:val="00AB7B28"/>
    <w:rsid w:val="00AC0CDC"/>
    <w:rsid w:val="00AC10A9"/>
    <w:rsid w:val="00AC1241"/>
    <w:rsid w:val="00AC1631"/>
    <w:rsid w:val="00AC1F46"/>
    <w:rsid w:val="00AC24D0"/>
    <w:rsid w:val="00AC433F"/>
    <w:rsid w:val="00AC435A"/>
    <w:rsid w:val="00AC4428"/>
    <w:rsid w:val="00AC55C0"/>
    <w:rsid w:val="00AC62E9"/>
    <w:rsid w:val="00AC6735"/>
    <w:rsid w:val="00AC72B2"/>
    <w:rsid w:val="00AC730B"/>
    <w:rsid w:val="00AC7960"/>
    <w:rsid w:val="00AC7BE0"/>
    <w:rsid w:val="00AD0191"/>
    <w:rsid w:val="00AD1525"/>
    <w:rsid w:val="00AD1EEC"/>
    <w:rsid w:val="00AD1EF2"/>
    <w:rsid w:val="00AD23E5"/>
    <w:rsid w:val="00AD2898"/>
    <w:rsid w:val="00AD29E5"/>
    <w:rsid w:val="00AD306C"/>
    <w:rsid w:val="00AD349B"/>
    <w:rsid w:val="00AD3948"/>
    <w:rsid w:val="00AD3A67"/>
    <w:rsid w:val="00AD3B12"/>
    <w:rsid w:val="00AD40FA"/>
    <w:rsid w:val="00AD46BC"/>
    <w:rsid w:val="00AD4A4F"/>
    <w:rsid w:val="00AD5062"/>
    <w:rsid w:val="00AD5BC3"/>
    <w:rsid w:val="00AD5E2D"/>
    <w:rsid w:val="00AD640D"/>
    <w:rsid w:val="00AD72FD"/>
    <w:rsid w:val="00AD735A"/>
    <w:rsid w:val="00AD78D2"/>
    <w:rsid w:val="00AE0276"/>
    <w:rsid w:val="00AE08F0"/>
    <w:rsid w:val="00AE0D7B"/>
    <w:rsid w:val="00AE0D7E"/>
    <w:rsid w:val="00AE12FC"/>
    <w:rsid w:val="00AE130E"/>
    <w:rsid w:val="00AE1EE5"/>
    <w:rsid w:val="00AE2114"/>
    <w:rsid w:val="00AE24A6"/>
    <w:rsid w:val="00AE26BE"/>
    <w:rsid w:val="00AE2CA7"/>
    <w:rsid w:val="00AE41A5"/>
    <w:rsid w:val="00AE4403"/>
    <w:rsid w:val="00AE4A0F"/>
    <w:rsid w:val="00AE4A97"/>
    <w:rsid w:val="00AE4E01"/>
    <w:rsid w:val="00AE4E17"/>
    <w:rsid w:val="00AE4F41"/>
    <w:rsid w:val="00AE538E"/>
    <w:rsid w:val="00AE5AE4"/>
    <w:rsid w:val="00AE5E0B"/>
    <w:rsid w:val="00AE5F76"/>
    <w:rsid w:val="00AE64C9"/>
    <w:rsid w:val="00AE6732"/>
    <w:rsid w:val="00AE6F96"/>
    <w:rsid w:val="00AE71B8"/>
    <w:rsid w:val="00AE76B6"/>
    <w:rsid w:val="00AE7B92"/>
    <w:rsid w:val="00AF152B"/>
    <w:rsid w:val="00AF1EE5"/>
    <w:rsid w:val="00AF23C3"/>
    <w:rsid w:val="00AF2727"/>
    <w:rsid w:val="00AF33DF"/>
    <w:rsid w:val="00AF38CF"/>
    <w:rsid w:val="00AF3AFA"/>
    <w:rsid w:val="00AF4529"/>
    <w:rsid w:val="00AF56EF"/>
    <w:rsid w:val="00AF59A2"/>
    <w:rsid w:val="00AF5B33"/>
    <w:rsid w:val="00AF5BF5"/>
    <w:rsid w:val="00AF617F"/>
    <w:rsid w:val="00AF6CFF"/>
    <w:rsid w:val="00AF78D8"/>
    <w:rsid w:val="00AF7A06"/>
    <w:rsid w:val="00B002F6"/>
    <w:rsid w:val="00B0043F"/>
    <w:rsid w:val="00B00F16"/>
    <w:rsid w:val="00B025ED"/>
    <w:rsid w:val="00B02BE6"/>
    <w:rsid w:val="00B036C5"/>
    <w:rsid w:val="00B038DC"/>
    <w:rsid w:val="00B03978"/>
    <w:rsid w:val="00B04026"/>
    <w:rsid w:val="00B0459A"/>
    <w:rsid w:val="00B04DAF"/>
    <w:rsid w:val="00B05AC1"/>
    <w:rsid w:val="00B05C28"/>
    <w:rsid w:val="00B062C5"/>
    <w:rsid w:val="00B06426"/>
    <w:rsid w:val="00B06853"/>
    <w:rsid w:val="00B06DBA"/>
    <w:rsid w:val="00B06EF8"/>
    <w:rsid w:val="00B079D9"/>
    <w:rsid w:val="00B07AE1"/>
    <w:rsid w:val="00B10CD5"/>
    <w:rsid w:val="00B10EF3"/>
    <w:rsid w:val="00B114CE"/>
    <w:rsid w:val="00B11A2F"/>
    <w:rsid w:val="00B11BE1"/>
    <w:rsid w:val="00B11C85"/>
    <w:rsid w:val="00B11D2E"/>
    <w:rsid w:val="00B11D6F"/>
    <w:rsid w:val="00B11DE4"/>
    <w:rsid w:val="00B12715"/>
    <w:rsid w:val="00B12761"/>
    <w:rsid w:val="00B12CD3"/>
    <w:rsid w:val="00B1309E"/>
    <w:rsid w:val="00B1347E"/>
    <w:rsid w:val="00B13A2C"/>
    <w:rsid w:val="00B13AF4"/>
    <w:rsid w:val="00B155E9"/>
    <w:rsid w:val="00B15EB6"/>
    <w:rsid w:val="00B15F06"/>
    <w:rsid w:val="00B163CF"/>
    <w:rsid w:val="00B16821"/>
    <w:rsid w:val="00B16D1B"/>
    <w:rsid w:val="00B172F2"/>
    <w:rsid w:val="00B174BA"/>
    <w:rsid w:val="00B178A8"/>
    <w:rsid w:val="00B20544"/>
    <w:rsid w:val="00B2175B"/>
    <w:rsid w:val="00B217B0"/>
    <w:rsid w:val="00B21A3C"/>
    <w:rsid w:val="00B22973"/>
    <w:rsid w:val="00B22C63"/>
    <w:rsid w:val="00B22EBF"/>
    <w:rsid w:val="00B236B9"/>
    <w:rsid w:val="00B238F5"/>
    <w:rsid w:val="00B2425F"/>
    <w:rsid w:val="00B24312"/>
    <w:rsid w:val="00B24853"/>
    <w:rsid w:val="00B259AD"/>
    <w:rsid w:val="00B27AAF"/>
    <w:rsid w:val="00B27B71"/>
    <w:rsid w:val="00B27C8D"/>
    <w:rsid w:val="00B27F7D"/>
    <w:rsid w:val="00B30D44"/>
    <w:rsid w:val="00B3264D"/>
    <w:rsid w:val="00B33930"/>
    <w:rsid w:val="00B3521E"/>
    <w:rsid w:val="00B35D27"/>
    <w:rsid w:val="00B365EE"/>
    <w:rsid w:val="00B36A23"/>
    <w:rsid w:val="00B36E57"/>
    <w:rsid w:val="00B37044"/>
    <w:rsid w:val="00B3710C"/>
    <w:rsid w:val="00B3764E"/>
    <w:rsid w:val="00B41039"/>
    <w:rsid w:val="00B41056"/>
    <w:rsid w:val="00B41811"/>
    <w:rsid w:val="00B4187F"/>
    <w:rsid w:val="00B42418"/>
    <w:rsid w:val="00B43205"/>
    <w:rsid w:val="00B43CC6"/>
    <w:rsid w:val="00B44748"/>
    <w:rsid w:val="00B44BF1"/>
    <w:rsid w:val="00B45310"/>
    <w:rsid w:val="00B4538A"/>
    <w:rsid w:val="00B45C9C"/>
    <w:rsid w:val="00B45CE0"/>
    <w:rsid w:val="00B46BDA"/>
    <w:rsid w:val="00B47164"/>
    <w:rsid w:val="00B4796E"/>
    <w:rsid w:val="00B47F27"/>
    <w:rsid w:val="00B513CF"/>
    <w:rsid w:val="00B51A6D"/>
    <w:rsid w:val="00B5317E"/>
    <w:rsid w:val="00B533DC"/>
    <w:rsid w:val="00B53559"/>
    <w:rsid w:val="00B538DA"/>
    <w:rsid w:val="00B541AE"/>
    <w:rsid w:val="00B54210"/>
    <w:rsid w:val="00B54B0A"/>
    <w:rsid w:val="00B55228"/>
    <w:rsid w:val="00B55513"/>
    <w:rsid w:val="00B5578F"/>
    <w:rsid w:val="00B558CC"/>
    <w:rsid w:val="00B569E1"/>
    <w:rsid w:val="00B56FBC"/>
    <w:rsid w:val="00B5713D"/>
    <w:rsid w:val="00B57828"/>
    <w:rsid w:val="00B578BB"/>
    <w:rsid w:val="00B5790D"/>
    <w:rsid w:val="00B57C0A"/>
    <w:rsid w:val="00B57E1C"/>
    <w:rsid w:val="00B57F2E"/>
    <w:rsid w:val="00B60253"/>
    <w:rsid w:val="00B605DE"/>
    <w:rsid w:val="00B60B47"/>
    <w:rsid w:val="00B60F3D"/>
    <w:rsid w:val="00B61177"/>
    <w:rsid w:val="00B615FF"/>
    <w:rsid w:val="00B61EF6"/>
    <w:rsid w:val="00B61FC7"/>
    <w:rsid w:val="00B621B4"/>
    <w:rsid w:val="00B623C3"/>
    <w:rsid w:val="00B62934"/>
    <w:rsid w:val="00B62964"/>
    <w:rsid w:val="00B62EA4"/>
    <w:rsid w:val="00B630E2"/>
    <w:rsid w:val="00B63354"/>
    <w:rsid w:val="00B634DC"/>
    <w:rsid w:val="00B6378A"/>
    <w:rsid w:val="00B63810"/>
    <w:rsid w:val="00B644D8"/>
    <w:rsid w:val="00B64FC6"/>
    <w:rsid w:val="00B6551C"/>
    <w:rsid w:val="00B656C1"/>
    <w:rsid w:val="00B65D1A"/>
    <w:rsid w:val="00B65F2B"/>
    <w:rsid w:val="00B66144"/>
    <w:rsid w:val="00B673F5"/>
    <w:rsid w:val="00B6765D"/>
    <w:rsid w:val="00B67FF3"/>
    <w:rsid w:val="00B702F8"/>
    <w:rsid w:val="00B70C8F"/>
    <w:rsid w:val="00B70D68"/>
    <w:rsid w:val="00B716C7"/>
    <w:rsid w:val="00B7253D"/>
    <w:rsid w:val="00B72A15"/>
    <w:rsid w:val="00B7465E"/>
    <w:rsid w:val="00B74D4B"/>
    <w:rsid w:val="00B74E73"/>
    <w:rsid w:val="00B757BC"/>
    <w:rsid w:val="00B7630F"/>
    <w:rsid w:val="00B768CD"/>
    <w:rsid w:val="00B7697F"/>
    <w:rsid w:val="00B76E14"/>
    <w:rsid w:val="00B770D2"/>
    <w:rsid w:val="00B77291"/>
    <w:rsid w:val="00B77805"/>
    <w:rsid w:val="00B77836"/>
    <w:rsid w:val="00B77B54"/>
    <w:rsid w:val="00B77C85"/>
    <w:rsid w:val="00B80631"/>
    <w:rsid w:val="00B8072A"/>
    <w:rsid w:val="00B809C8"/>
    <w:rsid w:val="00B80B2B"/>
    <w:rsid w:val="00B8116F"/>
    <w:rsid w:val="00B81EF1"/>
    <w:rsid w:val="00B8268E"/>
    <w:rsid w:val="00B8280F"/>
    <w:rsid w:val="00B828FF"/>
    <w:rsid w:val="00B841C1"/>
    <w:rsid w:val="00B845C6"/>
    <w:rsid w:val="00B84A1A"/>
    <w:rsid w:val="00B84C70"/>
    <w:rsid w:val="00B84E1B"/>
    <w:rsid w:val="00B85AAA"/>
    <w:rsid w:val="00B85DBC"/>
    <w:rsid w:val="00B86494"/>
    <w:rsid w:val="00B86517"/>
    <w:rsid w:val="00B87081"/>
    <w:rsid w:val="00B87AA2"/>
    <w:rsid w:val="00B87EE5"/>
    <w:rsid w:val="00B90382"/>
    <w:rsid w:val="00B907AE"/>
    <w:rsid w:val="00B90D31"/>
    <w:rsid w:val="00B91508"/>
    <w:rsid w:val="00B92628"/>
    <w:rsid w:val="00B9283E"/>
    <w:rsid w:val="00B92981"/>
    <w:rsid w:val="00B933BD"/>
    <w:rsid w:val="00B9482F"/>
    <w:rsid w:val="00B94E12"/>
    <w:rsid w:val="00B94E34"/>
    <w:rsid w:val="00B94E8D"/>
    <w:rsid w:val="00B95088"/>
    <w:rsid w:val="00B954FA"/>
    <w:rsid w:val="00B95605"/>
    <w:rsid w:val="00B95A74"/>
    <w:rsid w:val="00B962E6"/>
    <w:rsid w:val="00B96721"/>
    <w:rsid w:val="00B96CDF"/>
    <w:rsid w:val="00B975AD"/>
    <w:rsid w:val="00BA0370"/>
    <w:rsid w:val="00BA067C"/>
    <w:rsid w:val="00BA20B6"/>
    <w:rsid w:val="00BA2481"/>
    <w:rsid w:val="00BA24E4"/>
    <w:rsid w:val="00BA260A"/>
    <w:rsid w:val="00BA28F4"/>
    <w:rsid w:val="00BA3162"/>
    <w:rsid w:val="00BA3B1F"/>
    <w:rsid w:val="00BA3E58"/>
    <w:rsid w:val="00BA3FEE"/>
    <w:rsid w:val="00BA4410"/>
    <w:rsid w:val="00BA4500"/>
    <w:rsid w:val="00BA4C02"/>
    <w:rsid w:val="00BA5345"/>
    <w:rsid w:val="00BA54F7"/>
    <w:rsid w:val="00BA5A7A"/>
    <w:rsid w:val="00BA5F50"/>
    <w:rsid w:val="00BA6300"/>
    <w:rsid w:val="00BA6C77"/>
    <w:rsid w:val="00BA71ED"/>
    <w:rsid w:val="00BA77FE"/>
    <w:rsid w:val="00BB00EA"/>
    <w:rsid w:val="00BB0575"/>
    <w:rsid w:val="00BB07DB"/>
    <w:rsid w:val="00BB10FD"/>
    <w:rsid w:val="00BB1322"/>
    <w:rsid w:val="00BB209A"/>
    <w:rsid w:val="00BB251F"/>
    <w:rsid w:val="00BB2EE9"/>
    <w:rsid w:val="00BB371E"/>
    <w:rsid w:val="00BB3899"/>
    <w:rsid w:val="00BB3BE1"/>
    <w:rsid w:val="00BB3F86"/>
    <w:rsid w:val="00BB4EFE"/>
    <w:rsid w:val="00BB5377"/>
    <w:rsid w:val="00BB5435"/>
    <w:rsid w:val="00BB54E2"/>
    <w:rsid w:val="00BB57FC"/>
    <w:rsid w:val="00BB5A45"/>
    <w:rsid w:val="00BB5F6F"/>
    <w:rsid w:val="00BB7A27"/>
    <w:rsid w:val="00BB7C4C"/>
    <w:rsid w:val="00BB7DB2"/>
    <w:rsid w:val="00BB7F08"/>
    <w:rsid w:val="00BC0160"/>
    <w:rsid w:val="00BC15C8"/>
    <w:rsid w:val="00BC18FC"/>
    <w:rsid w:val="00BC2BA3"/>
    <w:rsid w:val="00BC2E4A"/>
    <w:rsid w:val="00BC2FC2"/>
    <w:rsid w:val="00BC338D"/>
    <w:rsid w:val="00BC3433"/>
    <w:rsid w:val="00BC3691"/>
    <w:rsid w:val="00BC3F28"/>
    <w:rsid w:val="00BC44C9"/>
    <w:rsid w:val="00BC47D5"/>
    <w:rsid w:val="00BC4A4C"/>
    <w:rsid w:val="00BC585B"/>
    <w:rsid w:val="00BC6F66"/>
    <w:rsid w:val="00BC731C"/>
    <w:rsid w:val="00BC7DB6"/>
    <w:rsid w:val="00BC7DD3"/>
    <w:rsid w:val="00BD1302"/>
    <w:rsid w:val="00BD149B"/>
    <w:rsid w:val="00BD1E8C"/>
    <w:rsid w:val="00BD271B"/>
    <w:rsid w:val="00BD27B2"/>
    <w:rsid w:val="00BD30F3"/>
    <w:rsid w:val="00BD43E1"/>
    <w:rsid w:val="00BD453B"/>
    <w:rsid w:val="00BD4DAC"/>
    <w:rsid w:val="00BD50B3"/>
    <w:rsid w:val="00BD5117"/>
    <w:rsid w:val="00BD5EA8"/>
    <w:rsid w:val="00BD64E4"/>
    <w:rsid w:val="00BD65B3"/>
    <w:rsid w:val="00BD6B84"/>
    <w:rsid w:val="00BD75A1"/>
    <w:rsid w:val="00BD7C4B"/>
    <w:rsid w:val="00BE0FD9"/>
    <w:rsid w:val="00BE13BA"/>
    <w:rsid w:val="00BE15CF"/>
    <w:rsid w:val="00BE16A7"/>
    <w:rsid w:val="00BE18DF"/>
    <w:rsid w:val="00BE1ED3"/>
    <w:rsid w:val="00BE219C"/>
    <w:rsid w:val="00BE2AC1"/>
    <w:rsid w:val="00BE2C60"/>
    <w:rsid w:val="00BE2D75"/>
    <w:rsid w:val="00BE2D8A"/>
    <w:rsid w:val="00BE2EDC"/>
    <w:rsid w:val="00BE2F5A"/>
    <w:rsid w:val="00BE3450"/>
    <w:rsid w:val="00BE3457"/>
    <w:rsid w:val="00BE409A"/>
    <w:rsid w:val="00BE43BD"/>
    <w:rsid w:val="00BE47F5"/>
    <w:rsid w:val="00BE4960"/>
    <w:rsid w:val="00BE5E65"/>
    <w:rsid w:val="00BE61C2"/>
    <w:rsid w:val="00BE6322"/>
    <w:rsid w:val="00BE6FF5"/>
    <w:rsid w:val="00BE7200"/>
    <w:rsid w:val="00BE7736"/>
    <w:rsid w:val="00BE78C3"/>
    <w:rsid w:val="00BF00DA"/>
    <w:rsid w:val="00BF04F6"/>
    <w:rsid w:val="00BF0693"/>
    <w:rsid w:val="00BF0BAF"/>
    <w:rsid w:val="00BF0EA0"/>
    <w:rsid w:val="00BF1762"/>
    <w:rsid w:val="00BF1AA0"/>
    <w:rsid w:val="00BF2124"/>
    <w:rsid w:val="00BF3117"/>
    <w:rsid w:val="00BF37F4"/>
    <w:rsid w:val="00BF46E4"/>
    <w:rsid w:val="00BF4D66"/>
    <w:rsid w:val="00BF573E"/>
    <w:rsid w:val="00BF5974"/>
    <w:rsid w:val="00BF5B76"/>
    <w:rsid w:val="00BF5F3D"/>
    <w:rsid w:val="00BF6754"/>
    <w:rsid w:val="00BF6768"/>
    <w:rsid w:val="00BF6F02"/>
    <w:rsid w:val="00BF721F"/>
    <w:rsid w:val="00BF7311"/>
    <w:rsid w:val="00C0012A"/>
    <w:rsid w:val="00C00151"/>
    <w:rsid w:val="00C0091D"/>
    <w:rsid w:val="00C00A37"/>
    <w:rsid w:val="00C0124D"/>
    <w:rsid w:val="00C02322"/>
    <w:rsid w:val="00C02FC7"/>
    <w:rsid w:val="00C03857"/>
    <w:rsid w:val="00C05234"/>
    <w:rsid w:val="00C05C28"/>
    <w:rsid w:val="00C06388"/>
    <w:rsid w:val="00C06A8E"/>
    <w:rsid w:val="00C06D63"/>
    <w:rsid w:val="00C0720E"/>
    <w:rsid w:val="00C07CD4"/>
    <w:rsid w:val="00C1024D"/>
    <w:rsid w:val="00C10A69"/>
    <w:rsid w:val="00C10C35"/>
    <w:rsid w:val="00C1175E"/>
    <w:rsid w:val="00C128AA"/>
    <w:rsid w:val="00C129F2"/>
    <w:rsid w:val="00C130D8"/>
    <w:rsid w:val="00C13C7D"/>
    <w:rsid w:val="00C13D49"/>
    <w:rsid w:val="00C13EAB"/>
    <w:rsid w:val="00C147AB"/>
    <w:rsid w:val="00C14843"/>
    <w:rsid w:val="00C14A5F"/>
    <w:rsid w:val="00C15020"/>
    <w:rsid w:val="00C1523B"/>
    <w:rsid w:val="00C164DC"/>
    <w:rsid w:val="00C16AFF"/>
    <w:rsid w:val="00C16E6C"/>
    <w:rsid w:val="00C17019"/>
    <w:rsid w:val="00C17AF7"/>
    <w:rsid w:val="00C17F6C"/>
    <w:rsid w:val="00C20B49"/>
    <w:rsid w:val="00C20D17"/>
    <w:rsid w:val="00C21066"/>
    <w:rsid w:val="00C210D8"/>
    <w:rsid w:val="00C213F1"/>
    <w:rsid w:val="00C21E13"/>
    <w:rsid w:val="00C221CA"/>
    <w:rsid w:val="00C224C4"/>
    <w:rsid w:val="00C228B1"/>
    <w:rsid w:val="00C22F24"/>
    <w:rsid w:val="00C22F81"/>
    <w:rsid w:val="00C23486"/>
    <w:rsid w:val="00C2425C"/>
    <w:rsid w:val="00C25BF2"/>
    <w:rsid w:val="00C26073"/>
    <w:rsid w:val="00C26A3F"/>
    <w:rsid w:val="00C26AAC"/>
    <w:rsid w:val="00C26D69"/>
    <w:rsid w:val="00C26DDB"/>
    <w:rsid w:val="00C274D1"/>
    <w:rsid w:val="00C3066A"/>
    <w:rsid w:val="00C30C08"/>
    <w:rsid w:val="00C310C1"/>
    <w:rsid w:val="00C31D2B"/>
    <w:rsid w:val="00C32943"/>
    <w:rsid w:val="00C33017"/>
    <w:rsid w:val="00C33039"/>
    <w:rsid w:val="00C33977"/>
    <w:rsid w:val="00C33DD8"/>
    <w:rsid w:val="00C33EEE"/>
    <w:rsid w:val="00C33EEF"/>
    <w:rsid w:val="00C34A72"/>
    <w:rsid w:val="00C351DC"/>
    <w:rsid w:val="00C35634"/>
    <w:rsid w:val="00C36066"/>
    <w:rsid w:val="00C366B6"/>
    <w:rsid w:val="00C36C63"/>
    <w:rsid w:val="00C4011B"/>
    <w:rsid w:val="00C4021F"/>
    <w:rsid w:val="00C40770"/>
    <w:rsid w:val="00C417ED"/>
    <w:rsid w:val="00C41FBE"/>
    <w:rsid w:val="00C434B0"/>
    <w:rsid w:val="00C4360F"/>
    <w:rsid w:val="00C440F9"/>
    <w:rsid w:val="00C44A98"/>
    <w:rsid w:val="00C451BB"/>
    <w:rsid w:val="00C467F9"/>
    <w:rsid w:val="00C476FB"/>
    <w:rsid w:val="00C47D70"/>
    <w:rsid w:val="00C50853"/>
    <w:rsid w:val="00C50E1A"/>
    <w:rsid w:val="00C511E4"/>
    <w:rsid w:val="00C516ED"/>
    <w:rsid w:val="00C518D0"/>
    <w:rsid w:val="00C54CD8"/>
    <w:rsid w:val="00C54F70"/>
    <w:rsid w:val="00C55321"/>
    <w:rsid w:val="00C5551E"/>
    <w:rsid w:val="00C55F16"/>
    <w:rsid w:val="00C560C1"/>
    <w:rsid w:val="00C564D8"/>
    <w:rsid w:val="00C578AF"/>
    <w:rsid w:val="00C60179"/>
    <w:rsid w:val="00C602D7"/>
    <w:rsid w:val="00C60611"/>
    <w:rsid w:val="00C60890"/>
    <w:rsid w:val="00C61EC3"/>
    <w:rsid w:val="00C622B6"/>
    <w:rsid w:val="00C622C8"/>
    <w:rsid w:val="00C634C8"/>
    <w:rsid w:val="00C635EC"/>
    <w:rsid w:val="00C64D91"/>
    <w:rsid w:val="00C64D97"/>
    <w:rsid w:val="00C650F0"/>
    <w:rsid w:val="00C6517D"/>
    <w:rsid w:val="00C65323"/>
    <w:rsid w:val="00C66444"/>
    <w:rsid w:val="00C66C63"/>
    <w:rsid w:val="00C67E65"/>
    <w:rsid w:val="00C70054"/>
    <w:rsid w:val="00C71D53"/>
    <w:rsid w:val="00C71DBD"/>
    <w:rsid w:val="00C726EB"/>
    <w:rsid w:val="00C735FF"/>
    <w:rsid w:val="00C7387F"/>
    <w:rsid w:val="00C74233"/>
    <w:rsid w:val="00C74C21"/>
    <w:rsid w:val="00C74F86"/>
    <w:rsid w:val="00C759B1"/>
    <w:rsid w:val="00C75C49"/>
    <w:rsid w:val="00C767FB"/>
    <w:rsid w:val="00C7704D"/>
    <w:rsid w:val="00C77163"/>
    <w:rsid w:val="00C77AEB"/>
    <w:rsid w:val="00C80BF6"/>
    <w:rsid w:val="00C81725"/>
    <w:rsid w:val="00C81B8C"/>
    <w:rsid w:val="00C81B9C"/>
    <w:rsid w:val="00C820E2"/>
    <w:rsid w:val="00C82AA2"/>
    <w:rsid w:val="00C82C26"/>
    <w:rsid w:val="00C82D88"/>
    <w:rsid w:val="00C830B0"/>
    <w:rsid w:val="00C835A1"/>
    <w:rsid w:val="00C83BEC"/>
    <w:rsid w:val="00C83C76"/>
    <w:rsid w:val="00C83EC3"/>
    <w:rsid w:val="00C8544E"/>
    <w:rsid w:val="00C861BE"/>
    <w:rsid w:val="00C864A4"/>
    <w:rsid w:val="00C87076"/>
    <w:rsid w:val="00C87310"/>
    <w:rsid w:val="00C878F3"/>
    <w:rsid w:val="00C9011C"/>
    <w:rsid w:val="00C907C6"/>
    <w:rsid w:val="00C917A7"/>
    <w:rsid w:val="00C92054"/>
    <w:rsid w:val="00C922D7"/>
    <w:rsid w:val="00C92696"/>
    <w:rsid w:val="00C92756"/>
    <w:rsid w:val="00C92D88"/>
    <w:rsid w:val="00C92D92"/>
    <w:rsid w:val="00C93CEA"/>
    <w:rsid w:val="00C93F95"/>
    <w:rsid w:val="00C9413E"/>
    <w:rsid w:val="00C941B5"/>
    <w:rsid w:val="00C947A8"/>
    <w:rsid w:val="00C94F17"/>
    <w:rsid w:val="00C9543F"/>
    <w:rsid w:val="00C9720F"/>
    <w:rsid w:val="00C979AE"/>
    <w:rsid w:val="00C97DCE"/>
    <w:rsid w:val="00C97F43"/>
    <w:rsid w:val="00CA0204"/>
    <w:rsid w:val="00CA0927"/>
    <w:rsid w:val="00CA0DB3"/>
    <w:rsid w:val="00CA2642"/>
    <w:rsid w:val="00CA2D09"/>
    <w:rsid w:val="00CA3918"/>
    <w:rsid w:val="00CA42F3"/>
    <w:rsid w:val="00CA4537"/>
    <w:rsid w:val="00CA52E8"/>
    <w:rsid w:val="00CA6782"/>
    <w:rsid w:val="00CA6FD8"/>
    <w:rsid w:val="00CA70F8"/>
    <w:rsid w:val="00CA7579"/>
    <w:rsid w:val="00CA766F"/>
    <w:rsid w:val="00CA7796"/>
    <w:rsid w:val="00CA7FB9"/>
    <w:rsid w:val="00CB0516"/>
    <w:rsid w:val="00CB08E2"/>
    <w:rsid w:val="00CB0923"/>
    <w:rsid w:val="00CB12A2"/>
    <w:rsid w:val="00CB132E"/>
    <w:rsid w:val="00CB1346"/>
    <w:rsid w:val="00CB144A"/>
    <w:rsid w:val="00CB1B63"/>
    <w:rsid w:val="00CB24F6"/>
    <w:rsid w:val="00CB29CD"/>
    <w:rsid w:val="00CB35E8"/>
    <w:rsid w:val="00CB3792"/>
    <w:rsid w:val="00CB3AD7"/>
    <w:rsid w:val="00CB3BF8"/>
    <w:rsid w:val="00CB3C8B"/>
    <w:rsid w:val="00CB464D"/>
    <w:rsid w:val="00CB50FC"/>
    <w:rsid w:val="00CB53B8"/>
    <w:rsid w:val="00CB57F6"/>
    <w:rsid w:val="00CB5869"/>
    <w:rsid w:val="00CB6496"/>
    <w:rsid w:val="00CB72AF"/>
    <w:rsid w:val="00CC01A7"/>
    <w:rsid w:val="00CC0ADF"/>
    <w:rsid w:val="00CC10F4"/>
    <w:rsid w:val="00CC16D0"/>
    <w:rsid w:val="00CC1B18"/>
    <w:rsid w:val="00CC23CA"/>
    <w:rsid w:val="00CC297A"/>
    <w:rsid w:val="00CC2A67"/>
    <w:rsid w:val="00CC2ADD"/>
    <w:rsid w:val="00CC2D9D"/>
    <w:rsid w:val="00CC3508"/>
    <w:rsid w:val="00CC3933"/>
    <w:rsid w:val="00CC3D70"/>
    <w:rsid w:val="00CC4498"/>
    <w:rsid w:val="00CC5732"/>
    <w:rsid w:val="00CC62B6"/>
    <w:rsid w:val="00CC6D76"/>
    <w:rsid w:val="00CC6DD2"/>
    <w:rsid w:val="00CC71B0"/>
    <w:rsid w:val="00CC741C"/>
    <w:rsid w:val="00CC7811"/>
    <w:rsid w:val="00CC78B3"/>
    <w:rsid w:val="00CC7C99"/>
    <w:rsid w:val="00CD05A4"/>
    <w:rsid w:val="00CD08EB"/>
    <w:rsid w:val="00CD1261"/>
    <w:rsid w:val="00CD14F9"/>
    <w:rsid w:val="00CD3EBE"/>
    <w:rsid w:val="00CD4146"/>
    <w:rsid w:val="00CD4208"/>
    <w:rsid w:val="00CD55F5"/>
    <w:rsid w:val="00CD61E8"/>
    <w:rsid w:val="00CD678E"/>
    <w:rsid w:val="00CD7DA8"/>
    <w:rsid w:val="00CE0251"/>
    <w:rsid w:val="00CE0540"/>
    <w:rsid w:val="00CE0F31"/>
    <w:rsid w:val="00CE1366"/>
    <w:rsid w:val="00CE236F"/>
    <w:rsid w:val="00CE2B0A"/>
    <w:rsid w:val="00CE3BD0"/>
    <w:rsid w:val="00CE49F8"/>
    <w:rsid w:val="00CE4E0A"/>
    <w:rsid w:val="00CE4F84"/>
    <w:rsid w:val="00CE5145"/>
    <w:rsid w:val="00CE54D7"/>
    <w:rsid w:val="00CE563F"/>
    <w:rsid w:val="00CE64E9"/>
    <w:rsid w:val="00CE6D6E"/>
    <w:rsid w:val="00CE71A3"/>
    <w:rsid w:val="00CE747A"/>
    <w:rsid w:val="00CE7A46"/>
    <w:rsid w:val="00CE7E22"/>
    <w:rsid w:val="00CF0372"/>
    <w:rsid w:val="00CF07EC"/>
    <w:rsid w:val="00CF087B"/>
    <w:rsid w:val="00CF0984"/>
    <w:rsid w:val="00CF0B1E"/>
    <w:rsid w:val="00CF0FDA"/>
    <w:rsid w:val="00CF1597"/>
    <w:rsid w:val="00CF2D4E"/>
    <w:rsid w:val="00CF32DB"/>
    <w:rsid w:val="00CF33D9"/>
    <w:rsid w:val="00CF390B"/>
    <w:rsid w:val="00CF421C"/>
    <w:rsid w:val="00CF4993"/>
    <w:rsid w:val="00CF4C73"/>
    <w:rsid w:val="00CF4FFE"/>
    <w:rsid w:val="00CF5ADD"/>
    <w:rsid w:val="00CF63B0"/>
    <w:rsid w:val="00CF6488"/>
    <w:rsid w:val="00CF6D43"/>
    <w:rsid w:val="00CF70C4"/>
    <w:rsid w:val="00D0035F"/>
    <w:rsid w:val="00D0087C"/>
    <w:rsid w:val="00D01879"/>
    <w:rsid w:val="00D01BAE"/>
    <w:rsid w:val="00D01E43"/>
    <w:rsid w:val="00D02256"/>
    <w:rsid w:val="00D02DFC"/>
    <w:rsid w:val="00D02E78"/>
    <w:rsid w:val="00D034CF"/>
    <w:rsid w:val="00D0396D"/>
    <w:rsid w:val="00D04184"/>
    <w:rsid w:val="00D041B9"/>
    <w:rsid w:val="00D042B3"/>
    <w:rsid w:val="00D04699"/>
    <w:rsid w:val="00D05D7E"/>
    <w:rsid w:val="00D0750F"/>
    <w:rsid w:val="00D0779B"/>
    <w:rsid w:val="00D07AE4"/>
    <w:rsid w:val="00D10047"/>
    <w:rsid w:val="00D10148"/>
    <w:rsid w:val="00D102AD"/>
    <w:rsid w:val="00D1051C"/>
    <w:rsid w:val="00D10832"/>
    <w:rsid w:val="00D117D7"/>
    <w:rsid w:val="00D12083"/>
    <w:rsid w:val="00D12795"/>
    <w:rsid w:val="00D1333E"/>
    <w:rsid w:val="00D13ADD"/>
    <w:rsid w:val="00D151CF"/>
    <w:rsid w:val="00D156DC"/>
    <w:rsid w:val="00D15705"/>
    <w:rsid w:val="00D15ADB"/>
    <w:rsid w:val="00D15E9C"/>
    <w:rsid w:val="00D16717"/>
    <w:rsid w:val="00D1781F"/>
    <w:rsid w:val="00D17FA6"/>
    <w:rsid w:val="00D20105"/>
    <w:rsid w:val="00D20306"/>
    <w:rsid w:val="00D20420"/>
    <w:rsid w:val="00D2094A"/>
    <w:rsid w:val="00D20E85"/>
    <w:rsid w:val="00D20F84"/>
    <w:rsid w:val="00D21A04"/>
    <w:rsid w:val="00D229EE"/>
    <w:rsid w:val="00D22F0A"/>
    <w:rsid w:val="00D235E3"/>
    <w:rsid w:val="00D23908"/>
    <w:rsid w:val="00D23CBE"/>
    <w:rsid w:val="00D23DD4"/>
    <w:rsid w:val="00D24282"/>
    <w:rsid w:val="00D25329"/>
    <w:rsid w:val="00D25498"/>
    <w:rsid w:val="00D254BE"/>
    <w:rsid w:val="00D2575C"/>
    <w:rsid w:val="00D25B96"/>
    <w:rsid w:val="00D26841"/>
    <w:rsid w:val="00D269C2"/>
    <w:rsid w:val="00D26E81"/>
    <w:rsid w:val="00D275DD"/>
    <w:rsid w:val="00D27AE6"/>
    <w:rsid w:val="00D27CCE"/>
    <w:rsid w:val="00D27FCA"/>
    <w:rsid w:val="00D3016F"/>
    <w:rsid w:val="00D30537"/>
    <w:rsid w:val="00D30589"/>
    <w:rsid w:val="00D309B1"/>
    <w:rsid w:val="00D30BF3"/>
    <w:rsid w:val="00D3105C"/>
    <w:rsid w:val="00D3182F"/>
    <w:rsid w:val="00D33A1F"/>
    <w:rsid w:val="00D33AE9"/>
    <w:rsid w:val="00D33DAC"/>
    <w:rsid w:val="00D347DF"/>
    <w:rsid w:val="00D34CA3"/>
    <w:rsid w:val="00D356E5"/>
    <w:rsid w:val="00D35767"/>
    <w:rsid w:val="00D3608C"/>
    <w:rsid w:val="00D3673E"/>
    <w:rsid w:val="00D378F1"/>
    <w:rsid w:val="00D37A04"/>
    <w:rsid w:val="00D37A0F"/>
    <w:rsid w:val="00D40158"/>
    <w:rsid w:val="00D40538"/>
    <w:rsid w:val="00D40826"/>
    <w:rsid w:val="00D411BB"/>
    <w:rsid w:val="00D415A2"/>
    <w:rsid w:val="00D41860"/>
    <w:rsid w:val="00D426DA"/>
    <w:rsid w:val="00D42DDA"/>
    <w:rsid w:val="00D43047"/>
    <w:rsid w:val="00D432C6"/>
    <w:rsid w:val="00D445CC"/>
    <w:rsid w:val="00D44A62"/>
    <w:rsid w:val="00D4512D"/>
    <w:rsid w:val="00D45345"/>
    <w:rsid w:val="00D459FA"/>
    <w:rsid w:val="00D466BC"/>
    <w:rsid w:val="00D47189"/>
    <w:rsid w:val="00D477C2"/>
    <w:rsid w:val="00D50754"/>
    <w:rsid w:val="00D50B6A"/>
    <w:rsid w:val="00D523BD"/>
    <w:rsid w:val="00D52949"/>
    <w:rsid w:val="00D52961"/>
    <w:rsid w:val="00D53014"/>
    <w:rsid w:val="00D53105"/>
    <w:rsid w:val="00D5332D"/>
    <w:rsid w:val="00D5405C"/>
    <w:rsid w:val="00D54063"/>
    <w:rsid w:val="00D540A1"/>
    <w:rsid w:val="00D54310"/>
    <w:rsid w:val="00D551D5"/>
    <w:rsid w:val="00D5574B"/>
    <w:rsid w:val="00D56169"/>
    <w:rsid w:val="00D56C55"/>
    <w:rsid w:val="00D5749E"/>
    <w:rsid w:val="00D57615"/>
    <w:rsid w:val="00D57663"/>
    <w:rsid w:val="00D57854"/>
    <w:rsid w:val="00D57E08"/>
    <w:rsid w:val="00D57F10"/>
    <w:rsid w:val="00D61F41"/>
    <w:rsid w:val="00D62072"/>
    <w:rsid w:val="00D62954"/>
    <w:rsid w:val="00D6327C"/>
    <w:rsid w:val="00D63F9D"/>
    <w:rsid w:val="00D64103"/>
    <w:rsid w:val="00D643C8"/>
    <w:rsid w:val="00D6464F"/>
    <w:rsid w:val="00D646B2"/>
    <w:rsid w:val="00D64A70"/>
    <w:rsid w:val="00D655E5"/>
    <w:rsid w:val="00D65772"/>
    <w:rsid w:val="00D660F0"/>
    <w:rsid w:val="00D66AFC"/>
    <w:rsid w:val="00D66CF8"/>
    <w:rsid w:val="00D6740E"/>
    <w:rsid w:val="00D709DE"/>
    <w:rsid w:val="00D70A39"/>
    <w:rsid w:val="00D70CC1"/>
    <w:rsid w:val="00D720EB"/>
    <w:rsid w:val="00D7230F"/>
    <w:rsid w:val="00D72ABD"/>
    <w:rsid w:val="00D72F38"/>
    <w:rsid w:val="00D72F4B"/>
    <w:rsid w:val="00D733FB"/>
    <w:rsid w:val="00D74890"/>
    <w:rsid w:val="00D7491F"/>
    <w:rsid w:val="00D74D43"/>
    <w:rsid w:val="00D74E36"/>
    <w:rsid w:val="00D75366"/>
    <w:rsid w:val="00D7544C"/>
    <w:rsid w:val="00D75482"/>
    <w:rsid w:val="00D7566B"/>
    <w:rsid w:val="00D75DB8"/>
    <w:rsid w:val="00D764C8"/>
    <w:rsid w:val="00D76758"/>
    <w:rsid w:val="00D7678A"/>
    <w:rsid w:val="00D807C6"/>
    <w:rsid w:val="00D809A7"/>
    <w:rsid w:val="00D80B84"/>
    <w:rsid w:val="00D80C4F"/>
    <w:rsid w:val="00D80C79"/>
    <w:rsid w:val="00D80D8B"/>
    <w:rsid w:val="00D82271"/>
    <w:rsid w:val="00D822AC"/>
    <w:rsid w:val="00D826A1"/>
    <w:rsid w:val="00D82FE4"/>
    <w:rsid w:val="00D83052"/>
    <w:rsid w:val="00D8324A"/>
    <w:rsid w:val="00D842EB"/>
    <w:rsid w:val="00D843B0"/>
    <w:rsid w:val="00D85077"/>
    <w:rsid w:val="00D85508"/>
    <w:rsid w:val="00D86156"/>
    <w:rsid w:val="00D8647C"/>
    <w:rsid w:val="00D87420"/>
    <w:rsid w:val="00D87504"/>
    <w:rsid w:val="00D87605"/>
    <w:rsid w:val="00D878A4"/>
    <w:rsid w:val="00D90896"/>
    <w:rsid w:val="00D90D7F"/>
    <w:rsid w:val="00D90E4C"/>
    <w:rsid w:val="00D9184E"/>
    <w:rsid w:val="00D91D99"/>
    <w:rsid w:val="00D91E90"/>
    <w:rsid w:val="00D92817"/>
    <w:rsid w:val="00D94777"/>
    <w:rsid w:val="00D94CBF"/>
    <w:rsid w:val="00D94ED1"/>
    <w:rsid w:val="00D95011"/>
    <w:rsid w:val="00D95812"/>
    <w:rsid w:val="00D959FD"/>
    <w:rsid w:val="00D95A1C"/>
    <w:rsid w:val="00D95A3A"/>
    <w:rsid w:val="00D95C60"/>
    <w:rsid w:val="00D95ED5"/>
    <w:rsid w:val="00D95FA0"/>
    <w:rsid w:val="00D96248"/>
    <w:rsid w:val="00D96580"/>
    <w:rsid w:val="00D96D01"/>
    <w:rsid w:val="00D970BA"/>
    <w:rsid w:val="00DA0037"/>
    <w:rsid w:val="00DA0565"/>
    <w:rsid w:val="00DA0C61"/>
    <w:rsid w:val="00DA0D21"/>
    <w:rsid w:val="00DA12D0"/>
    <w:rsid w:val="00DA16E1"/>
    <w:rsid w:val="00DA1CA2"/>
    <w:rsid w:val="00DA2379"/>
    <w:rsid w:val="00DA2733"/>
    <w:rsid w:val="00DA2B77"/>
    <w:rsid w:val="00DA2BCC"/>
    <w:rsid w:val="00DA2CDC"/>
    <w:rsid w:val="00DA35F3"/>
    <w:rsid w:val="00DA5C37"/>
    <w:rsid w:val="00DA60A1"/>
    <w:rsid w:val="00DA6164"/>
    <w:rsid w:val="00DA6CDA"/>
    <w:rsid w:val="00DA7360"/>
    <w:rsid w:val="00DA7484"/>
    <w:rsid w:val="00DA770D"/>
    <w:rsid w:val="00DB021E"/>
    <w:rsid w:val="00DB0271"/>
    <w:rsid w:val="00DB0666"/>
    <w:rsid w:val="00DB1269"/>
    <w:rsid w:val="00DB1496"/>
    <w:rsid w:val="00DB211F"/>
    <w:rsid w:val="00DB2400"/>
    <w:rsid w:val="00DB254C"/>
    <w:rsid w:val="00DB258B"/>
    <w:rsid w:val="00DB2DB7"/>
    <w:rsid w:val="00DB2FC2"/>
    <w:rsid w:val="00DB47E2"/>
    <w:rsid w:val="00DB4AAD"/>
    <w:rsid w:val="00DB521E"/>
    <w:rsid w:val="00DB58C1"/>
    <w:rsid w:val="00DB61CB"/>
    <w:rsid w:val="00DB6540"/>
    <w:rsid w:val="00DB7DF8"/>
    <w:rsid w:val="00DC00B4"/>
    <w:rsid w:val="00DC1C17"/>
    <w:rsid w:val="00DC2775"/>
    <w:rsid w:val="00DC2BBB"/>
    <w:rsid w:val="00DC31A7"/>
    <w:rsid w:val="00DC386B"/>
    <w:rsid w:val="00DC3A53"/>
    <w:rsid w:val="00DC3C16"/>
    <w:rsid w:val="00DC3DDF"/>
    <w:rsid w:val="00DC4C41"/>
    <w:rsid w:val="00DC5248"/>
    <w:rsid w:val="00DC5312"/>
    <w:rsid w:val="00DC5BDF"/>
    <w:rsid w:val="00DC5E5B"/>
    <w:rsid w:val="00DC6B55"/>
    <w:rsid w:val="00DC7B5D"/>
    <w:rsid w:val="00DD036E"/>
    <w:rsid w:val="00DD08A1"/>
    <w:rsid w:val="00DD14DD"/>
    <w:rsid w:val="00DD1868"/>
    <w:rsid w:val="00DD2D8D"/>
    <w:rsid w:val="00DD2E1A"/>
    <w:rsid w:val="00DD348C"/>
    <w:rsid w:val="00DD4124"/>
    <w:rsid w:val="00DD50B7"/>
    <w:rsid w:val="00DD5133"/>
    <w:rsid w:val="00DD513C"/>
    <w:rsid w:val="00DD7311"/>
    <w:rsid w:val="00DE0583"/>
    <w:rsid w:val="00DE0D88"/>
    <w:rsid w:val="00DE1821"/>
    <w:rsid w:val="00DE1877"/>
    <w:rsid w:val="00DE19B6"/>
    <w:rsid w:val="00DE1A7C"/>
    <w:rsid w:val="00DE1BB5"/>
    <w:rsid w:val="00DE275C"/>
    <w:rsid w:val="00DE2E11"/>
    <w:rsid w:val="00DE2E3B"/>
    <w:rsid w:val="00DE2F25"/>
    <w:rsid w:val="00DE313F"/>
    <w:rsid w:val="00DE33B5"/>
    <w:rsid w:val="00DE3948"/>
    <w:rsid w:val="00DE3DE7"/>
    <w:rsid w:val="00DE432C"/>
    <w:rsid w:val="00DE5064"/>
    <w:rsid w:val="00DE5092"/>
    <w:rsid w:val="00DE5569"/>
    <w:rsid w:val="00DE580F"/>
    <w:rsid w:val="00DE5A0D"/>
    <w:rsid w:val="00DE5F12"/>
    <w:rsid w:val="00DE6161"/>
    <w:rsid w:val="00DE66AB"/>
    <w:rsid w:val="00DE6FC8"/>
    <w:rsid w:val="00DE7495"/>
    <w:rsid w:val="00DE7C0E"/>
    <w:rsid w:val="00DE7E32"/>
    <w:rsid w:val="00DE7F09"/>
    <w:rsid w:val="00DF01B6"/>
    <w:rsid w:val="00DF1095"/>
    <w:rsid w:val="00DF1CAF"/>
    <w:rsid w:val="00DF25C4"/>
    <w:rsid w:val="00DF27FD"/>
    <w:rsid w:val="00DF3153"/>
    <w:rsid w:val="00DF3DEA"/>
    <w:rsid w:val="00DF461D"/>
    <w:rsid w:val="00DF5BAA"/>
    <w:rsid w:val="00DF6F1A"/>
    <w:rsid w:val="00DF6F4E"/>
    <w:rsid w:val="00DF7095"/>
    <w:rsid w:val="00DF7A26"/>
    <w:rsid w:val="00E00829"/>
    <w:rsid w:val="00E00FA9"/>
    <w:rsid w:val="00E0139F"/>
    <w:rsid w:val="00E02871"/>
    <w:rsid w:val="00E02E81"/>
    <w:rsid w:val="00E03581"/>
    <w:rsid w:val="00E0385B"/>
    <w:rsid w:val="00E03F10"/>
    <w:rsid w:val="00E047E5"/>
    <w:rsid w:val="00E04CB5"/>
    <w:rsid w:val="00E05874"/>
    <w:rsid w:val="00E05935"/>
    <w:rsid w:val="00E06779"/>
    <w:rsid w:val="00E072F9"/>
    <w:rsid w:val="00E076FA"/>
    <w:rsid w:val="00E07EB2"/>
    <w:rsid w:val="00E10486"/>
    <w:rsid w:val="00E10516"/>
    <w:rsid w:val="00E10C2F"/>
    <w:rsid w:val="00E10F9D"/>
    <w:rsid w:val="00E111D8"/>
    <w:rsid w:val="00E11A8C"/>
    <w:rsid w:val="00E11BE4"/>
    <w:rsid w:val="00E122B7"/>
    <w:rsid w:val="00E135CB"/>
    <w:rsid w:val="00E149EC"/>
    <w:rsid w:val="00E15258"/>
    <w:rsid w:val="00E153A2"/>
    <w:rsid w:val="00E15E4E"/>
    <w:rsid w:val="00E16489"/>
    <w:rsid w:val="00E16A4C"/>
    <w:rsid w:val="00E1784A"/>
    <w:rsid w:val="00E17BFB"/>
    <w:rsid w:val="00E17C29"/>
    <w:rsid w:val="00E20326"/>
    <w:rsid w:val="00E211A2"/>
    <w:rsid w:val="00E221FC"/>
    <w:rsid w:val="00E22CC2"/>
    <w:rsid w:val="00E23114"/>
    <w:rsid w:val="00E23F08"/>
    <w:rsid w:val="00E24B8C"/>
    <w:rsid w:val="00E24D42"/>
    <w:rsid w:val="00E24E3E"/>
    <w:rsid w:val="00E25130"/>
    <w:rsid w:val="00E25207"/>
    <w:rsid w:val="00E259FB"/>
    <w:rsid w:val="00E262DF"/>
    <w:rsid w:val="00E26866"/>
    <w:rsid w:val="00E26C36"/>
    <w:rsid w:val="00E27095"/>
    <w:rsid w:val="00E27B93"/>
    <w:rsid w:val="00E27ECE"/>
    <w:rsid w:val="00E304E2"/>
    <w:rsid w:val="00E30D39"/>
    <w:rsid w:val="00E30EF7"/>
    <w:rsid w:val="00E316D4"/>
    <w:rsid w:val="00E31780"/>
    <w:rsid w:val="00E32378"/>
    <w:rsid w:val="00E34796"/>
    <w:rsid w:val="00E347A7"/>
    <w:rsid w:val="00E34BC3"/>
    <w:rsid w:val="00E35D27"/>
    <w:rsid w:val="00E379CB"/>
    <w:rsid w:val="00E37B8D"/>
    <w:rsid w:val="00E37B96"/>
    <w:rsid w:val="00E40605"/>
    <w:rsid w:val="00E40751"/>
    <w:rsid w:val="00E408C3"/>
    <w:rsid w:val="00E40F11"/>
    <w:rsid w:val="00E418B7"/>
    <w:rsid w:val="00E41A42"/>
    <w:rsid w:val="00E41CBD"/>
    <w:rsid w:val="00E44076"/>
    <w:rsid w:val="00E4475D"/>
    <w:rsid w:val="00E44CDC"/>
    <w:rsid w:val="00E451C3"/>
    <w:rsid w:val="00E455AD"/>
    <w:rsid w:val="00E457BD"/>
    <w:rsid w:val="00E45869"/>
    <w:rsid w:val="00E45BA0"/>
    <w:rsid w:val="00E45CD2"/>
    <w:rsid w:val="00E46963"/>
    <w:rsid w:val="00E46993"/>
    <w:rsid w:val="00E46F3B"/>
    <w:rsid w:val="00E46F8A"/>
    <w:rsid w:val="00E47A10"/>
    <w:rsid w:val="00E47D46"/>
    <w:rsid w:val="00E507F6"/>
    <w:rsid w:val="00E51D6A"/>
    <w:rsid w:val="00E51E0E"/>
    <w:rsid w:val="00E5256D"/>
    <w:rsid w:val="00E52942"/>
    <w:rsid w:val="00E52EFB"/>
    <w:rsid w:val="00E5321C"/>
    <w:rsid w:val="00E5333B"/>
    <w:rsid w:val="00E54026"/>
    <w:rsid w:val="00E54714"/>
    <w:rsid w:val="00E5511F"/>
    <w:rsid w:val="00E557BB"/>
    <w:rsid w:val="00E5599C"/>
    <w:rsid w:val="00E5644C"/>
    <w:rsid w:val="00E565A7"/>
    <w:rsid w:val="00E56E4D"/>
    <w:rsid w:val="00E578D4"/>
    <w:rsid w:val="00E57E9D"/>
    <w:rsid w:val="00E601FD"/>
    <w:rsid w:val="00E60367"/>
    <w:rsid w:val="00E60709"/>
    <w:rsid w:val="00E60D53"/>
    <w:rsid w:val="00E61989"/>
    <w:rsid w:val="00E62D1E"/>
    <w:rsid w:val="00E62FC9"/>
    <w:rsid w:val="00E631C8"/>
    <w:rsid w:val="00E6425A"/>
    <w:rsid w:val="00E6459B"/>
    <w:rsid w:val="00E649E1"/>
    <w:rsid w:val="00E64E66"/>
    <w:rsid w:val="00E64EFA"/>
    <w:rsid w:val="00E65179"/>
    <w:rsid w:val="00E65C46"/>
    <w:rsid w:val="00E660A8"/>
    <w:rsid w:val="00E66300"/>
    <w:rsid w:val="00E66618"/>
    <w:rsid w:val="00E704A3"/>
    <w:rsid w:val="00E705D5"/>
    <w:rsid w:val="00E70D5D"/>
    <w:rsid w:val="00E710F6"/>
    <w:rsid w:val="00E71110"/>
    <w:rsid w:val="00E713A1"/>
    <w:rsid w:val="00E71B21"/>
    <w:rsid w:val="00E722B4"/>
    <w:rsid w:val="00E72730"/>
    <w:rsid w:val="00E72E52"/>
    <w:rsid w:val="00E75FDB"/>
    <w:rsid w:val="00E76EEF"/>
    <w:rsid w:val="00E779FD"/>
    <w:rsid w:val="00E80099"/>
    <w:rsid w:val="00E8172E"/>
    <w:rsid w:val="00E81775"/>
    <w:rsid w:val="00E81D63"/>
    <w:rsid w:val="00E81F70"/>
    <w:rsid w:val="00E821D1"/>
    <w:rsid w:val="00E83068"/>
    <w:rsid w:val="00E83607"/>
    <w:rsid w:val="00E846E6"/>
    <w:rsid w:val="00E846FD"/>
    <w:rsid w:val="00E84B75"/>
    <w:rsid w:val="00E85137"/>
    <w:rsid w:val="00E85BCF"/>
    <w:rsid w:val="00E86763"/>
    <w:rsid w:val="00E86866"/>
    <w:rsid w:val="00E878E6"/>
    <w:rsid w:val="00E87AE3"/>
    <w:rsid w:val="00E912C7"/>
    <w:rsid w:val="00E91EA3"/>
    <w:rsid w:val="00E91EFA"/>
    <w:rsid w:val="00E923FB"/>
    <w:rsid w:val="00E928AE"/>
    <w:rsid w:val="00E92CF3"/>
    <w:rsid w:val="00E93DF0"/>
    <w:rsid w:val="00E949A5"/>
    <w:rsid w:val="00E94C01"/>
    <w:rsid w:val="00E94D21"/>
    <w:rsid w:val="00E94E57"/>
    <w:rsid w:val="00E953CA"/>
    <w:rsid w:val="00E958C4"/>
    <w:rsid w:val="00E9638E"/>
    <w:rsid w:val="00E96CE8"/>
    <w:rsid w:val="00E96ECF"/>
    <w:rsid w:val="00E97834"/>
    <w:rsid w:val="00EA01A5"/>
    <w:rsid w:val="00EA06B7"/>
    <w:rsid w:val="00EA0C48"/>
    <w:rsid w:val="00EA10D2"/>
    <w:rsid w:val="00EA1C45"/>
    <w:rsid w:val="00EA2378"/>
    <w:rsid w:val="00EA35BB"/>
    <w:rsid w:val="00EA4F47"/>
    <w:rsid w:val="00EA5237"/>
    <w:rsid w:val="00EA541A"/>
    <w:rsid w:val="00EA6218"/>
    <w:rsid w:val="00EA6572"/>
    <w:rsid w:val="00EA793D"/>
    <w:rsid w:val="00EB007D"/>
    <w:rsid w:val="00EB02F1"/>
    <w:rsid w:val="00EB03D8"/>
    <w:rsid w:val="00EB054D"/>
    <w:rsid w:val="00EB14E9"/>
    <w:rsid w:val="00EB1D3B"/>
    <w:rsid w:val="00EB2213"/>
    <w:rsid w:val="00EB24BF"/>
    <w:rsid w:val="00EB326C"/>
    <w:rsid w:val="00EB34BD"/>
    <w:rsid w:val="00EB3CE2"/>
    <w:rsid w:val="00EB455B"/>
    <w:rsid w:val="00EB55D6"/>
    <w:rsid w:val="00EB591E"/>
    <w:rsid w:val="00EB6BDC"/>
    <w:rsid w:val="00EB6CB0"/>
    <w:rsid w:val="00EB748E"/>
    <w:rsid w:val="00EB7549"/>
    <w:rsid w:val="00EB7663"/>
    <w:rsid w:val="00EB7841"/>
    <w:rsid w:val="00EB7F0A"/>
    <w:rsid w:val="00EC019E"/>
    <w:rsid w:val="00EC0F34"/>
    <w:rsid w:val="00EC0F3A"/>
    <w:rsid w:val="00EC188F"/>
    <w:rsid w:val="00EC1AAB"/>
    <w:rsid w:val="00EC1B01"/>
    <w:rsid w:val="00EC2033"/>
    <w:rsid w:val="00EC29FC"/>
    <w:rsid w:val="00EC3B71"/>
    <w:rsid w:val="00EC476C"/>
    <w:rsid w:val="00EC4977"/>
    <w:rsid w:val="00EC51F1"/>
    <w:rsid w:val="00EC52F4"/>
    <w:rsid w:val="00EC53E0"/>
    <w:rsid w:val="00EC59F2"/>
    <w:rsid w:val="00EC64D1"/>
    <w:rsid w:val="00EC693B"/>
    <w:rsid w:val="00EC6FCF"/>
    <w:rsid w:val="00EC7308"/>
    <w:rsid w:val="00ED0267"/>
    <w:rsid w:val="00ED0CCD"/>
    <w:rsid w:val="00ED1008"/>
    <w:rsid w:val="00ED18AA"/>
    <w:rsid w:val="00ED206E"/>
    <w:rsid w:val="00ED307E"/>
    <w:rsid w:val="00ED30F1"/>
    <w:rsid w:val="00ED3506"/>
    <w:rsid w:val="00ED37E8"/>
    <w:rsid w:val="00ED544B"/>
    <w:rsid w:val="00ED63B1"/>
    <w:rsid w:val="00ED74C6"/>
    <w:rsid w:val="00ED7674"/>
    <w:rsid w:val="00ED793D"/>
    <w:rsid w:val="00ED7FB6"/>
    <w:rsid w:val="00EE0060"/>
    <w:rsid w:val="00EE08A0"/>
    <w:rsid w:val="00EE0B56"/>
    <w:rsid w:val="00EE0D52"/>
    <w:rsid w:val="00EE1413"/>
    <w:rsid w:val="00EE1C6E"/>
    <w:rsid w:val="00EE1E81"/>
    <w:rsid w:val="00EE30AE"/>
    <w:rsid w:val="00EE3A92"/>
    <w:rsid w:val="00EE41E6"/>
    <w:rsid w:val="00EE4875"/>
    <w:rsid w:val="00EE4918"/>
    <w:rsid w:val="00EE4A61"/>
    <w:rsid w:val="00EE4A71"/>
    <w:rsid w:val="00EE582D"/>
    <w:rsid w:val="00EE58B5"/>
    <w:rsid w:val="00EE591E"/>
    <w:rsid w:val="00EE62FA"/>
    <w:rsid w:val="00EE664D"/>
    <w:rsid w:val="00EE6F61"/>
    <w:rsid w:val="00EE7037"/>
    <w:rsid w:val="00EE738A"/>
    <w:rsid w:val="00EE7E14"/>
    <w:rsid w:val="00EF0581"/>
    <w:rsid w:val="00EF09B7"/>
    <w:rsid w:val="00EF11E3"/>
    <w:rsid w:val="00EF1226"/>
    <w:rsid w:val="00EF1303"/>
    <w:rsid w:val="00EF255C"/>
    <w:rsid w:val="00EF26E9"/>
    <w:rsid w:val="00EF27EB"/>
    <w:rsid w:val="00EF3F9F"/>
    <w:rsid w:val="00EF4538"/>
    <w:rsid w:val="00EF514A"/>
    <w:rsid w:val="00EF6D36"/>
    <w:rsid w:val="00EF7001"/>
    <w:rsid w:val="00EF767A"/>
    <w:rsid w:val="00EF7751"/>
    <w:rsid w:val="00F001AD"/>
    <w:rsid w:val="00F004CB"/>
    <w:rsid w:val="00F00B4B"/>
    <w:rsid w:val="00F0102B"/>
    <w:rsid w:val="00F011E2"/>
    <w:rsid w:val="00F01534"/>
    <w:rsid w:val="00F02102"/>
    <w:rsid w:val="00F02303"/>
    <w:rsid w:val="00F02359"/>
    <w:rsid w:val="00F02685"/>
    <w:rsid w:val="00F036BA"/>
    <w:rsid w:val="00F037DD"/>
    <w:rsid w:val="00F03AF2"/>
    <w:rsid w:val="00F03BD2"/>
    <w:rsid w:val="00F0419F"/>
    <w:rsid w:val="00F04778"/>
    <w:rsid w:val="00F0559E"/>
    <w:rsid w:val="00F05E94"/>
    <w:rsid w:val="00F06495"/>
    <w:rsid w:val="00F0651E"/>
    <w:rsid w:val="00F0668B"/>
    <w:rsid w:val="00F06EF3"/>
    <w:rsid w:val="00F106EA"/>
    <w:rsid w:val="00F11F57"/>
    <w:rsid w:val="00F12565"/>
    <w:rsid w:val="00F12AA8"/>
    <w:rsid w:val="00F132C6"/>
    <w:rsid w:val="00F135B0"/>
    <w:rsid w:val="00F13936"/>
    <w:rsid w:val="00F1445B"/>
    <w:rsid w:val="00F14ED2"/>
    <w:rsid w:val="00F155E0"/>
    <w:rsid w:val="00F1565E"/>
    <w:rsid w:val="00F15FC0"/>
    <w:rsid w:val="00F1636A"/>
    <w:rsid w:val="00F17526"/>
    <w:rsid w:val="00F1754C"/>
    <w:rsid w:val="00F176BE"/>
    <w:rsid w:val="00F17742"/>
    <w:rsid w:val="00F17A34"/>
    <w:rsid w:val="00F17A86"/>
    <w:rsid w:val="00F17A9E"/>
    <w:rsid w:val="00F2034F"/>
    <w:rsid w:val="00F205BE"/>
    <w:rsid w:val="00F20604"/>
    <w:rsid w:val="00F209B2"/>
    <w:rsid w:val="00F20B4C"/>
    <w:rsid w:val="00F21356"/>
    <w:rsid w:val="00F217AD"/>
    <w:rsid w:val="00F22A21"/>
    <w:rsid w:val="00F22D8F"/>
    <w:rsid w:val="00F22E7C"/>
    <w:rsid w:val="00F237A7"/>
    <w:rsid w:val="00F23C90"/>
    <w:rsid w:val="00F2425C"/>
    <w:rsid w:val="00F24D04"/>
    <w:rsid w:val="00F24E7F"/>
    <w:rsid w:val="00F254C7"/>
    <w:rsid w:val="00F260C4"/>
    <w:rsid w:val="00F26B8C"/>
    <w:rsid w:val="00F26C0D"/>
    <w:rsid w:val="00F278DE"/>
    <w:rsid w:val="00F309A1"/>
    <w:rsid w:val="00F313EA"/>
    <w:rsid w:val="00F315A2"/>
    <w:rsid w:val="00F31613"/>
    <w:rsid w:val="00F3189F"/>
    <w:rsid w:val="00F31A9B"/>
    <w:rsid w:val="00F31B59"/>
    <w:rsid w:val="00F326C9"/>
    <w:rsid w:val="00F32772"/>
    <w:rsid w:val="00F332F4"/>
    <w:rsid w:val="00F33C2F"/>
    <w:rsid w:val="00F3482B"/>
    <w:rsid w:val="00F34DEB"/>
    <w:rsid w:val="00F35015"/>
    <w:rsid w:val="00F3555D"/>
    <w:rsid w:val="00F367A7"/>
    <w:rsid w:val="00F36B1F"/>
    <w:rsid w:val="00F36F13"/>
    <w:rsid w:val="00F37609"/>
    <w:rsid w:val="00F3762F"/>
    <w:rsid w:val="00F37DE8"/>
    <w:rsid w:val="00F40445"/>
    <w:rsid w:val="00F40488"/>
    <w:rsid w:val="00F418EF"/>
    <w:rsid w:val="00F41F53"/>
    <w:rsid w:val="00F42305"/>
    <w:rsid w:val="00F43513"/>
    <w:rsid w:val="00F436B2"/>
    <w:rsid w:val="00F43A59"/>
    <w:rsid w:val="00F45141"/>
    <w:rsid w:val="00F451A3"/>
    <w:rsid w:val="00F456F2"/>
    <w:rsid w:val="00F4571A"/>
    <w:rsid w:val="00F45EB9"/>
    <w:rsid w:val="00F470E7"/>
    <w:rsid w:val="00F4725A"/>
    <w:rsid w:val="00F4750F"/>
    <w:rsid w:val="00F507AE"/>
    <w:rsid w:val="00F50E6B"/>
    <w:rsid w:val="00F51206"/>
    <w:rsid w:val="00F514AE"/>
    <w:rsid w:val="00F5172D"/>
    <w:rsid w:val="00F51BC2"/>
    <w:rsid w:val="00F51E64"/>
    <w:rsid w:val="00F52423"/>
    <w:rsid w:val="00F525BE"/>
    <w:rsid w:val="00F52F7E"/>
    <w:rsid w:val="00F5301E"/>
    <w:rsid w:val="00F536C7"/>
    <w:rsid w:val="00F53D95"/>
    <w:rsid w:val="00F5408A"/>
    <w:rsid w:val="00F541CA"/>
    <w:rsid w:val="00F54AB6"/>
    <w:rsid w:val="00F55D4C"/>
    <w:rsid w:val="00F55F8A"/>
    <w:rsid w:val="00F56002"/>
    <w:rsid w:val="00F56216"/>
    <w:rsid w:val="00F56A37"/>
    <w:rsid w:val="00F56A5D"/>
    <w:rsid w:val="00F56E88"/>
    <w:rsid w:val="00F5739D"/>
    <w:rsid w:val="00F6055B"/>
    <w:rsid w:val="00F605DC"/>
    <w:rsid w:val="00F61E41"/>
    <w:rsid w:val="00F627AD"/>
    <w:rsid w:val="00F632D2"/>
    <w:rsid w:val="00F641BC"/>
    <w:rsid w:val="00F64A39"/>
    <w:rsid w:val="00F64CB6"/>
    <w:rsid w:val="00F6509B"/>
    <w:rsid w:val="00F6666A"/>
    <w:rsid w:val="00F66A13"/>
    <w:rsid w:val="00F66B50"/>
    <w:rsid w:val="00F67313"/>
    <w:rsid w:val="00F67561"/>
    <w:rsid w:val="00F67B5A"/>
    <w:rsid w:val="00F67FCB"/>
    <w:rsid w:val="00F703B5"/>
    <w:rsid w:val="00F70B77"/>
    <w:rsid w:val="00F70C46"/>
    <w:rsid w:val="00F70D34"/>
    <w:rsid w:val="00F7111E"/>
    <w:rsid w:val="00F716AB"/>
    <w:rsid w:val="00F719C5"/>
    <w:rsid w:val="00F71A3E"/>
    <w:rsid w:val="00F71ECB"/>
    <w:rsid w:val="00F72700"/>
    <w:rsid w:val="00F72F34"/>
    <w:rsid w:val="00F72F91"/>
    <w:rsid w:val="00F731DC"/>
    <w:rsid w:val="00F7338E"/>
    <w:rsid w:val="00F7373D"/>
    <w:rsid w:val="00F73A04"/>
    <w:rsid w:val="00F742F5"/>
    <w:rsid w:val="00F744BD"/>
    <w:rsid w:val="00F74746"/>
    <w:rsid w:val="00F74C8A"/>
    <w:rsid w:val="00F74F7B"/>
    <w:rsid w:val="00F75060"/>
    <w:rsid w:val="00F751CF"/>
    <w:rsid w:val="00F75203"/>
    <w:rsid w:val="00F754CC"/>
    <w:rsid w:val="00F75CFB"/>
    <w:rsid w:val="00F75F06"/>
    <w:rsid w:val="00F762F1"/>
    <w:rsid w:val="00F766A2"/>
    <w:rsid w:val="00F76765"/>
    <w:rsid w:val="00F7791C"/>
    <w:rsid w:val="00F80465"/>
    <w:rsid w:val="00F80576"/>
    <w:rsid w:val="00F80701"/>
    <w:rsid w:val="00F80A34"/>
    <w:rsid w:val="00F80B02"/>
    <w:rsid w:val="00F81895"/>
    <w:rsid w:val="00F83146"/>
    <w:rsid w:val="00F83568"/>
    <w:rsid w:val="00F8368C"/>
    <w:rsid w:val="00F83A45"/>
    <w:rsid w:val="00F83D23"/>
    <w:rsid w:val="00F8457C"/>
    <w:rsid w:val="00F85194"/>
    <w:rsid w:val="00F85490"/>
    <w:rsid w:val="00F85535"/>
    <w:rsid w:val="00F85F34"/>
    <w:rsid w:val="00F860F1"/>
    <w:rsid w:val="00F866CC"/>
    <w:rsid w:val="00F86948"/>
    <w:rsid w:val="00F86CC0"/>
    <w:rsid w:val="00F87042"/>
    <w:rsid w:val="00F87319"/>
    <w:rsid w:val="00F87323"/>
    <w:rsid w:val="00F87BE1"/>
    <w:rsid w:val="00F87C97"/>
    <w:rsid w:val="00F87CE6"/>
    <w:rsid w:val="00F907DB"/>
    <w:rsid w:val="00F908E1"/>
    <w:rsid w:val="00F90F15"/>
    <w:rsid w:val="00F91619"/>
    <w:rsid w:val="00F9239F"/>
    <w:rsid w:val="00F92A7F"/>
    <w:rsid w:val="00F930A0"/>
    <w:rsid w:val="00F93B04"/>
    <w:rsid w:val="00F93BDF"/>
    <w:rsid w:val="00F93E71"/>
    <w:rsid w:val="00F93F9B"/>
    <w:rsid w:val="00F93F9F"/>
    <w:rsid w:val="00F94543"/>
    <w:rsid w:val="00F948BD"/>
    <w:rsid w:val="00F94C78"/>
    <w:rsid w:val="00F952B8"/>
    <w:rsid w:val="00F952D3"/>
    <w:rsid w:val="00F95558"/>
    <w:rsid w:val="00F956F4"/>
    <w:rsid w:val="00F959A8"/>
    <w:rsid w:val="00F95AA9"/>
    <w:rsid w:val="00F95E0A"/>
    <w:rsid w:val="00F963BA"/>
    <w:rsid w:val="00F96DA5"/>
    <w:rsid w:val="00F96F02"/>
    <w:rsid w:val="00F97664"/>
    <w:rsid w:val="00F977A8"/>
    <w:rsid w:val="00F977C9"/>
    <w:rsid w:val="00F979B7"/>
    <w:rsid w:val="00FA0D47"/>
    <w:rsid w:val="00FA0D76"/>
    <w:rsid w:val="00FA12C4"/>
    <w:rsid w:val="00FA1AD4"/>
    <w:rsid w:val="00FA1EB1"/>
    <w:rsid w:val="00FA2407"/>
    <w:rsid w:val="00FA2841"/>
    <w:rsid w:val="00FA2A2A"/>
    <w:rsid w:val="00FA2BA9"/>
    <w:rsid w:val="00FA2BFF"/>
    <w:rsid w:val="00FA2DA2"/>
    <w:rsid w:val="00FA33E0"/>
    <w:rsid w:val="00FA350B"/>
    <w:rsid w:val="00FA3800"/>
    <w:rsid w:val="00FA3888"/>
    <w:rsid w:val="00FA3D58"/>
    <w:rsid w:val="00FA3EB0"/>
    <w:rsid w:val="00FA3EC5"/>
    <w:rsid w:val="00FA4127"/>
    <w:rsid w:val="00FA425F"/>
    <w:rsid w:val="00FA494B"/>
    <w:rsid w:val="00FA499B"/>
    <w:rsid w:val="00FA5635"/>
    <w:rsid w:val="00FA5878"/>
    <w:rsid w:val="00FA5B13"/>
    <w:rsid w:val="00FA64EE"/>
    <w:rsid w:val="00FA6A38"/>
    <w:rsid w:val="00FA6BAD"/>
    <w:rsid w:val="00FA6DA8"/>
    <w:rsid w:val="00FA7721"/>
    <w:rsid w:val="00FA7963"/>
    <w:rsid w:val="00FB0411"/>
    <w:rsid w:val="00FB0F46"/>
    <w:rsid w:val="00FB156E"/>
    <w:rsid w:val="00FB2743"/>
    <w:rsid w:val="00FB323B"/>
    <w:rsid w:val="00FB3EF4"/>
    <w:rsid w:val="00FB3F3E"/>
    <w:rsid w:val="00FB4596"/>
    <w:rsid w:val="00FB48E9"/>
    <w:rsid w:val="00FB4D25"/>
    <w:rsid w:val="00FB52FD"/>
    <w:rsid w:val="00FB53E4"/>
    <w:rsid w:val="00FB5666"/>
    <w:rsid w:val="00FB5C54"/>
    <w:rsid w:val="00FB683B"/>
    <w:rsid w:val="00FB6B93"/>
    <w:rsid w:val="00FB6FDE"/>
    <w:rsid w:val="00FB75D9"/>
    <w:rsid w:val="00FC0465"/>
    <w:rsid w:val="00FC064D"/>
    <w:rsid w:val="00FC0B85"/>
    <w:rsid w:val="00FC1083"/>
    <w:rsid w:val="00FC14E3"/>
    <w:rsid w:val="00FC1500"/>
    <w:rsid w:val="00FC213F"/>
    <w:rsid w:val="00FC2692"/>
    <w:rsid w:val="00FC308B"/>
    <w:rsid w:val="00FC30D5"/>
    <w:rsid w:val="00FC3778"/>
    <w:rsid w:val="00FC379F"/>
    <w:rsid w:val="00FC483A"/>
    <w:rsid w:val="00FC5E2C"/>
    <w:rsid w:val="00FC68CB"/>
    <w:rsid w:val="00FC69D6"/>
    <w:rsid w:val="00FC6E58"/>
    <w:rsid w:val="00FC6F69"/>
    <w:rsid w:val="00FC7E13"/>
    <w:rsid w:val="00FC7FDB"/>
    <w:rsid w:val="00FD0832"/>
    <w:rsid w:val="00FD0AB8"/>
    <w:rsid w:val="00FD0D9E"/>
    <w:rsid w:val="00FD10EF"/>
    <w:rsid w:val="00FD12E4"/>
    <w:rsid w:val="00FD179D"/>
    <w:rsid w:val="00FD1F57"/>
    <w:rsid w:val="00FD256A"/>
    <w:rsid w:val="00FD2F49"/>
    <w:rsid w:val="00FD33D7"/>
    <w:rsid w:val="00FD4AD8"/>
    <w:rsid w:val="00FD6030"/>
    <w:rsid w:val="00FD65E0"/>
    <w:rsid w:val="00FD72AF"/>
    <w:rsid w:val="00FD7E4C"/>
    <w:rsid w:val="00FE0B8A"/>
    <w:rsid w:val="00FE0F64"/>
    <w:rsid w:val="00FE17F2"/>
    <w:rsid w:val="00FE2B07"/>
    <w:rsid w:val="00FE2C73"/>
    <w:rsid w:val="00FE38CB"/>
    <w:rsid w:val="00FE3C7B"/>
    <w:rsid w:val="00FE3F75"/>
    <w:rsid w:val="00FE4A9A"/>
    <w:rsid w:val="00FE5EC7"/>
    <w:rsid w:val="00FE5FCE"/>
    <w:rsid w:val="00FE661D"/>
    <w:rsid w:val="00FE7540"/>
    <w:rsid w:val="00FE76AE"/>
    <w:rsid w:val="00FE76FE"/>
    <w:rsid w:val="00FE7B29"/>
    <w:rsid w:val="00FE7E87"/>
    <w:rsid w:val="00FF079D"/>
    <w:rsid w:val="00FF1280"/>
    <w:rsid w:val="00FF1A31"/>
    <w:rsid w:val="00FF2234"/>
    <w:rsid w:val="00FF2668"/>
    <w:rsid w:val="00FF26F3"/>
    <w:rsid w:val="00FF2A8C"/>
    <w:rsid w:val="00FF32C5"/>
    <w:rsid w:val="00FF330F"/>
    <w:rsid w:val="00FF5B41"/>
    <w:rsid w:val="00FF66F9"/>
    <w:rsid w:val="00FF6DD4"/>
    <w:rsid w:val="00FF7085"/>
    <w:rsid w:val="00FF71D1"/>
    <w:rsid w:val="00FF75B2"/>
    <w:rsid w:val="00FF7A5B"/>
    <w:rsid w:val="00FF7DD2"/>
    <w:rsid w:val="00FF7E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21"/>
    <o:shapelayout v:ext="edit">
      <o:idmap v:ext="edit" data="1"/>
    </o:shapelayout>
  </w:shapeDefaults>
  <w:decimalSymbol w:val="."/>
  <w:listSeparator w:val=","/>
  <w15:docId w15:val="{218470AE-35C1-4387-9146-6567A537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B6D"/>
    <w:rPr>
      <w:sz w:val="22"/>
      <w:szCs w:val="24"/>
      <w:lang w:eastAsia="en-AU"/>
    </w:rPr>
  </w:style>
  <w:style w:type="paragraph" w:styleId="Heading10">
    <w:name w:val="heading 1"/>
    <w:basedOn w:val="Normal"/>
    <w:next w:val="Normal"/>
    <w:link w:val="Heading1Char"/>
    <w:uiPriority w:val="9"/>
    <w:qFormat/>
    <w:rsid w:val="00497C9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A2FE2"/>
    <w:pPr>
      <w:keepNext/>
      <w:spacing w:before="240" w:after="60"/>
      <w:outlineLvl w:val="1"/>
    </w:pPr>
    <w:rPr>
      <w:rFonts w:ascii="Arial" w:hAnsi="Arial" w:cs="Arial"/>
      <w:b/>
      <w:bCs/>
      <w:i/>
      <w:iCs/>
      <w:sz w:val="28"/>
      <w:szCs w:val="28"/>
    </w:rPr>
  </w:style>
  <w:style w:type="paragraph" w:styleId="Heading3">
    <w:name w:val="heading 3"/>
    <w:aliases w:val="Not in TOC,Section,H3,l3,h3"/>
    <w:basedOn w:val="Normal"/>
    <w:next w:val="Normal"/>
    <w:link w:val="Heading3Char"/>
    <w:qFormat/>
    <w:rsid w:val="00875578"/>
    <w:pPr>
      <w:keepNext/>
      <w:numPr>
        <w:ilvl w:val="2"/>
        <w:numId w:val="12"/>
      </w:numPr>
      <w:spacing w:before="240" w:after="60"/>
      <w:outlineLvl w:val="2"/>
    </w:pPr>
    <w:rPr>
      <w:rFonts w:ascii="Arial" w:hAnsi="Arial" w:cs="Arial"/>
      <w:b/>
      <w:bCs/>
      <w:sz w:val="26"/>
      <w:szCs w:val="26"/>
    </w:rPr>
  </w:style>
  <w:style w:type="paragraph" w:styleId="Heading40">
    <w:name w:val="heading 4"/>
    <w:aliases w:val="Table heading"/>
    <w:basedOn w:val="Normal"/>
    <w:next w:val="Normal"/>
    <w:link w:val="Heading4Char"/>
    <w:uiPriority w:val="9"/>
    <w:qFormat/>
    <w:rsid w:val="00676DA0"/>
    <w:pPr>
      <w:keepNext/>
      <w:spacing w:before="240" w:after="60"/>
      <w:outlineLvl w:val="3"/>
    </w:pPr>
    <w:rPr>
      <w:b/>
      <w:bCs/>
      <w:sz w:val="28"/>
      <w:szCs w:val="28"/>
    </w:rPr>
  </w:style>
  <w:style w:type="paragraph" w:styleId="Heading5">
    <w:name w:val="heading 5"/>
    <w:basedOn w:val="Normal"/>
    <w:next w:val="Normal"/>
    <w:link w:val="Heading5Char"/>
    <w:uiPriority w:val="9"/>
    <w:qFormat/>
    <w:rsid w:val="001B0ED6"/>
    <w:pPr>
      <w:keepNext/>
      <w:overflowPunct w:val="0"/>
      <w:autoSpaceDE w:val="0"/>
      <w:autoSpaceDN w:val="0"/>
      <w:adjustRightInd w:val="0"/>
      <w:textAlignment w:val="baseline"/>
      <w:outlineLvl w:val="4"/>
    </w:pPr>
    <w:rPr>
      <w:b/>
      <w:i/>
      <w:szCs w:val="20"/>
      <w:lang w:val="en-GB" w:eastAsia="en-US"/>
    </w:rPr>
  </w:style>
  <w:style w:type="paragraph" w:styleId="Heading6">
    <w:name w:val="heading 6"/>
    <w:basedOn w:val="Normal"/>
    <w:next w:val="Normal"/>
    <w:link w:val="Heading6Char"/>
    <w:qFormat/>
    <w:rsid w:val="00593E83"/>
    <w:pPr>
      <w:spacing w:before="240" w:after="60"/>
      <w:jc w:val="both"/>
      <w:outlineLvl w:val="5"/>
    </w:pPr>
    <w:rPr>
      <w:rFonts w:ascii="Arial" w:hAnsi="Arial"/>
      <w:b/>
      <w:bCs/>
      <w:szCs w:val="22"/>
      <w:lang w:val="en-GB" w:eastAsia="en-US"/>
    </w:rPr>
  </w:style>
  <w:style w:type="paragraph" w:styleId="Heading7">
    <w:name w:val="heading 7"/>
    <w:basedOn w:val="Normal"/>
    <w:next w:val="Normal"/>
    <w:link w:val="Heading7Char"/>
    <w:uiPriority w:val="9"/>
    <w:qFormat/>
    <w:rsid w:val="000E581E"/>
    <w:pPr>
      <w:keepNext/>
      <w:jc w:val="both"/>
      <w:outlineLvl w:val="6"/>
    </w:pPr>
    <w:rPr>
      <w:i/>
      <w:iCs/>
      <w:lang w:eastAsia="en-US"/>
    </w:rPr>
  </w:style>
  <w:style w:type="paragraph" w:styleId="Heading8">
    <w:name w:val="heading 8"/>
    <w:basedOn w:val="Normal"/>
    <w:next w:val="Normal"/>
    <w:link w:val="Heading8Char"/>
    <w:uiPriority w:val="9"/>
    <w:qFormat/>
    <w:rsid w:val="000E581E"/>
    <w:pPr>
      <w:keepNext/>
      <w:jc w:val="both"/>
      <w:outlineLvl w:val="7"/>
    </w:pPr>
    <w:rPr>
      <w:b/>
      <w:bCs/>
      <w:i/>
      <w:iCs/>
      <w:lang w:eastAsia="en-US"/>
    </w:rPr>
  </w:style>
  <w:style w:type="paragraph" w:styleId="Heading9">
    <w:name w:val="heading 9"/>
    <w:basedOn w:val="Normal"/>
    <w:next w:val="Normal"/>
    <w:link w:val="Heading9Char"/>
    <w:uiPriority w:val="9"/>
    <w:qFormat/>
    <w:rsid w:val="000E581E"/>
    <w:pPr>
      <w:keepNext/>
      <w:outlineLvl w:val="8"/>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7C90"/>
    <w:pPr>
      <w:tabs>
        <w:tab w:val="center" w:pos="4153"/>
        <w:tab w:val="right" w:pos="8306"/>
      </w:tabs>
    </w:pPr>
  </w:style>
  <w:style w:type="paragraph" w:styleId="Footer">
    <w:name w:val="footer"/>
    <w:basedOn w:val="Normal"/>
    <w:uiPriority w:val="99"/>
    <w:rsid w:val="00497C90"/>
    <w:pPr>
      <w:tabs>
        <w:tab w:val="center" w:pos="4153"/>
        <w:tab w:val="right" w:pos="8306"/>
      </w:tabs>
    </w:pPr>
  </w:style>
  <w:style w:type="paragraph" w:styleId="BalloonText">
    <w:name w:val="Balloon Text"/>
    <w:basedOn w:val="Normal"/>
    <w:link w:val="BalloonTextChar"/>
    <w:uiPriority w:val="99"/>
    <w:semiHidden/>
    <w:rsid w:val="00497C90"/>
    <w:rPr>
      <w:rFonts w:ascii="Tahoma" w:hAnsi="Tahoma" w:cs="Tahoma"/>
      <w:sz w:val="16"/>
      <w:szCs w:val="16"/>
    </w:rPr>
  </w:style>
  <w:style w:type="character" w:styleId="PageNumber">
    <w:name w:val="page number"/>
    <w:basedOn w:val="DefaultParagraphFont"/>
    <w:rsid w:val="00497C90"/>
  </w:style>
  <w:style w:type="paragraph" w:customStyle="1" w:styleId="Heading1">
    <w:name w:val="Heading1"/>
    <w:basedOn w:val="Heading10"/>
    <w:rsid w:val="00497C90"/>
    <w:pPr>
      <w:numPr>
        <w:numId w:val="2"/>
      </w:numPr>
      <w:tabs>
        <w:tab w:val="center" w:pos="4153"/>
        <w:tab w:val="left" w:pos="5910"/>
      </w:tabs>
    </w:pPr>
    <w:rPr>
      <w:rFonts w:ascii="Times New Roman" w:hAnsi="Times New Roman"/>
      <w:sz w:val="24"/>
    </w:rPr>
  </w:style>
  <w:style w:type="paragraph" w:customStyle="1" w:styleId="Style1">
    <w:name w:val="Style1"/>
    <w:basedOn w:val="Heading10"/>
    <w:rsid w:val="00497C90"/>
    <w:rPr>
      <w:rFonts w:ascii="Times New Roman" w:hAnsi="Times New Roman"/>
      <w:sz w:val="24"/>
    </w:rPr>
  </w:style>
  <w:style w:type="paragraph" w:customStyle="1" w:styleId="Style2">
    <w:name w:val="Style2"/>
    <w:basedOn w:val="Heading1"/>
    <w:rsid w:val="00497C90"/>
    <w:pPr>
      <w:numPr>
        <w:numId w:val="1"/>
      </w:numPr>
    </w:pPr>
  </w:style>
  <w:style w:type="paragraph" w:customStyle="1" w:styleId="Style3">
    <w:name w:val="Style3"/>
    <w:basedOn w:val="Heading1"/>
    <w:rsid w:val="009A2FE2"/>
    <w:pPr>
      <w:numPr>
        <w:numId w:val="7"/>
      </w:numPr>
    </w:pPr>
  </w:style>
  <w:style w:type="paragraph" w:customStyle="1" w:styleId="Heading20">
    <w:name w:val="Heading2"/>
    <w:basedOn w:val="Heading2"/>
    <w:rsid w:val="00E211A2"/>
    <w:rPr>
      <w:rFonts w:ascii="Times New Roman" w:hAnsi="Times New Roman"/>
      <w:i w:val="0"/>
      <w:sz w:val="24"/>
    </w:rPr>
  </w:style>
  <w:style w:type="paragraph" w:customStyle="1" w:styleId="heading2a">
    <w:name w:val="heading2a"/>
    <w:basedOn w:val="Heading20"/>
    <w:rsid w:val="00E211A2"/>
    <w:pPr>
      <w:numPr>
        <w:ilvl w:val="1"/>
        <w:numId w:val="27"/>
      </w:numPr>
    </w:pPr>
  </w:style>
  <w:style w:type="paragraph" w:styleId="NormalWeb">
    <w:name w:val="Normal (Web)"/>
    <w:basedOn w:val="Normal"/>
    <w:link w:val="NormalWebChar"/>
    <w:rsid w:val="00E211A2"/>
    <w:pPr>
      <w:spacing w:before="100" w:beforeAutospacing="1" w:after="100" w:afterAutospacing="1"/>
    </w:pPr>
    <w:rPr>
      <w:lang w:val="en-US" w:eastAsia="en-US"/>
    </w:rPr>
  </w:style>
  <w:style w:type="paragraph" w:styleId="FootnoteText">
    <w:name w:val="footnote text"/>
    <w:basedOn w:val="Normal"/>
    <w:link w:val="FootnoteTextChar"/>
    <w:uiPriority w:val="99"/>
    <w:rsid w:val="00E211A2"/>
    <w:rPr>
      <w:sz w:val="20"/>
      <w:szCs w:val="20"/>
      <w:lang w:val="en-GB" w:eastAsia="en-US"/>
    </w:rPr>
  </w:style>
  <w:style w:type="character" w:styleId="FootnoteReference">
    <w:name w:val="footnote reference"/>
    <w:basedOn w:val="DefaultParagraphFont"/>
    <w:uiPriority w:val="99"/>
    <w:rsid w:val="00E211A2"/>
    <w:rPr>
      <w:vertAlign w:val="superscript"/>
    </w:rPr>
  </w:style>
  <w:style w:type="character" w:styleId="Hyperlink">
    <w:name w:val="Hyperlink"/>
    <w:basedOn w:val="DefaultParagraphFont"/>
    <w:uiPriority w:val="99"/>
    <w:rsid w:val="00250376"/>
    <w:rPr>
      <w:color w:val="0000FF"/>
      <w:u w:val="single"/>
    </w:rPr>
  </w:style>
  <w:style w:type="paragraph" w:styleId="TOC1">
    <w:name w:val="toc 1"/>
    <w:basedOn w:val="Normal"/>
    <w:next w:val="Normal"/>
    <w:autoRedefine/>
    <w:uiPriority w:val="39"/>
    <w:qFormat/>
    <w:rsid w:val="00794776"/>
    <w:pPr>
      <w:tabs>
        <w:tab w:val="left" w:pos="720"/>
        <w:tab w:val="right" w:leader="dot" w:pos="8505"/>
      </w:tabs>
      <w:spacing w:before="120" w:after="120"/>
      <w:ind w:right="84"/>
    </w:pPr>
  </w:style>
  <w:style w:type="paragraph" w:styleId="TOC2">
    <w:name w:val="toc 2"/>
    <w:basedOn w:val="Normal"/>
    <w:next w:val="Normal"/>
    <w:autoRedefine/>
    <w:uiPriority w:val="39"/>
    <w:qFormat/>
    <w:rsid w:val="00794776"/>
    <w:pPr>
      <w:tabs>
        <w:tab w:val="left" w:pos="993"/>
        <w:tab w:val="right" w:leader="dot" w:pos="8222"/>
      </w:tabs>
      <w:ind w:left="240"/>
    </w:pPr>
  </w:style>
  <w:style w:type="paragraph" w:customStyle="1" w:styleId="StyleHeading2Left127cm">
    <w:name w:val="Style Heading2 + Left:  1.27 cm"/>
    <w:basedOn w:val="Heading20"/>
    <w:rsid w:val="00250376"/>
    <w:pPr>
      <w:numPr>
        <w:ilvl w:val="1"/>
        <w:numId w:val="3"/>
      </w:numPr>
    </w:pPr>
    <w:rPr>
      <w:rFonts w:cs="Times New Roman"/>
      <w:iCs w:val="0"/>
      <w:szCs w:val="20"/>
    </w:rPr>
  </w:style>
  <w:style w:type="table" w:styleId="TableGrid">
    <w:name w:val="Table Grid"/>
    <w:basedOn w:val="TableNormal"/>
    <w:uiPriority w:val="39"/>
    <w:rsid w:val="001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Heading3"/>
    <w:rsid w:val="00875578"/>
    <w:rPr>
      <w:rFonts w:ascii="Times New Roman" w:hAnsi="Times New Roman"/>
      <w:i/>
      <w:sz w:val="24"/>
    </w:rPr>
  </w:style>
  <w:style w:type="paragraph" w:customStyle="1" w:styleId="Style41">
    <w:name w:val="Style41"/>
    <w:basedOn w:val="Heading3"/>
    <w:next w:val="Style4"/>
    <w:rsid w:val="00875578"/>
  </w:style>
  <w:style w:type="paragraph" w:styleId="TOC3">
    <w:name w:val="toc 3"/>
    <w:basedOn w:val="Normal"/>
    <w:next w:val="Normal"/>
    <w:autoRedefine/>
    <w:uiPriority w:val="39"/>
    <w:qFormat/>
    <w:rsid w:val="007B0B98"/>
    <w:pPr>
      <w:tabs>
        <w:tab w:val="left" w:pos="960"/>
      </w:tabs>
      <w:ind w:left="240" w:right="-58"/>
      <w:jc w:val="both"/>
    </w:pPr>
    <w:rPr>
      <w:i/>
      <w:noProof/>
    </w:rPr>
  </w:style>
  <w:style w:type="paragraph" w:customStyle="1" w:styleId="instruction">
    <w:name w:val="instruction"/>
    <w:rsid w:val="00177256"/>
    <w:pPr>
      <w:jc w:val="both"/>
    </w:pPr>
    <w:rPr>
      <w:lang w:val="en-AU" w:eastAsia="en-US"/>
    </w:rPr>
  </w:style>
  <w:style w:type="paragraph" w:customStyle="1" w:styleId="StyleBodyTextFirstline0cm">
    <w:name w:val="Style Body Text + First line:  0 cm"/>
    <w:basedOn w:val="Normal"/>
    <w:rsid w:val="007C2A3F"/>
    <w:pPr>
      <w:numPr>
        <w:numId w:val="6"/>
      </w:numPr>
    </w:pPr>
    <w:rPr>
      <w:rFonts w:ascii="Arial" w:hAnsi="Arial"/>
      <w:lang w:val="en-US" w:eastAsia="en-US"/>
    </w:rPr>
  </w:style>
  <w:style w:type="paragraph" w:customStyle="1" w:styleId="Heading2b">
    <w:name w:val="Heading 2b"/>
    <w:basedOn w:val="Heading2"/>
    <w:rsid w:val="0059198D"/>
    <w:pPr>
      <w:numPr>
        <w:ilvl w:val="1"/>
        <w:numId w:val="24"/>
      </w:numPr>
      <w:jc w:val="both"/>
    </w:pPr>
    <w:rPr>
      <w:rFonts w:ascii="Times New Roman" w:hAnsi="Times New Roman"/>
      <w:i w:val="0"/>
      <w:sz w:val="24"/>
      <w:lang w:val="en-AU"/>
    </w:rPr>
  </w:style>
  <w:style w:type="paragraph" w:styleId="DocumentMap">
    <w:name w:val="Document Map"/>
    <w:basedOn w:val="Normal"/>
    <w:link w:val="DocumentMapChar"/>
    <w:semiHidden/>
    <w:rsid w:val="000567A9"/>
    <w:pPr>
      <w:shd w:val="clear" w:color="auto" w:fill="000080"/>
    </w:pPr>
    <w:rPr>
      <w:rFonts w:ascii="Tahoma" w:hAnsi="Tahoma" w:cs="Tahoma"/>
    </w:rPr>
  </w:style>
  <w:style w:type="paragraph" w:customStyle="1" w:styleId="Line">
    <w:name w:val="Line"/>
    <w:basedOn w:val="Normal"/>
    <w:next w:val="Normal"/>
    <w:rsid w:val="00593E83"/>
    <w:pPr>
      <w:pBdr>
        <w:bottom w:val="single" w:sz="8" w:space="1" w:color="auto"/>
      </w:pBdr>
      <w:tabs>
        <w:tab w:val="left" w:pos="1134"/>
      </w:tabs>
      <w:spacing w:after="120"/>
      <w:jc w:val="both"/>
    </w:pPr>
    <w:rPr>
      <w:rFonts w:ascii="Arial" w:hAnsi="Arial"/>
      <w:noProof/>
      <w:sz w:val="8"/>
      <w:szCs w:val="8"/>
      <w:lang w:val="en-GB" w:eastAsia="en-US"/>
    </w:rPr>
  </w:style>
  <w:style w:type="paragraph" w:customStyle="1" w:styleId="Memorandum">
    <w:name w:val="Memorandum"/>
    <w:basedOn w:val="Normal"/>
    <w:rsid w:val="00593E83"/>
    <w:pPr>
      <w:spacing w:before="240" w:after="360"/>
      <w:jc w:val="center"/>
    </w:pPr>
    <w:rPr>
      <w:rFonts w:ascii="Tahoma" w:hAnsi="Tahoma" w:cs="Tahoma"/>
      <w:b/>
      <w:spacing w:val="100"/>
      <w:sz w:val="48"/>
      <w:szCs w:val="48"/>
      <w:lang w:eastAsia="en-US"/>
    </w:rPr>
  </w:style>
  <w:style w:type="paragraph" w:styleId="BodyText">
    <w:name w:val="Body Text"/>
    <w:basedOn w:val="Normal"/>
    <w:link w:val="BodyTextChar"/>
    <w:rsid w:val="005445D4"/>
    <w:pPr>
      <w:autoSpaceDE w:val="0"/>
      <w:autoSpaceDN w:val="0"/>
    </w:pPr>
    <w:rPr>
      <w:rFonts w:ascii="Arial" w:eastAsia="SimSun" w:hAnsi="Arial" w:cs="Arial"/>
      <w:lang w:eastAsia="zh-CN"/>
    </w:rPr>
  </w:style>
  <w:style w:type="numbering" w:customStyle="1" w:styleId="Heading33">
    <w:name w:val="Heading 3.3"/>
    <w:basedOn w:val="NoList"/>
    <w:rsid w:val="00CF6488"/>
    <w:pPr>
      <w:numPr>
        <w:numId w:val="8"/>
      </w:numPr>
    </w:pPr>
  </w:style>
  <w:style w:type="character" w:customStyle="1" w:styleId="Heading2Char">
    <w:name w:val="Heading 2 Char"/>
    <w:basedOn w:val="DefaultParagraphFont"/>
    <w:link w:val="Heading2"/>
    <w:uiPriority w:val="9"/>
    <w:rsid w:val="000E581E"/>
    <w:rPr>
      <w:rFonts w:ascii="Arial" w:hAnsi="Arial" w:cs="Arial"/>
      <w:b/>
      <w:bCs/>
      <w:i/>
      <w:iCs/>
      <w:sz w:val="28"/>
      <w:szCs w:val="28"/>
      <w:lang w:val="en-NZ" w:eastAsia="en-AU" w:bidi="ar-SA"/>
    </w:rPr>
  </w:style>
  <w:style w:type="character" w:customStyle="1" w:styleId="Heading3Char">
    <w:name w:val="Heading 3 Char"/>
    <w:aliases w:val="Not in TOC Char,Section Char,H3 Char,l3 Char,h3 Char"/>
    <w:basedOn w:val="DefaultParagraphFont"/>
    <w:link w:val="Heading3"/>
    <w:rsid w:val="000E581E"/>
    <w:rPr>
      <w:rFonts w:ascii="Arial" w:hAnsi="Arial" w:cs="Arial"/>
      <w:b/>
      <w:bCs/>
      <w:sz w:val="26"/>
      <w:szCs w:val="26"/>
      <w:lang w:eastAsia="en-AU"/>
    </w:rPr>
  </w:style>
  <w:style w:type="paragraph" w:customStyle="1" w:styleId="Styleheading2b">
    <w:name w:val="Style heading2b"/>
    <w:basedOn w:val="Normal"/>
    <w:rsid w:val="000E581E"/>
    <w:pPr>
      <w:keepNext/>
      <w:spacing w:before="240" w:after="60"/>
      <w:jc w:val="both"/>
      <w:outlineLvl w:val="1"/>
    </w:pPr>
    <w:rPr>
      <w:b/>
      <w:bCs/>
      <w:szCs w:val="20"/>
      <w:lang w:eastAsia="en-US"/>
    </w:rPr>
  </w:style>
  <w:style w:type="paragraph" w:customStyle="1" w:styleId="heading2b0">
    <w:name w:val="heading2b"/>
    <w:basedOn w:val="Normal"/>
    <w:rsid w:val="000E581E"/>
    <w:pPr>
      <w:keepNext/>
      <w:numPr>
        <w:ilvl w:val="2"/>
        <w:numId w:val="9"/>
      </w:numPr>
      <w:tabs>
        <w:tab w:val="clear" w:pos="2160"/>
        <w:tab w:val="num" w:pos="2520"/>
      </w:tabs>
      <w:spacing w:before="240" w:after="60"/>
      <w:ind w:left="2520"/>
      <w:jc w:val="both"/>
      <w:outlineLvl w:val="1"/>
    </w:pPr>
    <w:rPr>
      <w:rFonts w:cs="Arial"/>
      <w:b/>
      <w:bCs/>
      <w:iCs/>
      <w:szCs w:val="28"/>
      <w:lang w:val="en-AU" w:eastAsia="en-US"/>
    </w:rPr>
  </w:style>
  <w:style w:type="paragraph" w:customStyle="1" w:styleId="Heading3a">
    <w:name w:val="Heading 3a"/>
    <w:basedOn w:val="Normal"/>
    <w:rsid w:val="000E581E"/>
    <w:pPr>
      <w:numPr>
        <w:ilvl w:val="2"/>
        <w:numId w:val="10"/>
      </w:numPr>
    </w:pPr>
    <w:rPr>
      <w:lang w:eastAsia="en-US"/>
    </w:rPr>
  </w:style>
  <w:style w:type="paragraph" w:customStyle="1" w:styleId="Heading3b">
    <w:name w:val="Heading 3b"/>
    <w:basedOn w:val="Heading3"/>
    <w:rsid w:val="000E581E"/>
    <w:pPr>
      <w:numPr>
        <w:numId w:val="22"/>
      </w:numPr>
    </w:pPr>
    <w:rPr>
      <w:b w:val="0"/>
      <w:i/>
      <w:sz w:val="22"/>
      <w:szCs w:val="22"/>
    </w:rPr>
  </w:style>
  <w:style w:type="paragraph" w:customStyle="1" w:styleId="Heading3b44">
    <w:name w:val="Heading 3b 4.4"/>
    <w:basedOn w:val="Heading3b"/>
    <w:autoRedefine/>
    <w:rsid w:val="000E581E"/>
    <w:pPr>
      <w:numPr>
        <w:numId w:val="4"/>
      </w:numPr>
    </w:pPr>
    <w:rPr>
      <w:rFonts w:ascii="Times New Roman" w:hAnsi="Times New Roman"/>
      <w:b/>
    </w:rPr>
  </w:style>
  <w:style w:type="paragraph" w:customStyle="1" w:styleId="Heading3b43">
    <w:name w:val="Heading 3b 4.3"/>
    <w:basedOn w:val="Heading3b"/>
    <w:rsid w:val="000E581E"/>
    <w:pPr>
      <w:numPr>
        <w:numId w:val="5"/>
      </w:numPr>
    </w:pPr>
    <w:rPr>
      <w:rFonts w:ascii="Times New Roman" w:hAnsi="Times New Roman"/>
      <w:i w:val="0"/>
      <w:iCs/>
    </w:rPr>
  </w:style>
  <w:style w:type="paragraph" w:styleId="BodyTextIndent">
    <w:name w:val="Body Text Indent"/>
    <w:basedOn w:val="Normal"/>
    <w:link w:val="BodyTextIndentChar"/>
    <w:rsid w:val="000E581E"/>
    <w:pPr>
      <w:ind w:left="540" w:hanging="540"/>
      <w:jc w:val="both"/>
    </w:pPr>
    <w:rPr>
      <w:b/>
      <w:bCs/>
      <w:lang w:eastAsia="en-US"/>
    </w:rPr>
  </w:style>
  <w:style w:type="paragraph" w:styleId="BodyText2">
    <w:name w:val="Body Text 2"/>
    <w:basedOn w:val="Normal"/>
    <w:link w:val="BodyText2Char"/>
    <w:rsid w:val="000E581E"/>
    <w:pPr>
      <w:jc w:val="both"/>
    </w:pPr>
    <w:rPr>
      <w:lang w:eastAsia="en-US"/>
    </w:rPr>
  </w:style>
  <w:style w:type="paragraph" w:styleId="BodyTextIndent2">
    <w:name w:val="Body Text Indent 2"/>
    <w:basedOn w:val="Normal"/>
    <w:link w:val="BodyTextIndent2Char"/>
    <w:rsid w:val="000E581E"/>
    <w:pPr>
      <w:ind w:left="1440" w:hanging="720"/>
      <w:jc w:val="both"/>
    </w:pPr>
    <w:rPr>
      <w:lang w:eastAsia="en-US"/>
    </w:rPr>
  </w:style>
  <w:style w:type="paragraph" w:styleId="BodyText3">
    <w:name w:val="Body Text 3"/>
    <w:basedOn w:val="Normal"/>
    <w:link w:val="BodyText3Char"/>
    <w:rsid w:val="000E581E"/>
    <w:pPr>
      <w:jc w:val="both"/>
    </w:pPr>
    <w:rPr>
      <w:lang w:eastAsia="en-US"/>
    </w:rPr>
  </w:style>
  <w:style w:type="paragraph" w:styleId="BodyTextIndent3">
    <w:name w:val="Body Text Indent 3"/>
    <w:basedOn w:val="Normal"/>
    <w:link w:val="BodyTextIndent3Char"/>
    <w:rsid w:val="000E581E"/>
    <w:pPr>
      <w:ind w:left="2160" w:hanging="720"/>
      <w:jc w:val="both"/>
    </w:pPr>
    <w:rPr>
      <w:lang w:eastAsia="en-US"/>
    </w:rPr>
  </w:style>
  <w:style w:type="paragraph" w:styleId="TOC7">
    <w:name w:val="toc 7"/>
    <w:basedOn w:val="Normal"/>
    <w:next w:val="Normal"/>
    <w:autoRedefine/>
    <w:uiPriority w:val="39"/>
    <w:rsid w:val="000E581E"/>
    <w:pPr>
      <w:ind w:left="1440"/>
    </w:pPr>
    <w:rPr>
      <w:lang w:eastAsia="en-US"/>
    </w:rPr>
  </w:style>
  <w:style w:type="paragraph" w:styleId="Title">
    <w:name w:val="Title"/>
    <w:basedOn w:val="Normal"/>
    <w:link w:val="TitleChar"/>
    <w:qFormat/>
    <w:rsid w:val="000E581E"/>
    <w:pPr>
      <w:jc w:val="center"/>
    </w:pPr>
    <w:rPr>
      <w:szCs w:val="20"/>
      <w:u w:val="single"/>
      <w:lang w:val="en-US" w:eastAsia="en-US"/>
    </w:rPr>
  </w:style>
  <w:style w:type="character" w:customStyle="1" w:styleId="FooterChar">
    <w:name w:val="Footer Char"/>
    <w:basedOn w:val="DefaultParagraphFont"/>
    <w:uiPriority w:val="99"/>
    <w:rsid w:val="000E581E"/>
    <w:rPr>
      <w:noProof w:val="0"/>
      <w:sz w:val="24"/>
      <w:szCs w:val="24"/>
      <w:lang w:val="en-AU" w:eastAsia="en-US" w:bidi="ar-SA"/>
    </w:rPr>
  </w:style>
  <w:style w:type="character" w:styleId="FollowedHyperlink">
    <w:name w:val="FollowedHyperlink"/>
    <w:basedOn w:val="DefaultParagraphFont"/>
    <w:uiPriority w:val="99"/>
    <w:rsid w:val="000E581E"/>
    <w:rPr>
      <w:color w:val="800080"/>
      <w:u w:val="single"/>
    </w:rPr>
  </w:style>
  <w:style w:type="paragraph" w:styleId="MessageHeader">
    <w:name w:val="Message Header"/>
    <w:basedOn w:val="BodyText"/>
    <w:link w:val="MessageHeaderChar"/>
    <w:rsid w:val="000E581E"/>
    <w:pPr>
      <w:keepLines/>
      <w:tabs>
        <w:tab w:val="left" w:pos="3600"/>
        <w:tab w:val="left" w:pos="4680"/>
      </w:tabs>
      <w:autoSpaceDE/>
      <w:autoSpaceDN/>
      <w:spacing w:after="120"/>
      <w:ind w:left="1080" w:hanging="1080"/>
    </w:pPr>
    <w:rPr>
      <w:rFonts w:ascii="Helvetica" w:eastAsia="Times New Roman" w:hAnsi="Helvetica" w:cs="Times New Roman"/>
      <w:szCs w:val="20"/>
      <w:lang w:val="en-GB" w:eastAsia="en-AU"/>
    </w:rPr>
  </w:style>
  <w:style w:type="paragraph" w:customStyle="1" w:styleId="ReturnAddress">
    <w:name w:val="Return Address"/>
    <w:basedOn w:val="Normal"/>
    <w:rsid w:val="000E581E"/>
    <w:pPr>
      <w:keepLines/>
      <w:ind w:right="4320"/>
    </w:pPr>
    <w:rPr>
      <w:rFonts w:ascii="Helvetica" w:hAnsi="Helvetica"/>
      <w:szCs w:val="20"/>
      <w:lang w:val="en-GB"/>
    </w:rPr>
  </w:style>
  <w:style w:type="paragraph" w:customStyle="1" w:styleId="CompanyName">
    <w:name w:val="Company Name"/>
    <w:basedOn w:val="BodyText"/>
    <w:next w:val="Normal"/>
    <w:rsid w:val="000E581E"/>
    <w:pPr>
      <w:keepNext/>
      <w:keepLines/>
      <w:autoSpaceDE/>
      <w:autoSpaceDN/>
    </w:pPr>
    <w:rPr>
      <w:rFonts w:ascii="Helvetica" w:eastAsia="Times New Roman" w:hAnsi="Helvetica" w:cs="Times New Roman"/>
      <w:b/>
      <w:caps/>
      <w:szCs w:val="20"/>
      <w:lang w:val="en-GB" w:eastAsia="en-AU"/>
    </w:rPr>
  </w:style>
  <w:style w:type="character" w:customStyle="1" w:styleId="MessageHeaderLabel">
    <w:name w:val="Message Header Label"/>
    <w:rsid w:val="000E581E"/>
    <w:rPr>
      <w:b/>
      <w:caps/>
      <w:sz w:val="20"/>
    </w:rPr>
  </w:style>
  <w:style w:type="paragraph" w:customStyle="1" w:styleId="1">
    <w:name w:val="1"/>
    <w:aliases w:val="2,3"/>
    <w:basedOn w:val="Normal"/>
    <w:rsid w:val="000E581E"/>
    <w:pPr>
      <w:widowControl w:val="0"/>
      <w:tabs>
        <w:tab w:val="num" w:pos="360"/>
      </w:tabs>
      <w:ind w:left="720" w:hanging="720"/>
    </w:pPr>
    <w:rPr>
      <w:snapToGrid w:val="0"/>
      <w:szCs w:val="20"/>
      <w:lang w:val="en-US" w:eastAsia="en-US"/>
    </w:rPr>
  </w:style>
  <w:style w:type="paragraph" w:customStyle="1" w:styleId="Style0">
    <w:name w:val="Style0"/>
    <w:rsid w:val="000E581E"/>
    <w:pPr>
      <w:autoSpaceDE w:val="0"/>
      <w:autoSpaceDN w:val="0"/>
      <w:adjustRightInd w:val="0"/>
    </w:pPr>
    <w:rPr>
      <w:rFonts w:ascii="Arial" w:hAnsi="Arial"/>
      <w:sz w:val="24"/>
      <w:szCs w:val="24"/>
      <w:lang w:val="en-US" w:eastAsia="en-US"/>
    </w:rPr>
  </w:style>
  <w:style w:type="paragraph" w:styleId="E-mailSignature">
    <w:name w:val="E-mail Signature"/>
    <w:basedOn w:val="Normal"/>
    <w:link w:val="E-mailSignatureChar"/>
    <w:rsid w:val="000E581E"/>
  </w:style>
  <w:style w:type="paragraph" w:customStyle="1" w:styleId="DocTitle">
    <w:name w:val="DocTitle"/>
    <w:basedOn w:val="Normal"/>
    <w:autoRedefine/>
    <w:rsid w:val="000E581E"/>
    <w:rPr>
      <w:b/>
      <w:sz w:val="36"/>
      <w:szCs w:val="36"/>
      <w:lang w:eastAsia="en-US"/>
    </w:rPr>
  </w:style>
  <w:style w:type="paragraph" w:customStyle="1" w:styleId="DocSubject">
    <w:name w:val="DocSubject"/>
    <w:basedOn w:val="Normal"/>
    <w:autoRedefine/>
    <w:rsid w:val="000E581E"/>
    <w:rPr>
      <w:rFonts w:cs="Arial"/>
      <w:sz w:val="32"/>
      <w:szCs w:val="32"/>
      <w:lang w:eastAsia="en-US"/>
    </w:rPr>
  </w:style>
  <w:style w:type="paragraph" w:styleId="Bibliography">
    <w:name w:val="Bibliography"/>
    <w:basedOn w:val="Normal"/>
    <w:rsid w:val="000E581E"/>
    <w:pPr>
      <w:widowControl w:val="0"/>
      <w:tabs>
        <w:tab w:val="left" w:pos="567"/>
      </w:tabs>
      <w:spacing w:line="360" w:lineRule="auto"/>
      <w:ind w:left="567" w:hanging="567"/>
    </w:pPr>
    <w:rPr>
      <w:color w:val="000000"/>
      <w:sz w:val="20"/>
      <w:szCs w:val="20"/>
      <w:lang w:eastAsia="en-US" w:bidi="he-IL"/>
    </w:rPr>
  </w:style>
  <w:style w:type="paragraph" w:customStyle="1" w:styleId="Important">
    <w:name w:val="Important"/>
    <w:basedOn w:val="Normal"/>
    <w:rsid w:val="000E581E"/>
    <w:pPr>
      <w:pBdr>
        <w:top w:val="single" w:sz="4" w:space="1" w:color="006699"/>
        <w:left w:val="single" w:sz="36" w:space="1" w:color="006699"/>
        <w:bottom w:val="single" w:sz="4" w:space="1" w:color="006699"/>
      </w:pBdr>
      <w:ind w:left="720" w:right="720"/>
    </w:pPr>
    <w:rPr>
      <w:sz w:val="20"/>
      <w:szCs w:val="20"/>
      <w:lang w:eastAsia="en-US" w:bidi="he-IL"/>
    </w:rPr>
  </w:style>
  <w:style w:type="paragraph" w:customStyle="1" w:styleId="Question">
    <w:name w:val="Question"/>
    <w:basedOn w:val="Important"/>
    <w:autoRedefine/>
    <w:rsid w:val="000E581E"/>
    <w:pPr>
      <w:pBdr>
        <w:top w:val="single" w:sz="18" w:space="1" w:color="FF0000"/>
        <w:left w:val="none" w:sz="0" w:space="0" w:color="auto"/>
        <w:bottom w:val="single" w:sz="18" w:space="1" w:color="FF0000"/>
      </w:pBdr>
    </w:pPr>
    <w:rPr>
      <w:rFonts w:ascii="Franklin Gothic Medium" w:hAnsi="Franklin Gothic Medium"/>
      <w:i/>
      <w:lang w:val="en-US"/>
    </w:rPr>
  </w:style>
  <w:style w:type="paragraph" w:customStyle="1" w:styleId="BoxedText">
    <w:name w:val="BoxedText"/>
    <w:basedOn w:val="Question"/>
    <w:rsid w:val="000E581E"/>
    <w:pPr>
      <w:pBdr>
        <w:top w:val="single" w:sz="6" w:space="1" w:color="808080"/>
        <w:left w:val="single" w:sz="6" w:space="1" w:color="808080"/>
        <w:bottom w:val="single" w:sz="6" w:space="1" w:color="808080"/>
        <w:right w:val="single" w:sz="6" w:space="1" w:color="808080"/>
      </w:pBdr>
    </w:pPr>
  </w:style>
  <w:style w:type="paragraph" w:styleId="CommentText">
    <w:name w:val="annotation text"/>
    <w:basedOn w:val="Normal"/>
    <w:link w:val="CommentTextChar"/>
    <w:uiPriority w:val="99"/>
    <w:rsid w:val="000E581E"/>
    <w:rPr>
      <w:rFonts w:ascii="Garamond" w:hAnsi="Garamond"/>
      <w:sz w:val="20"/>
      <w:szCs w:val="20"/>
      <w:lang w:eastAsia="en-US" w:bidi="he-IL"/>
    </w:rPr>
  </w:style>
  <w:style w:type="paragraph" w:customStyle="1" w:styleId="DocHeading">
    <w:name w:val="Doc Heading"/>
    <w:basedOn w:val="Normal"/>
    <w:next w:val="Normal"/>
    <w:autoRedefine/>
    <w:rsid w:val="000E581E"/>
    <w:rPr>
      <w:rFonts w:ascii="Franklin Gothic Demi" w:hAnsi="Franklin Gothic Demi"/>
      <w:bCs/>
      <w:sz w:val="40"/>
      <w:szCs w:val="40"/>
      <w:lang w:eastAsia="en-US" w:bidi="he-IL"/>
    </w:rPr>
  </w:style>
  <w:style w:type="paragraph" w:customStyle="1" w:styleId="DocTitle0">
    <w:name w:val="Doc Title"/>
    <w:basedOn w:val="Normal"/>
    <w:next w:val="Normal"/>
    <w:rsid w:val="000E581E"/>
    <w:pPr>
      <w:spacing w:after="120"/>
    </w:pPr>
    <w:rPr>
      <w:rFonts w:ascii="Franklin Gothic Demi" w:hAnsi="Franklin Gothic Demi"/>
      <w:sz w:val="28"/>
      <w:szCs w:val="20"/>
      <w:lang w:eastAsia="en-US" w:bidi="he-IL"/>
    </w:rPr>
  </w:style>
  <w:style w:type="paragraph" w:customStyle="1" w:styleId="Table">
    <w:name w:val="Table"/>
    <w:basedOn w:val="Normal"/>
    <w:rsid w:val="000E581E"/>
    <w:rPr>
      <w:sz w:val="20"/>
      <w:szCs w:val="20"/>
      <w:lang w:eastAsia="en-US" w:bidi="he-IL"/>
    </w:rPr>
  </w:style>
  <w:style w:type="paragraph" w:customStyle="1" w:styleId="TableHeader">
    <w:name w:val="Table Header"/>
    <w:basedOn w:val="Table"/>
    <w:rsid w:val="000E581E"/>
    <w:rPr>
      <w:b/>
    </w:rPr>
  </w:style>
  <w:style w:type="paragraph" w:customStyle="1" w:styleId="Heading1Small">
    <w:name w:val="Heading 1 Small"/>
    <w:basedOn w:val="Heading10"/>
    <w:rsid w:val="000E581E"/>
    <w:pPr>
      <w:spacing w:before="0" w:after="0" w:line="264" w:lineRule="auto"/>
    </w:pPr>
    <w:rPr>
      <w:rFonts w:ascii="Humnst777 Blk BT" w:hAnsi="Humnst777 Blk BT" w:cs="Times New Roman"/>
      <w:b w:val="0"/>
      <w:kern w:val="28"/>
      <w:sz w:val="24"/>
      <w:szCs w:val="20"/>
      <w:lang w:val="en-US" w:eastAsia="en-US" w:bidi="he-IL"/>
    </w:rPr>
  </w:style>
  <w:style w:type="character" w:customStyle="1" w:styleId="BibliographyTitle">
    <w:name w:val="Bibliography Title"/>
    <w:rsid w:val="000E581E"/>
    <w:rPr>
      <w:i/>
      <w:iCs/>
    </w:rPr>
  </w:style>
  <w:style w:type="paragraph" w:customStyle="1" w:styleId="SmallText">
    <w:name w:val="SmallText"/>
    <w:basedOn w:val="Normal"/>
    <w:autoRedefine/>
    <w:rsid w:val="000E581E"/>
    <w:rPr>
      <w:sz w:val="16"/>
      <w:szCs w:val="16"/>
      <w:lang w:eastAsia="en-US" w:bidi="he-IL"/>
    </w:rPr>
  </w:style>
  <w:style w:type="paragraph" w:customStyle="1" w:styleId="FormText">
    <w:name w:val="FormText"/>
    <w:basedOn w:val="Normal"/>
    <w:autoRedefine/>
    <w:rsid w:val="000E581E"/>
    <w:rPr>
      <w:sz w:val="20"/>
      <w:szCs w:val="20"/>
      <w:lang w:eastAsia="en-US" w:bidi="he-IL"/>
    </w:rPr>
  </w:style>
  <w:style w:type="paragraph" w:customStyle="1" w:styleId="FormGapLine">
    <w:name w:val="FormGapLine"/>
    <w:basedOn w:val="FormText"/>
    <w:autoRedefine/>
    <w:rsid w:val="000E581E"/>
    <w:rPr>
      <w:sz w:val="4"/>
    </w:rPr>
  </w:style>
  <w:style w:type="paragraph" w:customStyle="1" w:styleId="FormSectionHeading">
    <w:name w:val="FormSectionHeading"/>
    <w:basedOn w:val="FormText"/>
    <w:autoRedefine/>
    <w:rsid w:val="000E581E"/>
    <w:rPr>
      <w:rFonts w:ascii="Franklin Gothic Medium" w:hAnsi="Franklin Gothic Medium"/>
      <w:color w:val="FFFFFF"/>
      <w:sz w:val="24"/>
      <w:szCs w:val="24"/>
    </w:rPr>
  </w:style>
  <w:style w:type="paragraph" w:customStyle="1" w:styleId="DraftNotice">
    <w:name w:val="DraftNotice"/>
    <w:basedOn w:val="Normal"/>
    <w:autoRedefine/>
    <w:rsid w:val="000E581E"/>
    <w:rPr>
      <w:rFonts w:ascii="Franklin Gothic Demi" w:hAnsi="Franklin Gothic Demi"/>
      <w:caps/>
      <w:color w:val="FF0000"/>
      <w:sz w:val="40"/>
      <w:szCs w:val="40"/>
      <w:lang w:eastAsia="en-US" w:bidi="he-IL"/>
    </w:rPr>
  </w:style>
  <w:style w:type="paragraph" w:customStyle="1" w:styleId="ClientName">
    <w:name w:val="ClientName"/>
    <w:basedOn w:val="Normal"/>
    <w:rsid w:val="000E581E"/>
    <w:pPr>
      <w:ind w:left="1134"/>
    </w:pPr>
    <w:rPr>
      <w:lang w:eastAsia="en-US" w:bidi="he-IL"/>
    </w:rPr>
  </w:style>
  <w:style w:type="paragraph" w:customStyle="1" w:styleId="CoverDate">
    <w:name w:val="CoverDate"/>
    <w:basedOn w:val="Normal"/>
    <w:rsid w:val="000E581E"/>
    <w:pPr>
      <w:ind w:left="1134"/>
    </w:pPr>
    <w:rPr>
      <w:sz w:val="20"/>
      <w:szCs w:val="20"/>
      <w:lang w:eastAsia="en-US" w:bidi="he-IL"/>
    </w:rPr>
  </w:style>
  <w:style w:type="paragraph" w:customStyle="1" w:styleId="NoIndent">
    <w:name w:val="NoIndent"/>
    <w:basedOn w:val="Normal"/>
    <w:rsid w:val="000E581E"/>
    <w:pPr>
      <w:framePr w:hSpace="180" w:wrap="around" w:vAnchor="text" w:hAnchor="page" w:x="577" w:y="10746"/>
    </w:pPr>
    <w:rPr>
      <w:rFonts w:ascii="Palatino Linotype" w:hAnsi="Palatino Linotype"/>
      <w:szCs w:val="20"/>
      <w:lang w:eastAsia="en-US" w:bidi="he-IL"/>
    </w:rPr>
  </w:style>
  <w:style w:type="paragraph" w:customStyle="1" w:styleId="ConfidentialityText">
    <w:name w:val="ConfidentialityText"/>
    <w:basedOn w:val="NoIndent"/>
    <w:autoRedefine/>
    <w:rsid w:val="000E581E"/>
    <w:pPr>
      <w:framePr w:hSpace="0" w:wrap="auto" w:vAnchor="margin" w:hAnchor="text" w:xAlign="left" w:yAlign="inline"/>
      <w:ind w:left="1134" w:right="4561"/>
    </w:pPr>
    <w:rPr>
      <w:rFonts w:ascii="Franklin Gothic Book" w:hAnsi="Franklin Gothic Book"/>
      <w:sz w:val="16"/>
      <w:lang w:val="en-US"/>
    </w:rPr>
  </w:style>
  <w:style w:type="paragraph" w:customStyle="1" w:styleId="ConfidentialityHeading">
    <w:name w:val="ConfidentialityHeading"/>
    <w:basedOn w:val="NoIndent"/>
    <w:rsid w:val="000E581E"/>
    <w:pPr>
      <w:framePr w:hSpace="0" w:wrap="auto" w:vAnchor="margin" w:hAnchor="text" w:xAlign="left" w:yAlign="inline"/>
    </w:pPr>
    <w:rPr>
      <w:rFonts w:ascii="Franklin Gothic Demi" w:hAnsi="Franklin Gothic Demi"/>
      <w:color w:val="FF0000"/>
      <w:spacing w:val="160"/>
      <w:sz w:val="24"/>
      <w:lang w:val="en-US"/>
    </w:rPr>
  </w:style>
  <w:style w:type="paragraph" w:customStyle="1" w:styleId="ChapterHeading">
    <w:name w:val="Chapter Heading"/>
    <w:basedOn w:val="Heading10"/>
    <w:autoRedefine/>
    <w:rsid w:val="000E581E"/>
    <w:pPr>
      <w:spacing w:before="1080" w:after="720"/>
    </w:pPr>
    <w:rPr>
      <w:rFonts w:ascii="Franklin Gothic Demi" w:hAnsi="Franklin Gothic Demi" w:cs="Times New Roman"/>
      <w:b w:val="0"/>
      <w:bCs w:val="0"/>
      <w:kern w:val="28"/>
      <w:sz w:val="44"/>
      <w:szCs w:val="20"/>
      <w:lang w:eastAsia="en-US" w:bidi="he-IL"/>
    </w:rPr>
  </w:style>
  <w:style w:type="table" w:styleId="TableContemporary">
    <w:name w:val="Table Contemporary"/>
    <w:basedOn w:val="TableNormal"/>
    <w:rsid w:val="000E581E"/>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6">
    <w:name w:val="Table List 6"/>
    <w:basedOn w:val="TableNormal"/>
    <w:rsid w:val="000E58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Professional">
    <w:name w:val="Table Professional"/>
    <w:basedOn w:val="TableNormal"/>
    <w:rsid w:val="000E58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Quote">
    <w:name w:val="Quote"/>
    <w:basedOn w:val="Normal"/>
    <w:link w:val="QuoteChar"/>
    <w:autoRedefine/>
    <w:uiPriority w:val="29"/>
    <w:qFormat/>
    <w:rsid w:val="000E581E"/>
    <w:pPr>
      <w:ind w:left="567"/>
    </w:pPr>
    <w:rPr>
      <w:rFonts w:ascii="Arial" w:hAnsi="Arial"/>
      <w:lang w:eastAsia="en-US"/>
    </w:rPr>
  </w:style>
  <w:style w:type="character" w:customStyle="1" w:styleId="QuoteChar">
    <w:name w:val="Quote Char"/>
    <w:basedOn w:val="DefaultParagraphFont"/>
    <w:link w:val="Quote"/>
    <w:uiPriority w:val="29"/>
    <w:rsid w:val="000E581E"/>
    <w:rPr>
      <w:rFonts w:ascii="Arial" w:hAnsi="Arial"/>
      <w:sz w:val="22"/>
      <w:szCs w:val="24"/>
      <w:lang w:val="en-NZ" w:eastAsia="en-US" w:bidi="ar-SA"/>
    </w:rPr>
  </w:style>
  <w:style w:type="character" w:styleId="Strong">
    <w:name w:val="Strong"/>
    <w:basedOn w:val="DefaultParagraphFont"/>
    <w:uiPriority w:val="22"/>
    <w:qFormat/>
    <w:rsid w:val="000E581E"/>
    <w:rPr>
      <w:b/>
      <w:bCs/>
    </w:rPr>
  </w:style>
  <w:style w:type="character" w:customStyle="1" w:styleId="Char">
    <w:name w:val="Char"/>
    <w:basedOn w:val="DefaultParagraphFont"/>
    <w:rsid w:val="000E581E"/>
    <w:rPr>
      <w:rFonts w:ascii="Arial" w:hAnsi="Arial" w:cs="Arial"/>
      <w:b/>
      <w:bCs/>
      <w:i/>
      <w:iCs/>
      <w:sz w:val="28"/>
      <w:szCs w:val="28"/>
      <w:lang w:val="en-NZ" w:eastAsia="en-AU" w:bidi="ar-SA"/>
    </w:rPr>
  </w:style>
  <w:style w:type="paragraph" w:customStyle="1" w:styleId="AbstractText">
    <w:name w:val="Abstract Text"/>
    <w:basedOn w:val="Normal"/>
    <w:rsid w:val="000E581E"/>
    <w:pPr>
      <w:suppressAutoHyphens/>
      <w:spacing w:line="480" w:lineRule="auto"/>
    </w:pPr>
    <w:rPr>
      <w:lang w:val="en-US" w:eastAsia="en-US"/>
    </w:rPr>
  </w:style>
  <w:style w:type="character" w:styleId="CommentReference">
    <w:name w:val="annotation reference"/>
    <w:basedOn w:val="DefaultParagraphFont"/>
    <w:uiPriority w:val="99"/>
    <w:rsid w:val="000E581E"/>
    <w:rPr>
      <w:sz w:val="16"/>
      <w:szCs w:val="16"/>
    </w:rPr>
  </w:style>
  <w:style w:type="paragraph" w:styleId="CommentSubject">
    <w:name w:val="annotation subject"/>
    <w:basedOn w:val="CommentText"/>
    <w:next w:val="CommentText"/>
    <w:link w:val="CommentSubjectChar"/>
    <w:uiPriority w:val="99"/>
    <w:semiHidden/>
    <w:rsid w:val="000E581E"/>
    <w:pPr>
      <w:spacing w:line="300" w:lineRule="auto"/>
    </w:pPr>
    <w:rPr>
      <w:rFonts w:ascii="Arial" w:hAnsi="Arial"/>
      <w:b/>
      <w:bCs/>
      <w:lang w:bidi="ar-SA"/>
    </w:rPr>
  </w:style>
  <w:style w:type="paragraph" w:customStyle="1" w:styleId="Heading311">
    <w:name w:val="Heading 3.1.1"/>
    <w:basedOn w:val="Normal"/>
    <w:rsid w:val="000E581E"/>
    <w:pPr>
      <w:numPr>
        <w:numId w:val="11"/>
      </w:numPr>
      <w:jc w:val="both"/>
    </w:pPr>
    <w:rPr>
      <w:b/>
      <w:bCs/>
      <w:i/>
      <w:iCs/>
      <w:szCs w:val="22"/>
    </w:rPr>
  </w:style>
  <w:style w:type="paragraph" w:customStyle="1" w:styleId="BodyText1">
    <w:name w:val="Body Text1"/>
    <w:basedOn w:val="Normal"/>
    <w:rsid w:val="008562F8"/>
    <w:pPr>
      <w:overflowPunct w:val="0"/>
      <w:autoSpaceDE w:val="0"/>
      <w:autoSpaceDN w:val="0"/>
      <w:adjustRightInd w:val="0"/>
      <w:spacing w:before="20" w:line="160" w:lineRule="atLeast"/>
      <w:ind w:left="284"/>
      <w:textAlignment w:val="baseline"/>
    </w:pPr>
    <w:rPr>
      <w:szCs w:val="20"/>
      <w:lang w:val="en-AU" w:eastAsia="en-US"/>
    </w:rPr>
  </w:style>
  <w:style w:type="paragraph" w:customStyle="1" w:styleId="Style5">
    <w:name w:val="Style5"/>
    <w:basedOn w:val="Heading3"/>
    <w:rsid w:val="008125B8"/>
    <w:pPr>
      <w:numPr>
        <w:numId w:val="13"/>
      </w:numPr>
    </w:pPr>
  </w:style>
  <w:style w:type="paragraph" w:customStyle="1" w:styleId="StyleArial11ptBoldJustifiedLinespacingMultiple13li">
    <w:name w:val="Style Arial 11 pt Bold Justified Line spacing:  Multiple 1.3 li"/>
    <w:basedOn w:val="Normal"/>
    <w:rsid w:val="00427C94"/>
    <w:pPr>
      <w:numPr>
        <w:numId w:val="15"/>
      </w:numPr>
      <w:spacing w:line="312" w:lineRule="auto"/>
      <w:ind w:left="0" w:firstLine="0"/>
      <w:jc w:val="both"/>
    </w:pPr>
    <w:rPr>
      <w:rFonts w:ascii="Arial" w:hAnsi="Arial"/>
      <w:b/>
      <w:bCs/>
      <w:szCs w:val="20"/>
      <w:lang w:val="en-AU"/>
    </w:rPr>
  </w:style>
  <w:style w:type="paragraph" w:customStyle="1" w:styleId="MEB26">
    <w:name w:val="MEB2.6"/>
    <w:rsid w:val="00154CA5"/>
    <w:pPr>
      <w:numPr>
        <w:ilvl w:val="2"/>
        <w:numId w:val="16"/>
      </w:numPr>
      <w:ind w:left="720"/>
    </w:pPr>
    <w:rPr>
      <w:b/>
      <w:i/>
      <w:sz w:val="22"/>
      <w:szCs w:val="24"/>
      <w:lang w:val="en-AU" w:eastAsia="en-US"/>
    </w:rPr>
  </w:style>
  <w:style w:type="paragraph" w:customStyle="1" w:styleId="MEB34">
    <w:name w:val="MEB 3.4"/>
    <w:rsid w:val="00C26D69"/>
    <w:pPr>
      <w:numPr>
        <w:ilvl w:val="2"/>
        <w:numId w:val="17"/>
      </w:numPr>
      <w:ind w:left="720"/>
    </w:pPr>
    <w:rPr>
      <w:b/>
      <w:i/>
      <w:sz w:val="22"/>
      <w:szCs w:val="22"/>
      <w:lang w:eastAsia="en-AU"/>
    </w:rPr>
  </w:style>
  <w:style w:type="paragraph" w:styleId="Caption">
    <w:name w:val="caption"/>
    <w:basedOn w:val="Normal"/>
    <w:next w:val="Normal"/>
    <w:qFormat/>
    <w:rsid w:val="00C26D69"/>
    <w:rPr>
      <w:b/>
      <w:bCs/>
      <w:sz w:val="20"/>
      <w:szCs w:val="20"/>
    </w:rPr>
  </w:style>
  <w:style w:type="paragraph" w:customStyle="1" w:styleId="MEB35">
    <w:name w:val="MEB 3.5"/>
    <w:rsid w:val="007D1525"/>
    <w:pPr>
      <w:numPr>
        <w:ilvl w:val="2"/>
        <w:numId w:val="18"/>
      </w:numPr>
      <w:ind w:left="720"/>
    </w:pPr>
    <w:rPr>
      <w:b/>
      <w:i/>
      <w:sz w:val="22"/>
      <w:szCs w:val="24"/>
      <w:lang w:eastAsia="en-AU"/>
    </w:rPr>
  </w:style>
  <w:style w:type="paragraph" w:customStyle="1" w:styleId="MEB36">
    <w:name w:val="MEB3.6"/>
    <w:rsid w:val="00A47ED3"/>
    <w:pPr>
      <w:numPr>
        <w:ilvl w:val="2"/>
        <w:numId w:val="19"/>
      </w:numPr>
      <w:tabs>
        <w:tab w:val="clear" w:pos="2160"/>
        <w:tab w:val="num" w:pos="360"/>
      </w:tabs>
      <w:ind w:left="720" w:firstLine="0"/>
    </w:pPr>
    <w:rPr>
      <w:b/>
      <w:i/>
      <w:sz w:val="22"/>
      <w:szCs w:val="22"/>
      <w:lang w:eastAsia="en-AU"/>
    </w:rPr>
  </w:style>
  <w:style w:type="paragraph" w:customStyle="1" w:styleId="MEB4">
    <w:name w:val="MEB4"/>
    <w:rsid w:val="00B53559"/>
    <w:pPr>
      <w:numPr>
        <w:ilvl w:val="1"/>
        <w:numId w:val="20"/>
      </w:numPr>
      <w:pBdr>
        <w:top w:val="single" w:sz="4" w:space="1" w:color="auto"/>
        <w:left w:val="single" w:sz="4" w:space="4" w:color="auto"/>
        <w:bottom w:val="single" w:sz="4" w:space="1" w:color="auto"/>
        <w:right w:val="single" w:sz="4" w:space="4" w:color="auto"/>
      </w:pBdr>
    </w:pPr>
    <w:rPr>
      <w:b/>
      <w:sz w:val="22"/>
      <w:szCs w:val="22"/>
      <w:lang w:eastAsia="en-AU"/>
    </w:rPr>
  </w:style>
  <w:style w:type="paragraph" w:customStyle="1" w:styleId="MEB41">
    <w:name w:val="MEB4.1"/>
    <w:rsid w:val="00B53559"/>
    <w:pPr>
      <w:numPr>
        <w:ilvl w:val="2"/>
        <w:numId w:val="14"/>
      </w:numPr>
      <w:tabs>
        <w:tab w:val="clear" w:pos="720"/>
        <w:tab w:val="num" w:pos="360"/>
      </w:tabs>
      <w:ind w:left="0" w:firstLine="0"/>
      <w:jc w:val="both"/>
    </w:pPr>
    <w:rPr>
      <w:b/>
      <w:i/>
      <w:sz w:val="22"/>
      <w:szCs w:val="22"/>
      <w:lang w:eastAsia="en-AU"/>
    </w:rPr>
  </w:style>
  <w:style w:type="paragraph" w:customStyle="1" w:styleId="MEB42">
    <w:name w:val="MEB4.2"/>
    <w:rsid w:val="00B53559"/>
    <w:pPr>
      <w:numPr>
        <w:ilvl w:val="2"/>
        <w:numId w:val="21"/>
      </w:numPr>
      <w:tabs>
        <w:tab w:val="clear" w:pos="720"/>
        <w:tab w:val="num" w:pos="360"/>
      </w:tabs>
      <w:ind w:left="0" w:firstLine="0"/>
      <w:jc w:val="both"/>
    </w:pPr>
    <w:rPr>
      <w:b/>
      <w:i/>
      <w:sz w:val="22"/>
      <w:szCs w:val="22"/>
      <w:lang w:eastAsia="en-AU"/>
    </w:rPr>
  </w:style>
  <w:style w:type="paragraph" w:styleId="TableofFigures">
    <w:name w:val="table of figures"/>
    <w:basedOn w:val="Normal"/>
    <w:next w:val="Normal"/>
    <w:uiPriority w:val="99"/>
    <w:rsid w:val="00F02303"/>
  </w:style>
  <w:style w:type="character" w:customStyle="1" w:styleId="NormalWebChar">
    <w:name w:val="Normal (Web) Char"/>
    <w:basedOn w:val="DefaultParagraphFont"/>
    <w:link w:val="NormalWeb"/>
    <w:rsid w:val="00F02303"/>
    <w:rPr>
      <w:sz w:val="24"/>
      <w:szCs w:val="24"/>
      <w:lang w:val="en-US" w:eastAsia="en-US" w:bidi="ar-SA"/>
    </w:rPr>
  </w:style>
  <w:style w:type="paragraph" w:styleId="TOC4">
    <w:name w:val="toc 4"/>
    <w:basedOn w:val="Normal"/>
    <w:next w:val="Normal"/>
    <w:autoRedefine/>
    <w:uiPriority w:val="39"/>
    <w:rsid w:val="003D444C"/>
    <w:pPr>
      <w:ind w:left="720"/>
    </w:pPr>
    <w:rPr>
      <w:lang w:val="en-AU"/>
    </w:rPr>
  </w:style>
  <w:style w:type="paragraph" w:styleId="TOC5">
    <w:name w:val="toc 5"/>
    <w:basedOn w:val="Normal"/>
    <w:next w:val="Normal"/>
    <w:autoRedefine/>
    <w:uiPriority w:val="39"/>
    <w:rsid w:val="003D444C"/>
    <w:pPr>
      <w:ind w:left="960"/>
    </w:pPr>
    <w:rPr>
      <w:lang w:val="en-AU"/>
    </w:rPr>
  </w:style>
  <w:style w:type="paragraph" w:styleId="TOC6">
    <w:name w:val="toc 6"/>
    <w:basedOn w:val="Normal"/>
    <w:next w:val="Normal"/>
    <w:autoRedefine/>
    <w:uiPriority w:val="39"/>
    <w:rsid w:val="003D444C"/>
    <w:pPr>
      <w:ind w:left="1200"/>
    </w:pPr>
    <w:rPr>
      <w:lang w:val="en-AU"/>
    </w:rPr>
  </w:style>
  <w:style w:type="paragraph" w:styleId="TOC8">
    <w:name w:val="toc 8"/>
    <w:basedOn w:val="Normal"/>
    <w:next w:val="Normal"/>
    <w:autoRedefine/>
    <w:uiPriority w:val="39"/>
    <w:rsid w:val="003D444C"/>
    <w:pPr>
      <w:ind w:left="1680"/>
    </w:pPr>
    <w:rPr>
      <w:lang w:val="en-AU"/>
    </w:rPr>
  </w:style>
  <w:style w:type="paragraph" w:styleId="TOC9">
    <w:name w:val="toc 9"/>
    <w:basedOn w:val="Normal"/>
    <w:next w:val="Normal"/>
    <w:autoRedefine/>
    <w:uiPriority w:val="39"/>
    <w:rsid w:val="003D444C"/>
    <w:pPr>
      <w:ind w:left="1920"/>
    </w:pPr>
    <w:rPr>
      <w:lang w:val="en-AU"/>
    </w:rPr>
  </w:style>
  <w:style w:type="paragraph" w:styleId="TOCHeading">
    <w:name w:val="TOC Heading"/>
    <w:basedOn w:val="Heading10"/>
    <w:next w:val="Normal"/>
    <w:uiPriority w:val="39"/>
    <w:unhideWhenUsed/>
    <w:qFormat/>
    <w:rsid w:val="00744372"/>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C71D53"/>
    <w:pPr>
      <w:ind w:left="720"/>
    </w:pPr>
  </w:style>
  <w:style w:type="character" w:styleId="BookTitle">
    <w:name w:val="Book Title"/>
    <w:basedOn w:val="DefaultParagraphFont"/>
    <w:uiPriority w:val="33"/>
    <w:qFormat/>
    <w:rsid w:val="006D008C"/>
    <w:rPr>
      <w:b/>
      <w:bCs/>
      <w:smallCaps/>
      <w:spacing w:val="5"/>
    </w:rPr>
  </w:style>
  <w:style w:type="character" w:customStyle="1" w:styleId="FootnoteTextChar">
    <w:name w:val="Footnote Text Char"/>
    <w:basedOn w:val="DefaultParagraphFont"/>
    <w:link w:val="FootnoteText"/>
    <w:uiPriority w:val="99"/>
    <w:rsid w:val="00D7230F"/>
    <w:rPr>
      <w:lang w:val="en-GB" w:eastAsia="en-US"/>
    </w:rPr>
  </w:style>
  <w:style w:type="paragraph" w:customStyle="1" w:styleId="MEB51">
    <w:name w:val="MEB5.1"/>
    <w:basedOn w:val="Normal"/>
    <w:rsid w:val="00FB2743"/>
    <w:pPr>
      <w:numPr>
        <w:numId w:val="23"/>
      </w:numPr>
      <w:ind w:left="426" w:hanging="426"/>
      <w:jc w:val="both"/>
    </w:pPr>
    <w:rPr>
      <w:b/>
      <w:bCs/>
      <w:i/>
    </w:rPr>
  </w:style>
  <w:style w:type="table" w:customStyle="1" w:styleId="LightShading1">
    <w:name w:val="Light Shading1"/>
    <w:basedOn w:val="TableNormal"/>
    <w:next w:val="LightShading2"/>
    <w:uiPriority w:val="60"/>
    <w:rsid w:val="00816F1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816F1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next w:val="LightShading2"/>
    <w:uiPriority w:val="60"/>
    <w:rsid w:val="002C4BF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2"/>
    <w:uiPriority w:val="60"/>
    <w:rsid w:val="00C012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uiPriority w:val="60"/>
    <w:rsid w:val="00EA1C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2"/>
    <w:uiPriority w:val="60"/>
    <w:rsid w:val="00D540A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0"/>
    <w:uiPriority w:val="9"/>
    <w:rsid w:val="00763A03"/>
    <w:rPr>
      <w:rFonts w:ascii="Arial" w:hAnsi="Arial" w:cs="Arial"/>
      <w:b/>
      <w:bCs/>
      <w:kern w:val="32"/>
      <w:sz w:val="32"/>
      <w:szCs w:val="32"/>
      <w:lang w:eastAsia="en-AU"/>
    </w:rPr>
  </w:style>
  <w:style w:type="character" w:customStyle="1" w:styleId="Heading4Char">
    <w:name w:val="Heading 4 Char"/>
    <w:aliases w:val="Table heading Char"/>
    <w:basedOn w:val="DefaultParagraphFont"/>
    <w:link w:val="Heading40"/>
    <w:uiPriority w:val="9"/>
    <w:rsid w:val="00763A03"/>
    <w:rPr>
      <w:b/>
      <w:bCs/>
      <w:sz w:val="28"/>
      <w:szCs w:val="28"/>
      <w:lang w:eastAsia="en-AU"/>
    </w:rPr>
  </w:style>
  <w:style w:type="character" w:customStyle="1" w:styleId="Heading5Char">
    <w:name w:val="Heading 5 Char"/>
    <w:basedOn w:val="DefaultParagraphFont"/>
    <w:link w:val="Heading5"/>
    <w:uiPriority w:val="9"/>
    <w:rsid w:val="00763A03"/>
    <w:rPr>
      <w:b/>
      <w:i/>
      <w:sz w:val="24"/>
      <w:lang w:val="en-GB" w:eastAsia="en-US"/>
    </w:rPr>
  </w:style>
  <w:style w:type="character" w:customStyle="1" w:styleId="Heading6Char">
    <w:name w:val="Heading 6 Char"/>
    <w:basedOn w:val="DefaultParagraphFont"/>
    <w:link w:val="Heading6"/>
    <w:rsid w:val="00763A03"/>
    <w:rPr>
      <w:rFonts w:ascii="Arial" w:hAnsi="Arial"/>
      <w:b/>
      <w:bCs/>
      <w:sz w:val="22"/>
      <w:szCs w:val="22"/>
      <w:lang w:val="en-GB" w:eastAsia="en-US"/>
    </w:rPr>
  </w:style>
  <w:style w:type="character" w:customStyle="1" w:styleId="Heading7Char">
    <w:name w:val="Heading 7 Char"/>
    <w:basedOn w:val="DefaultParagraphFont"/>
    <w:link w:val="Heading7"/>
    <w:uiPriority w:val="9"/>
    <w:rsid w:val="00763A03"/>
    <w:rPr>
      <w:i/>
      <w:iCs/>
      <w:sz w:val="22"/>
      <w:szCs w:val="24"/>
      <w:lang w:eastAsia="en-US"/>
    </w:rPr>
  </w:style>
  <w:style w:type="character" w:customStyle="1" w:styleId="Heading8Char">
    <w:name w:val="Heading 8 Char"/>
    <w:basedOn w:val="DefaultParagraphFont"/>
    <w:link w:val="Heading8"/>
    <w:uiPriority w:val="9"/>
    <w:rsid w:val="00763A03"/>
    <w:rPr>
      <w:b/>
      <w:bCs/>
      <w:i/>
      <w:iCs/>
      <w:sz w:val="22"/>
      <w:szCs w:val="24"/>
      <w:lang w:eastAsia="en-US"/>
    </w:rPr>
  </w:style>
  <w:style w:type="character" w:customStyle="1" w:styleId="Heading9Char">
    <w:name w:val="Heading 9 Char"/>
    <w:basedOn w:val="DefaultParagraphFont"/>
    <w:link w:val="Heading9"/>
    <w:uiPriority w:val="9"/>
    <w:rsid w:val="00763A03"/>
    <w:rPr>
      <w:i/>
      <w:iCs/>
      <w:sz w:val="22"/>
      <w:szCs w:val="24"/>
      <w:lang w:eastAsia="en-US"/>
    </w:rPr>
  </w:style>
  <w:style w:type="character" w:styleId="Emphasis">
    <w:name w:val="Emphasis"/>
    <w:uiPriority w:val="20"/>
    <w:qFormat/>
    <w:rsid w:val="00763A03"/>
    <w:rPr>
      <w:b/>
      <w:bCs/>
      <w:i/>
      <w:iCs/>
      <w:spacing w:val="10"/>
      <w:bdr w:val="none" w:sz="0" w:space="0" w:color="auto" w:frame="1"/>
    </w:rPr>
  </w:style>
  <w:style w:type="character" w:customStyle="1" w:styleId="Heading3Char1">
    <w:name w:val="Heading 3 Char1"/>
    <w:aliases w:val="Not in TOC Char1,Section Char1,H3 Char1,l3 Char1,h3 Char1"/>
    <w:basedOn w:val="DefaultParagraphFont"/>
    <w:semiHidden/>
    <w:rsid w:val="00763A03"/>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Table heading Char1"/>
    <w:basedOn w:val="DefaultParagraphFont"/>
    <w:uiPriority w:val="9"/>
    <w:semiHidden/>
    <w:rsid w:val="00763A03"/>
    <w:rPr>
      <w:rFonts w:asciiTheme="majorHAnsi" w:eastAsiaTheme="majorEastAsia" w:hAnsiTheme="majorHAnsi" w:cstheme="majorBidi"/>
      <w:b/>
      <w:bCs/>
      <w:i/>
      <w:iCs/>
      <w:color w:val="4F81BD" w:themeColor="accent1"/>
      <w:sz w:val="22"/>
      <w:szCs w:val="22"/>
    </w:rPr>
  </w:style>
  <w:style w:type="character" w:customStyle="1" w:styleId="CommentTextChar">
    <w:name w:val="Comment Text Char"/>
    <w:basedOn w:val="DefaultParagraphFont"/>
    <w:link w:val="CommentText"/>
    <w:uiPriority w:val="99"/>
    <w:rsid w:val="00763A03"/>
    <w:rPr>
      <w:rFonts w:ascii="Garamond" w:hAnsi="Garamond"/>
      <w:lang w:eastAsia="en-US" w:bidi="he-IL"/>
    </w:rPr>
  </w:style>
  <w:style w:type="character" w:customStyle="1" w:styleId="HeaderChar">
    <w:name w:val="Header Char"/>
    <w:basedOn w:val="DefaultParagraphFont"/>
    <w:link w:val="Header"/>
    <w:uiPriority w:val="99"/>
    <w:rsid w:val="00763A03"/>
    <w:rPr>
      <w:sz w:val="24"/>
      <w:szCs w:val="24"/>
      <w:lang w:eastAsia="en-AU"/>
    </w:rPr>
  </w:style>
  <w:style w:type="character" w:customStyle="1" w:styleId="TitleChar">
    <w:name w:val="Title Char"/>
    <w:basedOn w:val="DefaultParagraphFont"/>
    <w:link w:val="Title"/>
    <w:rsid w:val="00763A03"/>
    <w:rPr>
      <w:sz w:val="22"/>
      <w:u w:val="single"/>
      <w:lang w:val="en-US" w:eastAsia="en-US"/>
    </w:rPr>
  </w:style>
  <w:style w:type="character" w:customStyle="1" w:styleId="BodyTextIndentChar">
    <w:name w:val="Body Text Indent Char"/>
    <w:basedOn w:val="DefaultParagraphFont"/>
    <w:link w:val="BodyTextIndent"/>
    <w:rsid w:val="00763A03"/>
    <w:rPr>
      <w:b/>
      <w:bCs/>
      <w:sz w:val="22"/>
      <w:szCs w:val="24"/>
      <w:lang w:eastAsia="en-US"/>
    </w:rPr>
  </w:style>
  <w:style w:type="character" w:customStyle="1" w:styleId="SubtitleChar">
    <w:name w:val="Subtitle Char"/>
    <w:aliases w:val="table/figure Char"/>
    <w:basedOn w:val="DefaultParagraphFont"/>
    <w:link w:val="Subtitle"/>
    <w:uiPriority w:val="11"/>
    <w:locked/>
    <w:rsid w:val="00763A03"/>
    <w:rPr>
      <w:rFonts w:ascii="Arial" w:eastAsiaTheme="majorEastAsia" w:hAnsi="Arial" w:cstheme="majorBidi"/>
      <w:i/>
      <w:iCs/>
      <w:spacing w:val="13"/>
      <w:szCs w:val="24"/>
    </w:rPr>
  </w:style>
  <w:style w:type="paragraph" w:styleId="Subtitle">
    <w:name w:val="Subtitle"/>
    <w:aliases w:val="table/figure"/>
    <w:basedOn w:val="Normal"/>
    <w:next w:val="Normal"/>
    <w:link w:val="SubtitleChar"/>
    <w:uiPriority w:val="11"/>
    <w:qFormat/>
    <w:rsid w:val="00763A03"/>
    <w:pPr>
      <w:tabs>
        <w:tab w:val="left" w:pos="720"/>
      </w:tabs>
      <w:spacing w:after="600" w:line="276" w:lineRule="auto"/>
      <w:jc w:val="both"/>
    </w:pPr>
    <w:rPr>
      <w:rFonts w:ascii="Arial" w:eastAsiaTheme="majorEastAsia" w:hAnsi="Arial" w:cstheme="majorBidi"/>
      <w:i/>
      <w:iCs/>
      <w:spacing w:val="13"/>
      <w:sz w:val="20"/>
      <w:lang w:eastAsia="en-NZ"/>
    </w:rPr>
  </w:style>
  <w:style w:type="character" w:customStyle="1" w:styleId="SubtitleChar1">
    <w:name w:val="Subtitle Char1"/>
    <w:aliases w:val="table/figure Char1"/>
    <w:basedOn w:val="DefaultParagraphFont"/>
    <w:uiPriority w:val="11"/>
    <w:rsid w:val="00763A03"/>
    <w:rPr>
      <w:rFonts w:asciiTheme="majorHAnsi" w:eastAsiaTheme="majorEastAsia" w:hAnsiTheme="majorHAnsi" w:cstheme="majorBidi"/>
      <w:i/>
      <w:iCs/>
      <w:color w:val="4F81BD" w:themeColor="accent1"/>
      <w:spacing w:val="15"/>
      <w:sz w:val="24"/>
      <w:szCs w:val="24"/>
      <w:lang w:eastAsia="en-AU"/>
    </w:rPr>
  </w:style>
  <w:style w:type="character" w:customStyle="1" w:styleId="BodyTextIndent2Char">
    <w:name w:val="Body Text Indent 2 Char"/>
    <w:basedOn w:val="DefaultParagraphFont"/>
    <w:link w:val="BodyTextIndent2"/>
    <w:rsid w:val="00763A03"/>
    <w:rPr>
      <w:sz w:val="22"/>
      <w:szCs w:val="24"/>
      <w:lang w:eastAsia="en-US"/>
    </w:rPr>
  </w:style>
  <w:style w:type="paragraph" w:styleId="PlainText">
    <w:name w:val="Plain Text"/>
    <w:basedOn w:val="Normal"/>
    <w:link w:val="PlainTextChar"/>
    <w:unhideWhenUsed/>
    <w:rsid w:val="00763A03"/>
    <w:pPr>
      <w:tabs>
        <w:tab w:val="left" w:pos="720"/>
      </w:tabs>
      <w:spacing w:line="280" w:lineRule="exact"/>
      <w:jc w:val="both"/>
    </w:pPr>
    <w:rPr>
      <w:rFonts w:ascii="Courier" w:hAnsi="Courier"/>
      <w:lang w:val="en-GB" w:eastAsia="en-US"/>
    </w:rPr>
  </w:style>
  <w:style w:type="character" w:customStyle="1" w:styleId="PlainTextChar">
    <w:name w:val="Plain Text Char"/>
    <w:basedOn w:val="DefaultParagraphFont"/>
    <w:link w:val="PlainText"/>
    <w:rsid w:val="00763A03"/>
    <w:rPr>
      <w:rFonts w:ascii="Courier" w:hAnsi="Courier"/>
      <w:sz w:val="24"/>
      <w:szCs w:val="24"/>
      <w:lang w:val="en-GB" w:eastAsia="en-US"/>
    </w:rPr>
  </w:style>
  <w:style w:type="character" w:customStyle="1" w:styleId="CommentSubjectChar">
    <w:name w:val="Comment Subject Char"/>
    <w:basedOn w:val="CommentTextChar"/>
    <w:link w:val="CommentSubject"/>
    <w:uiPriority w:val="99"/>
    <w:semiHidden/>
    <w:rsid w:val="00763A03"/>
    <w:rPr>
      <w:rFonts w:ascii="Arial" w:hAnsi="Arial"/>
      <w:b/>
      <w:bCs/>
      <w:lang w:eastAsia="en-US" w:bidi="he-IL"/>
    </w:rPr>
  </w:style>
  <w:style w:type="character" w:customStyle="1" w:styleId="BalloonTextChar">
    <w:name w:val="Balloon Text Char"/>
    <w:basedOn w:val="DefaultParagraphFont"/>
    <w:link w:val="BalloonText"/>
    <w:uiPriority w:val="99"/>
    <w:semiHidden/>
    <w:rsid w:val="00763A03"/>
    <w:rPr>
      <w:rFonts w:ascii="Tahoma" w:hAnsi="Tahoma" w:cs="Tahoma"/>
      <w:sz w:val="16"/>
      <w:szCs w:val="16"/>
      <w:lang w:eastAsia="en-AU"/>
    </w:rPr>
  </w:style>
  <w:style w:type="paragraph" w:styleId="NoSpacing">
    <w:name w:val="No Spacing"/>
    <w:basedOn w:val="Normal"/>
    <w:uiPriority w:val="1"/>
    <w:qFormat/>
    <w:rsid w:val="00763A03"/>
    <w:pPr>
      <w:tabs>
        <w:tab w:val="left" w:pos="720"/>
      </w:tabs>
    </w:pPr>
    <w:rPr>
      <w:rFonts w:asciiTheme="minorHAnsi" w:eastAsiaTheme="minorEastAsia" w:hAnsiTheme="minorHAnsi" w:cstheme="minorBidi"/>
      <w:szCs w:val="22"/>
      <w:lang w:eastAsia="en-US"/>
    </w:rPr>
  </w:style>
  <w:style w:type="paragraph" w:styleId="IntenseQuote">
    <w:name w:val="Intense Quote"/>
    <w:basedOn w:val="Normal"/>
    <w:next w:val="Normal"/>
    <w:link w:val="IntenseQuoteChar"/>
    <w:uiPriority w:val="30"/>
    <w:qFormat/>
    <w:rsid w:val="00763A03"/>
    <w:pPr>
      <w:pBdr>
        <w:bottom w:val="single" w:sz="4" w:space="1" w:color="auto"/>
      </w:pBdr>
      <w:tabs>
        <w:tab w:val="left" w:pos="720"/>
      </w:tabs>
      <w:spacing w:before="200" w:after="280" w:line="276" w:lineRule="auto"/>
      <w:ind w:left="1008" w:right="1152"/>
      <w:jc w:val="both"/>
    </w:pPr>
    <w:rPr>
      <w:rFonts w:asciiTheme="minorHAnsi" w:eastAsiaTheme="minorEastAsia" w:hAnsiTheme="minorHAnsi" w:cstheme="minorBidi"/>
      <w:b/>
      <w:bCs/>
      <w:i/>
      <w:iCs/>
      <w:szCs w:val="22"/>
      <w:lang w:eastAsia="en-US"/>
    </w:rPr>
  </w:style>
  <w:style w:type="character" w:customStyle="1" w:styleId="IntenseQuoteChar">
    <w:name w:val="Intense Quote Char"/>
    <w:basedOn w:val="DefaultParagraphFont"/>
    <w:link w:val="IntenseQuote"/>
    <w:uiPriority w:val="30"/>
    <w:rsid w:val="00763A03"/>
    <w:rPr>
      <w:rFonts w:asciiTheme="minorHAnsi" w:eastAsiaTheme="minorEastAsia" w:hAnsiTheme="minorHAnsi" w:cstheme="minorBidi"/>
      <w:b/>
      <w:bCs/>
      <w:i/>
      <w:iCs/>
      <w:sz w:val="22"/>
      <w:szCs w:val="22"/>
      <w:lang w:eastAsia="en-US"/>
    </w:rPr>
  </w:style>
  <w:style w:type="paragraph" w:customStyle="1" w:styleId="labelled4">
    <w:name w:val="labelled4"/>
    <w:basedOn w:val="Normal"/>
    <w:rsid w:val="00763A03"/>
    <w:pPr>
      <w:tabs>
        <w:tab w:val="left" w:pos="720"/>
      </w:tabs>
      <w:spacing w:line="288" w:lineRule="exact"/>
      <w:ind w:right="240"/>
    </w:pPr>
    <w:rPr>
      <w:rFonts w:eastAsia="Calibri"/>
      <w:color w:val="000000"/>
      <w:lang w:val="en-US" w:eastAsia="en-US"/>
    </w:rPr>
  </w:style>
  <w:style w:type="paragraph" w:customStyle="1" w:styleId="Indent">
    <w:name w:val="Indent"/>
    <w:basedOn w:val="BodyText1"/>
    <w:qFormat/>
    <w:rsid w:val="00763A03"/>
    <w:pPr>
      <w:tabs>
        <w:tab w:val="left" w:pos="720"/>
      </w:tabs>
      <w:overflowPunct/>
      <w:autoSpaceDE/>
      <w:autoSpaceDN/>
      <w:adjustRightInd/>
      <w:spacing w:before="0" w:after="120" w:line="280" w:lineRule="exact"/>
      <w:ind w:left="567" w:hanging="567"/>
      <w:jc w:val="both"/>
      <w:textAlignment w:val="auto"/>
    </w:pPr>
    <w:rPr>
      <w:rFonts w:ascii="Arial" w:hAnsi="Arial"/>
      <w:sz w:val="20"/>
      <w:lang w:val="en-GB"/>
    </w:rPr>
  </w:style>
  <w:style w:type="paragraph" w:customStyle="1" w:styleId="footnote">
    <w:name w:val="footnote"/>
    <w:basedOn w:val="Normal"/>
    <w:rsid w:val="00763A03"/>
    <w:pPr>
      <w:tabs>
        <w:tab w:val="left" w:pos="720"/>
      </w:tabs>
      <w:spacing w:line="280" w:lineRule="exact"/>
      <w:jc w:val="both"/>
    </w:pPr>
    <w:rPr>
      <w:rFonts w:ascii="Arial" w:hAnsi="Arial"/>
      <w:sz w:val="20"/>
      <w:szCs w:val="20"/>
      <w:vertAlign w:val="superscript"/>
      <w:lang w:val="en-GB" w:eastAsia="en-US"/>
    </w:rPr>
  </w:style>
  <w:style w:type="paragraph" w:customStyle="1" w:styleId="HTMLAcronym1">
    <w:name w:val="HTML Acronym1"/>
    <w:basedOn w:val="Normal"/>
    <w:rsid w:val="00763A03"/>
    <w:pPr>
      <w:tabs>
        <w:tab w:val="left" w:pos="720"/>
      </w:tabs>
      <w:spacing w:line="280" w:lineRule="exact"/>
      <w:jc w:val="both"/>
    </w:pPr>
    <w:rPr>
      <w:rFonts w:ascii="Arial" w:hAnsi="Arial"/>
      <w:szCs w:val="20"/>
      <w:lang w:val="en-GB" w:eastAsia="en-US"/>
    </w:rPr>
  </w:style>
  <w:style w:type="paragraph" w:customStyle="1" w:styleId="AppendicesHeading">
    <w:name w:val="Appendices Heading"/>
    <w:basedOn w:val="PlainText"/>
    <w:rsid w:val="00763A03"/>
    <w:pPr>
      <w:ind w:left="567" w:hanging="567"/>
    </w:pPr>
    <w:rPr>
      <w:rFonts w:ascii="Courier New" w:eastAsia="Times" w:hAnsi="Courier New"/>
      <w:b/>
      <w:sz w:val="20"/>
      <w:szCs w:val="20"/>
      <w:lang w:val="en-AU"/>
    </w:rPr>
  </w:style>
  <w:style w:type="paragraph" w:customStyle="1" w:styleId="Runningfooter">
    <w:name w:val="Running footer"/>
    <w:qFormat/>
    <w:rsid w:val="00763A03"/>
    <w:pPr>
      <w:pBdr>
        <w:top w:val="single" w:sz="6" w:space="1" w:color="0000FF"/>
      </w:pBdr>
      <w:tabs>
        <w:tab w:val="right" w:pos="9639"/>
      </w:tabs>
      <w:spacing w:line="280" w:lineRule="exact"/>
    </w:pPr>
    <w:rPr>
      <w:rFonts w:ascii="Arial" w:hAnsi="Arial"/>
      <w:sz w:val="18"/>
      <w:lang w:val="en-GB" w:eastAsia="en-US"/>
    </w:rPr>
  </w:style>
  <w:style w:type="paragraph" w:customStyle="1" w:styleId="Bullet">
    <w:name w:val="Bullet"/>
    <w:basedOn w:val="BodyText1"/>
    <w:qFormat/>
    <w:rsid w:val="00763A03"/>
    <w:pPr>
      <w:numPr>
        <w:numId w:val="29"/>
      </w:numPr>
      <w:tabs>
        <w:tab w:val="left" w:pos="720"/>
      </w:tabs>
      <w:overflowPunct/>
      <w:autoSpaceDE/>
      <w:autoSpaceDN/>
      <w:adjustRightInd/>
      <w:spacing w:before="0" w:after="120" w:line="280" w:lineRule="exact"/>
      <w:jc w:val="both"/>
      <w:textAlignment w:val="auto"/>
    </w:pPr>
    <w:rPr>
      <w:rFonts w:ascii="Arial" w:hAnsi="Arial"/>
      <w:sz w:val="20"/>
      <w:lang w:val="en-GB"/>
    </w:rPr>
  </w:style>
  <w:style w:type="paragraph" w:customStyle="1" w:styleId="HEADING21">
    <w:name w:val="HEADING2"/>
    <w:basedOn w:val="Heading1"/>
    <w:qFormat/>
    <w:rsid w:val="00763A03"/>
    <w:pPr>
      <w:keepNext w:val="0"/>
      <w:numPr>
        <w:numId w:val="0"/>
      </w:numPr>
      <w:tabs>
        <w:tab w:val="clear" w:pos="4153"/>
        <w:tab w:val="clear" w:pos="5910"/>
        <w:tab w:val="left" w:pos="720"/>
      </w:tabs>
      <w:spacing w:before="0" w:after="0" w:line="280" w:lineRule="exact"/>
      <w:jc w:val="both"/>
      <w:outlineLvl w:val="9"/>
    </w:pPr>
    <w:rPr>
      <w:rFonts w:ascii="Arial" w:hAnsi="Arial"/>
      <w:kern w:val="0"/>
      <w:sz w:val="22"/>
      <w:szCs w:val="22"/>
      <w:lang w:val="en-GB" w:eastAsia="en-US"/>
    </w:rPr>
  </w:style>
  <w:style w:type="paragraph" w:customStyle="1" w:styleId="Bulletlast">
    <w:name w:val="Bullet last"/>
    <w:basedOn w:val="Bullet"/>
    <w:qFormat/>
    <w:rsid w:val="00763A03"/>
    <w:pPr>
      <w:spacing w:after="0"/>
    </w:pPr>
  </w:style>
  <w:style w:type="paragraph" w:customStyle="1" w:styleId="HEADING30">
    <w:name w:val="HEADING3"/>
    <w:basedOn w:val="HEADING21"/>
    <w:qFormat/>
    <w:rsid w:val="00763A03"/>
    <w:rPr>
      <w:sz w:val="20"/>
      <w:szCs w:val="20"/>
    </w:rPr>
  </w:style>
  <w:style w:type="paragraph" w:customStyle="1" w:styleId="boxBlockText">
    <w:name w:val="[box] Block Text"/>
    <w:basedOn w:val="Normal"/>
    <w:rsid w:val="00763A03"/>
    <w:pPr>
      <w:tabs>
        <w:tab w:val="left" w:pos="720"/>
      </w:tabs>
      <w:spacing w:before="120" w:after="120"/>
    </w:pPr>
    <w:rPr>
      <w:szCs w:val="20"/>
      <w:lang w:eastAsia="en-US"/>
    </w:rPr>
  </w:style>
  <w:style w:type="paragraph" w:customStyle="1" w:styleId="Source">
    <w:name w:val="Source"/>
    <w:basedOn w:val="Normal"/>
    <w:next w:val="Normal"/>
    <w:rsid w:val="00763A03"/>
    <w:pPr>
      <w:numPr>
        <w:numId w:val="30"/>
      </w:numPr>
      <w:tabs>
        <w:tab w:val="clear" w:pos="360"/>
        <w:tab w:val="left" w:pos="720"/>
      </w:tabs>
      <w:spacing w:before="80"/>
      <w:ind w:left="0" w:firstLine="0"/>
    </w:pPr>
    <w:rPr>
      <w:rFonts w:ascii="Arial" w:hAnsi="Arial"/>
      <w:sz w:val="20"/>
      <w:szCs w:val="20"/>
      <w:lang w:eastAsia="en-GB"/>
    </w:rPr>
  </w:style>
  <w:style w:type="paragraph" w:customStyle="1" w:styleId="Unpublished">
    <w:name w:val="Unpublished"/>
    <w:basedOn w:val="Normal"/>
    <w:rsid w:val="00763A03"/>
    <w:pPr>
      <w:tabs>
        <w:tab w:val="left" w:pos="720"/>
      </w:tabs>
    </w:pPr>
    <w:rPr>
      <w:rFonts w:ascii="Arial Mäori" w:hAnsi="Arial Mäori"/>
      <w:lang w:eastAsia="en-US"/>
    </w:rPr>
  </w:style>
  <w:style w:type="paragraph" w:customStyle="1" w:styleId="Heading4">
    <w:name w:val="Heading4"/>
    <w:basedOn w:val="HEADING30"/>
    <w:qFormat/>
    <w:rsid w:val="00763A03"/>
    <w:pPr>
      <w:numPr>
        <w:ilvl w:val="2"/>
        <w:numId w:val="31"/>
      </w:numPr>
    </w:pPr>
    <w:rPr>
      <w:b w:val="0"/>
      <w:i/>
    </w:rPr>
  </w:style>
  <w:style w:type="paragraph" w:customStyle="1" w:styleId="INDENT1">
    <w:name w:val="INDENT 1"/>
    <w:basedOn w:val="Indent"/>
    <w:rsid w:val="00763A03"/>
    <w:pPr>
      <w:ind w:firstLine="0"/>
    </w:pPr>
  </w:style>
  <w:style w:type="paragraph" w:customStyle="1" w:styleId="HeadingLucidaBlue">
    <w:name w:val="Heading Lucida Blue"/>
    <w:basedOn w:val="Normal"/>
    <w:rsid w:val="00763A03"/>
    <w:pPr>
      <w:tabs>
        <w:tab w:val="left" w:pos="426"/>
      </w:tabs>
    </w:pPr>
    <w:rPr>
      <w:rFonts w:ascii="Lucida Sans" w:hAnsi="Lucida Sans"/>
      <w:b/>
      <w:color w:val="0000FF"/>
      <w:szCs w:val="20"/>
      <w:lang w:val="en-GB" w:eastAsia="en-US"/>
    </w:rPr>
  </w:style>
  <w:style w:type="paragraph" w:customStyle="1" w:styleId="Figure">
    <w:name w:val="Figure"/>
    <w:basedOn w:val="Normal"/>
    <w:rsid w:val="00763A03"/>
    <w:pPr>
      <w:keepNext/>
      <w:tabs>
        <w:tab w:val="left" w:pos="720"/>
      </w:tabs>
      <w:spacing w:before="120" w:after="120"/>
      <w:ind w:left="1276" w:hanging="1276"/>
    </w:pPr>
    <w:rPr>
      <w:rFonts w:ascii="Arial" w:hAnsi="Arial"/>
      <w:b/>
      <w:szCs w:val="20"/>
      <w:lang w:eastAsia="en-GB"/>
    </w:rPr>
  </w:style>
  <w:style w:type="paragraph" w:customStyle="1" w:styleId="Default">
    <w:name w:val="Default"/>
    <w:rsid w:val="00763A03"/>
    <w:pPr>
      <w:tabs>
        <w:tab w:val="left" w:pos="720"/>
      </w:tabs>
      <w:autoSpaceDE w:val="0"/>
      <w:autoSpaceDN w:val="0"/>
      <w:adjustRightInd w:val="0"/>
    </w:pPr>
    <w:rPr>
      <w:rFonts w:ascii="Calibri" w:eastAsia="Calibri" w:hAnsi="Calibri" w:cs="Calibri"/>
      <w:color w:val="000000"/>
      <w:sz w:val="24"/>
      <w:szCs w:val="24"/>
      <w:lang w:eastAsia="en-US"/>
    </w:rPr>
  </w:style>
  <w:style w:type="paragraph" w:customStyle="1" w:styleId="DecimalAligned">
    <w:name w:val="Decimal Aligned"/>
    <w:basedOn w:val="Normal"/>
    <w:uiPriority w:val="40"/>
    <w:qFormat/>
    <w:rsid w:val="00763A03"/>
    <w:pPr>
      <w:tabs>
        <w:tab w:val="decimal" w:pos="360"/>
      </w:tabs>
      <w:spacing w:after="200" w:line="276" w:lineRule="auto"/>
    </w:pPr>
    <w:rPr>
      <w:rFonts w:asciiTheme="minorHAnsi" w:eastAsiaTheme="minorHAnsi" w:hAnsiTheme="minorHAnsi" w:cstheme="minorBidi"/>
      <w:szCs w:val="22"/>
      <w:lang w:val="en-US" w:eastAsia="ja-JP"/>
    </w:rPr>
  </w:style>
  <w:style w:type="paragraph" w:customStyle="1" w:styleId="xl66">
    <w:name w:val="xl66"/>
    <w:basedOn w:val="Normal"/>
    <w:rsid w:val="00763A03"/>
    <w:pPr>
      <w:tabs>
        <w:tab w:val="left" w:pos="720"/>
      </w:tabs>
      <w:spacing w:before="100" w:beforeAutospacing="1" w:after="100" w:afterAutospacing="1"/>
    </w:pPr>
    <w:rPr>
      <w:sz w:val="20"/>
      <w:szCs w:val="20"/>
      <w:lang w:eastAsia="en-NZ"/>
    </w:rPr>
  </w:style>
  <w:style w:type="paragraph" w:customStyle="1" w:styleId="xl67">
    <w:name w:val="xl67"/>
    <w:basedOn w:val="Normal"/>
    <w:rsid w:val="00763A03"/>
    <w:pPr>
      <w:tabs>
        <w:tab w:val="left" w:pos="720"/>
      </w:tabs>
      <w:spacing w:before="100" w:beforeAutospacing="1" w:after="100" w:afterAutospacing="1"/>
    </w:pPr>
    <w:rPr>
      <w:sz w:val="20"/>
      <w:szCs w:val="20"/>
      <w:lang w:eastAsia="en-NZ"/>
    </w:rPr>
  </w:style>
  <w:style w:type="paragraph" w:customStyle="1" w:styleId="xl68">
    <w:name w:val="xl68"/>
    <w:basedOn w:val="Normal"/>
    <w:rsid w:val="00763A03"/>
    <w:pPr>
      <w:tabs>
        <w:tab w:val="left" w:pos="720"/>
      </w:tabs>
      <w:spacing w:before="100" w:beforeAutospacing="1" w:after="100" w:afterAutospacing="1"/>
    </w:pPr>
    <w:rPr>
      <w:sz w:val="20"/>
      <w:szCs w:val="20"/>
      <w:lang w:eastAsia="en-NZ"/>
    </w:rPr>
  </w:style>
  <w:style w:type="paragraph" w:customStyle="1" w:styleId="xl69">
    <w:name w:val="xl69"/>
    <w:basedOn w:val="Normal"/>
    <w:rsid w:val="00763A03"/>
    <w:pPr>
      <w:tabs>
        <w:tab w:val="left" w:pos="720"/>
      </w:tabs>
      <w:spacing w:before="100" w:beforeAutospacing="1" w:after="100" w:afterAutospacing="1"/>
    </w:pPr>
    <w:rPr>
      <w:b/>
      <w:bCs/>
      <w:sz w:val="20"/>
      <w:szCs w:val="20"/>
      <w:lang w:eastAsia="en-NZ"/>
    </w:rPr>
  </w:style>
  <w:style w:type="paragraph" w:customStyle="1" w:styleId="xl70">
    <w:name w:val="xl70"/>
    <w:basedOn w:val="Normal"/>
    <w:rsid w:val="00763A03"/>
    <w:pPr>
      <w:tabs>
        <w:tab w:val="left" w:pos="720"/>
      </w:tabs>
      <w:spacing w:before="100" w:beforeAutospacing="1" w:after="100" w:afterAutospacing="1"/>
    </w:pPr>
    <w:rPr>
      <w:sz w:val="20"/>
      <w:szCs w:val="20"/>
      <w:lang w:eastAsia="en-NZ"/>
    </w:rPr>
  </w:style>
  <w:style w:type="character" w:styleId="PlaceholderText">
    <w:name w:val="Placeholder Text"/>
    <w:basedOn w:val="DefaultParagraphFont"/>
    <w:uiPriority w:val="99"/>
    <w:semiHidden/>
    <w:rsid w:val="00763A03"/>
    <w:rPr>
      <w:color w:val="808080"/>
    </w:rPr>
  </w:style>
  <w:style w:type="character" w:styleId="SubtleEmphasis">
    <w:name w:val="Subtle Emphasis"/>
    <w:uiPriority w:val="19"/>
    <w:qFormat/>
    <w:rsid w:val="00763A03"/>
    <w:rPr>
      <w:i/>
      <w:iCs/>
    </w:rPr>
  </w:style>
  <w:style w:type="character" w:styleId="IntenseEmphasis">
    <w:name w:val="Intense Emphasis"/>
    <w:uiPriority w:val="21"/>
    <w:qFormat/>
    <w:rsid w:val="00763A03"/>
    <w:rPr>
      <w:b/>
      <w:bCs/>
    </w:rPr>
  </w:style>
  <w:style w:type="character" w:styleId="SubtleReference">
    <w:name w:val="Subtle Reference"/>
    <w:uiPriority w:val="31"/>
    <w:qFormat/>
    <w:rsid w:val="00763A03"/>
    <w:rPr>
      <w:smallCaps/>
    </w:rPr>
  </w:style>
  <w:style w:type="character" w:styleId="IntenseReference">
    <w:name w:val="Intense Reference"/>
    <w:uiPriority w:val="32"/>
    <w:qFormat/>
    <w:rsid w:val="00763A03"/>
    <w:rPr>
      <w:smallCaps/>
      <w:spacing w:val="5"/>
      <w:u w:val="single"/>
    </w:rPr>
  </w:style>
  <w:style w:type="paragraph" w:styleId="z-TopofForm">
    <w:name w:val="HTML Top of Form"/>
    <w:basedOn w:val="Normal"/>
    <w:next w:val="Normal"/>
    <w:link w:val="z-TopofFormChar"/>
    <w:hidden/>
    <w:unhideWhenUsed/>
    <w:rsid w:val="00763A03"/>
    <w:pPr>
      <w:pBdr>
        <w:bottom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TopofFormChar">
    <w:name w:val="z-Top of Form Char"/>
    <w:basedOn w:val="DefaultParagraphFont"/>
    <w:link w:val="z-TopofForm"/>
    <w:rsid w:val="00763A03"/>
    <w:rPr>
      <w:rFonts w:ascii="Arial" w:eastAsiaTheme="minorHAnsi" w:hAnsi="Arial" w:cs="Arial"/>
      <w:vanish/>
      <w:sz w:val="16"/>
      <w:szCs w:val="16"/>
      <w:lang w:eastAsia="en-US"/>
    </w:rPr>
  </w:style>
  <w:style w:type="paragraph" w:styleId="z-BottomofForm">
    <w:name w:val="HTML Bottom of Form"/>
    <w:basedOn w:val="Normal"/>
    <w:next w:val="Normal"/>
    <w:link w:val="z-BottomofFormChar"/>
    <w:hidden/>
    <w:unhideWhenUsed/>
    <w:rsid w:val="00763A03"/>
    <w:pPr>
      <w:pBdr>
        <w:top w:val="single" w:sz="6" w:space="1" w:color="auto"/>
      </w:pBdr>
      <w:tabs>
        <w:tab w:val="left" w:pos="720"/>
      </w:tabs>
      <w:spacing w:line="276" w:lineRule="auto"/>
      <w:jc w:val="center"/>
    </w:pPr>
    <w:rPr>
      <w:rFonts w:ascii="Arial" w:eastAsiaTheme="minorHAnsi" w:hAnsi="Arial" w:cs="Arial"/>
      <w:vanish/>
      <w:sz w:val="16"/>
      <w:szCs w:val="16"/>
      <w:lang w:eastAsia="en-US"/>
    </w:rPr>
  </w:style>
  <w:style w:type="character" w:customStyle="1" w:styleId="z-BottomofFormChar">
    <w:name w:val="z-Bottom of Form Char"/>
    <w:basedOn w:val="DefaultParagraphFont"/>
    <w:link w:val="z-BottomofForm"/>
    <w:rsid w:val="00763A03"/>
    <w:rPr>
      <w:rFonts w:ascii="Arial" w:eastAsiaTheme="minorHAnsi" w:hAnsi="Arial" w:cs="Arial"/>
      <w:vanish/>
      <w:sz w:val="16"/>
      <w:szCs w:val="16"/>
      <w:lang w:eastAsia="en-US"/>
    </w:rPr>
  </w:style>
  <w:style w:type="table" w:customStyle="1" w:styleId="MediumList11">
    <w:name w:val="Medium List 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Accent11">
    <w:name w:val="Light Shading - Accent 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5">
    <w:name w:val="Medium Shading 2 Accent 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eGrid1">
    <w:name w:val="Table Grid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3">
    <w:name w:val="Table Grid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10">
    <w:name w:val="Medium List 1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1">
    <w:name w:val="Medium List 2 - Accent 11"/>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10">
    <w:name w:val="Light Shading - Accent 11"/>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1">
    <w:name w:val="Light List - Accent 31"/>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4">
    <w:name w:val="Table Grid1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1">
    <w:name w:val="Table Grid2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2">
    <w:name w:val="Medium Shading 2 - Accent 52"/>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2">
    <w:name w:val="Medium List 1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2">
    <w:name w:val="Medium List 2 - Accent 12"/>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2">
    <w:name w:val="Medium List 1 - Accent 62"/>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2">
    <w:name w:val="Light Shading - Accent 12"/>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2">
    <w:name w:val="Light List - Accent 32"/>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6">
    <w:name w:val="Table Grid16"/>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7">
    <w:name w:val="Table Grid17"/>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3">
    <w:name w:val="Medium Shading 2 - Accent 53"/>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3">
    <w:name w:val="Medium List 1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3">
    <w:name w:val="Medium List 2 - Accent 13"/>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3">
    <w:name w:val="Medium List 1 - Accent 63"/>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3">
    <w:name w:val="Light Shading - Accent 13"/>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3">
    <w:name w:val="Light List - Accent 33"/>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8">
    <w:name w:val="Table Grid18"/>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8">
    <w:name w:val="Light Shading8"/>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3">
    <w:name w:val="Table Grid2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4">
    <w:name w:val="Light Shading24"/>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9">
    <w:name w:val="Table Grid19"/>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4">
    <w:name w:val="Medium Shading 1 - Accent 64"/>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4">
    <w:name w:val="Medium List 1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4">
    <w:name w:val="Medium List 2 - Accent 14"/>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4">
    <w:name w:val="Medium List 1 - Accent 64"/>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4">
    <w:name w:val="Light Shading - Accent 14"/>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4">
    <w:name w:val="Light List - Accent 34"/>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0">
    <w:name w:val="Table Grid110"/>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9">
    <w:name w:val="Light Shading9"/>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4">
    <w:name w:val="Table Grid2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5">
    <w:name w:val="Light Shading25"/>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0">
    <w:name w:val="Light Shading10"/>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0">
    <w:name w:val="Table Grid20"/>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5">
    <w:name w:val="Medium Shading 2 - Accent 55"/>
    <w:basedOn w:val="TableNormal"/>
    <w:uiPriority w:val="64"/>
    <w:rsid w:val="00763A03"/>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Autospacing="0" w:afterLines="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5">
    <w:name w:val="Medium Shading 1 - Accent 65"/>
    <w:basedOn w:val="TableNormal"/>
    <w:uiPriority w:val="63"/>
    <w:rsid w:val="00763A03"/>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5">
    <w:name w:val="Medium List 1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5">
    <w:name w:val="Medium List 2 - Accent 15"/>
    <w:basedOn w:val="TableNormal"/>
    <w:uiPriority w:val="66"/>
    <w:rsid w:val="00763A03"/>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5">
    <w:name w:val="Medium List 1 - Accent 65"/>
    <w:basedOn w:val="TableNormal"/>
    <w:uiPriority w:val="65"/>
    <w:rsid w:val="00763A03"/>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5">
    <w:name w:val="Light Shading - Accent 15"/>
    <w:basedOn w:val="TableNormal"/>
    <w:uiPriority w:val="60"/>
    <w:rsid w:val="00763A03"/>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5">
    <w:name w:val="Light List - Accent 35"/>
    <w:basedOn w:val="TableNormal"/>
    <w:uiPriority w:val="61"/>
    <w:rsid w:val="00763A03"/>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5">
    <w:name w:val="Table Grid11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5">
    <w:name w:val="Table Grid2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763A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6">
    <w:name w:val="Light Shading26"/>
    <w:basedOn w:val="TableNormal"/>
    <w:uiPriority w:val="60"/>
    <w:rsid w:val="00763A0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6">
    <w:name w:val="Table Grid26"/>
    <w:basedOn w:val="TableNormal"/>
    <w:uiPriority w:val="59"/>
    <w:rsid w:val="00763A03"/>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ast">
    <w:name w:val="Indent last"/>
    <w:basedOn w:val="Indent"/>
    <w:qFormat/>
    <w:rsid w:val="00763A03"/>
    <w:pPr>
      <w:numPr>
        <w:numId w:val="32"/>
      </w:numPr>
      <w:spacing w:after="0"/>
    </w:pPr>
  </w:style>
  <w:style w:type="numbering" w:customStyle="1" w:styleId="NoList1">
    <w:name w:val="No List1"/>
    <w:next w:val="NoList"/>
    <w:uiPriority w:val="99"/>
    <w:semiHidden/>
    <w:unhideWhenUsed/>
    <w:rsid w:val="00C00A37"/>
  </w:style>
  <w:style w:type="paragraph" w:customStyle="1" w:styleId="TableText">
    <w:name w:val="TableText"/>
    <w:basedOn w:val="Normal"/>
    <w:rsid w:val="00C00A37"/>
    <w:pPr>
      <w:spacing w:before="80" w:after="80"/>
    </w:pPr>
    <w:rPr>
      <w:rFonts w:ascii="Arial" w:hAnsi="Arial"/>
      <w:sz w:val="20"/>
      <w:szCs w:val="20"/>
      <w:lang w:eastAsia="en-GB"/>
    </w:rPr>
  </w:style>
  <w:style w:type="paragraph" w:styleId="Revision">
    <w:name w:val="Revision"/>
    <w:hidden/>
    <w:uiPriority w:val="99"/>
    <w:semiHidden/>
    <w:rsid w:val="00C00A37"/>
    <w:rPr>
      <w:rFonts w:asciiTheme="minorHAnsi" w:eastAsiaTheme="minorHAnsi" w:hAnsiTheme="minorHAnsi" w:cstheme="minorBidi"/>
      <w:sz w:val="22"/>
      <w:szCs w:val="22"/>
      <w:lang w:eastAsia="en-US"/>
    </w:rPr>
  </w:style>
  <w:style w:type="numbering" w:customStyle="1" w:styleId="NoList11">
    <w:name w:val="No List11"/>
    <w:next w:val="NoList"/>
    <w:uiPriority w:val="99"/>
    <w:semiHidden/>
    <w:unhideWhenUsed/>
    <w:rsid w:val="0068393A"/>
  </w:style>
  <w:style w:type="numbering" w:customStyle="1" w:styleId="NoList2">
    <w:name w:val="No List2"/>
    <w:next w:val="NoList"/>
    <w:uiPriority w:val="99"/>
    <w:semiHidden/>
    <w:unhideWhenUsed/>
    <w:rsid w:val="0068393A"/>
  </w:style>
  <w:style w:type="numbering" w:customStyle="1" w:styleId="NoList12">
    <w:name w:val="No List12"/>
    <w:next w:val="NoList"/>
    <w:uiPriority w:val="99"/>
    <w:semiHidden/>
    <w:unhideWhenUsed/>
    <w:rsid w:val="0068393A"/>
  </w:style>
  <w:style w:type="numbering" w:customStyle="1" w:styleId="NoList3">
    <w:name w:val="No List3"/>
    <w:next w:val="NoList"/>
    <w:uiPriority w:val="99"/>
    <w:semiHidden/>
    <w:unhideWhenUsed/>
    <w:rsid w:val="0068393A"/>
  </w:style>
  <w:style w:type="numbering" w:customStyle="1" w:styleId="NoList13">
    <w:name w:val="No List13"/>
    <w:next w:val="NoList"/>
    <w:uiPriority w:val="99"/>
    <w:semiHidden/>
    <w:unhideWhenUsed/>
    <w:rsid w:val="0068393A"/>
  </w:style>
  <w:style w:type="numbering" w:customStyle="1" w:styleId="NoList4">
    <w:name w:val="No List4"/>
    <w:next w:val="NoList"/>
    <w:uiPriority w:val="99"/>
    <w:semiHidden/>
    <w:unhideWhenUsed/>
    <w:rsid w:val="0068393A"/>
  </w:style>
  <w:style w:type="numbering" w:customStyle="1" w:styleId="NoList14">
    <w:name w:val="No List14"/>
    <w:next w:val="NoList"/>
    <w:uiPriority w:val="99"/>
    <w:semiHidden/>
    <w:unhideWhenUsed/>
    <w:rsid w:val="0068393A"/>
  </w:style>
  <w:style w:type="table" w:customStyle="1" w:styleId="LightShading18">
    <w:name w:val="Light Shading18"/>
    <w:basedOn w:val="TableNormal"/>
    <w:next w:val="LightShading2"/>
    <w:uiPriority w:val="60"/>
    <w:rsid w:val="000D0A3C"/>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8C0975"/>
  </w:style>
  <w:style w:type="numbering" w:customStyle="1" w:styleId="NoList15">
    <w:name w:val="No List15"/>
    <w:next w:val="NoList"/>
    <w:uiPriority w:val="99"/>
    <w:semiHidden/>
    <w:unhideWhenUsed/>
    <w:rsid w:val="008C0975"/>
  </w:style>
  <w:style w:type="table" w:customStyle="1" w:styleId="LightShading19">
    <w:name w:val="Light Shading1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0">
    <w:name w:val="Light Shading1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6">
    <w:name w:val="No List6"/>
    <w:next w:val="NoList"/>
    <w:uiPriority w:val="99"/>
    <w:semiHidden/>
    <w:unhideWhenUsed/>
    <w:rsid w:val="008C0975"/>
  </w:style>
  <w:style w:type="numbering" w:customStyle="1" w:styleId="NoList16">
    <w:name w:val="No List16"/>
    <w:next w:val="NoList"/>
    <w:uiPriority w:val="99"/>
    <w:semiHidden/>
    <w:unhideWhenUsed/>
    <w:rsid w:val="008C0975"/>
  </w:style>
  <w:style w:type="table" w:customStyle="1" w:styleId="LightShading200">
    <w:name w:val="Light Shading2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8">
    <w:name w:val="Light Shading28"/>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7">
    <w:name w:val="No List7"/>
    <w:next w:val="NoList"/>
    <w:uiPriority w:val="99"/>
    <w:semiHidden/>
    <w:unhideWhenUsed/>
    <w:rsid w:val="008C0975"/>
  </w:style>
  <w:style w:type="numbering" w:customStyle="1" w:styleId="NoList17">
    <w:name w:val="No List17"/>
    <w:next w:val="NoList"/>
    <w:uiPriority w:val="99"/>
    <w:semiHidden/>
    <w:unhideWhenUsed/>
    <w:rsid w:val="008C0975"/>
  </w:style>
  <w:style w:type="table" w:customStyle="1" w:styleId="LightShading29">
    <w:name w:val="Light Shading29"/>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2">
    <w:name w:val="Light Shading1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0">
    <w:name w:val="Light Shading21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8">
    <w:name w:val="No List8"/>
    <w:next w:val="NoList"/>
    <w:uiPriority w:val="99"/>
    <w:semiHidden/>
    <w:unhideWhenUsed/>
    <w:rsid w:val="008C0975"/>
  </w:style>
  <w:style w:type="numbering" w:customStyle="1" w:styleId="NoList18">
    <w:name w:val="No List18"/>
    <w:next w:val="NoList"/>
    <w:uiPriority w:val="99"/>
    <w:semiHidden/>
    <w:unhideWhenUsed/>
    <w:rsid w:val="008C0975"/>
  </w:style>
  <w:style w:type="table" w:customStyle="1" w:styleId="LightShading30">
    <w:name w:val="Light Shading30"/>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3">
    <w:name w:val="Light Shading113"/>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1">
    <w:name w:val="Light Shading21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9">
    <w:name w:val="No List9"/>
    <w:next w:val="NoList"/>
    <w:uiPriority w:val="99"/>
    <w:semiHidden/>
    <w:unhideWhenUsed/>
    <w:rsid w:val="008C0975"/>
  </w:style>
  <w:style w:type="table" w:customStyle="1" w:styleId="MediumShading2-Accent56">
    <w:name w:val="Medium Shading 2 - Accent 56"/>
    <w:basedOn w:val="TableNormal"/>
    <w:next w:val="MediumShading2-Accent5"/>
    <w:uiPriority w:val="64"/>
    <w:rsid w:val="008C0975"/>
    <w:rPr>
      <w:rFonts w:asciiTheme="minorHAnsi" w:eastAsiaTheme="minorEastAsia" w:hAnsiTheme="minorHAnsi" w:cstheme="minorBidi"/>
      <w:sz w:val="22"/>
      <w:szCs w:val="22"/>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6">
    <w:name w:val="Medium Shading 1 - Accent 66"/>
    <w:basedOn w:val="TableNormal"/>
    <w:next w:val="MediumShading1-Accent6"/>
    <w:uiPriority w:val="63"/>
    <w:rsid w:val="008C0975"/>
    <w:rPr>
      <w:rFonts w:asciiTheme="minorHAnsi" w:eastAsiaTheme="minorEastAsia"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List16">
    <w:name w:val="Medium List 16"/>
    <w:basedOn w:val="TableNormal"/>
    <w:next w:val="MediumList11"/>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2-Accent16">
    <w:name w:val="Medium List 2 - Accent 16"/>
    <w:basedOn w:val="TableNormal"/>
    <w:next w:val="MediumList2-Accent1"/>
    <w:uiPriority w:val="66"/>
    <w:rsid w:val="008C0975"/>
    <w:rPr>
      <w:rFonts w:asciiTheme="majorHAnsi" w:eastAsiaTheme="majorEastAsia" w:hAnsiTheme="majorHAnsi" w:cstheme="majorBidi"/>
      <w:color w:val="000000" w:themeColor="text1"/>
      <w:sz w:val="22"/>
      <w:szCs w:val="22"/>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6">
    <w:name w:val="Medium List 1 - Accent 66"/>
    <w:basedOn w:val="TableNormal"/>
    <w:next w:val="MediumList1-Accent6"/>
    <w:uiPriority w:val="65"/>
    <w:rsid w:val="008C0975"/>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ghtShading-Accent16">
    <w:name w:val="Light Shading - Accent 16"/>
    <w:basedOn w:val="TableNormal"/>
    <w:next w:val="LightShading-Accent11"/>
    <w:uiPriority w:val="60"/>
    <w:rsid w:val="008C0975"/>
    <w:rPr>
      <w:rFonts w:asciiTheme="minorHAnsi" w:eastAsiaTheme="minorEastAsia"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36">
    <w:name w:val="Light List - Accent 36"/>
    <w:basedOn w:val="TableNormal"/>
    <w:next w:val="LightList-Accent3"/>
    <w:uiPriority w:val="61"/>
    <w:rsid w:val="008C0975"/>
    <w:rPr>
      <w:rFonts w:asciiTheme="minorHAnsi" w:eastAsiaTheme="minorEastAsia" w:hAnsiTheme="minorHAnsi" w:cstheme="minorBidi"/>
      <w:sz w:val="22"/>
      <w:szCs w:val="22"/>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17">
    <w:name w:val="Table Grid11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C0975"/>
  </w:style>
  <w:style w:type="table" w:customStyle="1" w:styleId="LightShading31">
    <w:name w:val="Light Shading31"/>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7">
    <w:name w:val="Table Grid27"/>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8C09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C0975"/>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2">
    <w:name w:val="Light Shading212"/>
    <w:basedOn w:val="TableNormal"/>
    <w:next w:val="LightShading2"/>
    <w:uiPriority w:val="60"/>
    <w:rsid w:val="008C097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ocumentMapChar">
    <w:name w:val="Document Map Char"/>
    <w:basedOn w:val="DefaultParagraphFont"/>
    <w:link w:val="DocumentMap"/>
    <w:semiHidden/>
    <w:rsid w:val="00FB4D25"/>
    <w:rPr>
      <w:rFonts w:ascii="Tahoma" w:hAnsi="Tahoma" w:cs="Tahoma"/>
      <w:sz w:val="24"/>
      <w:szCs w:val="24"/>
      <w:shd w:val="clear" w:color="auto" w:fill="000080"/>
      <w:lang w:eastAsia="en-AU"/>
    </w:rPr>
  </w:style>
  <w:style w:type="character" w:customStyle="1" w:styleId="BodyTextChar">
    <w:name w:val="Body Text Char"/>
    <w:basedOn w:val="DefaultParagraphFont"/>
    <w:link w:val="BodyText"/>
    <w:rsid w:val="00FB4D25"/>
    <w:rPr>
      <w:rFonts w:ascii="Arial" w:eastAsia="SimSun" w:hAnsi="Arial" w:cs="Arial"/>
      <w:sz w:val="24"/>
      <w:szCs w:val="24"/>
      <w:lang w:eastAsia="zh-CN"/>
    </w:rPr>
  </w:style>
  <w:style w:type="character" w:customStyle="1" w:styleId="BodyText2Char">
    <w:name w:val="Body Text 2 Char"/>
    <w:basedOn w:val="DefaultParagraphFont"/>
    <w:link w:val="BodyText2"/>
    <w:rsid w:val="00FB4D25"/>
    <w:rPr>
      <w:sz w:val="22"/>
      <w:szCs w:val="24"/>
      <w:lang w:eastAsia="en-US"/>
    </w:rPr>
  </w:style>
  <w:style w:type="character" w:customStyle="1" w:styleId="BodyText3Char">
    <w:name w:val="Body Text 3 Char"/>
    <w:basedOn w:val="DefaultParagraphFont"/>
    <w:link w:val="BodyText3"/>
    <w:rsid w:val="00FB4D25"/>
    <w:rPr>
      <w:sz w:val="22"/>
      <w:szCs w:val="24"/>
      <w:lang w:eastAsia="en-US"/>
    </w:rPr>
  </w:style>
  <w:style w:type="character" w:customStyle="1" w:styleId="BodyTextIndent3Char">
    <w:name w:val="Body Text Indent 3 Char"/>
    <w:basedOn w:val="DefaultParagraphFont"/>
    <w:link w:val="BodyTextIndent3"/>
    <w:rsid w:val="00FB4D25"/>
    <w:rPr>
      <w:sz w:val="22"/>
      <w:szCs w:val="24"/>
      <w:lang w:eastAsia="en-US"/>
    </w:rPr>
  </w:style>
  <w:style w:type="character" w:customStyle="1" w:styleId="MessageHeaderChar">
    <w:name w:val="Message Header Char"/>
    <w:basedOn w:val="DefaultParagraphFont"/>
    <w:link w:val="MessageHeader"/>
    <w:rsid w:val="00FB4D25"/>
    <w:rPr>
      <w:rFonts w:ascii="Helvetica" w:hAnsi="Helvetica"/>
      <w:sz w:val="22"/>
      <w:lang w:val="en-GB" w:eastAsia="en-AU"/>
    </w:rPr>
  </w:style>
  <w:style w:type="character" w:customStyle="1" w:styleId="E-mailSignatureChar">
    <w:name w:val="E-mail Signature Char"/>
    <w:basedOn w:val="DefaultParagraphFont"/>
    <w:link w:val="E-mailSignature"/>
    <w:rsid w:val="00FB4D25"/>
    <w:rPr>
      <w:sz w:val="22"/>
      <w:szCs w:val="24"/>
      <w:lang w:eastAsia="en-AU"/>
    </w:rPr>
  </w:style>
  <w:style w:type="paragraph" w:styleId="EndnoteText">
    <w:name w:val="endnote text"/>
    <w:basedOn w:val="Normal"/>
    <w:link w:val="EndnoteTextChar"/>
    <w:rsid w:val="00C878F3"/>
    <w:rPr>
      <w:sz w:val="20"/>
      <w:szCs w:val="20"/>
    </w:rPr>
  </w:style>
  <w:style w:type="character" w:customStyle="1" w:styleId="EndnoteTextChar">
    <w:name w:val="Endnote Text Char"/>
    <w:basedOn w:val="DefaultParagraphFont"/>
    <w:link w:val="EndnoteText"/>
    <w:rsid w:val="00C878F3"/>
    <w:rPr>
      <w:lang w:eastAsia="en-AU"/>
    </w:rPr>
  </w:style>
  <w:style w:type="character" w:styleId="EndnoteReference">
    <w:name w:val="endnote reference"/>
    <w:basedOn w:val="DefaultParagraphFont"/>
    <w:rsid w:val="00C878F3"/>
    <w:rPr>
      <w:vertAlign w:val="superscript"/>
    </w:rPr>
  </w:style>
  <w:style w:type="paragraph" w:customStyle="1" w:styleId="RepNormal">
    <w:name w:val="Rep_Normal"/>
    <w:basedOn w:val="NoSpacing"/>
    <w:qFormat/>
    <w:rsid w:val="001A5DB0"/>
    <w:pPr>
      <w:tabs>
        <w:tab w:val="clear" w:pos="720"/>
      </w:tabs>
      <w:jc w:val="both"/>
    </w:pPr>
    <w:rPr>
      <w:rFonts w:ascii="Times New Roman" w:eastAsiaTheme="minorHAnsi" w:hAnsi="Times New Roman"/>
    </w:rPr>
  </w:style>
  <w:style w:type="paragraph" w:customStyle="1" w:styleId="StyleNormalWeb11ptJustified">
    <w:name w:val="Style Normal (Web) + 11 pt Justified"/>
    <w:basedOn w:val="NormalWeb"/>
    <w:rsid w:val="006438AE"/>
    <w:pPr>
      <w:spacing w:before="0" w:beforeAutospacing="0" w:after="0" w:afterAutospacing="0"/>
      <w:jc w:val="both"/>
    </w:pPr>
    <w:rPr>
      <w:szCs w:val="20"/>
    </w:rPr>
  </w:style>
  <w:style w:type="paragraph" w:customStyle="1" w:styleId="StyleNormalWeb11ptJustifiedBeforeAutoAfterAuto">
    <w:name w:val="Style Normal (Web) + 11 pt Justified Before:  Auto After:  Auto"/>
    <w:basedOn w:val="NormalWeb"/>
    <w:autoRedefine/>
    <w:rsid w:val="00BE6FF5"/>
    <w:pPr>
      <w:spacing w:before="0" w:beforeAutospacing="0" w:after="0" w:afterAutospacing="0"/>
      <w:jc w:val="both"/>
    </w:pPr>
    <w:rPr>
      <w:szCs w:val="20"/>
    </w:rPr>
  </w:style>
  <w:style w:type="character" w:customStyle="1" w:styleId="author">
    <w:name w:val="author"/>
    <w:basedOn w:val="DefaultParagraphFont"/>
    <w:rsid w:val="00642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3531">
      <w:bodyDiv w:val="1"/>
      <w:marLeft w:val="0"/>
      <w:marRight w:val="0"/>
      <w:marTop w:val="0"/>
      <w:marBottom w:val="0"/>
      <w:divBdr>
        <w:top w:val="none" w:sz="0" w:space="0" w:color="auto"/>
        <w:left w:val="none" w:sz="0" w:space="0" w:color="auto"/>
        <w:bottom w:val="none" w:sz="0" w:space="0" w:color="auto"/>
        <w:right w:val="none" w:sz="0" w:space="0" w:color="auto"/>
      </w:divBdr>
    </w:div>
    <w:div w:id="153569499">
      <w:bodyDiv w:val="1"/>
      <w:marLeft w:val="0"/>
      <w:marRight w:val="0"/>
      <w:marTop w:val="0"/>
      <w:marBottom w:val="0"/>
      <w:divBdr>
        <w:top w:val="none" w:sz="0" w:space="0" w:color="auto"/>
        <w:left w:val="none" w:sz="0" w:space="0" w:color="auto"/>
        <w:bottom w:val="none" w:sz="0" w:space="0" w:color="auto"/>
        <w:right w:val="none" w:sz="0" w:space="0" w:color="auto"/>
      </w:divBdr>
    </w:div>
    <w:div w:id="158430078">
      <w:bodyDiv w:val="1"/>
      <w:marLeft w:val="0"/>
      <w:marRight w:val="0"/>
      <w:marTop w:val="0"/>
      <w:marBottom w:val="0"/>
      <w:divBdr>
        <w:top w:val="none" w:sz="0" w:space="0" w:color="auto"/>
        <w:left w:val="none" w:sz="0" w:space="0" w:color="auto"/>
        <w:bottom w:val="none" w:sz="0" w:space="0" w:color="auto"/>
        <w:right w:val="none" w:sz="0" w:space="0" w:color="auto"/>
      </w:divBdr>
    </w:div>
    <w:div w:id="383718316">
      <w:bodyDiv w:val="1"/>
      <w:marLeft w:val="0"/>
      <w:marRight w:val="0"/>
      <w:marTop w:val="0"/>
      <w:marBottom w:val="0"/>
      <w:divBdr>
        <w:top w:val="none" w:sz="0" w:space="0" w:color="auto"/>
        <w:left w:val="none" w:sz="0" w:space="0" w:color="auto"/>
        <w:bottom w:val="none" w:sz="0" w:space="0" w:color="auto"/>
        <w:right w:val="none" w:sz="0" w:space="0" w:color="auto"/>
      </w:divBdr>
    </w:div>
    <w:div w:id="390152099">
      <w:bodyDiv w:val="1"/>
      <w:marLeft w:val="0"/>
      <w:marRight w:val="0"/>
      <w:marTop w:val="0"/>
      <w:marBottom w:val="0"/>
      <w:divBdr>
        <w:top w:val="none" w:sz="0" w:space="0" w:color="auto"/>
        <w:left w:val="none" w:sz="0" w:space="0" w:color="auto"/>
        <w:bottom w:val="none" w:sz="0" w:space="0" w:color="auto"/>
        <w:right w:val="none" w:sz="0" w:space="0" w:color="auto"/>
      </w:divBdr>
    </w:div>
    <w:div w:id="446586787">
      <w:bodyDiv w:val="1"/>
      <w:marLeft w:val="0"/>
      <w:marRight w:val="0"/>
      <w:marTop w:val="0"/>
      <w:marBottom w:val="0"/>
      <w:divBdr>
        <w:top w:val="none" w:sz="0" w:space="0" w:color="auto"/>
        <w:left w:val="none" w:sz="0" w:space="0" w:color="auto"/>
        <w:bottom w:val="none" w:sz="0" w:space="0" w:color="auto"/>
        <w:right w:val="none" w:sz="0" w:space="0" w:color="auto"/>
      </w:divBdr>
    </w:div>
    <w:div w:id="449014238">
      <w:bodyDiv w:val="1"/>
      <w:marLeft w:val="0"/>
      <w:marRight w:val="0"/>
      <w:marTop w:val="0"/>
      <w:marBottom w:val="0"/>
      <w:divBdr>
        <w:top w:val="none" w:sz="0" w:space="0" w:color="auto"/>
        <w:left w:val="none" w:sz="0" w:space="0" w:color="auto"/>
        <w:bottom w:val="none" w:sz="0" w:space="0" w:color="auto"/>
        <w:right w:val="none" w:sz="0" w:space="0" w:color="auto"/>
      </w:divBdr>
    </w:div>
    <w:div w:id="594745702">
      <w:bodyDiv w:val="1"/>
      <w:marLeft w:val="0"/>
      <w:marRight w:val="0"/>
      <w:marTop w:val="0"/>
      <w:marBottom w:val="0"/>
      <w:divBdr>
        <w:top w:val="none" w:sz="0" w:space="0" w:color="auto"/>
        <w:left w:val="none" w:sz="0" w:space="0" w:color="auto"/>
        <w:bottom w:val="none" w:sz="0" w:space="0" w:color="auto"/>
        <w:right w:val="none" w:sz="0" w:space="0" w:color="auto"/>
      </w:divBdr>
    </w:div>
    <w:div w:id="624701546">
      <w:bodyDiv w:val="1"/>
      <w:marLeft w:val="0"/>
      <w:marRight w:val="0"/>
      <w:marTop w:val="0"/>
      <w:marBottom w:val="0"/>
      <w:divBdr>
        <w:top w:val="none" w:sz="0" w:space="0" w:color="auto"/>
        <w:left w:val="none" w:sz="0" w:space="0" w:color="auto"/>
        <w:bottom w:val="none" w:sz="0" w:space="0" w:color="auto"/>
        <w:right w:val="none" w:sz="0" w:space="0" w:color="auto"/>
      </w:divBdr>
    </w:div>
    <w:div w:id="642735047">
      <w:bodyDiv w:val="1"/>
      <w:marLeft w:val="0"/>
      <w:marRight w:val="0"/>
      <w:marTop w:val="0"/>
      <w:marBottom w:val="0"/>
      <w:divBdr>
        <w:top w:val="none" w:sz="0" w:space="0" w:color="auto"/>
        <w:left w:val="none" w:sz="0" w:space="0" w:color="auto"/>
        <w:bottom w:val="none" w:sz="0" w:space="0" w:color="auto"/>
        <w:right w:val="none" w:sz="0" w:space="0" w:color="auto"/>
      </w:divBdr>
    </w:div>
    <w:div w:id="668145107">
      <w:bodyDiv w:val="1"/>
      <w:marLeft w:val="0"/>
      <w:marRight w:val="0"/>
      <w:marTop w:val="0"/>
      <w:marBottom w:val="0"/>
      <w:divBdr>
        <w:top w:val="none" w:sz="0" w:space="0" w:color="auto"/>
        <w:left w:val="none" w:sz="0" w:space="0" w:color="auto"/>
        <w:bottom w:val="none" w:sz="0" w:space="0" w:color="auto"/>
        <w:right w:val="none" w:sz="0" w:space="0" w:color="auto"/>
      </w:divBdr>
    </w:div>
    <w:div w:id="683482141">
      <w:bodyDiv w:val="1"/>
      <w:marLeft w:val="0"/>
      <w:marRight w:val="0"/>
      <w:marTop w:val="0"/>
      <w:marBottom w:val="0"/>
      <w:divBdr>
        <w:top w:val="none" w:sz="0" w:space="0" w:color="auto"/>
        <w:left w:val="none" w:sz="0" w:space="0" w:color="auto"/>
        <w:bottom w:val="none" w:sz="0" w:space="0" w:color="auto"/>
        <w:right w:val="none" w:sz="0" w:space="0" w:color="auto"/>
      </w:divBdr>
    </w:div>
    <w:div w:id="701708263">
      <w:bodyDiv w:val="1"/>
      <w:marLeft w:val="0"/>
      <w:marRight w:val="0"/>
      <w:marTop w:val="0"/>
      <w:marBottom w:val="0"/>
      <w:divBdr>
        <w:top w:val="none" w:sz="0" w:space="0" w:color="auto"/>
        <w:left w:val="none" w:sz="0" w:space="0" w:color="auto"/>
        <w:bottom w:val="none" w:sz="0" w:space="0" w:color="auto"/>
        <w:right w:val="none" w:sz="0" w:space="0" w:color="auto"/>
      </w:divBdr>
    </w:div>
    <w:div w:id="733965680">
      <w:bodyDiv w:val="1"/>
      <w:marLeft w:val="0"/>
      <w:marRight w:val="0"/>
      <w:marTop w:val="0"/>
      <w:marBottom w:val="0"/>
      <w:divBdr>
        <w:top w:val="none" w:sz="0" w:space="0" w:color="auto"/>
        <w:left w:val="none" w:sz="0" w:space="0" w:color="auto"/>
        <w:bottom w:val="none" w:sz="0" w:space="0" w:color="auto"/>
        <w:right w:val="none" w:sz="0" w:space="0" w:color="auto"/>
      </w:divBdr>
    </w:div>
    <w:div w:id="786506729">
      <w:bodyDiv w:val="1"/>
      <w:marLeft w:val="0"/>
      <w:marRight w:val="0"/>
      <w:marTop w:val="0"/>
      <w:marBottom w:val="0"/>
      <w:divBdr>
        <w:top w:val="none" w:sz="0" w:space="0" w:color="auto"/>
        <w:left w:val="none" w:sz="0" w:space="0" w:color="auto"/>
        <w:bottom w:val="none" w:sz="0" w:space="0" w:color="auto"/>
        <w:right w:val="none" w:sz="0" w:space="0" w:color="auto"/>
      </w:divBdr>
    </w:div>
    <w:div w:id="797602372">
      <w:bodyDiv w:val="1"/>
      <w:marLeft w:val="0"/>
      <w:marRight w:val="0"/>
      <w:marTop w:val="0"/>
      <w:marBottom w:val="0"/>
      <w:divBdr>
        <w:top w:val="none" w:sz="0" w:space="0" w:color="auto"/>
        <w:left w:val="none" w:sz="0" w:space="0" w:color="auto"/>
        <w:bottom w:val="none" w:sz="0" w:space="0" w:color="auto"/>
        <w:right w:val="none" w:sz="0" w:space="0" w:color="auto"/>
      </w:divBdr>
    </w:div>
    <w:div w:id="864093923">
      <w:bodyDiv w:val="1"/>
      <w:marLeft w:val="0"/>
      <w:marRight w:val="0"/>
      <w:marTop w:val="0"/>
      <w:marBottom w:val="0"/>
      <w:divBdr>
        <w:top w:val="none" w:sz="0" w:space="0" w:color="auto"/>
        <w:left w:val="none" w:sz="0" w:space="0" w:color="auto"/>
        <w:bottom w:val="none" w:sz="0" w:space="0" w:color="auto"/>
        <w:right w:val="none" w:sz="0" w:space="0" w:color="auto"/>
      </w:divBdr>
    </w:div>
    <w:div w:id="892811721">
      <w:bodyDiv w:val="1"/>
      <w:marLeft w:val="60"/>
      <w:marRight w:val="60"/>
      <w:marTop w:val="60"/>
      <w:marBottom w:val="15"/>
      <w:divBdr>
        <w:top w:val="none" w:sz="0" w:space="0" w:color="auto"/>
        <w:left w:val="none" w:sz="0" w:space="0" w:color="auto"/>
        <w:bottom w:val="none" w:sz="0" w:space="0" w:color="auto"/>
        <w:right w:val="none" w:sz="0" w:space="0" w:color="auto"/>
      </w:divBdr>
      <w:divsChild>
        <w:div w:id="18650903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4028438">
              <w:marLeft w:val="0"/>
              <w:marRight w:val="0"/>
              <w:marTop w:val="0"/>
              <w:marBottom w:val="0"/>
              <w:divBdr>
                <w:top w:val="none" w:sz="0" w:space="0" w:color="auto"/>
                <w:left w:val="none" w:sz="0" w:space="0" w:color="auto"/>
                <w:bottom w:val="none" w:sz="0" w:space="0" w:color="auto"/>
                <w:right w:val="none" w:sz="0" w:space="0" w:color="auto"/>
              </w:divBdr>
              <w:divsChild>
                <w:div w:id="1729304085">
                  <w:marLeft w:val="0"/>
                  <w:marRight w:val="0"/>
                  <w:marTop w:val="0"/>
                  <w:marBottom w:val="0"/>
                  <w:divBdr>
                    <w:top w:val="none" w:sz="0" w:space="0" w:color="auto"/>
                    <w:left w:val="none" w:sz="0" w:space="0" w:color="auto"/>
                    <w:bottom w:val="none" w:sz="0" w:space="0" w:color="auto"/>
                    <w:right w:val="none" w:sz="0" w:space="0" w:color="auto"/>
                  </w:divBdr>
                  <w:divsChild>
                    <w:div w:id="1143307485">
                      <w:marLeft w:val="0"/>
                      <w:marRight w:val="0"/>
                      <w:marTop w:val="0"/>
                      <w:marBottom w:val="0"/>
                      <w:divBdr>
                        <w:top w:val="none" w:sz="0" w:space="0" w:color="auto"/>
                        <w:left w:val="none" w:sz="0" w:space="0" w:color="auto"/>
                        <w:bottom w:val="none" w:sz="0" w:space="0" w:color="auto"/>
                        <w:right w:val="none" w:sz="0" w:space="0" w:color="auto"/>
                      </w:divBdr>
                      <w:divsChild>
                        <w:div w:id="848373417">
                          <w:marLeft w:val="0"/>
                          <w:marRight w:val="0"/>
                          <w:marTop w:val="0"/>
                          <w:marBottom w:val="0"/>
                          <w:divBdr>
                            <w:top w:val="none" w:sz="0" w:space="0" w:color="auto"/>
                            <w:left w:val="none" w:sz="0" w:space="0" w:color="auto"/>
                            <w:bottom w:val="none" w:sz="0" w:space="0" w:color="auto"/>
                            <w:right w:val="none" w:sz="0" w:space="0" w:color="auto"/>
                          </w:divBdr>
                          <w:divsChild>
                            <w:div w:id="123084812">
                              <w:marLeft w:val="0"/>
                              <w:marRight w:val="0"/>
                              <w:marTop w:val="0"/>
                              <w:marBottom w:val="0"/>
                              <w:divBdr>
                                <w:top w:val="none" w:sz="0" w:space="0" w:color="auto"/>
                                <w:left w:val="none" w:sz="0" w:space="0" w:color="auto"/>
                                <w:bottom w:val="none" w:sz="0" w:space="0" w:color="auto"/>
                                <w:right w:val="none" w:sz="0" w:space="0" w:color="auto"/>
                              </w:divBdr>
                            </w:div>
                            <w:div w:id="200553983">
                              <w:marLeft w:val="0"/>
                              <w:marRight w:val="0"/>
                              <w:marTop w:val="0"/>
                              <w:marBottom w:val="0"/>
                              <w:divBdr>
                                <w:top w:val="none" w:sz="0" w:space="0" w:color="auto"/>
                                <w:left w:val="none" w:sz="0" w:space="0" w:color="auto"/>
                                <w:bottom w:val="none" w:sz="0" w:space="0" w:color="auto"/>
                                <w:right w:val="none" w:sz="0" w:space="0" w:color="auto"/>
                              </w:divBdr>
                            </w:div>
                            <w:div w:id="658193070">
                              <w:marLeft w:val="0"/>
                              <w:marRight w:val="0"/>
                              <w:marTop w:val="0"/>
                              <w:marBottom w:val="0"/>
                              <w:divBdr>
                                <w:top w:val="none" w:sz="0" w:space="0" w:color="auto"/>
                                <w:left w:val="none" w:sz="0" w:space="0" w:color="auto"/>
                                <w:bottom w:val="none" w:sz="0" w:space="0" w:color="auto"/>
                                <w:right w:val="none" w:sz="0" w:space="0" w:color="auto"/>
                              </w:divBdr>
                            </w:div>
                            <w:div w:id="740828265">
                              <w:marLeft w:val="0"/>
                              <w:marRight w:val="0"/>
                              <w:marTop w:val="0"/>
                              <w:marBottom w:val="0"/>
                              <w:divBdr>
                                <w:top w:val="none" w:sz="0" w:space="0" w:color="auto"/>
                                <w:left w:val="none" w:sz="0" w:space="0" w:color="auto"/>
                                <w:bottom w:val="none" w:sz="0" w:space="0" w:color="auto"/>
                                <w:right w:val="none" w:sz="0" w:space="0" w:color="auto"/>
                              </w:divBdr>
                            </w:div>
                            <w:div w:id="1198351141">
                              <w:marLeft w:val="0"/>
                              <w:marRight w:val="0"/>
                              <w:marTop w:val="0"/>
                              <w:marBottom w:val="0"/>
                              <w:divBdr>
                                <w:top w:val="none" w:sz="0" w:space="0" w:color="auto"/>
                                <w:left w:val="none" w:sz="0" w:space="0" w:color="auto"/>
                                <w:bottom w:val="none" w:sz="0" w:space="0" w:color="auto"/>
                                <w:right w:val="none" w:sz="0" w:space="0" w:color="auto"/>
                              </w:divBdr>
                            </w:div>
                            <w:div w:id="1434010344">
                              <w:marLeft w:val="0"/>
                              <w:marRight w:val="0"/>
                              <w:marTop w:val="0"/>
                              <w:marBottom w:val="0"/>
                              <w:divBdr>
                                <w:top w:val="none" w:sz="0" w:space="0" w:color="auto"/>
                                <w:left w:val="none" w:sz="0" w:space="0" w:color="auto"/>
                                <w:bottom w:val="none" w:sz="0" w:space="0" w:color="auto"/>
                                <w:right w:val="none" w:sz="0" w:space="0" w:color="auto"/>
                              </w:divBdr>
                            </w:div>
                            <w:div w:id="1555123953">
                              <w:marLeft w:val="0"/>
                              <w:marRight w:val="0"/>
                              <w:marTop w:val="0"/>
                              <w:marBottom w:val="0"/>
                              <w:divBdr>
                                <w:top w:val="none" w:sz="0" w:space="0" w:color="auto"/>
                                <w:left w:val="none" w:sz="0" w:space="0" w:color="auto"/>
                                <w:bottom w:val="none" w:sz="0" w:space="0" w:color="auto"/>
                                <w:right w:val="none" w:sz="0" w:space="0" w:color="auto"/>
                              </w:divBdr>
                            </w:div>
                            <w:div w:id="19219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854944">
      <w:bodyDiv w:val="1"/>
      <w:marLeft w:val="0"/>
      <w:marRight w:val="0"/>
      <w:marTop w:val="0"/>
      <w:marBottom w:val="0"/>
      <w:divBdr>
        <w:top w:val="none" w:sz="0" w:space="0" w:color="auto"/>
        <w:left w:val="none" w:sz="0" w:space="0" w:color="auto"/>
        <w:bottom w:val="none" w:sz="0" w:space="0" w:color="auto"/>
        <w:right w:val="none" w:sz="0" w:space="0" w:color="auto"/>
      </w:divBdr>
    </w:div>
    <w:div w:id="998734734">
      <w:bodyDiv w:val="1"/>
      <w:marLeft w:val="0"/>
      <w:marRight w:val="0"/>
      <w:marTop w:val="0"/>
      <w:marBottom w:val="0"/>
      <w:divBdr>
        <w:top w:val="none" w:sz="0" w:space="0" w:color="auto"/>
        <w:left w:val="none" w:sz="0" w:space="0" w:color="auto"/>
        <w:bottom w:val="none" w:sz="0" w:space="0" w:color="auto"/>
        <w:right w:val="none" w:sz="0" w:space="0" w:color="auto"/>
      </w:divBdr>
    </w:div>
    <w:div w:id="1154445077">
      <w:bodyDiv w:val="1"/>
      <w:marLeft w:val="0"/>
      <w:marRight w:val="0"/>
      <w:marTop w:val="0"/>
      <w:marBottom w:val="0"/>
      <w:divBdr>
        <w:top w:val="none" w:sz="0" w:space="0" w:color="auto"/>
        <w:left w:val="none" w:sz="0" w:space="0" w:color="auto"/>
        <w:bottom w:val="none" w:sz="0" w:space="0" w:color="auto"/>
        <w:right w:val="none" w:sz="0" w:space="0" w:color="auto"/>
      </w:divBdr>
    </w:div>
    <w:div w:id="1192689674">
      <w:bodyDiv w:val="1"/>
      <w:marLeft w:val="0"/>
      <w:marRight w:val="0"/>
      <w:marTop w:val="0"/>
      <w:marBottom w:val="0"/>
      <w:divBdr>
        <w:top w:val="none" w:sz="0" w:space="0" w:color="auto"/>
        <w:left w:val="none" w:sz="0" w:space="0" w:color="auto"/>
        <w:bottom w:val="none" w:sz="0" w:space="0" w:color="auto"/>
        <w:right w:val="none" w:sz="0" w:space="0" w:color="auto"/>
      </w:divBdr>
    </w:div>
    <w:div w:id="1275091577">
      <w:bodyDiv w:val="1"/>
      <w:marLeft w:val="0"/>
      <w:marRight w:val="0"/>
      <w:marTop w:val="0"/>
      <w:marBottom w:val="0"/>
      <w:divBdr>
        <w:top w:val="none" w:sz="0" w:space="0" w:color="auto"/>
        <w:left w:val="none" w:sz="0" w:space="0" w:color="auto"/>
        <w:bottom w:val="none" w:sz="0" w:space="0" w:color="auto"/>
        <w:right w:val="none" w:sz="0" w:space="0" w:color="auto"/>
      </w:divBdr>
    </w:div>
    <w:div w:id="1433814915">
      <w:bodyDiv w:val="1"/>
      <w:marLeft w:val="0"/>
      <w:marRight w:val="0"/>
      <w:marTop w:val="0"/>
      <w:marBottom w:val="0"/>
      <w:divBdr>
        <w:top w:val="none" w:sz="0" w:space="0" w:color="auto"/>
        <w:left w:val="none" w:sz="0" w:space="0" w:color="auto"/>
        <w:bottom w:val="none" w:sz="0" w:space="0" w:color="auto"/>
        <w:right w:val="none" w:sz="0" w:space="0" w:color="auto"/>
      </w:divBdr>
    </w:div>
    <w:div w:id="1495950087">
      <w:bodyDiv w:val="1"/>
      <w:marLeft w:val="0"/>
      <w:marRight w:val="0"/>
      <w:marTop w:val="0"/>
      <w:marBottom w:val="0"/>
      <w:divBdr>
        <w:top w:val="none" w:sz="0" w:space="0" w:color="auto"/>
        <w:left w:val="none" w:sz="0" w:space="0" w:color="auto"/>
        <w:bottom w:val="none" w:sz="0" w:space="0" w:color="auto"/>
        <w:right w:val="none" w:sz="0" w:space="0" w:color="auto"/>
      </w:divBdr>
    </w:div>
    <w:div w:id="1501385782">
      <w:bodyDiv w:val="1"/>
      <w:marLeft w:val="0"/>
      <w:marRight w:val="0"/>
      <w:marTop w:val="0"/>
      <w:marBottom w:val="0"/>
      <w:divBdr>
        <w:top w:val="none" w:sz="0" w:space="0" w:color="auto"/>
        <w:left w:val="none" w:sz="0" w:space="0" w:color="auto"/>
        <w:bottom w:val="none" w:sz="0" w:space="0" w:color="auto"/>
        <w:right w:val="none" w:sz="0" w:space="0" w:color="auto"/>
      </w:divBdr>
    </w:div>
    <w:div w:id="1535193523">
      <w:bodyDiv w:val="1"/>
      <w:marLeft w:val="0"/>
      <w:marRight w:val="0"/>
      <w:marTop w:val="0"/>
      <w:marBottom w:val="0"/>
      <w:divBdr>
        <w:top w:val="none" w:sz="0" w:space="0" w:color="auto"/>
        <w:left w:val="none" w:sz="0" w:space="0" w:color="auto"/>
        <w:bottom w:val="none" w:sz="0" w:space="0" w:color="auto"/>
        <w:right w:val="none" w:sz="0" w:space="0" w:color="auto"/>
      </w:divBdr>
    </w:div>
    <w:div w:id="1572156921">
      <w:bodyDiv w:val="1"/>
      <w:marLeft w:val="0"/>
      <w:marRight w:val="0"/>
      <w:marTop w:val="0"/>
      <w:marBottom w:val="0"/>
      <w:divBdr>
        <w:top w:val="none" w:sz="0" w:space="0" w:color="auto"/>
        <w:left w:val="none" w:sz="0" w:space="0" w:color="auto"/>
        <w:bottom w:val="none" w:sz="0" w:space="0" w:color="auto"/>
        <w:right w:val="none" w:sz="0" w:space="0" w:color="auto"/>
      </w:divBdr>
    </w:div>
    <w:div w:id="1601254975">
      <w:bodyDiv w:val="1"/>
      <w:marLeft w:val="0"/>
      <w:marRight w:val="0"/>
      <w:marTop w:val="0"/>
      <w:marBottom w:val="0"/>
      <w:divBdr>
        <w:top w:val="none" w:sz="0" w:space="0" w:color="auto"/>
        <w:left w:val="none" w:sz="0" w:space="0" w:color="auto"/>
        <w:bottom w:val="none" w:sz="0" w:space="0" w:color="auto"/>
        <w:right w:val="none" w:sz="0" w:space="0" w:color="auto"/>
      </w:divBdr>
    </w:div>
    <w:div w:id="1620070600">
      <w:bodyDiv w:val="1"/>
      <w:marLeft w:val="0"/>
      <w:marRight w:val="0"/>
      <w:marTop w:val="0"/>
      <w:marBottom w:val="0"/>
      <w:divBdr>
        <w:top w:val="none" w:sz="0" w:space="0" w:color="auto"/>
        <w:left w:val="none" w:sz="0" w:space="0" w:color="auto"/>
        <w:bottom w:val="none" w:sz="0" w:space="0" w:color="auto"/>
        <w:right w:val="none" w:sz="0" w:space="0" w:color="auto"/>
      </w:divBdr>
    </w:div>
    <w:div w:id="1714965892">
      <w:bodyDiv w:val="1"/>
      <w:marLeft w:val="0"/>
      <w:marRight w:val="0"/>
      <w:marTop w:val="0"/>
      <w:marBottom w:val="0"/>
      <w:divBdr>
        <w:top w:val="none" w:sz="0" w:space="0" w:color="auto"/>
        <w:left w:val="none" w:sz="0" w:space="0" w:color="auto"/>
        <w:bottom w:val="none" w:sz="0" w:space="0" w:color="auto"/>
        <w:right w:val="none" w:sz="0" w:space="0" w:color="auto"/>
      </w:divBdr>
    </w:div>
    <w:div w:id="1723138616">
      <w:bodyDiv w:val="1"/>
      <w:marLeft w:val="60"/>
      <w:marRight w:val="60"/>
      <w:marTop w:val="60"/>
      <w:marBottom w:val="15"/>
      <w:divBdr>
        <w:top w:val="none" w:sz="0" w:space="0" w:color="auto"/>
        <w:left w:val="none" w:sz="0" w:space="0" w:color="auto"/>
        <w:bottom w:val="none" w:sz="0" w:space="0" w:color="auto"/>
        <w:right w:val="none" w:sz="0" w:space="0" w:color="auto"/>
      </w:divBdr>
      <w:divsChild>
        <w:div w:id="1219316420">
          <w:marLeft w:val="0"/>
          <w:marRight w:val="0"/>
          <w:marTop w:val="0"/>
          <w:marBottom w:val="0"/>
          <w:divBdr>
            <w:top w:val="none" w:sz="0" w:space="0" w:color="auto"/>
            <w:left w:val="none" w:sz="0" w:space="0" w:color="auto"/>
            <w:bottom w:val="none" w:sz="0" w:space="0" w:color="auto"/>
            <w:right w:val="none" w:sz="0" w:space="0" w:color="auto"/>
          </w:divBdr>
        </w:div>
      </w:divsChild>
    </w:div>
    <w:div w:id="1780371448">
      <w:bodyDiv w:val="1"/>
      <w:marLeft w:val="0"/>
      <w:marRight w:val="0"/>
      <w:marTop w:val="0"/>
      <w:marBottom w:val="0"/>
      <w:divBdr>
        <w:top w:val="none" w:sz="0" w:space="0" w:color="auto"/>
        <w:left w:val="none" w:sz="0" w:space="0" w:color="auto"/>
        <w:bottom w:val="none" w:sz="0" w:space="0" w:color="auto"/>
        <w:right w:val="none" w:sz="0" w:space="0" w:color="auto"/>
      </w:divBdr>
    </w:div>
    <w:div w:id="1832714911">
      <w:bodyDiv w:val="1"/>
      <w:marLeft w:val="60"/>
      <w:marRight w:val="60"/>
      <w:marTop w:val="60"/>
      <w:marBottom w:val="15"/>
      <w:divBdr>
        <w:top w:val="none" w:sz="0" w:space="0" w:color="auto"/>
        <w:left w:val="none" w:sz="0" w:space="0" w:color="auto"/>
        <w:bottom w:val="none" w:sz="0" w:space="0" w:color="auto"/>
        <w:right w:val="none" w:sz="0" w:space="0" w:color="auto"/>
      </w:divBdr>
      <w:divsChild>
        <w:div w:id="1153595483">
          <w:marLeft w:val="0"/>
          <w:marRight w:val="0"/>
          <w:marTop w:val="0"/>
          <w:marBottom w:val="0"/>
          <w:divBdr>
            <w:top w:val="none" w:sz="0" w:space="0" w:color="auto"/>
            <w:left w:val="none" w:sz="0" w:space="0" w:color="auto"/>
            <w:bottom w:val="none" w:sz="0" w:space="0" w:color="auto"/>
            <w:right w:val="none" w:sz="0" w:space="0" w:color="auto"/>
          </w:divBdr>
        </w:div>
      </w:divsChild>
    </w:div>
    <w:div w:id="1893275200">
      <w:bodyDiv w:val="1"/>
      <w:marLeft w:val="60"/>
      <w:marRight w:val="60"/>
      <w:marTop w:val="60"/>
      <w:marBottom w:val="15"/>
      <w:divBdr>
        <w:top w:val="none" w:sz="0" w:space="0" w:color="auto"/>
        <w:left w:val="none" w:sz="0" w:space="0" w:color="auto"/>
        <w:bottom w:val="none" w:sz="0" w:space="0" w:color="auto"/>
        <w:right w:val="none" w:sz="0" w:space="0" w:color="auto"/>
      </w:divBdr>
      <w:divsChild>
        <w:div w:id="1954309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0082174">
              <w:marLeft w:val="0"/>
              <w:marRight w:val="0"/>
              <w:marTop w:val="0"/>
              <w:marBottom w:val="0"/>
              <w:divBdr>
                <w:top w:val="none" w:sz="0" w:space="0" w:color="auto"/>
                <w:left w:val="none" w:sz="0" w:space="0" w:color="auto"/>
                <w:bottom w:val="none" w:sz="0" w:space="0" w:color="auto"/>
                <w:right w:val="none" w:sz="0" w:space="0" w:color="auto"/>
              </w:divBdr>
              <w:divsChild>
                <w:div w:id="1156803638">
                  <w:marLeft w:val="0"/>
                  <w:marRight w:val="0"/>
                  <w:marTop w:val="0"/>
                  <w:marBottom w:val="0"/>
                  <w:divBdr>
                    <w:top w:val="none" w:sz="0" w:space="0" w:color="auto"/>
                    <w:left w:val="none" w:sz="0" w:space="0" w:color="auto"/>
                    <w:bottom w:val="none" w:sz="0" w:space="0" w:color="auto"/>
                    <w:right w:val="none" w:sz="0" w:space="0" w:color="auto"/>
                  </w:divBdr>
                  <w:divsChild>
                    <w:div w:id="2102871397">
                      <w:marLeft w:val="0"/>
                      <w:marRight w:val="0"/>
                      <w:marTop w:val="0"/>
                      <w:marBottom w:val="0"/>
                      <w:divBdr>
                        <w:top w:val="none" w:sz="0" w:space="0" w:color="auto"/>
                        <w:left w:val="none" w:sz="0" w:space="0" w:color="auto"/>
                        <w:bottom w:val="none" w:sz="0" w:space="0" w:color="auto"/>
                        <w:right w:val="none" w:sz="0" w:space="0" w:color="auto"/>
                      </w:divBdr>
                      <w:divsChild>
                        <w:div w:id="1780642924">
                          <w:marLeft w:val="0"/>
                          <w:marRight w:val="0"/>
                          <w:marTop w:val="0"/>
                          <w:marBottom w:val="0"/>
                          <w:divBdr>
                            <w:top w:val="none" w:sz="0" w:space="0" w:color="auto"/>
                            <w:left w:val="none" w:sz="0" w:space="0" w:color="auto"/>
                            <w:bottom w:val="none" w:sz="0" w:space="0" w:color="auto"/>
                            <w:right w:val="none" w:sz="0" w:space="0" w:color="auto"/>
                          </w:divBdr>
                          <w:divsChild>
                            <w:div w:id="94639831">
                              <w:marLeft w:val="0"/>
                              <w:marRight w:val="0"/>
                              <w:marTop w:val="0"/>
                              <w:marBottom w:val="0"/>
                              <w:divBdr>
                                <w:top w:val="none" w:sz="0" w:space="0" w:color="auto"/>
                                <w:left w:val="none" w:sz="0" w:space="0" w:color="auto"/>
                                <w:bottom w:val="none" w:sz="0" w:space="0" w:color="auto"/>
                                <w:right w:val="none" w:sz="0" w:space="0" w:color="auto"/>
                              </w:divBdr>
                            </w:div>
                            <w:div w:id="221019538">
                              <w:marLeft w:val="0"/>
                              <w:marRight w:val="0"/>
                              <w:marTop w:val="0"/>
                              <w:marBottom w:val="0"/>
                              <w:divBdr>
                                <w:top w:val="none" w:sz="0" w:space="0" w:color="auto"/>
                                <w:left w:val="none" w:sz="0" w:space="0" w:color="auto"/>
                                <w:bottom w:val="none" w:sz="0" w:space="0" w:color="auto"/>
                                <w:right w:val="none" w:sz="0" w:space="0" w:color="auto"/>
                              </w:divBdr>
                            </w:div>
                            <w:div w:id="1048720082">
                              <w:marLeft w:val="0"/>
                              <w:marRight w:val="0"/>
                              <w:marTop w:val="0"/>
                              <w:marBottom w:val="0"/>
                              <w:divBdr>
                                <w:top w:val="none" w:sz="0" w:space="0" w:color="auto"/>
                                <w:left w:val="none" w:sz="0" w:space="0" w:color="auto"/>
                                <w:bottom w:val="none" w:sz="0" w:space="0" w:color="auto"/>
                                <w:right w:val="none" w:sz="0" w:space="0" w:color="auto"/>
                              </w:divBdr>
                            </w:div>
                            <w:div w:id="1109668070">
                              <w:marLeft w:val="0"/>
                              <w:marRight w:val="0"/>
                              <w:marTop w:val="0"/>
                              <w:marBottom w:val="0"/>
                              <w:divBdr>
                                <w:top w:val="none" w:sz="0" w:space="0" w:color="auto"/>
                                <w:left w:val="none" w:sz="0" w:space="0" w:color="auto"/>
                                <w:bottom w:val="none" w:sz="0" w:space="0" w:color="auto"/>
                                <w:right w:val="none" w:sz="0" w:space="0" w:color="auto"/>
                              </w:divBdr>
                            </w:div>
                            <w:div w:id="1159689846">
                              <w:marLeft w:val="0"/>
                              <w:marRight w:val="0"/>
                              <w:marTop w:val="0"/>
                              <w:marBottom w:val="0"/>
                              <w:divBdr>
                                <w:top w:val="none" w:sz="0" w:space="0" w:color="auto"/>
                                <w:left w:val="none" w:sz="0" w:space="0" w:color="auto"/>
                                <w:bottom w:val="none" w:sz="0" w:space="0" w:color="auto"/>
                                <w:right w:val="none" w:sz="0" w:space="0" w:color="auto"/>
                              </w:divBdr>
                            </w:div>
                            <w:div w:id="1205868401">
                              <w:marLeft w:val="0"/>
                              <w:marRight w:val="0"/>
                              <w:marTop w:val="0"/>
                              <w:marBottom w:val="0"/>
                              <w:divBdr>
                                <w:top w:val="none" w:sz="0" w:space="0" w:color="auto"/>
                                <w:left w:val="none" w:sz="0" w:space="0" w:color="auto"/>
                                <w:bottom w:val="none" w:sz="0" w:space="0" w:color="auto"/>
                                <w:right w:val="none" w:sz="0" w:space="0" w:color="auto"/>
                              </w:divBdr>
                            </w:div>
                            <w:div w:id="1489324165">
                              <w:marLeft w:val="0"/>
                              <w:marRight w:val="0"/>
                              <w:marTop w:val="0"/>
                              <w:marBottom w:val="0"/>
                              <w:divBdr>
                                <w:top w:val="none" w:sz="0" w:space="0" w:color="auto"/>
                                <w:left w:val="none" w:sz="0" w:space="0" w:color="auto"/>
                                <w:bottom w:val="none" w:sz="0" w:space="0" w:color="auto"/>
                                <w:right w:val="none" w:sz="0" w:space="0" w:color="auto"/>
                              </w:divBdr>
                            </w:div>
                            <w:div w:id="15707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654199">
      <w:bodyDiv w:val="1"/>
      <w:marLeft w:val="0"/>
      <w:marRight w:val="0"/>
      <w:marTop w:val="0"/>
      <w:marBottom w:val="0"/>
      <w:divBdr>
        <w:top w:val="none" w:sz="0" w:space="0" w:color="auto"/>
        <w:left w:val="none" w:sz="0" w:space="0" w:color="auto"/>
        <w:bottom w:val="none" w:sz="0" w:space="0" w:color="auto"/>
        <w:right w:val="none" w:sz="0" w:space="0" w:color="auto"/>
      </w:divBdr>
    </w:div>
    <w:div w:id="1927224499">
      <w:bodyDiv w:val="1"/>
      <w:marLeft w:val="0"/>
      <w:marRight w:val="0"/>
      <w:marTop w:val="0"/>
      <w:marBottom w:val="0"/>
      <w:divBdr>
        <w:top w:val="none" w:sz="0" w:space="0" w:color="auto"/>
        <w:left w:val="none" w:sz="0" w:space="0" w:color="auto"/>
        <w:bottom w:val="none" w:sz="0" w:space="0" w:color="auto"/>
        <w:right w:val="none" w:sz="0" w:space="0" w:color="auto"/>
      </w:divBdr>
    </w:div>
    <w:div w:id="21426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link.springer.com/search?facet-author=%22Sten+R%C3%B6nnberg%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061475-1651-4A33-BFD5-84154E8054F7}"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NZ"/>
        </a:p>
      </dgm:t>
    </dgm:pt>
    <dgm:pt modelId="{BA69FFDF-C187-4910-83D5-8F711EA9840A}">
      <dgm:prSet phldrT="[Text]" custT="1"/>
      <dgm:spPr/>
      <dgm:t>
        <a:bodyPr/>
        <a:lstStyle/>
        <a:p>
          <a:r>
            <a:rPr lang="en-NZ" sz="1000">
              <a:latin typeface="Times New Roman" panose="02020603050405020304" pitchFamily="18" charset="0"/>
              <a:cs typeface="Times New Roman" panose="02020603050405020304" pitchFamily="18" charset="0"/>
            </a:rPr>
            <a:t>Wave 1 (2012)</a:t>
          </a:r>
          <a:br>
            <a:rPr lang="en-NZ" sz="1000">
              <a:latin typeface="Times New Roman" panose="02020603050405020304" pitchFamily="18" charset="0"/>
              <a:cs typeface="Times New Roman" panose="02020603050405020304" pitchFamily="18" charset="0"/>
            </a:rPr>
          </a:br>
          <a:r>
            <a:rPr lang="en-NZ" sz="1000">
              <a:latin typeface="Times New Roman" panose="02020603050405020304" pitchFamily="18" charset="0"/>
              <a:cs typeface="Times New Roman" panose="02020603050405020304" pitchFamily="18" charset="0"/>
            </a:rPr>
            <a:t>N=6,251</a:t>
          </a:r>
        </a:p>
      </dgm:t>
    </dgm:pt>
    <dgm:pt modelId="{77C2EC55-9A25-44AE-894E-99874F239853}" type="parTrans" cxnId="{C4CBE4A1-9A50-4D92-8DB7-FD8357BC25DE}">
      <dgm:prSet/>
      <dgm:spPr/>
      <dgm:t>
        <a:bodyPr/>
        <a:lstStyle/>
        <a:p>
          <a:endParaRPr lang="en-NZ"/>
        </a:p>
      </dgm:t>
    </dgm:pt>
    <dgm:pt modelId="{A19CCE10-D973-4A09-9B96-46E7CDF8F53D}" type="sibTrans" cxnId="{C4CBE4A1-9A50-4D92-8DB7-FD8357BC25DE}">
      <dgm:prSet/>
      <dgm:spPr/>
      <dgm:t>
        <a:bodyPr/>
        <a:lstStyle/>
        <a:p>
          <a:endParaRPr lang="en-NZ"/>
        </a:p>
      </dgm:t>
    </dgm:pt>
    <dgm:pt modelId="{BAB6794D-C726-4073-B759-367810773B06}">
      <dgm:prSet phldrT="[Text]" custT="1"/>
      <dgm:spPr/>
      <dgm:t>
        <a:bodyPr/>
        <a:lstStyle/>
        <a:p>
          <a:r>
            <a:rPr lang="en-NZ" sz="1000">
              <a:latin typeface="Times New Roman" panose="02020603050405020304" pitchFamily="18" charset="0"/>
              <a:cs typeface="Times New Roman" panose="02020603050405020304" pitchFamily="18" charset="0"/>
            </a:rPr>
            <a:t>Attempted 12-month follow-up (2013)</a:t>
          </a:r>
          <a:br>
            <a:rPr lang="en-NZ" sz="1000">
              <a:latin typeface="Times New Roman" panose="02020603050405020304" pitchFamily="18" charset="0"/>
              <a:cs typeface="Times New Roman" panose="02020603050405020304" pitchFamily="18" charset="0"/>
            </a:rPr>
          </a:br>
          <a:r>
            <a:rPr lang="en-NZ" sz="1000">
              <a:latin typeface="Times New Roman" panose="02020603050405020304" pitchFamily="18" charset="0"/>
              <a:cs typeface="Times New Roman" panose="02020603050405020304" pitchFamily="18" charset="0"/>
            </a:rPr>
            <a:t>n=5,266</a:t>
          </a:r>
          <a:endParaRPr lang="en-NZ" sz="1000"/>
        </a:p>
      </dgm:t>
    </dgm:pt>
    <dgm:pt modelId="{4515A47F-1C66-4D83-9940-D2DFE80F8F55}" type="parTrans" cxnId="{A69FA10B-2773-4984-A398-91D1A594DD31}">
      <dgm:prSet/>
      <dgm:spPr/>
      <dgm:t>
        <a:bodyPr/>
        <a:lstStyle/>
        <a:p>
          <a:endParaRPr lang="en-NZ"/>
        </a:p>
      </dgm:t>
    </dgm:pt>
    <dgm:pt modelId="{CC479BE9-4760-4415-9496-8D91FDBD5EEE}" type="sibTrans" cxnId="{A69FA10B-2773-4984-A398-91D1A594DD31}">
      <dgm:prSet/>
      <dgm:spPr/>
      <dgm:t>
        <a:bodyPr/>
        <a:lstStyle/>
        <a:p>
          <a:endParaRPr lang="en-NZ"/>
        </a:p>
      </dgm:t>
    </dgm:pt>
    <dgm:pt modelId="{FEA0CC71-AAFA-43E9-9A0A-5E019CD71A36}">
      <dgm:prSet phldrT="[Text]" custT="1"/>
      <dgm:spPr/>
      <dgm:t>
        <a:bodyPr/>
        <a:lstStyle/>
        <a:p>
          <a:r>
            <a:rPr lang="en-NZ" sz="1000">
              <a:latin typeface="Times New Roman" panose="02020603050405020304" pitchFamily="18" charset="0"/>
              <a:cs typeface="Times New Roman" panose="02020603050405020304" pitchFamily="18" charset="0"/>
            </a:rPr>
            <a:t>Wave 2 participated</a:t>
          </a:r>
          <a:br>
            <a:rPr lang="en-NZ" sz="1000">
              <a:latin typeface="Times New Roman" panose="02020603050405020304" pitchFamily="18" charset="0"/>
              <a:cs typeface="Times New Roman" panose="02020603050405020304" pitchFamily="18" charset="0"/>
            </a:rPr>
          </a:br>
          <a:r>
            <a:rPr lang="en-NZ" sz="1000">
              <a:latin typeface="Times New Roman" panose="02020603050405020304" pitchFamily="18" charset="0"/>
              <a:cs typeface="Times New Roman" panose="02020603050405020304" pitchFamily="18" charset="0"/>
            </a:rPr>
            <a:t>n=3,745</a:t>
          </a:r>
        </a:p>
      </dgm:t>
    </dgm:pt>
    <dgm:pt modelId="{0E2F92F1-B9DD-43E5-9BC1-67E42868F7CC}" type="parTrans" cxnId="{0E3C4C01-E70E-46CE-BE42-9ADE70F35AB8}">
      <dgm:prSet/>
      <dgm:spPr/>
      <dgm:t>
        <a:bodyPr/>
        <a:lstStyle/>
        <a:p>
          <a:endParaRPr lang="en-NZ"/>
        </a:p>
      </dgm:t>
    </dgm:pt>
    <dgm:pt modelId="{AE1D05FB-0CB8-4D5E-B57C-1C715F4FDAF4}" type="sibTrans" cxnId="{0E3C4C01-E70E-46CE-BE42-9ADE70F35AB8}">
      <dgm:prSet/>
      <dgm:spPr/>
      <dgm:t>
        <a:bodyPr/>
        <a:lstStyle/>
        <a:p>
          <a:endParaRPr lang="en-NZ"/>
        </a:p>
      </dgm:t>
    </dgm:pt>
    <dgm:pt modelId="{334E378E-8261-44AD-8B2B-8855171CB940}">
      <dgm:prSet phldrT="[Text]" custT="1"/>
      <dgm:spPr/>
      <dgm:t>
        <a:bodyPr/>
        <a:lstStyle/>
        <a:p>
          <a:r>
            <a:rPr lang="en-NZ" sz="1000">
              <a:latin typeface="Times New Roman" panose="02020603050405020304" pitchFamily="18" charset="0"/>
              <a:cs typeface="Times New Roman" panose="02020603050405020304" pitchFamily="18" charset="0"/>
            </a:rPr>
            <a:t>Wave 2 did not participate</a:t>
          </a:r>
          <a:br>
            <a:rPr lang="en-NZ" sz="1000">
              <a:latin typeface="Times New Roman" panose="02020603050405020304" pitchFamily="18" charset="0"/>
              <a:cs typeface="Times New Roman" panose="02020603050405020304" pitchFamily="18" charset="0"/>
            </a:rPr>
          </a:br>
          <a:r>
            <a:rPr lang="en-NZ" sz="1000">
              <a:latin typeface="Times New Roman" panose="02020603050405020304" pitchFamily="18" charset="0"/>
              <a:cs typeface="Times New Roman" panose="02020603050405020304" pitchFamily="18" charset="0"/>
            </a:rPr>
            <a:t>n=1,521</a:t>
          </a:r>
          <a:endParaRPr lang="en-NZ" sz="1000"/>
        </a:p>
      </dgm:t>
    </dgm:pt>
    <dgm:pt modelId="{90985EE0-E0F1-458A-8E2A-C6EB4D8A8AEF}" type="parTrans" cxnId="{07CB43E1-A598-46E2-8A91-522069247AD1}">
      <dgm:prSet/>
      <dgm:spPr/>
      <dgm:t>
        <a:bodyPr/>
        <a:lstStyle/>
        <a:p>
          <a:endParaRPr lang="en-NZ"/>
        </a:p>
      </dgm:t>
    </dgm:pt>
    <dgm:pt modelId="{F51497DB-1D1C-49B7-84C0-834D22348465}" type="sibTrans" cxnId="{07CB43E1-A598-46E2-8A91-522069247AD1}">
      <dgm:prSet/>
      <dgm:spPr/>
      <dgm:t>
        <a:bodyPr/>
        <a:lstStyle/>
        <a:p>
          <a:endParaRPr lang="en-NZ"/>
        </a:p>
      </dgm:t>
    </dgm:pt>
    <dgm:pt modelId="{8306FAA1-8A6D-4808-86AE-F88F0217615B}">
      <dgm:prSet phldrT="[Text]" custT="1"/>
      <dgm:spPr/>
      <dgm:t>
        <a:bodyPr/>
        <a:lstStyle/>
        <a:p>
          <a:r>
            <a:rPr lang="en-NZ" sz="1000">
              <a:latin typeface="Times New Roman" panose="02020603050405020304" pitchFamily="18" charset="0"/>
              <a:cs typeface="Times New Roman" panose="02020603050405020304" pitchFamily="18" charset="0"/>
            </a:rPr>
            <a:t>No 12-month follow-up attempt (2013)</a:t>
          </a:r>
          <a:br>
            <a:rPr lang="en-NZ" sz="1000">
              <a:latin typeface="Times New Roman" panose="02020603050405020304" pitchFamily="18" charset="0"/>
              <a:cs typeface="Times New Roman" panose="02020603050405020304" pitchFamily="18" charset="0"/>
            </a:rPr>
          </a:br>
          <a:r>
            <a:rPr lang="en-NZ" sz="1000">
              <a:latin typeface="Times New Roman" panose="02020603050405020304" pitchFamily="18" charset="0"/>
              <a:cs typeface="Times New Roman" panose="02020603050405020304" pitchFamily="18" charset="0"/>
            </a:rPr>
            <a:t>n=985</a:t>
          </a:r>
          <a:endParaRPr lang="en-NZ" sz="1000"/>
        </a:p>
      </dgm:t>
    </dgm:pt>
    <dgm:pt modelId="{01AA94B9-E8D8-46F5-AEFF-AA8459EAC403}" type="parTrans" cxnId="{B9C42F6E-ECEE-40A8-84FE-714FBC9AD234}">
      <dgm:prSet/>
      <dgm:spPr/>
      <dgm:t>
        <a:bodyPr/>
        <a:lstStyle/>
        <a:p>
          <a:endParaRPr lang="en-NZ"/>
        </a:p>
      </dgm:t>
    </dgm:pt>
    <dgm:pt modelId="{84F7118D-BFAD-4358-817B-A77790C80E5B}" type="sibTrans" cxnId="{B9C42F6E-ECEE-40A8-84FE-714FBC9AD234}">
      <dgm:prSet/>
      <dgm:spPr/>
      <dgm:t>
        <a:bodyPr/>
        <a:lstStyle/>
        <a:p>
          <a:endParaRPr lang="en-NZ"/>
        </a:p>
      </dgm:t>
    </dgm:pt>
    <dgm:pt modelId="{59E73F3F-0AA0-4A4F-80A6-DD5364526AAE}" type="pres">
      <dgm:prSet presAssocID="{9E061475-1651-4A33-BFD5-84154E8054F7}" presName="hierChild1" presStyleCnt="0">
        <dgm:presLayoutVars>
          <dgm:chPref val="1"/>
          <dgm:dir/>
          <dgm:animOne val="branch"/>
          <dgm:animLvl val="lvl"/>
          <dgm:resizeHandles/>
        </dgm:presLayoutVars>
      </dgm:prSet>
      <dgm:spPr/>
      <dgm:t>
        <a:bodyPr/>
        <a:lstStyle/>
        <a:p>
          <a:endParaRPr lang="en-NZ"/>
        </a:p>
      </dgm:t>
    </dgm:pt>
    <dgm:pt modelId="{A1939951-90C6-4C9F-9FD0-CCC823A17975}" type="pres">
      <dgm:prSet presAssocID="{BA69FFDF-C187-4910-83D5-8F711EA9840A}" presName="hierRoot1" presStyleCnt="0"/>
      <dgm:spPr/>
    </dgm:pt>
    <dgm:pt modelId="{8B13DEC7-B5ED-4409-A64F-87454EE2318F}" type="pres">
      <dgm:prSet presAssocID="{BA69FFDF-C187-4910-83D5-8F711EA9840A}" presName="composite" presStyleCnt="0"/>
      <dgm:spPr/>
    </dgm:pt>
    <dgm:pt modelId="{3E31F0AE-A7F7-4371-BF25-812D39A77634}" type="pres">
      <dgm:prSet presAssocID="{BA69FFDF-C187-4910-83D5-8F711EA9840A}" presName="background" presStyleLbl="node0" presStyleIdx="0" presStyleCnt="1"/>
      <dgm:spPr/>
    </dgm:pt>
    <dgm:pt modelId="{C79424BE-A4DA-4635-A31A-BC33E9943707}" type="pres">
      <dgm:prSet presAssocID="{BA69FFDF-C187-4910-83D5-8F711EA9840A}" presName="text" presStyleLbl="fgAcc0" presStyleIdx="0" presStyleCnt="1" custScaleX="124585">
        <dgm:presLayoutVars>
          <dgm:chPref val="3"/>
        </dgm:presLayoutVars>
      </dgm:prSet>
      <dgm:spPr/>
      <dgm:t>
        <a:bodyPr/>
        <a:lstStyle/>
        <a:p>
          <a:endParaRPr lang="en-NZ"/>
        </a:p>
      </dgm:t>
    </dgm:pt>
    <dgm:pt modelId="{6892D176-AABA-443A-9615-429C61577ABD}" type="pres">
      <dgm:prSet presAssocID="{BA69FFDF-C187-4910-83D5-8F711EA9840A}" presName="hierChild2" presStyleCnt="0"/>
      <dgm:spPr/>
    </dgm:pt>
    <dgm:pt modelId="{C748244C-68B7-40E3-B99B-2942B76EDFFA}" type="pres">
      <dgm:prSet presAssocID="{4515A47F-1C66-4D83-9940-D2DFE80F8F55}" presName="Name10" presStyleLbl="parChTrans1D2" presStyleIdx="0" presStyleCnt="2"/>
      <dgm:spPr/>
      <dgm:t>
        <a:bodyPr/>
        <a:lstStyle/>
        <a:p>
          <a:endParaRPr lang="en-NZ"/>
        </a:p>
      </dgm:t>
    </dgm:pt>
    <dgm:pt modelId="{83C85942-066B-465F-8B9E-0D88B08B916A}" type="pres">
      <dgm:prSet presAssocID="{BAB6794D-C726-4073-B759-367810773B06}" presName="hierRoot2" presStyleCnt="0"/>
      <dgm:spPr/>
    </dgm:pt>
    <dgm:pt modelId="{6576735E-DBC4-47D5-AFAB-E2454289B42C}" type="pres">
      <dgm:prSet presAssocID="{BAB6794D-C726-4073-B759-367810773B06}" presName="composite2" presStyleCnt="0"/>
      <dgm:spPr/>
    </dgm:pt>
    <dgm:pt modelId="{3D65ED3A-B151-43A2-A752-002C8A168CFC}" type="pres">
      <dgm:prSet presAssocID="{BAB6794D-C726-4073-B759-367810773B06}" presName="background2" presStyleLbl="node2" presStyleIdx="0" presStyleCnt="2"/>
      <dgm:spPr/>
    </dgm:pt>
    <dgm:pt modelId="{815660CF-05CC-4753-B5A7-142AC5D2B10E}" type="pres">
      <dgm:prSet presAssocID="{BAB6794D-C726-4073-B759-367810773B06}" presName="text2" presStyleLbl="fgAcc2" presStyleIdx="0" presStyleCnt="2" custScaleX="196481">
        <dgm:presLayoutVars>
          <dgm:chPref val="3"/>
        </dgm:presLayoutVars>
      </dgm:prSet>
      <dgm:spPr/>
      <dgm:t>
        <a:bodyPr/>
        <a:lstStyle/>
        <a:p>
          <a:endParaRPr lang="en-NZ"/>
        </a:p>
      </dgm:t>
    </dgm:pt>
    <dgm:pt modelId="{0C8E4109-5AAB-4C71-9457-948E4C739CE2}" type="pres">
      <dgm:prSet presAssocID="{BAB6794D-C726-4073-B759-367810773B06}" presName="hierChild3" presStyleCnt="0"/>
      <dgm:spPr/>
    </dgm:pt>
    <dgm:pt modelId="{A1389E9E-0080-498D-B021-02F49F42521F}" type="pres">
      <dgm:prSet presAssocID="{0E2F92F1-B9DD-43E5-9BC1-67E42868F7CC}" presName="Name17" presStyleLbl="parChTrans1D3" presStyleIdx="0" presStyleCnt="2"/>
      <dgm:spPr/>
      <dgm:t>
        <a:bodyPr/>
        <a:lstStyle/>
        <a:p>
          <a:endParaRPr lang="en-NZ"/>
        </a:p>
      </dgm:t>
    </dgm:pt>
    <dgm:pt modelId="{CDB09409-AFFC-42DF-99DE-8EBE3F82AED2}" type="pres">
      <dgm:prSet presAssocID="{FEA0CC71-AAFA-43E9-9A0A-5E019CD71A36}" presName="hierRoot3" presStyleCnt="0"/>
      <dgm:spPr/>
    </dgm:pt>
    <dgm:pt modelId="{BFD998C4-DB64-43B7-BEF8-CCBFB4DFD7AD}" type="pres">
      <dgm:prSet presAssocID="{FEA0CC71-AAFA-43E9-9A0A-5E019CD71A36}" presName="composite3" presStyleCnt="0"/>
      <dgm:spPr/>
    </dgm:pt>
    <dgm:pt modelId="{3BA1548D-BAFB-4F56-80BD-E6526097EA7C}" type="pres">
      <dgm:prSet presAssocID="{FEA0CC71-AAFA-43E9-9A0A-5E019CD71A36}" presName="background3" presStyleLbl="node3" presStyleIdx="0" presStyleCnt="2"/>
      <dgm:spPr/>
    </dgm:pt>
    <dgm:pt modelId="{279A6EAB-9CFE-4E86-A6FA-CBA37414B21A}" type="pres">
      <dgm:prSet presAssocID="{FEA0CC71-AAFA-43E9-9A0A-5E019CD71A36}" presName="text3" presStyleLbl="fgAcc3" presStyleIdx="0" presStyleCnt="2">
        <dgm:presLayoutVars>
          <dgm:chPref val="3"/>
        </dgm:presLayoutVars>
      </dgm:prSet>
      <dgm:spPr/>
      <dgm:t>
        <a:bodyPr/>
        <a:lstStyle/>
        <a:p>
          <a:endParaRPr lang="en-NZ"/>
        </a:p>
      </dgm:t>
    </dgm:pt>
    <dgm:pt modelId="{BA0DD177-D377-49F7-B79D-A881F59A43A4}" type="pres">
      <dgm:prSet presAssocID="{FEA0CC71-AAFA-43E9-9A0A-5E019CD71A36}" presName="hierChild4" presStyleCnt="0"/>
      <dgm:spPr/>
    </dgm:pt>
    <dgm:pt modelId="{F45B2BB1-ED5F-403D-8612-E4F8278C76DA}" type="pres">
      <dgm:prSet presAssocID="{90985EE0-E0F1-458A-8E2A-C6EB4D8A8AEF}" presName="Name17" presStyleLbl="parChTrans1D3" presStyleIdx="1" presStyleCnt="2"/>
      <dgm:spPr/>
      <dgm:t>
        <a:bodyPr/>
        <a:lstStyle/>
        <a:p>
          <a:endParaRPr lang="en-NZ"/>
        </a:p>
      </dgm:t>
    </dgm:pt>
    <dgm:pt modelId="{45C1F80B-1F9C-407D-8B56-432B95074E03}" type="pres">
      <dgm:prSet presAssocID="{334E378E-8261-44AD-8B2B-8855171CB940}" presName="hierRoot3" presStyleCnt="0"/>
      <dgm:spPr/>
    </dgm:pt>
    <dgm:pt modelId="{D6CA0579-C0E0-410C-862F-3CD11BEE9C69}" type="pres">
      <dgm:prSet presAssocID="{334E378E-8261-44AD-8B2B-8855171CB940}" presName="composite3" presStyleCnt="0"/>
      <dgm:spPr/>
    </dgm:pt>
    <dgm:pt modelId="{5B43D512-11C6-4987-B069-396E6F1D7655}" type="pres">
      <dgm:prSet presAssocID="{334E378E-8261-44AD-8B2B-8855171CB940}" presName="background3" presStyleLbl="node3" presStyleIdx="1" presStyleCnt="2"/>
      <dgm:spPr>
        <a:solidFill>
          <a:schemeClr val="accent3">
            <a:lumMod val="20000"/>
            <a:lumOff val="80000"/>
          </a:schemeClr>
        </a:solidFill>
      </dgm:spPr>
    </dgm:pt>
    <dgm:pt modelId="{B1C7155C-30BF-4C37-AC30-D84C81D7DA14}" type="pres">
      <dgm:prSet presAssocID="{334E378E-8261-44AD-8B2B-8855171CB940}" presName="text3" presStyleLbl="fgAcc3" presStyleIdx="1" presStyleCnt="2" custScaleX="128542">
        <dgm:presLayoutVars>
          <dgm:chPref val="3"/>
        </dgm:presLayoutVars>
      </dgm:prSet>
      <dgm:spPr/>
      <dgm:t>
        <a:bodyPr/>
        <a:lstStyle/>
        <a:p>
          <a:endParaRPr lang="en-NZ"/>
        </a:p>
      </dgm:t>
    </dgm:pt>
    <dgm:pt modelId="{5AEC012A-082D-4C9C-B5A8-E8310547440A}" type="pres">
      <dgm:prSet presAssocID="{334E378E-8261-44AD-8B2B-8855171CB940}" presName="hierChild4" presStyleCnt="0"/>
      <dgm:spPr/>
    </dgm:pt>
    <dgm:pt modelId="{4756EF0C-A976-4EE6-80C6-CFB71AA01F6F}" type="pres">
      <dgm:prSet presAssocID="{01AA94B9-E8D8-46F5-AEFF-AA8459EAC403}" presName="Name10" presStyleLbl="parChTrans1D2" presStyleIdx="1" presStyleCnt="2"/>
      <dgm:spPr/>
      <dgm:t>
        <a:bodyPr/>
        <a:lstStyle/>
        <a:p>
          <a:endParaRPr lang="en-NZ"/>
        </a:p>
      </dgm:t>
    </dgm:pt>
    <dgm:pt modelId="{18A0470E-68D2-4795-86AF-0C23D7C43421}" type="pres">
      <dgm:prSet presAssocID="{8306FAA1-8A6D-4808-86AE-F88F0217615B}" presName="hierRoot2" presStyleCnt="0"/>
      <dgm:spPr/>
    </dgm:pt>
    <dgm:pt modelId="{7BAEC48E-FE59-42BC-A380-4E07C986D53B}" type="pres">
      <dgm:prSet presAssocID="{8306FAA1-8A6D-4808-86AE-F88F0217615B}" presName="composite2" presStyleCnt="0"/>
      <dgm:spPr/>
    </dgm:pt>
    <dgm:pt modelId="{A44FD781-AF0E-4916-B21A-27D8AA4C8A0F}" type="pres">
      <dgm:prSet presAssocID="{8306FAA1-8A6D-4808-86AE-F88F0217615B}" presName="background2" presStyleLbl="node2" presStyleIdx="1" presStyleCnt="2"/>
      <dgm:spPr>
        <a:solidFill>
          <a:schemeClr val="accent2">
            <a:lumMod val="20000"/>
            <a:lumOff val="80000"/>
          </a:schemeClr>
        </a:solidFill>
      </dgm:spPr>
    </dgm:pt>
    <dgm:pt modelId="{2D55AF5B-DEB2-4476-A29B-D78969CFF3AF}" type="pres">
      <dgm:prSet presAssocID="{8306FAA1-8A6D-4808-86AE-F88F0217615B}" presName="text2" presStyleLbl="fgAcc2" presStyleIdx="1" presStyleCnt="2" custScaleX="188889">
        <dgm:presLayoutVars>
          <dgm:chPref val="3"/>
        </dgm:presLayoutVars>
      </dgm:prSet>
      <dgm:spPr/>
      <dgm:t>
        <a:bodyPr/>
        <a:lstStyle/>
        <a:p>
          <a:endParaRPr lang="en-NZ"/>
        </a:p>
      </dgm:t>
    </dgm:pt>
    <dgm:pt modelId="{BB8C85E2-67D9-49A7-BBA2-19A39DBB105C}" type="pres">
      <dgm:prSet presAssocID="{8306FAA1-8A6D-4808-86AE-F88F0217615B}" presName="hierChild3" presStyleCnt="0"/>
      <dgm:spPr/>
    </dgm:pt>
  </dgm:ptLst>
  <dgm:cxnLst>
    <dgm:cxn modelId="{0E3C4C01-E70E-46CE-BE42-9ADE70F35AB8}" srcId="{BAB6794D-C726-4073-B759-367810773B06}" destId="{FEA0CC71-AAFA-43E9-9A0A-5E019CD71A36}" srcOrd="0" destOrd="0" parTransId="{0E2F92F1-B9DD-43E5-9BC1-67E42868F7CC}" sibTransId="{AE1D05FB-0CB8-4D5E-B57C-1C715F4FDAF4}"/>
    <dgm:cxn modelId="{56F7B5C1-AF78-42DE-8D79-61501669CFC1}" type="presOf" srcId="{8306FAA1-8A6D-4808-86AE-F88F0217615B}" destId="{2D55AF5B-DEB2-4476-A29B-D78969CFF3AF}" srcOrd="0" destOrd="0" presId="urn:microsoft.com/office/officeart/2005/8/layout/hierarchy1"/>
    <dgm:cxn modelId="{C4CBE4A1-9A50-4D92-8DB7-FD8357BC25DE}" srcId="{9E061475-1651-4A33-BFD5-84154E8054F7}" destId="{BA69FFDF-C187-4910-83D5-8F711EA9840A}" srcOrd="0" destOrd="0" parTransId="{77C2EC55-9A25-44AE-894E-99874F239853}" sibTransId="{A19CCE10-D973-4A09-9B96-46E7CDF8F53D}"/>
    <dgm:cxn modelId="{B7B504B0-7F94-4CA0-A2A8-C7F2229BA55D}" type="presOf" srcId="{9E061475-1651-4A33-BFD5-84154E8054F7}" destId="{59E73F3F-0AA0-4A4F-80A6-DD5364526AAE}" srcOrd="0" destOrd="0" presId="urn:microsoft.com/office/officeart/2005/8/layout/hierarchy1"/>
    <dgm:cxn modelId="{07CB43E1-A598-46E2-8A91-522069247AD1}" srcId="{BAB6794D-C726-4073-B759-367810773B06}" destId="{334E378E-8261-44AD-8B2B-8855171CB940}" srcOrd="1" destOrd="0" parTransId="{90985EE0-E0F1-458A-8E2A-C6EB4D8A8AEF}" sibTransId="{F51497DB-1D1C-49B7-84C0-834D22348465}"/>
    <dgm:cxn modelId="{EA63FBDA-0CC1-4E51-9BD3-ABF4B0055AC2}" type="presOf" srcId="{0E2F92F1-B9DD-43E5-9BC1-67E42868F7CC}" destId="{A1389E9E-0080-498D-B021-02F49F42521F}" srcOrd="0" destOrd="0" presId="urn:microsoft.com/office/officeart/2005/8/layout/hierarchy1"/>
    <dgm:cxn modelId="{B9C42F6E-ECEE-40A8-84FE-714FBC9AD234}" srcId="{BA69FFDF-C187-4910-83D5-8F711EA9840A}" destId="{8306FAA1-8A6D-4808-86AE-F88F0217615B}" srcOrd="1" destOrd="0" parTransId="{01AA94B9-E8D8-46F5-AEFF-AA8459EAC403}" sibTransId="{84F7118D-BFAD-4358-817B-A77790C80E5B}"/>
    <dgm:cxn modelId="{06A08059-BE18-443E-86CC-B07774BBBBDF}" type="presOf" srcId="{BAB6794D-C726-4073-B759-367810773B06}" destId="{815660CF-05CC-4753-B5A7-142AC5D2B10E}" srcOrd="0" destOrd="0" presId="urn:microsoft.com/office/officeart/2005/8/layout/hierarchy1"/>
    <dgm:cxn modelId="{37834790-DA7A-4478-A6B0-5802F030493D}" type="presOf" srcId="{FEA0CC71-AAFA-43E9-9A0A-5E019CD71A36}" destId="{279A6EAB-9CFE-4E86-A6FA-CBA37414B21A}" srcOrd="0" destOrd="0" presId="urn:microsoft.com/office/officeart/2005/8/layout/hierarchy1"/>
    <dgm:cxn modelId="{2BDB2B0B-59AC-4267-B49A-4CD49587DFF4}" type="presOf" srcId="{334E378E-8261-44AD-8B2B-8855171CB940}" destId="{B1C7155C-30BF-4C37-AC30-D84C81D7DA14}" srcOrd="0" destOrd="0" presId="urn:microsoft.com/office/officeart/2005/8/layout/hierarchy1"/>
    <dgm:cxn modelId="{4BDD7129-287E-42F5-9C1B-7C3B9A8676D3}" type="presOf" srcId="{4515A47F-1C66-4D83-9940-D2DFE80F8F55}" destId="{C748244C-68B7-40E3-B99B-2942B76EDFFA}" srcOrd="0" destOrd="0" presId="urn:microsoft.com/office/officeart/2005/8/layout/hierarchy1"/>
    <dgm:cxn modelId="{9251B028-D6B8-4FB0-AC68-B649DA7B550A}" type="presOf" srcId="{90985EE0-E0F1-458A-8E2A-C6EB4D8A8AEF}" destId="{F45B2BB1-ED5F-403D-8612-E4F8278C76DA}" srcOrd="0" destOrd="0" presId="urn:microsoft.com/office/officeart/2005/8/layout/hierarchy1"/>
    <dgm:cxn modelId="{8A99979F-C586-43AE-8EC7-CBDACE7CCD46}" type="presOf" srcId="{BA69FFDF-C187-4910-83D5-8F711EA9840A}" destId="{C79424BE-A4DA-4635-A31A-BC33E9943707}" srcOrd="0" destOrd="0" presId="urn:microsoft.com/office/officeart/2005/8/layout/hierarchy1"/>
    <dgm:cxn modelId="{FE1C6D56-6B95-4B2E-83EA-A2DF2F212885}" type="presOf" srcId="{01AA94B9-E8D8-46F5-AEFF-AA8459EAC403}" destId="{4756EF0C-A976-4EE6-80C6-CFB71AA01F6F}" srcOrd="0" destOrd="0" presId="urn:microsoft.com/office/officeart/2005/8/layout/hierarchy1"/>
    <dgm:cxn modelId="{A69FA10B-2773-4984-A398-91D1A594DD31}" srcId="{BA69FFDF-C187-4910-83D5-8F711EA9840A}" destId="{BAB6794D-C726-4073-B759-367810773B06}" srcOrd="0" destOrd="0" parTransId="{4515A47F-1C66-4D83-9940-D2DFE80F8F55}" sibTransId="{CC479BE9-4760-4415-9496-8D91FDBD5EEE}"/>
    <dgm:cxn modelId="{F727443F-7EE4-451A-B05E-862AA07C9B7D}" type="presParOf" srcId="{59E73F3F-0AA0-4A4F-80A6-DD5364526AAE}" destId="{A1939951-90C6-4C9F-9FD0-CCC823A17975}" srcOrd="0" destOrd="0" presId="urn:microsoft.com/office/officeart/2005/8/layout/hierarchy1"/>
    <dgm:cxn modelId="{BA57BB2D-7A5A-4D2B-B7BB-793C325F608F}" type="presParOf" srcId="{A1939951-90C6-4C9F-9FD0-CCC823A17975}" destId="{8B13DEC7-B5ED-4409-A64F-87454EE2318F}" srcOrd="0" destOrd="0" presId="urn:microsoft.com/office/officeart/2005/8/layout/hierarchy1"/>
    <dgm:cxn modelId="{E6E57731-DBA1-4B09-82CD-6F6133158120}" type="presParOf" srcId="{8B13DEC7-B5ED-4409-A64F-87454EE2318F}" destId="{3E31F0AE-A7F7-4371-BF25-812D39A77634}" srcOrd="0" destOrd="0" presId="urn:microsoft.com/office/officeart/2005/8/layout/hierarchy1"/>
    <dgm:cxn modelId="{6C90C24C-00B5-4DAB-A435-A68388A40BFE}" type="presParOf" srcId="{8B13DEC7-B5ED-4409-A64F-87454EE2318F}" destId="{C79424BE-A4DA-4635-A31A-BC33E9943707}" srcOrd="1" destOrd="0" presId="urn:microsoft.com/office/officeart/2005/8/layout/hierarchy1"/>
    <dgm:cxn modelId="{EEA2641A-FE44-4F13-9059-7212C536DF96}" type="presParOf" srcId="{A1939951-90C6-4C9F-9FD0-CCC823A17975}" destId="{6892D176-AABA-443A-9615-429C61577ABD}" srcOrd="1" destOrd="0" presId="urn:microsoft.com/office/officeart/2005/8/layout/hierarchy1"/>
    <dgm:cxn modelId="{26183D89-DBFA-41D4-86A7-FFB6E7943E40}" type="presParOf" srcId="{6892D176-AABA-443A-9615-429C61577ABD}" destId="{C748244C-68B7-40E3-B99B-2942B76EDFFA}" srcOrd="0" destOrd="0" presId="urn:microsoft.com/office/officeart/2005/8/layout/hierarchy1"/>
    <dgm:cxn modelId="{D75EB86C-EA39-4187-9809-3C88EC828795}" type="presParOf" srcId="{6892D176-AABA-443A-9615-429C61577ABD}" destId="{83C85942-066B-465F-8B9E-0D88B08B916A}" srcOrd="1" destOrd="0" presId="urn:microsoft.com/office/officeart/2005/8/layout/hierarchy1"/>
    <dgm:cxn modelId="{6157DA3C-BCFB-427B-B114-827083822CEC}" type="presParOf" srcId="{83C85942-066B-465F-8B9E-0D88B08B916A}" destId="{6576735E-DBC4-47D5-AFAB-E2454289B42C}" srcOrd="0" destOrd="0" presId="urn:microsoft.com/office/officeart/2005/8/layout/hierarchy1"/>
    <dgm:cxn modelId="{3F707F14-2BB1-452A-A620-1215AD6E3A07}" type="presParOf" srcId="{6576735E-DBC4-47D5-AFAB-E2454289B42C}" destId="{3D65ED3A-B151-43A2-A752-002C8A168CFC}" srcOrd="0" destOrd="0" presId="urn:microsoft.com/office/officeart/2005/8/layout/hierarchy1"/>
    <dgm:cxn modelId="{419D6109-B499-4C97-967A-7E2265F177F6}" type="presParOf" srcId="{6576735E-DBC4-47D5-AFAB-E2454289B42C}" destId="{815660CF-05CC-4753-B5A7-142AC5D2B10E}" srcOrd="1" destOrd="0" presId="urn:microsoft.com/office/officeart/2005/8/layout/hierarchy1"/>
    <dgm:cxn modelId="{17925C6D-C51F-4523-AF91-96A362EFA8F1}" type="presParOf" srcId="{83C85942-066B-465F-8B9E-0D88B08B916A}" destId="{0C8E4109-5AAB-4C71-9457-948E4C739CE2}" srcOrd="1" destOrd="0" presId="urn:microsoft.com/office/officeart/2005/8/layout/hierarchy1"/>
    <dgm:cxn modelId="{9FCF8BCB-70BD-4694-BAC0-5DF49DE9AC94}" type="presParOf" srcId="{0C8E4109-5AAB-4C71-9457-948E4C739CE2}" destId="{A1389E9E-0080-498D-B021-02F49F42521F}" srcOrd="0" destOrd="0" presId="urn:microsoft.com/office/officeart/2005/8/layout/hierarchy1"/>
    <dgm:cxn modelId="{E11B34B6-E8BB-45B4-8CF4-C83C98AE3BA9}" type="presParOf" srcId="{0C8E4109-5AAB-4C71-9457-948E4C739CE2}" destId="{CDB09409-AFFC-42DF-99DE-8EBE3F82AED2}" srcOrd="1" destOrd="0" presId="urn:microsoft.com/office/officeart/2005/8/layout/hierarchy1"/>
    <dgm:cxn modelId="{1D85A2FC-1B4E-4CF4-A3A9-F30E92DB5765}" type="presParOf" srcId="{CDB09409-AFFC-42DF-99DE-8EBE3F82AED2}" destId="{BFD998C4-DB64-43B7-BEF8-CCBFB4DFD7AD}" srcOrd="0" destOrd="0" presId="urn:microsoft.com/office/officeart/2005/8/layout/hierarchy1"/>
    <dgm:cxn modelId="{3F655389-CFB1-41E1-8815-4E52E1FA3450}" type="presParOf" srcId="{BFD998C4-DB64-43B7-BEF8-CCBFB4DFD7AD}" destId="{3BA1548D-BAFB-4F56-80BD-E6526097EA7C}" srcOrd="0" destOrd="0" presId="urn:microsoft.com/office/officeart/2005/8/layout/hierarchy1"/>
    <dgm:cxn modelId="{B252BC7F-0A5D-4555-8D99-E027A81AF0D2}" type="presParOf" srcId="{BFD998C4-DB64-43B7-BEF8-CCBFB4DFD7AD}" destId="{279A6EAB-9CFE-4E86-A6FA-CBA37414B21A}" srcOrd="1" destOrd="0" presId="urn:microsoft.com/office/officeart/2005/8/layout/hierarchy1"/>
    <dgm:cxn modelId="{26598B35-600C-4154-8CA9-9EE88C3EC873}" type="presParOf" srcId="{CDB09409-AFFC-42DF-99DE-8EBE3F82AED2}" destId="{BA0DD177-D377-49F7-B79D-A881F59A43A4}" srcOrd="1" destOrd="0" presId="urn:microsoft.com/office/officeart/2005/8/layout/hierarchy1"/>
    <dgm:cxn modelId="{8BF77896-806C-4BD1-BBA7-C6777CC8858A}" type="presParOf" srcId="{0C8E4109-5AAB-4C71-9457-948E4C739CE2}" destId="{F45B2BB1-ED5F-403D-8612-E4F8278C76DA}" srcOrd="2" destOrd="0" presId="urn:microsoft.com/office/officeart/2005/8/layout/hierarchy1"/>
    <dgm:cxn modelId="{4793764C-EB4C-41B0-94AA-441741C5CD42}" type="presParOf" srcId="{0C8E4109-5AAB-4C71-9457-948E4C739CE2}" destId="{45C1F80B-1F9C-407D-8B56-432B95074E03}" srcOrd="3" destOrd="0" presId="urn:microsoft.com/office/officeart/2005/8/layout/hierarchy1"/>
    <dgm:cxn modelId="{89094E0D-289D-417E-8AF8-64BF34F3F7E2}" type="presParOf" srcId="{45C1F80B-1F9C-407D-8B56-432B95074E03}" destId="{D6CA0579-C0E0-410C-862F-3CD11BEE9C69}" srcOrd="0" destOrd="0" presId="urn:microsoft.com/office/officeart/2005/8/layout/hierarchy1"/>
    <dgm:cxn modelId="{10538856-BEE9-4AE5-8C90-F38A6D7E7797}" type="presParOf" srcId="{D6CA0579-C0E0-410C-862F-3CD11BEE9C69}" destId="{5B43D512-11C6-4987-B069-396E6F1D7655}" srcOrd="0" destOrd="0" presId="urn:microsoft.com/office/officeart/2005/8/layout/hierarchy1"/>
    <dgm:cxn modelId="{AB9C6BEC-E90E-474A-BFAC-D95CDA329486}" type="presParOf" srcId="{D6CA0579-C0E0-410C-862F-3CD11BEE9C69}" destId="{B1C7155C-30BF-4C37-AC30-D84C81D7DA14}" srcOrd="1" destOrd="0" presId="urn:microsoft.com/office/officeart/2005/8/layout/hierarchy1"/>
    <dgm:cxn modelId="{7CD5D0A6-B5FF-47AC-898A-A1B112DFCFD9}" type="presParOf" srcId="{45C1F80B-1F9C-407D-8B56-432B95074E03}" destId="{5AEC012A-082D-4C9C-B5A8-E8310547440A}" srcOrd="1" destOrd="0" presId="urn:microsoft.com/office/officeart/2005/8/layout/hierarchy1"/>
    <dgm:cxn modelId="{3751AB04-584C-47A6-A583-D0250DE03613}" type="presParOf" srcId="{6892D176-AABA-443A-9615-429C61577ABD}" destId="{4756EF0C-A976-4EE6-80C6-CFB71AA01F6F}" srcOrd="2" destOrd="0" presId="urn:microsoft.com/office/officeart/2005/8/layout/hierarchy1"/>
    <dgm:cxn modelId="{D7E4EBFA-2EA1-4FF9-8588-E8034F20D6BE}" type="presParOf" srcId="{6892D176-AABA-443A-9615-429C61577ABD}" destId="{18A0470E-68D2-4795-86AF-0C23D7C43421}" srcOrd="3" destOrd="0" presId="urn:microsoft.com/office/officeart/2005/8/layout/hierarchy1"/>
    <dgm:cxn modelId="{0D416C22-F934-473A-9BBE-8E7C2C515E0D}" type="presParOf" srcId="{18A0470E-68D2-4795-86AF-0C23D7C43421}" destId="{7BAEC48E-FE59-42BC-A380-4E07C986D53B}" srcOrd="0" destOrd="0" presId="urn:microsoft.com/office/officeart/2005/8/layout/hierarchy1"/>
    <dgm:cxn modelId="{7DF60BAC-344B-4A5E-A8A3-85F5A9293E11}" type="presParOf" srcId="{7BAEC48E-FE59-42BC-A380-4E07C986D53B}" destId="{A44FD781-AF0E-4916-B21A-27D8AA4C8A0F}" srcOrd="0" destOrd="0" presId="urn:microsoft.com/office/officeart/2005/8/layout/hierarchy1"/>
    <dgm:cxn modelId="{F78AA825-13AE-421F-811D-05CC2A04AF5E}" type="presParOf" srcId="{7BAEC48E-FE59-42BC-A380-4E07C986D53B}" destId="{2D55AF5B-DEB2-4476-A29B-D78969CFF3AF}" srcOrd="1" destOrd="0" presId="urn:microsoft.com/office/officeart/2005/8/layout/hierarchy1"/>
    <dgm:cxn modelId="{A8D7281D-A3E1-4271-BCAA-2AB2F01DFA75}" type="presParOf" srcId="{18A0470E-68D2-4795-86AF-0C23D7C43421}" destId="{BB8C85E2-67D9-49A7-BBA2-19A39DBB105C}"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6EF0C-A976-4EE6-80C6-CFB71AA01F6F}">
      <dsp:nvSpPr>
        <dsp:cNvPr id="0" name=""/>
        <dsp:cNvSpPr/>
      </dsp:nvSpPr>
      <dsp:spPr>
        <a:xfrm>
          <a:off x="2810839" y="778667"/>
          <a:ext cx="1329978" cy="353723"/>
        </a:xfrm>
        <a:custGeom>
          <a:avLst/>
          <a:gdLst/>
          <a:ahLst/>
          <a:cxnLst/>
          <a:rect l="0" t="0" r="0" b="0"/>
          <a:pathLst>
            <a:path>
              <a:moveTo>
                <a:pt x="0" y="0"/>
              </a:moveTo>
              <a:lnTo>
                <a:pt x="0" y="241052"/>
              </a:lnTo>
              <a:lnTo>
                <a:pt x="1329978" y="241052"/>
              </a:lnTo>
              <a:lnTo>
                <a:pt x="1329978" y="35372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B2BB1-ED5F-403D-8612-E4F8278C76DA}">
      <dsp:nvSpPr>
        <dsp:cNvPr id="0" name=""/>
        <dsp:cNvSpPr/>
      </dsp:nvSpPr>
      <dsp:spPr>
        <a:xfrm>
          <a:off x="1527029" y="1904703"/>
          <a:ext cx="743257" cy="353723"/>
        </a:xfrm>
        <a:custGeom>
          <a:avLst/>
          <a:gdLst/>
          <a:ahLst/>
          <a:cxnLst/>
          <a:rect l="0" t="0" r="0" b="0"/>
          <a:pathLst>
            <a:path>
              <a:moveTo>
                <a:pt x="0" y="0"/>
              </a:moveTo>
              <a:lnTo>
                <a:pt x="0" y="241052"/>
              </a:lnTo>
              <a:lnTo>
                <a:pt x="743257" y="241052"/>
              </a:lnTo>
              <a:lnTo>
                <a:pt x="743257" y="3537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389E9E-0080-498D-B021-02F49F42521F}">
      <dsp:nvSpPr>
        <dsp:cNvPr id="0" name=""/>
        <dsp:cNvSpPr/>
      </dsp:nvSpPr>
      <dsp:spPr>
        <a:xfrm>
          <a:off x="610202" y="1904703"/>
          <a:ext cx="916827" cy="353723"/>
        </a:xfrm>
        <a:custGeom>
          <a:avLst/>
          <a:gdLst/>
          <a:ahLst/>
          <a:cxnLst/>
          <a:rect l="0" t="0" r="0" b="0"/>
          <a:pathLst>
            <a:path>
              <a:moveTo>
                <a:pt x="916827" y="0"/>
              </a:moveTo>
              <a:lnTo>
                <a:pt x="916827" y="241052"/>
              </a:lnTo>
              <a:lnTo>
                <a:pt x="0" y="241052"/>
              </a:lnTo>
              <a:lnTo>
                <a:pt x="0" y="35372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48244C-68B7-40E3-B99B-2942B76EDFFA}">
      <dsp:nvSpPr>
        <dsp:cNvPr id="0" name=""/>
        <dsp:cNvSpPr/>
      </dsp:nvSpPr>
      <dsp:spPr>
        <a:xfrm>
          <a:off x="1527029" y="778667"/>
          <a:ext cx="1283809" cy="353723"/>
        </a:xfrm>
        <a:custGeom>
          <a:avLst/>
          <a:gdLst/>
          <a:ahLst/>
          <a:cxnLst/>
          <a:rect l="0" t="0" r="0" b="0"/>
          <a:pathLst>
            <a:path>
              <a:moveTo>
                <a:pt x="1283809" y="0"/>
              </a:moveTo>
              <a:lnTo>
                <a:pt x="1283809" y="241052"/>
              </a:lnTo>
              <a:lnTo>
                <a:pt x="0" y="241052"/>
              </a:lnTo>
              <a:lnTo>
                <a:pt x="0" y="35372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1F0AE-A7F7-4371-BF25-812D39A77634}">
      <dsp:nvSpPr>
        <dsp:cNvPr id="0" name=""/>
        <dsp:cNvSpPr/>
      </dsp:nvSpPr>
      <dsp:spPr>
        <a:xfrm>
          <a:off x="2053213" y="6355"/>
          <a:ext cx="1515252" cy="772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9424BE-A4DA-4635-A31A-BC33E9943707}">
      <dsp:nvSpPr>
        <dsp:cNvPr id="0" name=""/>
        <dsp:cNvSpPr/>
      </dsp:nvSpPr>
      <dsp:spPr>
        <a:xfrm>
          <a:off x="2188351" y="134735"/>
          <a:ext cx="1515252" cy="7723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kern="1200">
              <a:latin typeface="Times New Roman" panose="02020603050405020304" pitchFamily="18" charset="0"/>
              <a:cs typeface="Times New Roman" panose="02020603050405020304" pitchFamily="18" charset="0"/>
            </a:rPr>
            <a:t>Wave 1 (2012)</a:t>
          </a:r>
          <a:br>
            <a:rPr lang="en-NZ" sz="1000" kern="1200">
              <a:latin typeface="Times New Roman" panose="02020603050405020304" pitchFamily="18" charset="0"/>
              <a:cs typeface="Times New Roman" panose="02020603050405020304" pitchFamily="18" charset="0"/>
            </a:rPr>
          </a:br>
          <a:r>
            <a:rPr lang="en-NZ" sz="1000" kern="1200">
              <a:latin typeface="Times New Roman" panose="02020603050405020304" pitchFamily="18" charset="0"/>
              <a:cs typeface="Times New Roman" panose="02020603050405020304" pitchFamily="18" charset="0"/>
            </a:rPr>
            <a:t>N=6,251</a:t>
          </a:r>
        </a:p>
      </dsp:txBody>
      <dsp:txXfrm>
        <a:off x="2210971" y="157355"/>
        <a:ext cx="1470012" cy="727072"/>
      </dsp:txXfrm>
    </dsp:sp>
    <dsp:sp modelId="{3D65ED3A-B151-43A2-A752-002C8A168CFC}">
      <dsp:nvSpPr>
        <dsp:cNvPr id="0" name=""/>
        <dsp:cNvSpPr/>
      </dsp:nvSpPr>
      <dsp:spPr>
        <a:xfrm>
          <a:off x="332189" y="1132390"/>
          <a:ext cx="2389680" cy="77231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5660CF-05CC-4753-B5A7-142AC5D2B10E}">
      <dsp:nvSpPr>
        <dsp:cNvPr id="0" name=""/>
        <dsp:cNvSpPr/>
      </dsp:nvSpPr>
      <dsp:spPr>
        <a:xfrm>
          <a:off x="467327" y="1260771"/>
          <a:ext cx="2389680" cy="77231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kern="1200">
              <a:latin typeface="Times New Roman" panose="02020603050405020304" pitchFamily="18" charset="0"/>
              <a:cs typeface="Times New Roman" panose="02020603050405020304" pitchFamily="18" charset="0"/>
            </a:rPr>
            <a:t>Attempted 12-month follow-up (2013)</a:t>
          </a:r>
          <a:br>
            <a:rPr lang="en-NZ" sz="1000" kern="1200">
              <a:latin typeface="Times New Roman" panose="02020603050405020304" pitchFamily="18" charset="0"/>
              <a:cs typeface="Times New Roman" panose="02020603050405020304" pitchFamily="18" charset="0"/>
            </a:rPr>
          </a:br>
          <a:r>
            <a:rPr lang="en-NZ" sz="1000" kern="1200">
              <a:latin typeface="Times New Roman" panose="02020603050405020304" pitchFamily="18" charset="0"/>
              <a:cs typeface="Times New Roman" panose="02020603050405020304" pitchFamily="18" charset="0"/>
            </a:rPr>
            <a:t>n=5,266</a:t>
          </a:r>
          <a:endParaRPr lang="en-NZ" sz="1000" kern="1200"/>
        </a:p>
      </dsp:txBody>
      <dsp:txXfrm>
        <a:off x="489947" y="1283391"/>
        <a:ext cx="2344440" cy="727072"/>
      </dsp:txXfrm>
    </dsp:sp>
    <dsp:sp modelId="{3BA1548D-BAFB-4F56-80BD-E6526097EA7C}">
      <dsp:nvSpPr>
        <dsp:cNvPr id="0" name=""/>
        <dsp:cNvSpPr/>
      </dsp:nvSpPr>
      <dsp:spPr>
        <a:xfrm>
          <a:off x="2082" y="2258426"/>
          <a:ext cx="1216240" cy="77231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9A6EAB-9CFE-4E86-A6FA-CBA37414B21A}">
      <dsp:nvSpPr>
        <dsp:cNvPr id="0" name=""/>
        <dsp:cNvSpPr/>
      </dsp:nvSpPr>
      <dsp:spPr>
        <a:xfrm>
          <a:off x="137220" y="2386807"/>
          <a:ext cx="1216240" cy="77231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kern="1200">
              <a:latin typeface="Times New Roman" panose="02020603050405020304" pitchFamily="18" charset="0"/>
              <a:cs typeface="Times New Roman" panose="02020603050405020304" pitchFamily="18" charset="0"/>
            </a:rPr>
            <a:t>Wave 2 participated</a:t>
          </a:r>
          <a:br>
            <a:rPr lang="en-NZ" sz="1000" kern="1200">
              <a:latin typeface="Times New Roman" panose="02020603050405020304" pitchFamily="18" charset="0"/>
              <a:cs typeface="Times New Roman" panose="02020603050405020304" pitchFamily="18" charset="0"/>
            </a:rPr>
          </a:br>
          <a:r>
            <a:rPr lang="en-NZ" sz="1000" kern="1200">
              <a:latin typeface="Times New Roman" panose="02020603050405020304" pitchFamily="18" charset="0"/>
              <a:cs typeface="Times New Roman" panose="02020603050405020304" pitchFamily="18" charset="0"/>
            </a:rPr>
            <a:t>n=3,745</a:t>
          </a:r>
        </a:p>
      </dsp:txBody>
      <dsp:txXfrm>
        <a:off x="159840" y="2409427"/>
        <a:ext cx="1171000" cy="727072"/>
      </dsp:txXfrm>
    </dsp:sp>
    <dsp:sp modelId="{5B43D512-11C6-4987-B069-396E6F1D7655}">
      <dsp:nvSpPr>
        <dsp:cNvPr id="0" name=""/>
        <dsp:cNvSpPr/>
      </dsp:nvSpPr>
      <dsp:spPr>
        <a:xfrm>
          <a:off x="1488598" y="2258426"/>
          <a:ext cx="1563379" cy="772312"/>
        </a:xfrm>
        <a:prstGeom prst="roundRect">
          <a:avLst>
            <a:gd name="adj" fmla="val 10000"/>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7155C-30BF-4C37-AC30-D84C81D7DA14}">
      <dsp:nvSpPr>
        <dsp:cNvPr id="0" name=""/>
        <dsp:cNvSpPr/>
      </dsp:nvSpPr>
      <dsp:spPr>
        <a:xfrm>
          <a:off x="1623735" y="2386807"/>
          <a:ext cx="1563379" cy="77231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kern="1200">
              <a:latin typeface="Times New Roman" panose="02020603050405020304" pitchFamily="18" charset="0"/>
              <a:cs typeface="Times New Roman" panose="02020603050405020304" pitchFamily="18" charset="0"/>
            </a:rPr>
            <a:t>Wave 2 did not participate</a:t>
          </a:r>
          <a:br>
            <a:rPr lang="en-NZ" sz="1000" kern="1200">
              <a:latin typeface="Times New Roman" panose="02020603050405020304" pitchFamily="18" charset="0"/>
              <a:cs typeface="Times New Roman" panose="02020603050405020304" pitchFamily="18" charset="0"/>
            </a:rPr>
          </a:br>
          <a:r>
            <a:rPr lang="en-NZ" sz="1000" kern="1200">
              <a:latin typeface="Times New Roman" panose="02020603050405020304" pitchFamily="18" charset="0"/>
              <a:cs typeface="Times New Roman" panose="02020603050405020304" pitchFamily="18" charset="0"/>
            </a:rPr>
            <a:t>n=1,521</a:t>
          </a:r>
          <a:endParaRPr lang="en-NZ" sz="1000" kern="1200"/>
        </a:p>
      </dsp:txBody>
      <dsp:txXfrm>
        <a:off x="1646355" y="2409427"/>
        <a:ext cx="1518139" cy="727072"/>
      </dsp:txXfrm>
    </dsp:sp>
    <dsp:sp modelId="{A44FD781-AF0E-4916-B21A-27D8AA4C8A0F}">
      <dsp:nvSpPr>
        <dsp:cNvPr id="0" name=""/>
        <dsp:cNvSpPr/>
      </dsp:nvSpPr>
      <dsp:spPr>
        <a:xfrm>
          <a:off x="2992145" y="1132390"/>
          <a:ext cx="2297343" cy="772312"/>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55AF5B-DEB2-4476-A29B-D78969CFF3AF}">
      <dsp:nvSpPr>
        <dsp:cNvPr id="0" name=""/>
        <dsp:cNvSpPr/>
      </dsp:nvSpPr>
      <dsp:spPr>
        <a:xfrm>
          <a:off x="3127283" y="1260771"/>
          <a:ext cx="2297343" cy="77231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NZ" sz="1000" kern="1200">
              <a:latin typeface="Times New Roman" panose="02020603050405020304" pitchFamily="18" charset="0"/>
              <a:cs typeface="Times New Roman" panose="02020603050405020304" pitchFamily="18" charset="0"/>
            </a:rPr>
            <a:t>No 12-month follow-up attempt (2013)</a:t>
          </a:r>
          <a:br>
            <a:rPr lang="en-NZ" sz="1000" kern="1200">
              <a:latin typeface="Times New Roman" panose="02020603050405020304" pitchFamily="18" charset="0"/>
              <a:cs typeface="Times New Roman" panose="02020603050405020304" pitchFamily="18" charset="0"/>
            </a:rPr>
          </a:br>
          <a:r>
            <a:rPr lang="en-NZ" sz="1000" kern="1200">
              <a:latin typeface="Times New Roman" panose="02020603050405020304" pitchFamily="18" charset="0"/>
              <a:cs typeface="Times New Roman" panose="02020603050405020304" pitchFamily="18" charset="0"/>
            </a:rPr>
            <a:t>n=985</a:t>
          </a:r>
          <a:endParaRPr lang="en-NZ" sz="1000" kern="1200"/>
        </a:p>
      </dsp:txBody>
      <dsp:txXfrm>
        <a:off x="3149903" y="1283391"/>
        <a:ext cx="2252103" cy="7270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A927B-49F0-4D14-86C0-41EE0275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69</Pages>
  <Words>56878</Words>
  <Characters>324207</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CONFIDENTIAL REPORT</vt:lpstr>
    </vt:vector>
  </TitlesOfParts>
  <Company>Auckland University of Technology</Company>
  <LinksUpToDate>false</LinksUpToDate>
  <CharactersWithSpaces>380325</CharactersWithSpaces>
  <SharedDoc>false</SharedDoc>
  <HLinks>
    <vt:vector size="912" baseType="variant">
      <vt:variant>
        <vt:i4>1966128</vt:i4>
      </vt:variant>
      <vt:variant>
        <vt:i4>914</vt:i4>
      </vt:variant>
      <vt:variant>
        <vt:i4>0</vt:i4>
      </vt:variant>
      <vt:variant>
        <vt:i4>5</vt:i4>
      </vt:variant>
      <vt:variant>
        <vt:lpwstr/>
      </vt:variant>
      <vt:variant>
        <vt:lpwstr>_Toc315879192</vt:lpwstr>
      </vt:variant>
      <vt:variant>
        <vt:i4>1966128</vt:i4>
      </vt:variant>
      <vt:variant>
        <vt:i4>908</vt:i4>
      </vt:variant>
      <vt:variant>
        <vt:i4>0</vt:i4>
      </vt:variant>
      <vt:variant>
        <vt:i4>5</vt:i4>
      </vt:variant>
      <vt:variant>
        <vt:lpwstr/>
      </vt:variant>
      <vt:variant>
        <vt:lpwstr>_Toc315879191</vt:lpwstr>
      </vt:variant>
      <vt:variant>
        <vt:i4>1966128</vt:i4>
      </vt:variant>
      <vt:variant>
        <vt:i4>902</vt:i4>
      </vt:variant>
      <vt:variant>
        <vt:i4>0</vt:i4>
      </vt:variant>
      <vt:variant>
        <vt:i4>5</vt:i4>
      </vt:variant>
      <vt:variant>
        <vt:lpwstr/>
      </vt:variant>
      <vt:variant>
        <vt:lpwstr>_Toc315879190</vt:lpwstr>
      </vt:variant>
      <vt:variant>
        <vt:i4>2031664</vt:i4>
      </vt:variant>
      <vt:variant>
        <vt:i4>896</vt:i4>
      </vt:variant>
      <vt:variant>
        <vt:i4>0</vt:i4>
      </vt:variant>
      <vt:variant>
        <vt:i4>5</vt:i4>
      </vt:variant>
      <vt:variant>
        <vt:lpwstr/>
      </vt:variant>
      <vt:variant>
        <vt:lpwstr>_Toc315879189</vt:lpwstr>
      </vt:variant>
      <vt:variant>
        <vt:i4>2031664</vt:i4>
      </vt:variant>
      <vt:variant>
        <vt:i4>890</vt:i4>
      </vt:variant>
      <vt:variant>
        <vt:i4>0</vt:i4>
      </vt:variant>
      <vt:variant>
        <vt:i4>5</vt:i4>
      </vt:variant>
      <vt:variant>
        <vt:lpwstr/>
      </vt:variant>
      <vt:variant>
        <vt:lpwstr>_Toc315879188</vt:lpwstr>
      </vt:variant>
      <vt:variant>
        <vt:i4>2031664</vt:i4>
      </vt:variant>
      <vt:variant>
        <vt:i4>884</vt:i4>
      </vt:variant>
      <vt:variant>
        <vt:i4>0</vt:i4>
      </vt:variant>
      <vt:variant>
        <vt:i4>5</vt:i4>
      </vt:variant>
      <vt:variant>
        <vt:lpwstr/>
      </vt:variant>
      <vt:variant>
        <vt:lpwstr>_Toc315879187</vt:lpwstr>
      </vt:variant>
      <vt:variant>
        <vt:i4>2031664</vt:i4>
      </vt:variant>
      <vt:variant>
        <vt:i4>878</vt:i4>
      </vt:variant>
      <vt:variant>
        <vt:i4>0</vt:i4>
      </vt:variant>
      <vt:variant>
        <vt:i4>5</vt:i4>
      </vt:variant>
      <vt:variant>
        <vt:lpwstr/>
      </vt:variant>
      <vt:variant>
        <vt:lpwstr>_Toc315879186</vt:lpwstr>
      </vt:variant>
      <vt:variant>
        <vt:i4>2031664</vt:i4>
      </vt:variant>
      <vt:variant>
        <vt:i4>872</vt:i4>
      </vt:variant>
      <vt:variant>
        <vt:i4>0</vt:i4>
      </vt:variant>
      <vt:variant>
        <vt:i4>5</vt:i4>
      </vt:variant>
      <vt:variant>
        <vt:lpwstr/>
      </vt:variant>
      <vt:variant>
        <vt:lpwstr>_Toc315879185</vt:lpwstr>
      </vt:variant>
      <vt:variant>
        <vt:i4>2031664</vt:i4>
      </vt:variant>
      <vt:variant>
        <vt:i4>866</vt:i4>
      </vt:variant>
      <vt:variant>
        <vt:i4>0</vt:i4>
      </vt:variant>
      <vt:variant>
        <vt:i4>5</vt:i4>
      </vt:variant>
      <vt:variant>
        <vt:lpwstr/>
      </vt:variant>
      <vt:variant>
        <vt:lpwstr>_Toc315879184</vt:lpwstr>
      </vt:variant>
      <vt:variant>
        <vt:i4>2031664</vt:i4>
      </vt:variant>
      <vt:variant>
        <vt:i4>860</vt:i4>
      </vt:variant>
      <vt:variant>
        <vt:i4>0</vt:i4>
      </vt:variant>
      <vt:variant>
        <vt:i4>5</vt:i4>
      </vt:variant>
      <vt:variant>
        <vt:lpwstr/>
      </vt:variant>
      <vt:variant>
        <vt:lpwstr>_Toc315879183</vt:lpwstr>
      </vt:variant>
      <vt:variant>
        <vt:i4>2031664</vt:i4>
      </vt:variant>
      <vt:variant>
        <vt:i4>854</vt:i4>
      </vt:variant>
      <vt:variant>
        <vt:i4>0</vt:i4>
      </vt:variant>
      <vt:variant>
        <vt:i4>5</vt:i4>
      </vt:variant>
      <vt:variant>
        <vt:lpwstr/>
      </vt:variant>
      <vt:variant>
        <vt:lpwstr>_Toc315879182</vt:lpwstr>
      </vt:variant>
      <vt:variant>
        <vt:i4>2031664</vt:i4>
      </vt:variant>
      <vt:variant>
        <vt:i4>848</vt:i4>
      </vt:variant>
      <vt:variant>
        <vt:i4>0</vt:i4>
      </vt:variant>
      <vt:variant>
        <vt:i4>5</vt:i4>
      </vt:variant>
      <vt:variant>
        <vt:lpwstr/>
      </vt:variant>
      <vt:variant>
        <vt:lpwstr>_Toc315879181</vt:lpwstr>
      </vt:variant>
      <vt:variant>
        <vt:i4>2031664</vt:i4>
      </vt:variant>
      <vt:variant>
        <vt:i4>842</vt:i4>
      </vt:variant>
      <vt:variant>
        <vt:i4>0</vt:i4>
      </vt:variant>
      <vt:variant>
        <vt:i4>5</vt:i4>
      </vt:variant>
      <vt:variant>
        <vt:lpwstr/>
      </vt:variant>
      <vt:variant>
        <vt:lpwstr>_Toc315879180</vt:lpwstr>
      </vt:variant>
      <vt:variant>
        <vt:i4>1048624</vt:i4>
      </vt:variant>
      <vt:variant>
        <vt:i4>836</vt:i4>
      </vt:variant>
      <vt:variant>
        <vt:i4>0</vt:i4>
      </vt:variant>
      <vt:variant>
        <vt:i4>5</vt:i4>
      </vt:variant>
      <vt:variant>
        <vt:lpwstr/>
      </vt:variant>
      <vt:variant>
        <vt:lpwstr>_Toc315879179</vt:lpwstr>
      </vt:variant>
      <vt:variant>
        <vt:i4>1048624</vt:i4>
      </vt:variant>
      <vt:variant>
        <vt:i4>830</vt:i4>
      </vt:variant>
      <vt:variant>
        <vt:i4>0</vt:i4>
      </vt:variant>
      <vt:variant>
        <vt:i4>5</vt:i4>
      </vt:variant>
      <vt:variant>
        <vt:lpwstr/>
      </vt:variant>
      <vt:variant>
        <vt:lpwstr>_Toc315879178</vt:lpwstr>
      </vt:variant>
      <vt:variant>
        <vt:i4>1048624</vt:i4>
      </vt:variant>
      <vt:variant>
        <vt:i4>824</vt:i4>
      </vt:variant>
      <vt:variant>
        <vt:i4>0</vt:i4>
      </vt:variant>
      <vt:variant>
        <vt:i4>5</vt:i4>
      </vt:variant>
      <vt:variant>
        <vt:lpwstr/>
      </vt:variant>
      <vt:variant>
        <vt:lpwstr>_Toc315879177</vt:lpwstr>
      </vt:variant>
      <vt:variant>
        <vt:i4>1048624</vt:i4>
      </vt:variant>
      <vt:variant>
        <vt:i4>818</vt:i4>
      </vt:variant>
      <vt:variant>
        <vt:i4>0</vt:i4>
      </vt:variant>
      <vt:variant>
        <vt:i4>5</vt:i4>
      </vt:variant>
      <vt:variant>
        <vt:lpwstr/>
      </vt:variant>
      <vt:variant>
        <vt:lpwstr>_Toc315879176</vt:lpwstr>
      </vt:variant>
      <vt:variant>
        <vt:i4>1048624</vt:i4>
      </vt:variant>
      <vt:variant>
        <vt:i4>812</vt:i4>
      </vt:variant>
      <vt:variant>
        <vt:i4>0</vt:i4>
      </vt:variant>
      <vt:variant>
        <vt:i4>5</vt:i4>
      </vt:variant>
      <vt:variant>
        <vt:lpwstr/>
      </vt:variant>
      <vt:variant>
        <vt:lpwstr>_Toc315879175</vt:lpwstr>
      </vt:variant>
      <vt:variant>
        <vt:i4>1048624</vt:i4>
      </vt:variant>
      <vt:variant>
        <vt:i4>806</vt:i4>
      </vt:variant>
      <vt:variant>
        <vt:i4>0</vt:i4>
      </vt:variant>
      <vt:variant>
        <vt:i4>5</vt:i4>
      </vt:variant>
      <vt:variant>
        <vt:lpwstr/>
      </vt:variant>
      <vt:variant>
        <vt:lpwstr>_Toc315879174</vt:lpwstr>
      </vt:variant>
      <vt:variant>
        <vt:i4>1048624</vt:i4>
      </vt:variant>
      <vt:variant>
        <vt:i4>800</vt:i4>
      </vt:variant>
      <vt:variant>
        <vt:i4>0</vt:i4>
      </vt:variant>
      <vt:variant>
        <vt:i4>5</vt:i4>
      </vt:variant>
      <vt:variant>
        <vt:lpwstr/>
      </vt:variant>
      <vt:variant>
        <vt:lpwstr>_Toc315879173</vt:lpwstr>
      </vt:variant>
      <vt:variant>
        <vt:i4>1048624</vt:i4>
      </vt:variant>
      <vt:variant>
        <vt:i4>794</vt:i4>
      </vt:variant>
      <vt:variant>
        <vt:i4>0</vt:i4>
      </vt:variant>
      <vt:variant>
        <vt:i4>5</vt:i4>
      </vt:variant>
      <vt:variant>
        <vt:lpwstr/>
      </vt:variant>
      <vt:variant>
        <vt:lpwstr>_Toc315879172</vt:lpwstr>
      </vt:variant>
      <vt:variant>
        <vt:i4>1048624</vt:i4>
      </vt:variant>
      <vt:variant>
        <vt:i4>788</vt:i4>
      </vt:variant>
      <vt:variant>
        <vt:i4>0</vt:i4>
      </vt:variant>
      <vt:variant>
        <vt:i4>5</vt:i4>
      </vt:variant>
      <vt:variant>
        <vt:lpwstr/>
      </vt:variant>
      <vt:variant>
        <vt:lpwstr>_Toc315879171</vt:lpwstr>
      </vt:variant>
      <vt:variant>
        <vt:i4>1048624</vt:i4>
      </vt:variant>
      <vt:variant>
        <vt:i4>782</vt:i4>
      </vt:variant>
      <vt:variant>
        <vt:i4>0</vt:i4>
      </vt:variant>
      <vt:variant>
        <vt:i4>5</vt:i4>
      </vt:variant>
      <vt:variant>
        <vt:lpwstr/>
      </vt:variant>
      <vt:variant>
        <vt:lpwstr>_Toc315879170</vt:lpwstr>
      </vt:variant>
      <vt:variant>
        <vt:i4>1114160</vt:i4>
      </vt:variant>
      <vt:variant>
        <vt:i4>776</vt:i4>
      </vt:variant>
      <vt:variant>
        <vt:i4>0</vt:i4>
      </vt:variant>
      <vt:variant>
        <vt:i4>5</vt:i4>
      </vt:variant>
      <vt:variant>
        <vt:lpwstr/>
      </vt:variant>
      <vt:variant>
        <vt:lpwstr>_Toc315879169</vt:lpwstr>
      </vt:variant>
      <vt:variant>
        <vt:i4>1114160</vt:i4>
      </vt:variant>
      <vt:variant>
        <vt:i4>770</vt:i4>
      </vt:variant>
      <vt:variant>
        <vt:i4>0</vt:i4>
      </vt:variant>
      <vt:variant>
        <vt:i4>5</vt:i4>
      </vt:variant>
      <vt:variant>
        <vt:lpwstr/>
      </vt:variant>
      <vt:variant>
        <vt:lpwstr>_Toc315879168</vt:lpwstr>
      </vt:variant>
      <vt:variant>
        <vt:i4>1114160</vt:i4>
      </vt:variant>
      <vt:variant>
        <vt:i4>764</vt:i4>
      </vt:variant>
      <vt:variant>
        <vt:i4>0</vt:i4>
      </vt:variant>
      <vt:variant>
        <vt:i4>5</vt:i4>
      </vt:variant>
      <vt:variant>
        <vt:lpwstr/>
      </vt:variant>
      <vt:variant>
        <vt:lpwstr>_Toc315879167</vt:lpwstr>
      </vt:variant>
      <vt:variant>
        <vt:i4>1114160</vt:i4>
      </vt:variant>
      <vt:variant>
        <vt:i4>758</vt:i4>
      </vt:variant>
      <vt:variant>
        <vt:i4>0</vt:i4>
      </vt:variant>
      <vt:variant>
        <vt:i4>5</vt:i4>
      </vt:variant>
      <vt:variant>
        <vt:lpwstr/>
      </vt:variant>
      <vt:variant>
        <vt:lpwstr>_Toc315879166</vt:lpwstr>
      </vt:variant>
      <vt:variant>
        <vt:i4>1114160</vt:i4>
      </vt:variant>
      <vt:variant>
        <vt:i4>752</vt:i4>
      </vt:variant>
      <vt:variant>
        <vt:i4>0</vt:i4>
      </vt:variant>
      <vt:variant>
        <vt:i4>5</vt:i4>
      </vt:variant>
      <vt:variant>
        <vt:lpwstr/>
      </vt:variant>
      <vt:variant>
        <vt:lpwstr>_Toc315879165</vt:lpwstr>
      </vt:variant>
      <vt:variant>
        <vt:i4>1114160</vt:i4>
      </vt:variant>
      <vt:variant>
        <vt:i4>746</vt:i4>
      </vt:variant>
      <vt:variant>
        <vt:i4>0</vt:i4>
      </vt:variant>
      <vt:variant>
        <vt:i4>5</vt:i4>
      </vt:variant>
      <vt:variant>
        <vt:lpwstr/>
      </vt:variant>
      <vt:variant>
        <vt:lpwstr>_Toc315879164</vt:lpwstr>
      </vt:variant>
      <vt:variant>
        <vt:i4>1114160</vt:i4>
      </vt:variant>
      <vt:variant>
        <vt:i4>740</vt:i4>
      </vt:variant>
      <vt:variant>
        <vt:i4>0</vt:i4>
      </vt:variant>
      <vt:variant>
        <vt:i4>5</vt:i4>
      </vt:variant>
      <vt:variant>
        <vt:lpwstr/>
      </vt:variant>
      <vt:variant>
        <vt:lpwstr>_Toc315879163</vt:lpwstr>
      </vt:variant>
      <vt:variant>
        <vt:i4>1114160</vt:i4>
      </vt:variant>
      <vt:variant>
        <vt:i4>734</vt:i4>
      </vt:variant>
      <vt:variant>
        <vt:i4>0</vt:i4>
      </vt:variant>
      <vt:variant>
        <vt:i4>5</vt:i4>
      </vt:variant>
      <vt:variant>
        <vt:lpwstr/>
      </vt:variant>
      <vt:variant>
        <vt:lpwstr>_Toc315879162</vt:lpwstr>
      </vt:variant>
      <vt:variant>
        <vt:i4>1114160</vt:i4>
      </vt:variant>
      <vt:variant>
        <vt:i4>728</vt:i4>
      </vt:variant>
      <vt:variant>
        <vt:i4>0</vt:i4>
      </vt:variant>
      <vt:variant>
        <vt:i4>5</vt:i4>
      </vt:variant>
      <vt:variant>
        <vt:lpwstr/>
      </vt:variant>
      <vt:variant>
        <vt:lpwstr>_Toc315879161</vt:lpwstr>
      </vt:variant>
      <vt:variant>
        <vt:i4>1114160</vt:i4>
      </vt:variant>
      <vt:variant>
        <vt:i4>722</vt:i4>
      </vt:variant>
      <vt:variant>
        <vt:i4>0</vt:i4>
      </vt:variant>
      <vt:variant>
        <vt:i4>5</vt:i4>
      </vt:variant>
      <vt:variant>
        <vt:lpwstr/>
      </vt:variant>
      <vt:variant>
        <vt:lpwstr>_Toc315879160</vt:lpwstr>
      </vt:variant>
      <vt:variant>
        <vt:i4>1179696</vt:i4>
      </vt:variant>
      <vt:variant>
        <vt:i4>716</vt:i4>
      </vt:variant>
      <vt:variant>
        <vt:i4>0</vt:i4>
      </vt:variant>
      <vt:variant>
        <vt:i4>5</vt:i4>
      </vt:variant>
      <vt:variant>
        <vt:lpwstr/>
      </vt:variant>
      <vt:variant>
        <vt:lpwstr>_Toc315879159</vt:lpwstr>
      </vt:variant>
      <vt:variant>
        <vt:i4>1179696</vt:i4>
      </vt:variant>
      <vt:variant>
        <vt:i4>710</vt:i4>
      </vt:variant>
      <vt:variant>
        <vt:i4>0</vt:i4>
      </vt:variant>
      <vt:variant>
        <vt:i4>5</vt:i4>
      </vt:variant>
      <vt:variant>
        <vt:lpwstr/>
      </vt:variant>
      <vt:variant>
        <vt:lpwstr>_Toc315879158</vt:lpwstr>
      </vt:variant>
      <vt:variant>
        <vt:i4>1179696</vt:i4>
      </vt:variant>
      <vt:variant>
        <vt:i4>704</vt:i4>
      </vt:variant>
      <vt:variant>
        <vt:i4>0</vt:i4>
      </vt:variant>
      <vt:variant>
        <vt:i4>5</vt:i4>
      </vt:variant>
      <vt:variant>
        <vt:lpwstr/>
      </vt:variant>
      <vt:variant>
        <vt:lpwstr>_Toc315879157</vt:lpwstr>
      </vt:variant>
      <vt:variant>
        <vt:i4>1179696</vt:i4>
      </vt:variant>
      <vt:variant>
        <vt:i4>698</vt:i4>
      </vt:variant>
      <vt:variant>
        <vt:i4>0</vt:i4>
      </vt:variant>
      <vt:variant>
        <vt:i4>5</vt:i4>
      </vt:variant>
      <vt:variant>
        <vt:lpwstr/>
      </vt:variant>
      <vt:variant>
        <vt:lpwstr>_Toc315879156</vt:lpwstr>
      </vt:variant>
      <vt:variant>
        <vt:i4>1179696</vt:i4>
      </vt:variant>
      <vt:variant>
        <vt:i4>692</vt:i4>
      </vt:variant>
      <vt:variant>
        <vt:i4>0</vt:i4>
      </vt:variant>
      <vt:variant>
        <vt:i4>5</vt:i4>
      </vt:variant>
      <vt:variant>
        <vt:lpwstr/>
      </vt:variant>
      <vt:variant>
        <vt:lpwstr>_Toc315879155</vt:lpwstr>
      </vt:variant>
      <vt:variant>
        <vt:i4>1179696</vt:i4>
      </vt:variant>
      <vt:variant>
        <vt:i4>686</vt:i4>
      </vt:variant>
      <vt:variant>
        <vt:i4>0</vt:i4>
      </vt:variant>
      <vt:variant>
        <vt:i4>5</vt:i4>
      </vt:variant>
      <vt:variant>
        <vt:lpwstr/>
      </vt:variant>
      <vt:variant>
        <vt:lpwstr>_Toc315879154</vt:lpwstr>
      </vt:variant>
      <vt:variant>
        <vt:i4>1179696</vt:i4>
      </vt:variant>
      <vt:variant>
        <vt:i4>680</vt:i4>
      </vt:variant>
      <vt:variant>
        <vt:i4>0</vt:i4>
      </vt:variant>
      <vt:variant>
        <vt:i4>5</vt:i4>
      </vt:variant>
      <vt:variant>
        <vt:lpwstr/>
      </vt:variant>
      <vt:variant>
        <vt:lpwstr>_Toc315879153</vt:lpwstr>
      </vt:variant>
      <vt:variant>
        <vt:i4>1179696</vt:i4>
      </vt:variant>
      <vt:variant>
        <vt:i4>674</vt:i4>
      </vt:variant>
      <vt:variant>
        <vt:i4>0</vt:i4>
      </vt:variant>
      <vt:variant>
        <vt:i4>5</vt:i4>
      </vt:variant>
      <vt:variant>
        <vt:lpwstr/>
      </vt:variant>
      <vt:variant>
        <vt:lpwstr>_Toc315879152</vt:lpwstr>
      </vt:variant>
      <vt:variant>
        <vt:i4>1179696</vt:i4>
      </vt:variant>
      <vt:variant>
        <vt:i4>668</vt:i4>
      </vt:variant>
      <vt:variant>
        <vt:i4>0</vt:i4>
      </vt:variant>
      <vt:variant>
        <vt:i4>5</vt:i4>
      </vt:variant>
      <vt:variant>
        <vt:lpwstr/>
      </vt:variant>
      <vt:variant>
        <vt:lpwstr>_Toc315879151</vt:lpwstr>
      </vt:variant>
      <vt:variant>
        <vt:i4>1179696</vt:i4>
      </vt:variant>
      <vt:variant>
        <vt:i4>662</vt:i4>
      </vt:variant>
      <vt:variant>
        <vt:i4>0</vt:i4>
      </vt:variant>
      <vt:variant>
        <vt:i4>5</vt:i4>
      </vt:variant>
      <vt:variant>
        <vt:lpwstr/>
      </vt:variant>
      <vt:variant>
        <vt:lpwstr>_Toc315879150</vt:lpwstr>
      </vt:variant>
      <vt:variant>
        <vt:i4>1245232</vt:i4>
      </vt:variant>
      <vt:variant>
        <vt:i4>656</vt:i4>
      </vt:variant>
      <vt:variant>
        <vt:i4>0</vt:i4>
      </vt:variant>
      <vt:variant>
        <vt:i4>5</vt:i4>
      </vt:variant>
      <vt:variant>
        <vt:lpwstr/>
      </vt:variant>
      <vt:variant>
        <vt:lpwstr>_Toc315879149</vt:lpwstr>
      </vt:variant>
      <vt:variant>
        <vt:i4>1245232</vt:i4>
      </vt:variant>
      <vt:variant>
        <vt:i4>650</vt:i4>
      </vt:variant>
      <vt:variant>
        <vt:i4>0</vt:i4>
      </vt:variant>
      <vt:variant>
        <vt:i4>5</vt:i4>
      </vt:variant>
      <vt:variant>
        <vt:lpwstr/>
      </vt:variant>
      <vt:variant>
        <vt:lpwstr>_Toc315879148</vt:lpwstr>
      </vt:variant>
      <vt:variant>
        <vt:i4>1245232</vt:i4>
      </vt:variant>
      <vt:variant>
        <vt:i4>644</vt:i4>
      </vt:variant>
      <vt:variant>
        <vt:i4>0</vt:i4>
      </vt:variant>
      <vt:variant>
        <vt:i4>5</vt:i4>
      </vt:variant>
      <vt:variant>
        <vt:lpwstr/>
      </vt:variant>
      <vt:variant>
        <vt:lpwstr>_Toc315879147</vt:lpwstr>
      </vt:variant>
      <vt:variant>
        <vt:i4>1245232</vt:i4>
      </vt:variant>
      <vt:variant>
        <vt:i4>638</vt:i4>
      </vt:variant>
      <vt:variant>
        <vt:i4>0</vt:i4>
      </vt:variant>
      <vt:variant>
        <vt:i4>5</vt:i4>
      </vt:variant>
      <vt:variant>
        <vt:lpwstr/>
      </vt:variant>
      <vt:variant>
        <vt:lpwstr>_Toc315879146</vt:lpwstr>
      </vt:variant>
      <vt:variant>
        <vt:i4>1245232</vt:i4>
      </vt:variant>
      <vt:variant>
        <vt:i4>632</vt:i4>
      </vt:variant>
      <vt:variant>
        <vt:i4>0</vt:i4>
      </vt:variant>
      <vt:variant>
        <vt:i4>5</vt:i4>
      </vt:variant>
      <vt:variant>
        <vt:lpwstr/>
      </vt:variant>
      <vt:variant>
        <vt:lpwstr>_Toc315879145</vt:lpwstr>
      </vt:variant>
      <vt:variant>
        <vt:i4>1245232</vt:i4>
      </vt:variant>
      <vt:variant>
        <vt:i4>626</vt:i4>
      </vt:variant>
      <vt:variant>
        <vt:i4>0</vt:i4>
      </vt:variant>
      <vt:variant>
        <vt:i4>5</vt:i4>
      </vt:variant>
      <vt:variant>
        <vt:lpwstr/>
      </vt:variant>
      <vt:variant>
        <vt:lpwstr>_Toc315879144</vt:lpwstr>
      </vt:variant>
      <vt:variant>
        <vt:i4>1245232</vt:i4>
      </vt:variant>
      <vt:variant>
        <vt:i4>620</vt:i4>
      </vt:variant>
      <vt:variant>
        <vt:i4>0</vt:i4>
      </vt:variant>
      <vt:variant>
        <vt:i4>5</vt:i4>
      </vt:variant>
      <vt:variant>
        <vt:lpwstr/>
      </vt:variant>
      <vt:variant>
        <vt:lpwstr>_Toc315879143</vt:lpwstr>
      </vt:variant>
      <vt:variant>
        <vt:i4>1245232</vt:i4>
      </vt:variant>
      <vt:variant>
        <vt:i4>614</vt:i4>
      </vt:variant>
      <vt:variant>
        <vt:i4>0</vt:i4>
      </vt:variant>
      <vt:variant>
        <vt:i4>5</vt:i4>
      </vt:variant>
      <vt:variant>
        <vt:lpwstr/>
      </vt:variant>
      <vt:variant>
        <vt:lpwstr>_Toc315879142</vt:lpwstr>
      </vt:variant>
      <vt:variant>
        <vt:i4>1245232</vt:i4>
      </vt:variant>
      <vt:variant>
        <vt:i4>608</vt:i4>
      </vt:variant>
      <vt:variant>
        <vt:i4>0</vt:i4>
      </vt:variant>
      <vt:variant>
        <vt:i4>5</vt:i4>
      </vt:variant>
      <vt:variant>
        <vt:lpwstr/>
      </vt:variant>
      <vt:variant>
        <vt:lpwstr>_Toc315879141</vt:lpwstr>
      </vt:variant>
      <vt:variant>
        <vt:i4>1245232</vt:i4>
      </vt:variant>
      <vt:variant>
        <vt:i4>602</vt:i4>
      </vt:variant>
      <vt:variant>
        <vt:i4>0</vt:i4>
      </vt:variant>
      <vt:variant>
        <vt:i4>5</vt:i4>
      </vt:variant>
      <vt:variant>
        <vt:lpwstr/>
      </vt:variant>
      <vt:variant>
        <vt:lpwstr>_Toc315879140</vt:lpwstr>
      </vt:variant>
      <vt:variant>
        <vt:i4>1310768</vt:i4>
      </vt:variant>
      <vt:variant>
        <vt:i4>596</vt:i4>
      </vt:variant>
      <vt:variant>
        <vt:i4>0</vt:i4>
      </vt:variant>
      <vt:variant>
        <vt:i4>5</vt:i4>
      </vt:variant>
      <vt:variant>
        <vt:lpwstr/>
      </vt:variant>
      <vt:variant>
        <vt:lpwstr>_Toc315879139</vt:lpwstr>
      </vt:variant>
      <vt:variant>
        <vt:i4>1310768</vt:i4>
      </vt:variant>
      <vt:variant>
        <vt:i4>590</vt:i4>
      </vt:variant>
      <vt:variant>
        <vt:i4>0</vt:i4>
      </vt:variant>
      <vt:variant>
        <vt:i4>5</vt:i4>
      </vt:variant>
      <vt:variant>
        <vt:lpwstr/>
      </vt:variant>
      <vt:variant>
        <vt:lpwstr>_Toc315879138</vt:lpwstr>
      </vt:variant>
      <vt:variant>
        <vt:i4>1310768</vt:i4>
      </vt:variant>
      <vt:variant>
        <vt:i4>584</vt:i4>
      </vt:variant>
      <vt:variant>
        <vt:i4>0</vt:i4>
      </vt:variant>
      <vt:variant>
        <vt:i4>5</vt:i4>
      </vt:variant>
      <vt:variant>
        <vt:lpwstr/>
      </vt:variant>
      <vt:variant>
        <vt:lpwstr>_Toc315879137</vt:lpwstr>
      </vt:variant>
      <vt:variant>
        <vt:i4>1310768</vt:i4>
      </vt:variant>
      <vt:variant>
        <vt:i4>578</vt:i4>
      </vt:variant>
      <vt:variant>
        <vt:i4>0</vt:i4>
      </vt:variant>
      <vt:variant>
        <vt:i4>5</vt:i4>
      </vt:variant>
      <vt:variant>
        <vt:lpwstr/>
      </vt:variant>
      <vt:variant>
        <vt:lpwstr>_Toc315879136</vt:lpwstr>
      </vt:variant>
      <vt:variant>
        <vt:i4>1310768</vt:i4>
      </vt:variant>
      <vt:variant>
        <vt:i4>569</vt:i4>
      </vt:variant>
      <vt:variant>
        <vt:i4>0</vt:i4>
      </vt:variant>
      <vt:variant>
        <vt:i4>5</vt:i4>
      </vt:variant>
      <vt:variant>
        <vt:lpwstr/>
      </vt:variant>
      <vt:variant>
        <vt:lpwstr>_Toc315879135</vt:lpwstr>
      </vt:variant>
      <vt:variant>
        <vt:i4>1310768</vt:i4>
      </vt:variant>
      <vt:variant>
        <vt:i4>563</vt:i4>
      </vt:variant>
      <vt:variant>
        <vt:i4>0</vt:i4>
      </vt:variant>
      <vt:variant>
        <vt:i4>5</vt:i4>
      </vt:variant>
      <vt:variant>
        <vt:lpwstr/>
      </vt:variant>
      <vt:variant>
        <vt:lpwstr>_Toc315879134</vt:lpwstr>
      </vt:variant>
      <vt:variant>
        <vt:i4>1310768</vt:i4>
      </vt:variant>
      <vt:variant>
        <vt:i4>557</vt:i4>
      </vt:variant>
      <vt:variant>
        <vt:i4>0</vt:i4>
      </vt:variant>
      <vt:variant>
        <vt:i4>5</vt:i4>
      </vt:variant>
      <vt:variant>
        <vt:lpwstr/>
      </vt:variant>
      <vt:variant>
        <vt:lpwstr>_Toc315879133</vt:lpwstr>
      </vt:variant>
      <vt:variant>
        <vt:i4>1310768</vt:i4>
      </vt:variant>
      <vt:variant>
        <vt:i4>551</vt:i4>
      </vt:variant>
      <vt:variant>
        <vt:i4>0</vt:i4>
      </vt:variant>
      <vt:variant>
        <vt:i4>5</vt:i4>
      </vt:variant>
      <vt:variant>
        <vt:lpwstr/>
      </vt:variant>
      <vt:variant>
        <vt:lpwstr>_Toc315879132</vt:lpwstr>
      </vt:variant>
      <vt:variant>
        <vt:i4>1310768</vt:i4>
      </vt:variant>
      <vt:variant>
        <vt:i4>545</vt:i4>
      </vt:variant>
      <vt:variant>
        <vt:i4>0</vt:i4>
      </vt:variant>
      <vt:variant>
        <vt:i4>5</vt:i4>
      </vt:variant>
      <vt:variant>
        <vt:lpwstr/>
      </vt:variant>
      <vt:variant>
        <vt:lpwstr>_Toc315879131</vt:lpwstr>
      </vt:variant>
      <vt:variant>
        <vt:i4>1310768</vt:i4>
      </vt:variant>
      <vt:variant>
        <vt:i4>539</vt:i4>
      </vt:variant>
      <vt:variant>
        <vt:i4>0</vt:i4>
      </vt:variant>
      <vt:variant>
        <vt:i4>5</vt:i4>
      </vt:variant>
      <vt:variant>
        <vt:lpwstr/>
      </vt:variant>
      <vt:variant>
        <vt:lpwstr>_Toc315879130</vt:lpwstr>
      </vt:variant>
      <vt:variant>
        <vt:i4>1376304</vt:i4>
      </vt:variant>
      <vt:variant>
        <vt:i4>533</vt:i4>
      </vt:variant>
      <vt:variant>
        <vt:i4>0</vt:i4>
      </vt:variant>
      <vt:variant>
        <vt:i4>5</vt:i4>
      </vt:variant>
      <vt:variant>
        <vt:lpwstr/>
      </vt:variant>
      <vt:variant>
        <vt:lpwstr>_Toc315879129</vt:lpwstr>
      </vt:variant>
      <vt:variant>
        <vt:i4>1376304</vt:i4>
      </vt:variant>
      <vt:variant>
        <vt:i4>527</vt:i4>
      </vt:variant>
      <vt:variant>
        <vt:i4>0</vt:i4>
      </vt:variant>
      <vt:variant>
        <vt:i4>5</vt:i4>
      </vt:variant>
      <vt:variant>
        <vt:lpwstr/>
      </vt:variant>
      <vt:variant>
        <vt:lpwstr>_Toc315879128</vt:lpwstr>
      </vt:variant>
      <vt:variant>
        <vt:i4>1376304</vt:i4>
      </vt:variant>
      <vt:variant>
        <vt:i4>521</vt:i4>
      </vt:variant>
      <vt:variant>
        <vt:i4>0</vt:i4>
      </vt:variant>
      <vt:variant>
        <vt:i4>5</vt:i4>
      </vt:variant>
      <vt:variant>
        <vt:lpwstr/>
      </vt:variant>
      <vt:variant>
        <vt:lpwstr>_Toc315879127</vt:lpwstr>
      </vt:variant>
      <vt:variant>
        <vt:i4>1376304</vt:i4>
      </vt:variant>
      <vt:variant>
        <vt:i4>515</vt:i4>
      </vt:variant>
      <vt:variant>
        <vt:i4>0</vt:i4>
      </vt:variant>
      <vt:variant>
        <vt:i4>5</vt:i4>
      </vt:variant>
      <vt:variant>
        <vt:lpwstr/>
      </vt:variant>
      <vt:variant>
        <vt:lpwstr>_Toc315879126</vt:lpwstr>
      </vt:variant>
      <vt:variant>
        <vt:i4>1376304</vt:i4>
      </vt:variant>
      <vt:variant>
        <vt:i4>509</vt:i4>
      </vt:variant>
      <vt:variant>
        <vt:i4>0</vt:i4>
      </vt:variant>
      <vt:variant>
        <vt:i4>5</vt:i4>
      </vt:variant>
      <vt:variant>
        <vt:lpwstr/>
      </vt:variant>
      <vt:variant>
        <vt:lpwstr>_Toc315879125</vt:lpwstr>
      </vt:variant>
      <vt:variant>
        <vt:i4>1376304</vt:i4>
      </vt:variant>
      <vt:variant>
        <vt:i4>503</vt:i4>
      </vt:variant>
      <vt:variant>
        <vt:i4>0</vt:i4>
      </vt:variant>
      <vt:variant>
        <vt:i4>5</vt:i4>
      </vt:variant>
      <vt:variant>
        <vt:lpwstr/>
      </vt:variant>
      <vt:variant>
        <vt:lpwstr>_Toc315879124</vt:lpwstr>
      </vt:variant>
      <vt:variant>
        <vt:i4>1376304</vt:i4>
      </vt:variant>
      <vt:variant>
        <vt:i4>497</vt:i4>
      </vt:variant>
      <vt:variant>
        <vt:i4>0</vt:i4>
      </vt:variant>
      <vt:variant>
        <vt:i4>5</vt:i4>
      </vt:variant>
      <vt:variant>
        <vt:lpwstr/>
      </vt:variant>
      <vt:variant>
        <vt:lpwstr>_Toc315879123</vt:lpwstr>
      </vt:variant>
      <vt:variant>
        <vt:i4>1376304</vt:i4>
      </vt:variant>
      <vt:variant>
        <vt:i4>491</vt:i4>
      </vt:variant>
      <vt:variant>
        <vt:i4>0</vt:i4>
      </vt:variant>
      <vt:variant>
        <vt:i4>5</vt:i4>
      </vt:variant>
      <vt:variant>
        <vt:lpwstr/>
      </vt:variant>
      <vt:variant>
        <vt:lpwstr>_Toc315879122</vt:lpwstr>
      </vt:variant>
      <vt:variant>
        <vt:i4>1376304</vt:i4>
      </vt:variant>
      <vt:variant>
        <vt:i4>485</vt:i4>
      </vt:variant>
      <vt:variant>
        <vt:i4>0</vt:i4>
      </vt:variant>
      <vt:variant>
        <vt:i4>5</vt:i4>
      </vt:variant>
      <vt:variant>
        <vt:lpwstr/>
      </vt:variant>
      <vt:variant>
        <vt:lpwstr>_Toc315879121</vt:lpwstr>
      </vt:variant>
      <vt:variant>
        <vt:i4>1376304</vt:i4>
      </vt:variant>
      <vt:variant>
        <vt:i4>479</vt:i4>
      </vt:variant>
      <vt:variant>
        <vt:i4>0</vt:i4>
      </vt:variant>
      <vt:variant>
        <vt:i4>5</vt:i4>
      </vt:variant>
      <vt:variant>
        <vt:lpwstr/>
      </vt:variant>
      <vt:variant>
        <vt:lpwstr>_Toc315879120</vt:lpwstr>
      </vt:variant>
      <vt:variant>
        <vt:i4>1441840</vt:i4>
      </vt:variant>
      <vt:variant>
        <vt:i4>473</vt:i4>
      </vt:variant>
      <vt:variant>
        <vt:i4>0</vt:i4>
      </vt:variant>
      <vt:variant>
        <vt:i4>5</vt:i4>
      </vt:variant>
      <vt:variant>
        <vt:lpwstr/>
      </vt:variant>
      <vt:variant>
        <vt:lpwstr>_Toc315879119</vt:lpwstr>
      </vt:variant>
      <vt:variant>
        <vt:i4>1441840</vt:i4>
      </vt:variant>
      <vt:variant>
        <vt:i4>467</vt:i4>
      </vt:variant>
      <vt:variant>
        <vt:i4>0</vt:i4>
      </vt:variant>
      <vt:variant>
        <vt:i4>5</vt:i4>
      </vt:variant>
      <vt:variant>
        <vt:lpwstr/>
      </vt:variant>
      <vt:variant>
        <vt:lpwstr>_Toc315879118</vt:lpwstr>
      </vt:variant>
      <vt:variant>
        <vt:i4>1441840</vt:i4>
      </vt:variant>
      <vt:variant>
        <vt:i4>461</vt:i4>
      </vt:variant>
      <vt:variant>
        <vt:i4>0</vt:i4>
      </vt:variant>
      <vt:variant>
        <vt:i4>5</vt:i4>
      </vt:variant>
      <vt:variant>
        <vt:lpwstr/>
      </vt:variant>
      <vt:variant>
        <vt:lpwstr>_Toc315879117</vt:lpwstr>
      </vt:variant>
      <vt:variant>
        <vt:i4>1441840</vt:i4>
      </vt:variant>
      <vt:variant>
        <vt:i4>455</vt:i4>
      </vt:variant>
      <vt:variant>
        <vt:i4>0</vt:i4>
      </vt:variant>
      <vt:variant>
        <vt:i4>5</vt:i4>
      </vt:variant>
      <vt:variant>
        <vt:lpwstr/>
      </vt:variant>
      <vt:variant>
        <vt:lpwstr>_Toc315879116</vt:lpwstr>
      </vt:variant>
      <vt:variant>
        <vt:i4>1441840</vt:i4>
      </vt:variant>
      <vt:variant>
        <vt:i4>449</vt:i4>
      </vt:variant>
      <vt:variant>
        <vt:i4>0</vt:i4>
      </vt:variant>
      <vt:variant>
        <vt:i4>5</vt:i4>
      </vt:variant>
      <vt:variant>
        <vt:lpwstr/>
      </vt:variant>
      <vt:variant>
        <vt:lpwstr>_Toc315879115</vt:lpwstr>
      </vt:variant>
      <vt:variant>
        <vt:i4>1441840</vt:i4>
      </vt:variant>
      <vt:variant>
        <vt:i4>443</vt:i4>
      </vt:variant>
      <vt:variant>
        <vt:i4>0</vt:i4>
      </vt:variant>
      <vt:variant>
        <vt:i4>5</vt:i4>
      </vt:variant>
      <vt:variant>
        <vt:lpwstr/>
      </vt:variant>
      <vt:variant>
        <vt:lpwstr>_Toc315879114</vt:lpwstr>
      </vt:variant>
      <vt:variant>
        <vt:i4>1441840</vt:i4>
      </vt:variant>
      <vt:variant>
        <vt:i4>437</vt:i4>
      </vt:variant>
      <vt:variant>
        <vt:i4>0</vt:i4>
      </vt:variant>
      <vt:variant>
        <vt:i4>5</vt:i4>
      </vt:variant>
      <vt:variant>
        <vt:lpwstr/>
      </vt:variant>
      <vt:variant>
        <vt:lpwstr>_Toc315879113</vt:lpwstr>
      </vt:variant>
      <vt:variant>
        <vt:i4>1441840</vt:i4>
      </vt:variant>
      <vt:variant>
        <vt:i4>431</vt:i4>
      </vt:variant>
      <vt:variant>
        <vt:i4>0</vt:i4>
      </vt:variant>
      <vt:variant>
        <vt:i4>5</vt:i4>
      </vt:variant>
      <vt:variant>
        <vt:lpwstr/>
      </vt:variant>
      <vt:variant>
        <vt:lpwstr>_Toc315879112</vt:lpwstr>
      </vt:variant>
      <vt:variant>
        <vt:i4>1441840</vt:i4>
      </vt:variant>
      <vt:variant>
        <vt:i4>425</vt:i4>
      </vt:variant>
      <vt:variant>
        <vt:i4>0</vt:i4>
      </vt:variant>
      <vt:variant>
        <vt:i4>5</vt:i4>
      </vt:variant>
      <vt:variant>
        <vt:lpwstr/>
      </vt:variant>
      <vt:variant>
        <vt:lpwstr>_Toc315879111</vt:lpwstr>
      </vt:variant>
      <vt:variant>
        <vt:i4>1441840</vt:i4>
      </vt:variant>
      <vt:variant>
        <vt:i4>419</vt:i4>
      </vt:variant>
      <vt:variant>
        <vt:i4>0</vt:i4>
      </vt:variant>
      <vt:variant>
        <vt:i4>5</vt:i4>
      </vt:variant>
      <vt:variant>
        <vt:lpwstr/>
      </vt:variant>
      <vt:variant>
        <vt:lpwstr>_Toc315879110</vt:lpwstr>
      </vt:variant>
      <vt:variant>
        <vt:i4>1507376</vt:i4>
      </vt:variant>
      <vt:variant>
        <vt:i4>413</vt:i4>
      </vt:variant>
      <vt:variant>
        <vt:i4>0</vt:i4>
      </vt:variant>
      <vt:variant>
        <vt:i4>5</vt:i4>
      </vt:variant>
      <vt:variant>
        <vt:lpwstr/>
      </vt:variant>
      <vt:variant>
        <vt:lpwstr>_Toc315879109</vt:lpwstr>
      </vt:variant>
      <vt:variant>
        <vt:i4>1507376</vt:i4>
      </vt:variant>
      <vt:variant>
        <vt:i4>407</vt:i4>
      </vt:variant>
      <vt:variant>
        <vt:i4>0</vt:i4>
      </vt:variant>
      <vt:variant>
        <vt:i4>5</vt:i4>
      </vt:variant>
      <vt:variant>
        <vt:lpwstr/>
      </vt:variant>
      <vt:variant>
        <vt:lpwstr>_Toc315879108</vt:lpwstr>
      </vt:variant>
      <vt:variant>
        <vt:i4>1507376</vt:i4>
      </vt:variant>
      <vt:variant>
        <vt:i4>401</vt:i4>
      </vt:variant>
      <vt:variant>
        <vt:i4>0</vt:i4>
      </vt:variant>
      <vt:variant>
        <vt:i4>5</vt:i4>
      </vt:variant>
      <vt:variant>
        <vt:lpwstr/>
      </vt:variant>
      <vt:variant>
        <vt:lpwstr>_Toc315879107</vt:lpwstr>
      </vt:variant>
      <vt:variant>
        <vt:i4>1507376</vt:i4>
      </vt:variant>
      <vt:variant>
        <vt:i4>395</vt:i4>
      </vt:variant>
      <vt:variant>
        <vt:i4>0</vt:i4>
      </vt:variant>
      <vt:variant>
        <vt:i4>5</vt:i4>
      </vt:variant>
      <vt:variant>
        <vt:lpwstr/>
      </vt:variant>
      <vt:variant>
        <vt:lpwstr>_Toc315879106</vt:lpwstr>
      </vt:variant>
      <vt:variant>
        <vt:i4>1507376</vt:i4>
      </vt:variant>
      <vt:variant>
        <vt:i4>389</vt:i4>
      </vt:variant>
      <vt:variant>
        <vt:i4>0</vt:i4>
      </vt:variant>
      <vt:variant>
        <vt:i4>5</vt:i4>
      </vt:variant>
      <vt:variant>
        <vt:lpwstr/>
      </vt:variant>
      <vt:variant>
        <vt:lpwstr>_Toc315879105</vt:lpwstr>
      </vt:variant>
      <vt:variant>
        <vt:i4>1507376</vt:i4>
      </vt:variant>
      <vt:variant>
        <vt:i4>383</vt:i4>
      </vt:variant>
      <vt:variant>
        <vt:i4>0</vt:i4>
      </vt:variant>
      <vt:variant>
        <vt:i4>5</vt:i4>
      </vt:variant>
      <vt:variant>
        <vt:lpwstr/>
      </vt:variant>
      <vt:variant>
        <vt:lpwstr>_Toc315879104</vt:lpwstr>
      </vt:variant>
      <vt:variant>
        <vt:i4>1507376</vt:i4>
      </vt:variant>
      <vt:variant>
        <vt:i4>377</vt:i4>
      </vt:variant>
      <vt:variant>
        <vt:i4>0</vt:i4>
      </vt:variant>
      <vt:variant>
        <vt:i4>5</vt:i4>
      </vt:variant>
      <vt:variant>
        <vt:lpwstr/>
      </vt:variant>
      <vt:variant>
        <vt:lpwstr>_Toc315879103</vt:lpwstr>
      </vt:variant>
      <vt:variant>
        <vt:i4>1507376</vt:i4>
      </vt:variant>
      <vt:variant>
        <vt:i4>371</vt:i4>
      </vt:variant>
      <vt:variant>
        <vt:i4>0</vt:i4>
      </vt:variant>
      <vt:variant>
        <vt:i4>5</vt:i4>
      </vt:variant>
      <vt:variant>
        <vt:lpwstr/>
      </vt:variant>
      <vt:variant>
        <vt:lpwstr>_Toc315879102</vt:lpwstr>
      </vt:variant>
      <vt:variant>
        <vt:i4>1507376</vt:i4>
      </vt:variant>
      <vt:variant>
        <vt:i4>365</vt:i4>
      </vt:variant>
      <vt:variant>
        <vt:i4>0</vt:i4>
      </vt:variant>
      <vt:variant>
        <vt:i4>5</vt:i4>
      </vt:variant>
      <vt:variant>
        <vt:lpwstr/>
      </vt:variant>
      <vt:variant>
        <vt:lpwstr>_Toc315879101</vt:lpwstr>
      </vt:variant>
      <vt:variant>
        <vt:i4>1507376</vt:i4>
      </vt:variant>
      <vt:variant>
        <vt:i4>359</vt:i4>
      </vt:variant>
      <vt:variant>
        <vt:i4>0</vt:i4>
      </vt:variant>
      <vt:variant>
        <vt:i4>5</vt:i4>
      </vt:variant>
      <vt:variant>
        <vt:lpwstr/>
      </vt:variant>
      <vt:variant>
        <vt:lpwstr>_Toc315879100</vt:lpwstr>
      </vt:variant>
      <vt:variant>
        <vt:i4>1966129</vt:i4>
      </vt:variant>
      <vt:variant>
        <vt:i4>353</vt:i4>
      </vt:variant>
      <vt:variant>
        <vt:i4>0</vt:i4>
      </vt:variant>
      <vt:variant>
        <vt:i4>5</vt:i4>
      </vt:variant>
      <vt:variant>
        <vt:lpwstr/>
      </vt:variant>
      <vt:variant>
        <vt:lpwstr>_Toc315879099</vt:lpwstr>
      </vt:variant>
      <vt:variant>
        <vt:i4>1966129</vt:i4>
      </vt:variant>
      <vt:variant>
        <vt:i4>347</vt:i4>
      </vt:variant>
      <vt:variant>
        <vt:i4>0</vt:i4>
      </vt:variant>
      <vt:variant>
        <vt:i4>5</vt:i4>
      </vt:variant>
      <vt:variant>
        <vt:lpwstr/>
      </vt:variant>
      <vt:variant>
        <vt:lpwstr>_Toc315879098</vt:lpwstr>
      </vt:variant>
      <vt:variant>
        <vt:i4>1966129</vt:i4>
      </vt:variant>
      <vt:variant>
        <vt:i4>341</vt:i4>
      </vt:variant>
      <vt:variant>
        <vt:i4>0</vt:i4>
      </vt:variant>
      <vt:variant>
        <vt:i4>5</vt:i4>
      </vt:variant>
      <vt:variant>
        <vt:lpwstr/>
      </vt:variant>
      <vt:variant>
        <vt:lpwstr>_Toc315879097</vt:lpwstr>
      </vt:variant>
      <vt:variant>
        <vt:i4>1966129</vt:i4>
      </vt:variant>
      <vt:variant>
        <vt:i4>335</vt:i4>
      </vt:variant>
      <vt:variant>
        <vt:i4>0</vt:i4>
      </vt:variant>
      <vt:variant>
        <vt:i4>5</vt:i4>
      </vt:variant>
      <vt:variant>
        <vt:lpwstr/>
      </vt:variant>
      <vt:variant>
        <vt:lpwstr>_Toc315879096</vt:lpwstr>
      </vt:variant>
      <vt:variant>
        <vt:i4>1966129</vt:i4>
      </vt:variant>
      <vt:variant>
        <vt:i4>329</vt:i4>
      </vt:variant>
      <vt:variant>
        <vt:i4>0</vt:i4>
      </vt:variant>
      <vt:variant>
        <vt:i4>5</vt:i4>
      </vt:variant>
      <vt:variant>
        <vt:lpwstr/>
      </vt:variant>
      <vt:variant>
        <vt:lpwstr>_Toc315879095</vt:lpwstr>
      </vt:variant>
      <vt:variant>
        <vt:i4>1966129</vt:i4>
      </vt:variant>
      <vt:variant>
        <vt:i4>323</vt:i4>
      </vt:variant>
      <vt:variant>
        <vt:i4>0</vt:i4>
      </vt:variant>
      <vt:variant>
        <vt:i4>5</vt:i4>
      </vt:variant>
      <vt:variant>
        <vt:lpwstr/>
      </vt:variant>
      <vt:variant>
        <vt:lpwstr>_Toc315879094</vt:lpwstr>
      </vt:variant>
      <vt:variant>
        <vt:i4>1966129</vt:i4>
      </vt:variant>
      <vt:variant>
        <vt:i4>317</vt:i4>
      </vt:variant>
      <vt:variant>
        <vt:i4>0</vt:i4>
      </vt:variant>
      <vt:variant>
        <vt:i4>5</vt:i4>
      </vt:variant>
      <vt:variant>
        <vt:lpwstr/>
      </vt:variant>
      <vt:variant>
        <vt:lpwstr>_Toc315879093</vt:lpwstr>
      </vt:variant>
      <vt:variant>
        <vt:i4>1966129</vt:i4>
      </vt:variant>
      <vt:variant>
        <vt:i4>311</vt:i4>
      </vt:variant>
      <vt:variant>
        <vt:i4>0</vt:i4>
      </vt:variant>
      <vt:variant>
        <vt:i4>5</vt:i4>
      </vt:variant>
      <vt:variant>
        <vt:lpwstr/>
      </vt:variant>
      <vt:variant>
        <vt:lpwstr>_Toc315879092</vt:lpwstr>
      </vt:variant>
      <vt:variant>
        <vt:i4>1638448</vt:i4>
      </vt:variant>
      <vt:variant>
        <vt:i4>302</vt:i4>
      </vt:variant>
      <vt:variant>
        <vt:i4>0</vt:i4>
      </vt:variant>
      <vt:variant>
        <vt:i4>5</vt:i4>
      </vt:variant>
      <vt:variant>
        <vt:lpwstr/>
      </vt:variant>
      <vt:variant>
        <vt:lpwstr>_Toc317167292</vt:lpwstr>
      </vt:variant>
      <vt:variant>
        <vt:i4>1638448</vt:i4>
      </vt:variant>
      <vt:variant>
        <vt:i4>296</vt:i4>
      </vt:variant>
      <vt:variant>
        <vt:i4>0</vt:i4>
      </vt:variant>
      <vt:variant>
        <vt:i4>5</vt:i4>
      </vt:variant>
      <vt:variant>
        <vt:lpwstr/>
      </vt:variant>
      <vt:variant>
        <vt:lpwstr>_Toc317167291</vt:lpwstr>
      </vt:variant>
      <vt:variant>
        <vt:i4>1638448</vt:i4>
      </vt:variant>
      <vt:variant>
        <vt:i4>290</vt:i4>
      </vt:variant>
      <vt:variant>
        <vt:i4>0</vt:i4>
      </vt:variant>
      <vt:variant>
        <vt:i4>5</vt:i4>
      </vt:variant>
      <vt:variant>
        <vt:lpwstr/>
      </vt:variant>
      <vt:variant>
        <vt:lpwstr>_Toc317167290</vt:lpwstr>
      </vt:variant>
      <vt:variant>
        <vt:i4>1572912</vt:i4>
      </vt:variant>
      <vt:variant>
        <vt:i4>284</vt:i4>
      </vt:variant>
      <vt:variant>
        <vt:i4>0</vt:i4>
      </vt:variant>
      <vt:variant>
        <vt:i4>5</vt:i4>
      </vt:variant>
      <vt:variant>
        <vt:lpwstr/>
      </vt:variant>
      <vt:variant>
        <vt:lpwstr>_Toc317167289</vt:lpwstr>
      </vt:variant>
      <vt:variant>
        <vt:i4>1572912</vt:i4>
      </vt:variant>
      <vt:variant>
        <vt:i4>278</vt:i4>
      </vt:variant>
      <vt:variant>
        <vt:i4>0</vt:i4>
      </vt:variant>
      <vt:variant>
        <vt:i4>5</vt:i4>
      </vt:variant>
      <vt:variant>
        <vt:lpwstr/>
      </vt:variant>
      <vt:variant>
        <vt:lpwstr>_Toc317167288</vt:lpwstr>
      </vt:variant>
      <vt:variant>
        <vt:i4>1572912</vt:i4>
      </vt:variant>
      <vt:variant>
        <vt:i4>272</vt:i4>
      </vt:variant>
      <vt:variant>
        <vt:i4>0</vt:i4>
      </vt:variant>
      <vt:variant>
        <vt:i4>5</vt:i4>
      </vt:variant>
      <vt:variant>
        <vt:lpwstr/>
      </vt:variant>
      <vt:variant>
        <vt:lpwstr>_Toc317167287</vt:lpwstr>
      </vt:variant>
      <vt:variant>
        <vt:i4>1572912</vt:i4>
      </vt:variant>
      <vt:variant>
        <vt:i4>266</vt:i4>
      </vt:variant>
      <vt:variant>
        <vt:i4>0</vt:i4>
      </vt:variant>
      <vt:variant>
        <vt:i4>5</vt:i4>
      </vt:variant>
      <vt:variant>
        <vt:lpwstr/>
      </vt:variant>
      <vt:variant>
        <vt:lpwstr>_Toc317167286</vt:lpwstr>
      </vt:variant>
      <vt:variant>
        <vt:i4>1572912</vt:i4>
      </vt:variant>
      <vt:variant>
        <vt:i4>260</vt:i4>
      </vt:variant>
      <vt:variant>
        <vt:i4>0</vt:i4>
      </vt:variant>
      <vt:variant>
        <vt:i4>5</vt:i4>
      </vt:variant>
      <vt:variant>
        <vt:lpwstr/>
      </vt:variant>
      <vt:variant>
        <vt:lpwstr>_Toc317167285</vt:lpwstr>
      </vt:variant>
      <vt:variant>
        <vt:i4>1572912</vt:i4>
      </vt:variant>
      <vt:variant>
        <vt:i4>254</vt:i4>
      </vt:variant>
      <vt:variant>
        <vt:i4>0</vt:i4>
      </vt:variant>
      <vt:variant>
        <vt:i4>5</vt:i4>
      </vt:variant>
      <vt:variant>
        <vt:lpwstr/>
      </vt:variant>
      <vt:variant>
        <vt:lpwstr>_Toc317167284</vt:lpwstr>
      </vt:variant>
      <vt:variant>
        <vt:i4>1572912</vt:i4>
      </vt:variant>
      <vt:variant>
        <vt:i4>248</vt:i4>
      </vt:variant>
      <vt:variant>
        <vt:i4>0</vt:i4>
      </vt:variant>
      <vt:variant>
        <vt:i4>5</vt:i4>
      </vt:variant>
      <vt:variant>
        <vt:lpwstr/>
      </vt:variant>
      <vt:variant>
        <vt:lpwstr>_Toc317167283</vt:lpwstr>
      </vt:variant>
      <vt:variant>
        <vt:i4>1572912</vt:i4>
      </vt:variant>
      <vt:variant>
        <vt:i4>242</vt:i4>
      </vt:variant>
      <vt:variant>
        <vt:i4>0</vt:i4>
      </vt:variant>
      <vt:variant>
        <vt:i4>5</vt:i4>
      </vt:variant>
      <vt:variant>
        <vt:lpwstr/>
      </vt:variant>
      <vt:variant>
        <vt:lpwstr>_Toc317167282</vt:lpwstr>
      </vt:variant>
      <vt:variant>
        <vt:i4>1572912</vt:i4>
      </vt:variant>
      <vt:variant>
        <vt:i4>236</vt:i4>
      </vt:variant>
      <vt:variant>
        <vt:i4>0</vt:i4>
      </vt:variant>
      <vt:variant>
        <vt:i4>5</vt:i4>
      </vt:variant>
      <vt:variant>
        <vt:lpwstr/>
      </vt:variant>
      <vt:variant>
        <vt:lpwstr>_Toc317167281</vt:lpwstr>
      </vt:variant>
      <vt:variant>
        <vt:i4>1572912</vt:i4>
      </vt:variant>
      <vt:variant>
        <vt:i4>230</vt:i4>
      </vt:variant>
      <vt:variant>
        <vt:i4>0</vt:i4>
      </vt:variant>
      <vt:variant>
        <vt:i4>5</vt:i4>
      </vt:variant>
      <vt:variant>
        <vt:lpwstr/>
      </vt:variant>
      <vt:variant>
        <vt:lpwstr>_Toc317167280</vt:lpwstr>
      </vt:variant>
      <vt:variant>
        <vt:i4>1507376</vt:i4>
      </vt:variant>
      <vt:variant>
        <vt:i4>224</vt:i4>
      </vt:variant>
      <vt:variant>
        <vt:i4>0</vt:i4>
      </vt:variant>
      <vt:variant>
        <vt:i4>5</vt:i4>
      </vt:variant>
      <vt:variant>
        <vt:lpwstr/>
      </vt:variant>
      <vt:variant>
        <vt:lpwstr>_Toc317167279</vt:lpwstr>
      </vt:variant>
      <vt:variant>
        <vt:i4>1507376</vt:i4>
      </vt:variant>
      <vt:variant>
        <vt:i4>218</vt:i4>
      </vt:variant>
      <vt:variant>
        <vt:i4>0</vt:i4>
      </vt:variant>
      <vt:variant>
        <vt:i4>5</vt:i4>
      </vt:variant>
      <vt:variant>
        <vt:lpwstr/>
      </vt:variant>
      <vt:variant>
        <vt:lpwstr>_Toc317167278</vt:lpwstr>
      </vt:variant>
      <vt:variant>
        <vt:i4>1507376</vt:i4>
      </vt:variant>
      <vt:variant>
        <vt:i4>212</vt:i4>
      </vt:variant>
      <vt:variant>
        <vt:i4>0</vt:i4>
      </vt:variant>
      <vt:variant>
        <vt:i4>5</vt:i4>
      </vt:variant>
      <vt:variant>
        <vt:lpwstr/>
      </vt:variant>
      <vt:variant>
        <vt:lpwstr>_Toc317167277</vt:lpwstr>
      </vt:variant>
      <vt:variant>
        <vt:i4>1507376</vt:i4>
      </vt:variant>
      <vt:variant>
        <vt:i4>206</vt:i4>
      </vt:variant>
      <vt:variant>
        <vt:i4>0</vt:i4>
      </vt:variant>
      <vt:variant>
        <vt:i4>5</vt:i4>
      </vt:variant>
      <vt:variant>
        <vt:lpwstr/>
      </vt:variant>
      <vt:variant>
        <vt:lpwstr>_Toc317167276</vt:lpwstr>
      </vt:variant>
      <vt:variant>
        <vt:i4>1507376</vt:i4>
      </vt:variant>
      <vt:variant>
        <vt:i4>200</vt:i4>
      </vt:variant>
      <vt:variant>
        <vt:i4>0</vt:i4>
      </vt:variant>
      <vt:variant>
        <vt:i4>5</vt:i4>
      </vt:variant>
      <vt:variant>
        <vt:lpwstr/>
      </vt:variant>
      <vt:variant>
        <vt:lpwstr>_Toc317167275</vt:lpwstr>
      </vt:variant>
      <vt:variant>
        <vt:i4>1507376</vt:i4>
      </vt:variant>
      <vt:variant>
        <vt:i4>194</vt:i4>
      </vt:variant>
      <vt:variant>
        <vt:i4>0</vt:i4>
      </vt:variant>
      <vt:variant>
        <vt:i4>5</vt:i4>
      </vt:variant>
      <vt:variant>
        <vt:lpwstr/>
      </vt:variant>
      <vt:variant>
        <vt:lpwstr>_Toc317167274</vt:lpwstr>
      </vt:variant>
      <vt:variant>
        <vt:i4>1507376</vt:i4>
      </vt:variant>
      <vt:variant>
        <vt:i4>188</vt:i4>
      </vt:variant>
      <vt:variant>
        <vt:i4>0</vt:i4>
      </vt:variant>
      <vt:variant>
        <vt:i4>5</vt:i4>
      </vt:variant>
      <vt:variant>
        <vt:lpwstr/>
      </vt:variant>
      <vt:variant>
        <vt:lpwstr>_Toc317167273</vt:lpwstr>
      </vt:variant>
      <vt:variant>
        <vt:i4>1507376</vt:i4>
      </vt:variant>
      <vt:variant>
        <vt:i4>182</vt:i4>
      </vt:variant>
      <vt:variant>
        <vt:i4>0</vt:i4>
      </vt:variant>
      <vt:variant>
        <vt:i4>5</vt:i4>
      </vt:variant>
      <vt:variant>
        <vt:lpwstr/>
      </vt:variant>
      <vt:variant>
        <vt:lpwstr>_Toc317167272</vt:lpwstr>
      </vt:variant>
      <vt:variant>
        <vt:i4>1507376</vt:i4>
      </vt:variant>
      <vt:variant>
        <vt:i4>176</vt:i4>
      </vt:variant>
      <vt:variant>
        <vt:i4>0</vt:i4>
      </vt:variant>
      <vt:variant>
        <vt:i4>5</vt:i4>
      </vt:variant>
      <vt:variant>
        <vt:lpwstr/>
      </vt:variant>
      <vt:variant>
        <vt:lpwstr>_Toc317167271</vt:lpwstr>
      </vt:variant>
      <vt:variant>
        <vt:i4>1507376</vt:i4>
      </vt:variant>
      <vt:variant>
        <vt:i4>170</vt:i4>
      </vt:variant>
      <vt:variant>
        <vt:i4>0</vt:i4>
      </vt:variant>
      <vt:variant>
        <vt:i4>5</vt:i4>
      </vt:variant>
      <vt:variant>
        <vt:lpwstr/>
      </vt:variant>
      <vt:variant>
        <vt:lpwstr>_Toc317167270</vt:lpwstr>
      </vt:variant>
      <vt:variant>
        <vt:i4>1441840</vt:i4>
      </vt:variant>
      <vt:variant>
        <vt:i4>164</vt:i4>
      </vt:variant>
      <vt:variant>
        <vt:i4>0</vt:i4>
      </vt:variant>
      <vt:variant>
        <vt:i4>5</vt:i4>
      </vt:variant>
      <vt:variant>
        <vt:lpwstr/>
      </vt:variant>
      <vt:variant>
        <vt:lpwstr>_Toc317167269</vt:lpwstr>
      </vt:variant>
      <vt:variant>
        <vt:i4>1441840</vt:i4>
      </vt:variant>
      <vt:variant>
        <vt:i4>158</vt:i4>
      </vt:variant>
      <vt:variant>
        <vt:i4>0</vt:i4>
      </vt:variant>
      <vt:variant>
        <vt:i4>5</vt:i4>
      </vt:variant>
      <vt:variant>
        <vt:lpwstr/>
      </vt:variant>
      <vt:variant>
        <vt:lpwstr>_Toc317167268</vt:lpwstr>
      </vt:variant>
      <vt:variant>
        <vt:i4>1441840</vt:i4>
      </vt:variant>
      <vt:variant>
        <vt:i4>152</vt:i4>
      </vt:variant>
      <vt:variant>
        <vt:i4>0</vt:i4>
      </vt:variant>
      <vt:variant>
        <vt:i4>5</vt:i4>
      </vt:variant>
      <vt:variant>
        <vt:lpwstr/>
      </vt:variant>
      <vt:variant>
        <vt:lpwstr>_Toc317167267</vt:lpwstr>
      </vt:variant>
      <vt:variant>
        <vt:i4>1441840</vt:i4>
      </vt:variant>
      <vt:variant>
        <vt:i4>146</vt:i4>
      </vt:variant>
      <vt:variant>
        <vt:i4>0</vt:i4>
      </vt:variant>
      <vt:variant>
        <vt:i4>5</vt:i4>
      </vt:variant>
      <vt:variant>
        <vt:lpwstr/>
      </vt:variant>
      <vt:variant>
        <vt:lpwstr>_Toc317167266</vt:lpwstr>
      </vt:variant>
      <vt:variant>
        <vt:i4>1441840</vt:i4>
      </vt:variant>
      <vt:variant>
        <vt:i4>140</vt:i4>
      </vt:variant>
      <vt:variant>
        <vt:i4>0</vt:i4>
      </vt:variant>
      <vt:variant>
        <vt:i4>5</vt:i4>
      </vt:variant>
      <vt:variant>
        <vt:lpwstr/>
      </vt:variant>
      <vt:variant>
        <vt:lpwstr>_Toc317167265</vt:lpwstr>
      </vt:variant>
      <vt:variant>
        <vt:i4>1441840</vt:i4>
      </vt:variant>
      <vt:variant>
        <vt:i4>134</vt:i4>
      </vt:variant>
      <vt:variant>
        <vt:i4>0</vt:i4>
      </vt:variant>
      <vt:variant>
        <vt:i4>5</vt:i4>
      </vt:variant>
      <vt:variant>
        <vt:lpwstr/>
      </vt:variant>
      <vt:variant>
        <vt:lpwstr>_Toc317167264</vt:lpwstr>
      </vt:variant>
      <vt:variant>
        <vt:i4>1441840</vt:i4>
      </vt:variant>
      <vt:variant>
        <vt:i4>128</vt:i4>
      </vt:variant>
      <vt:variant>
        <vt:i4>0</vt:i4>
      </vt:variant>
      <vt:variant>
        <vt:i4>5</vt:i4>
      </vt:variant>
      <vt:variant>
        <vt:lpwstr/>
      </vt:variant>
      <vt:variant>
        <vt:lpwstr>_Toc317167263</vt:lpwstr>
      </vt:variant>
      <vt:variant>
        <vt:i4>1441840</vt:i4>
      </vt:variant>
      <vt:variant>
        <vt:i4>122</vt:i4>
      </vt:variant>
      <vt:variant>
        <vt:i4>0</vt:i4>
      </vt:variant>
      <vt:variant>
        <vt:i4>5</vt:i4>
      </vt:variant>
      <vt:variant>
        <vt:lpwstr/>
      </vt:variant>
      <vt:variant>
        <vt:lpwstr>_Toc317167262</vt:lpwstr>
      </vt:variant>
      <vt:variant>
        <vt:i4>1441840</vt:i4>
      </vt:variant>
      <vt:variant>
        <vt:i4>116</vt:i4>
      </vt:variant>
      <vt:variant>
        <vt:i4>0</vt:i4>
      </vt:variant>
      <vt:variant>
        <vt:i4>5</vt:i4>
      </vt:variant>
      <vt:variant>
        <vt:lpwstr/>
      </vt:variant>
      <vt:variant>
        <vt:lpwstr>_Toc317167261</vt:lpwstr>
      </vt:variant>
      <vt:variant>
        <vt:i4>1441840</vt:i4>
      </vt:variant>
      <vt:variant>
        <vt:i4>110</vt:i4>
      </vt:variant>
      <vt:variant>
        <vt:i4>0</vt:i4>
      </vt:variant>
      <vt:variant>
        <vt:i4>5</vt:i4>
      </vt:variant>
      <vt:variant>
        <vt:lpwstr/>
      </vt:variant>
      <vt:variant>
        <vt:lpwstr>_Toc317167260</vt:lpwstr>
      </vt:variant>
      <vt:variant>
        <vt:i4>1376304</vt:i4>
      </vt:variant>
      <vt:variant>
        <vt:i4>104</vt:i4>
      </vt:variant>
      <vt:variant>
        <vt:i4>0</vt:i4>
      </vt:variant>
      <vt:variant>
        <vt:i4>5</vt:i4>
      </vt:variant>
      <vt:variant>
        <vt:lpwstr/>
      </vt:variant>
      <vt:variant>
        <vt:lpwstr>_Toc317167259</vt:lpwstr>
      </vt:variant>
      <vt:variant>
        <vt:i4>1376304</vt:i4>
      </vt:variant>
      <vt:variant>
        <vt:i4>98</vt:i4>
      </vt:variant>
      <vt:variant>
        <vt:i4>0</vt:i4>
      </vt:variant>
      <vt:variant>
        <vt:i4>5</vt:i4>
      </vt:variant>
      <vt:variant>
        <vt:lpwstr/>
      </vt:variant>
      <vt:variant>
        <vt:lpwstr>_Toc317167258</vt:lpwstr>
      </vt:variant>
      <vt:variant>
        <vt:i4>1376304</vt:i4>
      </vt:variant>
      <vt:variant>
        <vt:i4>92</vt:i4>
      </vt:variant>
      <vt:variant>
        <vt:i4>0</vt:i4>
      </vt:variant>
      <vt:variant>
        <vt:i4>5</vt:i4>
      </vt:variant>
      <vt:variant>
        <vt:lpwstr/>
      </vt:variant>
      <vt:variant>
        <vt:lpwstr>_Toc317167257</vt:lpwstr>
      </vt:variant>
      <vt:variant>
        <vt:i4>1376304</vt:i4>
      </vt:variant>
      <vt:variant>
        <vt:i4>86</vt:i4>
      </vt:variant>
      <vt:variant>
        <vt:i4>0</vt:i4>
      </vt:variant>
      <vt:variant>
        <vt:i4>5</vt:i4>
      </vt:variant>
      <vt:variant>
        <vt:lpwstr/>
      </vt:variant>
      <vt:variant>
        <vt:lpwstr>_Toc317167256</vt:lpwstr>
      </vt:variant>
      <vt:variant>
        <vt:i4>1376304</vt:i4>
      </vt:variant>
      <vt:variant>
        <vt:i4>80</vt:i4>
      </vt:variant>
      <vt:variant>
        <vt:i4>0</vt:i4>
      </vt:variant>
      <vt:variant>
        <vt:i4>5</vt:i4>
      </vt:variant>
      <vt:variant>
        <vt:lpwstr/>
      </vt:variant>
      <vt:variant>
        <vt:lpwstr>_Toc317167255</vt:lpwstr>
      </vt:variant>
      <vt:variant>
        <vt:i4>1376304</vt:i4>
      </vt:variant>
      <vt:variant>
        <vt:i4>74</vt:i4>
      </vt:variant>
      <vt:variant>
        <vt:i4>0</vt:i4>
      </vt:variant>
      <vt:variant>
        <vt:i4>5</vt:i4>
      </vt:variant>
      <vt:variant>
        <vt:lpwstr/>
      </vt:variant>
      <vt:variant>
        <vt:lpwstr>_Toc317167254</vt:lpwstr>
      </vt:variant>
      <vt:variant>
        <vt:i4>1376304</vt:i4>
      </vt:variant>
      <vt:variant>
        <vt:i4>68</vt:i4>
      </vt:variant>
      <vt:variant>
        <vt:i4>0</vt:i4>
      </vt:variant>
      <vt:variant>
        <vt:i4>5</vt:i4>
      </vt:variant>
      <vt:variant>
        <vt:lpwstr/>
      </vt:variant>
      <vt:variant>
        <vt:lpwstr>_Toc317167253</vt:lpwstr>
      </vt:variant>
      <vt:variant>
        <vt:i4>1376304</vt:i4>
      </vt:variant>
      <vt:variant>
        <vt:i4>62</vt:i4>
      </vt:variant>
      <vt:variant>
        <vt:i4>0</vt:i4>
      </vt:variant>
      <vt:variant>
        <vt:i4>5</vt:i4>
      </vt:variant>
      <vt:variant>
        <vt:lpwstr/>
      </vt:variant>
      <vt:variant>
        <vt:lpwstr>_Toc317167252</vt:lpwstr>
      </vt:variant>
      <vt:variant>
        <vt:i4>1376304</vt:i4>
      </vt:variant>
      <vt:variant>
        <vt:i4>56</vt:i4>
      </vt:variant>
      <vt:variant>
        <vt:i4>0</vt:i4>
      </vt:variant>
      <vt:variant>
        <vt:i4>5</vt:i4>
      </vt:variant>
      <vt:variant>
        <vt:lpwstr/>
      </vt:variant>
      <vt:variant>
        <vt:lpwstr>_Toc317167251</vt:lpwstr>
      </vt:variant>
      <vt:variant>
        <vt:i4>1376304</vt:i4>
      </vt:variant>
      <vt:variant>
        <vt:i4>50</vt:i4>
      </vt:variant>
      <vt:variant>
        <vt:i4>0</vt:i4>
      </vt:variant>
      <vt:variant>
        <vt:i4>5</vt:i4>
      </vt:variant>
      <vt:variant>
        <vt:lpwstr/>
      </vt:variant>
      <vt:variant>
        <vt:lpwstr>_Toc317167250</vt:lpwstr>
      </vt:variant>
      <vt:variant>
        <vt:i4>1310768</vt:i4>
      </vt:variant>
      <vt:variant>
        <vt:i4>44</vt:i4>
      </vt:variant>
      <vt:variant>
        <vt:i4>0</vt:i4>
      </vt:variant>
      <vt:variant>
        <vt:i4>5</vt:i4>
      </vt:variant>
      <vt:variant>
        <vt:lpwstr/>
      </vt:variant>
      <vt:variant>
        <vt:lpwstr>_Toc317167249</vt:lpwstr>
      </vt:variant>
      <vt:variant>
        <vt:i4>1310768</vt:i4>
      </vt:variant>
      <vt:variant>
        <vt:i4>38</vt:i4>
      </vt:variant>
      <vt:variant>
        <vt:i4>0</vt:i4>
      </vt:variant>
      <vt:variant>
        <vt:i4>5</vt:i4>
      </vt:variant>
      <vt:variant>
        <vt:lpwstr/>
      </vt:variant>
      <vt:variant>
        <vt:lpwstr>_Toc317167248</vt:lpwstr>
      </vt:variant>
      <vt:variant>
        <vt:i4>1310768</vt:i4>
      </vt:variant>
      <vt:variant>
        <vt:i4>32</vt:i4>
      </vt:variant>
      <vt:variant>
        <vt:i4>0</vt:i4>
      </vt:variant>
      <vt:variant>
        <vt:i4>5</vt:i4>
      </vt:variant>
      <vt:variant>
        <vt:lpwstr/>
      </vt:variant>
      <vt:variant>
        <vt:lpwstr>_Toc317167247</vt:lpwstr>
      </vt:variant>
      <vt:variant>
        <vt:i4>1310768</vt:i4>
      </vt:variant>
      <vt:variant>
        <vt:i4>26</vt:i4>
      </vt:variant>
      <vt:variant>
        <vt:i4>0</vt:i4>
      </vt:variant>
      <vt:variant>
        <vt:i4>5</vt:i4>
      </vt:variant>
      <vt:variant>
        <vt:lpwstr/>
      </vt:variant>
      <vt:variant>
        <vt:lpwstr>_Toc317167246</vt:lpwstr>
      </vt:variant>
      <vt:variant>
        <vt:i4>1310768</vt:i4>
      </vt:variant>
      <vt:variant>
        <vt:i4>20</vt:i4>
      </vt:variant>
      <vt:variant>
        <vt:i4>0</vt:i4>
      </vt:variant>
      <vt:variant>
        <vt:i4>5</vt:i4>
      </vt:variant>
      <vt:variant>
        <vt:lpwstr/>
      </vt:variant>
      <vt:variant>
        <vt:lpwstr>_Toc317167245</vt:lpwstr>
      </vt:variant>
      <vt:variant>
        <vt:i4>1310768</vt:i4>
      </vt:variant>
      <vt:variant>
        <vt:i4>14</vt:i4>
      </vt:variant>
      <vt:variant>
        <vt:i4>0</vt:i4>
      </vt:variant>
      <vt:variant>
        <vt:i4>5</vt:i4>
      </vt:variant>
      <vt:variant>
        <vt:lpwstr/>
      </vt:variant>
      <vt:variant>
        <vt:lpwstr>_Toc317167244</vt:lpwstr>
      </vt:variant>
      <vt:variant>
        <vt:i4>1310768</vt:i4>
      </vt:variant>
      <vt:variant>
        <vt:i4>8</vt:i4>
      </vt:variant>
      <vt:variant>
        <vt:i4>0</vt:i4>
      </vt:variant>
      <vt:variant>
        <vt:i4>5</vt:i4>
      </vt:variant>
      <vt:variant>
        <vt:lpwstr/>
      </vt:variant>
      <vt:variant>
        <vt:lpwstr>_Toc317167243</vt:lpwstr>
      </vt:variant>
      <vt:variant>
        <vt:i4>1310768</vt:i4>
      </vt:variant>
      <vt:variant>
        <vt:i4>2</vt:i4>
      </vt:variant>
      <vt:variant>
        <vt:i4>0</vt:i4>
      </vt:variant>
      <vt:variant>
        <vt:i4>5</vt:i4>
      </vt:variant>
      <vt:variant>
        <vt:lpwstr/>
      </vt:variant>
      <vt:variant>
        <vt:lpwstr>_Toc317167242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REPORT</dc:title>
  <dc:creator>AUT</dc:creator>
  <cp:lastModifiedBy>Maria Bellringer</cp:lastModifiedBy>
  <cp:revision>18</cp:revision>
  <cp:lastPrinted>2015-11-20T03:06:00Z</cp:lastPrinted>
  <dcterms:created xsi:type="dcterms:W3CDTF">2015-10-22T20:34:00Z</dcterms:created>
  <dcterms:modified xsi:type="dcterms:W3CDTF">2015-11-20T03:06:00Z</dcterms:modified>
</cp:coreProperties>
</file>