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C9" w:rsidRDefault="00DE6DFD" w:rsidP="004F12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OFFSHORE</w:t>
      </w:r>
      <w:r w:rsidR="00302111">
        <w:rPr>
          <w:b/>
          <w:sz w:val="22"/>
          <w:szCs w:val="22"/>
        </w:rPr>
        <w:t xml:space="preserve"> GAMBLING </w:t>
      </w:r>
      <w:r>
        <w:rPr>
          <w:b/>
          <w:sz w:val="22"/>
          <w:szCs w:val="22"/>
        </w:rPr>
        <w:t xml:space="preserve">BY NEW ZEALANDERS </w:t>
      </w:r>
      <w:r w:rsidR="00302111">
        <w:rPr>
          <w:b/>
          <w:sz w:val="22"/>
          <w:szCs w:val="22"/>
        </w:rPr>
        <w:t>STUDY</w:t>
      </w:r>
    </w:p>
    <w:p w:rsidR="00DE6DFD" w:rsidRDefault="00DE6DFD" w:rsidP="004F1209">
      <w:pPr>
        <w:jc w:val="center"/>
        <w:rPr>
          <w:b/>
          <w:sz w:val="22"/>
          <w:szCs w:val="22"/>
        </w:rPr>
      </w:pPr>
    </w:p>
    <w:p w:rsidR="00106CC9" w:rsidRPr="00E90DF4" w:rsidRDefault="00106CC9" w:rsidP="004F1209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Summary </w:t>
      </w:r>
    </w:p>
    <w:p w:rsidR="004F1209" w:rsidRPr="00E90DF4" w:rsidRDefault="004F1209" w:rsidP="004F1209">
      <w:pPr>
        <w:jc w:val="center"/>
        <w:rPr>
          <w:sz w:val="22"/>
          <w:szCs w:val="22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2660"/>
        <w:gridCol w:w="6412"/>
      </w:tblGrid>
      <w:tr w:rsidR="00106CC9" w:rsidRPr="00965C90" w:rsidTr="00DE6DFD">
        <w:tc>
          <w:tcPr>
            <w:tcW w:w="2660" w:type="dxa"/>
          </w:tcPr>
          <w:p w:rsidR="00106CC9" w:rsidRPr="00965C90" w:rsidRDefault="00106CC9" w:rsidP="002A78C7">
            <w:pPr>
              <w:tabs>
                <w:tab w:val="left" w:pos="2520"/>
              </w:tabs>
              <w:spacing w:after="120"/>
              <w:rPr>
                <w:sz w:val="22"/>
                <w:szCs w:val="22"/>
              </w:rPr>
            </w:pPr>
            <w:r w:rsidRPr="00965C90">
              <w:rPr>
                <w:sz w:val="22"/>
                <w:szCs w:val="22"/>
              </w:rPr>
              <w:t>Project conducted by:</w:t>
            </w:r>
          </w:p>
        </w:tc>
        <w:tc>
          <w:tcPr>
            <w:tcW w:w="6412" w:type="dxa"/>
          </w:tcPr>
          <w:p w:rsidR="00106CC9" w:rsidRPr="00965C90" w:rsidRDefault="00DE6DFD" w:rsidP="00DE6DFD">
            <w:pPr>
              <w:tabs>
                <w:tab w:val="left" w:pos="2520"/>
              </w:tabs>
              <w:spacing w:after="120"/>
              <w:rPr>
                <w:sz w:val="22"/>
                <w:szCs w:val="22"/>
              </w:rPr>
            </w:pPr>
            <w:r w:rsidRPr="00965C90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uckland </w:t>
            </w:r>
            <w:r w:rsidRPr="00965C90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niversity of </w:t>
            </w:r>
            <w:r w:rsidRPr="00965C90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echnology, </w:t>
            </w:r>
            <w:r w:rsidRPr="00965C90">
              <w:rPr>
                <w:sz w:val="22"/>
                <w:szCs w:val="22"/>
              </w:rPr>
              <w:t xml:space="preserve"> </w:t>
            </w:r>
            <w:r w:rsidR="00106CC9" w:rsidRPr="00965C90">
              <w:rPr>
                <w:sz w:val="22"/>
                <w:szCs w:val="22"/>
              </w:rPr>
              <w:t xml:space="preserve">Gambling and Addictions Research Centre </w:t>
            </w:r>
          </w:p>
        </w:tc>
      </w:tr>
      <w:tr w:rsidR="00106CC9" w:rsidRPr="00965C90" w:rsidTr="00DE6DFD">
        <w:tc>
          <w:tcPr>
            <w:tcW w:w="2660" w:type="dxa"/>
          </w:tcPr>
          <w:p w:rsidR="00106CC9" w:rsidRPr="00965C90" w:rsidRDefault="00FD478A" w:rsidP="002A78C7">
            <w:pPr>
              <w:tabs>
                <w:tab w:val="left" w:pos="2520"/>
              </w:tabs>
              <w:spacing w:after="120"/>
              <w:rPr>
                <w:sz w:val="22"/>
                <w:szCs w:val="22"/>
              </w:rPr>
            </w:pPr>
            <w:r w:rsidRPr="00965C90">
              <w:rPr>
                <w:sz w:val="22"/>
                <w:szCs w:val="22"/>
              </w:rPr>
              <w:t>Principal r</w:t>
            </w:r>
            <w:r w:rsidR="00106CC9" w:rsidRPr="00965C90">
              <w:rPr>
                <w:sz w:val="22"/>
                <w:szCs w:val="22"/>
              </w:rPr>
              <w:t>esearchers:</w:t>
            </w:r>
          </w:p>
        </w:tc>
        <w:tc>
          <w:tcPr>
            <w:tcW w:w="6412" w:type="dxa"/>
          </w:tcPr>
          <w:p w:rsidR="00106CC9" w:rsidRPr="00965C90" w:rsidRDefault="007F4076" w:rsidP="007F4076">
            <w:pPr>
              <w:tabs>
                <w:tab w:val="left" w:pos="252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Maria </w:t>
            </w:r>
            <w:proofErr w:type="spellStart"/>
            <w:r>
              <w:rPr>
                <w:sz w:val="22"/>
                <w:szCs w:val="22"/>
              </w:rPr>
              <w:t>Bellringer</w:t>
            </w:r>
            <w:proofErr w:type="spellEnd"/>
            <w:r>
              <w:rPr>
                <w:sz w:val="22"/>
                <w:szCs w:val="22"/>
              </w:rPr>
              <w:t xml:space="preserve">, Nick Garrett, </w:t>
            </w:r>
            <w:proofErr w:type="spellStart"/>
            <w:r>
              <w:rPr>
                <w:sz w:val="22"/>
                <w:szCs w:val="22"/>
              </w:rPr>
              <w:t>Komathi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Kolandai-Matchett</w:t>
            </w:r>
            <w:proofErr w:type="spellEnd"/>
            <w:r>
              <w:rPr>
                <w:sz w:val="22"/>
                <w:szCs w:val="22"/>
              </w:rPr>
              <w:t>, Max Abbott</w:t>
            </w:r>
          </w:p>
        </w:tc>
      </w:tr>
      <w:tr w:rsidR="00106CC9" w:rsidRPr="00965C90" w:rsidTr="00DE6DFD">
        <w:tc>
          <w:tcPr>
            <w:tcW w:w="2660" w:type="dxa"/>
          </w:tcPr>
          <w:p w:rsidR="00106CC9" w:rsidRPr="00965C90" w:rsidRDefault="00106CC9" w:rsidP="002A78C7">
            <w:pPr>
              <w:tabs>
                <w:tab w:val="left" w:pos="2520"/>
              </w:tabs>
              <w:spacing w:after="120"/>
              <w:rPr>
                <w:sz w:val="22"/>
                <w:szCs w:val="22"/>
              </w:rPr>
            </w:pPr>
            <w:r w:rsidRPr="00965C90">
              <w:rPr>
                <w:sz w:val="22"/>
                <w:szCs w:val="22"/>
              </w:rPr>
              <w:t>Project funded by:</w:t>
            </w:r>
          </w:p>
        </w:tc>
        <w:tc>
          <w:tcPr>
            <w:tcW w:w="6412" w:type="dxa"/>
          </w:tcPr>
          <w:p w:rsidR="00106CC9" w:rsidRPr="00965C90" w:rsidRDefault="00106CC9" w:rsidP="002A78C7">
            <w:pPr>
              <w:tabs>
                <w:tab w:val="left" w:pos="2520"/>
              </w:tabs>
              <w:spacing w:after="120"/>
              <w:rPr>
                <w:sz w:val="22"/>
                <w:szCs w:val="22"/>
              </w:rPr>
            </w:pPr>
            <w:r w:rsidRPr="00965C90">
              <w:rPr>
                <w:sz w:val="22"/>
                <w:szCs w:val="22"/>
              </w:rPr>
              <w:t>Ministry of Health</w:t>
            </w:r>
          </w:p>
        </w:tc>
      </w:tr>
    </w:tbl>
    <w:p w:rsidR="00225994" w:rsidRPr="00E057B6" w:rsidRDefault="00225994" w:rsidP="004F1209">
      <w:pPr>
        <w:jc w:val="both"/>
        <w:rPr>
          <w:b/>
          <w:sz w:val="22"/>
          <w:szCs w:val="22"/>
        </w:rPr>
      </w:pPr>
    </w:p>
    <w:p w:rsidR="00FD478A" w:rsidRPr="00E057B6" w:rsidRDefault="00FD478A" w:rsidP="004F1209">
      <w:pPr>
        <w:jc w:val="both"/>
        <w:rPr>
          <w:sz w:val="22"/>
          <w:szCs w:val="22"/>
        </w:rPr>
      </w:pPr>
      <w:r w:rsidRPr="00E057B6">
        <w:rPr>
          <w:b/>
          <w:sz w:val="22"/>
          <w:szCs w:val="22"/>
        </w:rPr>
        <w:t>Background</w:t>
      </w:r>
    </w:p>
    <w:p w:rsidR="002653F7" w:rsidRPr="00E057B6" w:rsidRDefault="007F4076" w:rsidP="004F1209">
      <w:pPr>
        <w:jc w:val="both"/>
        <w:rPr>
          <w:sz w:val="22"/>
          <w:szCs w:val="22"/>
        </w:rPr>
      </w:pPr>
      <w:r>
        <w:rPr>
          <w:sz w:val="22"/>
          <w:szCs w:val="22"/>
        </w:rPr>
        <w:t>There is growing interest in the percentage</w:t>
      </w:r>
      <w:r w:rsidR="00627151">
        <w:rPr>
          <w:sz w:val="22"/>
          <w:szCs w:val="22"/>
        </w:rPr>
        <w:t>, and associated expenditure,</w:t>
      </w:r>
      <w:r>
        <w:rPr>
          <w:sz w:val="22"/>
          <w:szCs w:val="22"/>
        </w:rPr>
        <w:t xml:space="preserve"> of New Zealanders gambling on offshore (overseas) gambling sites</w:t>
      </w:r>
      <w:r w:rsidR="00627151">
        <w:rPr>
          <w:sz w:val="22"/>
          <w:szCs w:val="22"/>
        </w:rPr>
        <w:t xml:space="preserve"> (</w:t>
      </w:r>
      <w:r>
        <w:rPr>
          <w:sz w:val="22"/>
          <w:szCs w:val="22"/>
        </w:rPr>
        <w:t>particularly by online or other remote interactive methods</w:t>
      </w:r>
      <w:r w:rsidR="00D61C8E">
        <w:rPr>
          <w:sz w:val="22"/>
          <w:szCs w:val="22"/>
        </w:rPr>
        <w:t xml:space="preserve"> </w:t>
      </w:r>
      <w:r w:rsidR="00627151">
        <w:rPr>
          <w:sz w:val="22"/>
          <w:szCs w:val="22"/>
        </w:rPr>
        <w:t>such as</w:t>
      </w:r>
      <w:r w:rsidR="00D61C8E">
        <w:rPr>
          <w:sz w:val="22"/>
          <w:szCs w:val="22"/>
        </w:rPr>
        <w:t xml:space="preserve"> telephone, interactive television or through the post)</w:t>
      </w:r>
      <w:r>
        <w:rPr>
          <w:sz w:val="22"/>
          <w:szCs w:val="22"/>
        </w:rPr>
        <w:t>.</w:t>
      </w:r>
    </w:p>
    <w:p w:rsidR="002653F7" w:rsidRPr="00E057B6" w:rsidRDefault="002653F7" w:rsidP="004F1209">
      <w:pPr>
        <w:jc w:val="both"/>
        <w:rPr>
          <w:sz w:val="22"/>
          <w:szCs w:val="22"/>
        </w:rPr>
      </w:pPr>
    </w:p>
    <w:p w:rsidR="004F1209" w:rsidRPr="00E057B6" w:rsidRDefault="00F86AB4" w:rsidP="004F1209">
      <w:pPr>
        <w:jc w:val="both"/>
        <w:rPr>
          <w:b/>
          <w:sz w:val="22"/>
          <w:szCs w:val="22"/>
        </w:rPr>
      </w:pPr>
      <w:r w:rsidRPr="00E057B6">
        <w:rPr>
          <w:b/>
          <w:sz w:val="22"/>
          <w:szCs w:val="22"/>
        </w:rPr>
        <w:t>Aim</w:t>
      </w:r>
    </w:p>
    <w:p w:rsidR="00AF119D" w:rsidRDefault="00D61C8E" w:rsidP="000A08BE">
      <w:pPr>
        <w:jc w:val="both"/>
        <w:rPr>
          <w:sz w:val="22"/>
          <w:lang w:eastAsia="en-US"/>
        </w:rPr>
      </w:pPr>
      <w:r>
        <w:rPr>
          <w:sz w:val="22"/>
          <w:lang w:eastAsia="en-US"/>
        </w:rPr>
        <w:t>T</w:t>
      </w:r>
      <w:r w:rsidR="007F4076">
        <w:rPr>
          <w:sz w:val="22"/>
          <w:lang w:eastAsia="en-US"/>
        </w:rPr>
        <w:t>o examine</w:t>
      </w:r>
      <w:r>
        <w:rPr>
          <w:sz w:val="22"/>
          <w:lang w:eastAsia="en-US"/>
        </w:rPr>
        <w:t>, over a three year period,</w:t>
      </w:r>
      <w:r w:rsidR="007F4076">
        <w:rPr>
          <w:sz w:val="22"/>
          <w:lang w:eastAsia="en-US"/>
        </w:rPr>
        <w:t xml:space="preserve"> offshore gambling (land-based and online/remote interactive) </w:t>
      </w:r>
      <w:r w:rsidR="005F3D8C">
        <w:rPr>
          <w:sz w:val="22"/>
          <w:lang w:eastAsia="en-US"/>
        </w:rPr>
        <w:t xml:space="preserve">by New Zealanders.  There was a specific, but not exclusive, focus on </w:t>
      </w:r>
      <w:r w:rsidR="00774728">
        <w:rPr>
          <w:sz w:val="22"/>
          <w:lang w:eastAsia="en-US"/>
        </w:rPr>
        <w:t xml:space="preserve">offshore </w:t>
      </w:r>
      <w:r w:rsidR="005F3D8C">
        <w:rPr>
          <w:sz w:val="22"/>
          <w:lang w:eastAsia="en-US"/>
        </w:rPr>
        <w:t>horse/dog race and sports betting.  Additionally,</w:t>
      </w:r>
      <w:r w:rsidR="007F4076">
        <w:rPr>
          <w:sz w:val="22"/>
          <w:lang w:eastAsia="en-US"/>
        </w:rPr>
        <w:t xml:space="preserve"> New Zealand </w:t>
      </w:r>
      <w:r w:rsidR="001E0239">
        <w:rPr>
          <w:sz w:val="22"/>
          <w:lang w:eastAsia="en-US"/>
        </w:rPr>
        <w:t xml:space="preserve">(NZ) </w:t>
      </w:r>
      <w:r w:rsidR="007F4076">
        <w:rPr>
          <w:sz w:val="22"/>
          <w:lang w:eastAsia="en-US"/>
        </w:rPr>
        <w:t>land-based and online/remote interactive methods of access for the same modes of gambling</w:t>
      </w:r>
      <w:r w:rsidR="005F3D8C">
        <w:rPr>
          <w:sz w:val="22"/>
          <w:lang w:eastAsia="en-US"/>
        </w:rPr>
        <w:t xml:space="preserve"> were examined</w:t>
      </w:r>
      <w:r w:rsidR="007F4076">
        <w:rPr>
          <w:sz w:val="22"/>
          <w:lang w:eastAsia="en-US"/>
        </w:rPr>
        <w:t>.</w:t>
      </w:r>
      <w:r>
        <w:rPr>
          <w:sz w:val="22"/>
          <w:lang w:eastAsia="en-US"/>
        </w:rPr>
        <w:t xml:space="preserve">  </w:t>
      </w:r>
    </w:p>
    <w:p w:rsidR="00374AC4" w:rsidRPr="00E057B6" w:rsidRDefault="00374AC4" w:rsidP="002653F7">
      <w:pPr>
        <w:jc w:val="both"/>
        <w:rPr>
          <w:sz w:val="22"/>
          <w:szCs w:val="22"/>
        </w:rPr>
      </w:pPr>
    </w:p>
    <w:p w:rsidR="003468DA" w:rsidRPr="00E057B6" w:rsidRDefault="003468DA" w:rsidP="004F1209">
      <w:pPr>
        <w:jc w:val="both"/>
        <w:rPr>
          <w:b/>
          <w:sz w:val="22"/>
          <w:szCs w:val="22"/>
        </w:rPr>
      </w:pPr>
      <w:r w:rsidRPr="00CF314D">
        <w:rPr>
          <w:b/>
          <w:sz w:val="22"/>
          <w:szCs w:val="22"/>
        </w:rPr>
        <w:t>Method</w:t>
      </w:r>
    </w:p>
    <w:p w:rsidR="00D61C8E" w:rsidRDefault="00D61C8E" w:rsidP="00D61C8E">
      <w:pPr>
        <w:pStyle w:val="RepNormal"/>
      </w:pPr>
      <w:r>
        <w:t xml:space="preserve">Secondary analyses were conducted of data collected from the first three waves of the </w:t>
      </w:r>
      <w:r w:rsidR="004F75F3">
        <w:t xml:space="preserve">longitudinal </w:t>
      </w:r>
      <w:r>
        <w:t xml:space="preserve">New Zealand National Gambling Study (2012, 2013 and 2014).  Only gambling modes where it was possible to participate both within </w:t>
      </w:r>
      <w:r w:rsidR="00627151">
        <w:t>NZ</w:t>
      </w:r>
      <w:r>
        <w:t xml:space="preserve"> and offshore</w:t>
      </w:r>
      <w:r w:rsidR="00A60948">
        <w:t>,</w:t>
      </w:r>
      <w:r>
        <w:t xml:space="preserve"> and/or where online or other remote interactive gambling were possible were included.  These were commercial poker gambling; lotteries/raffles gambling; Lotto and keno gambling; land-based casino gambling; horse/dog race betting and sports betting; and other offshore online gambling.  Other offshore </w:t>
      </w:r>
      <w:r w:rsidR="00A60948">
        <w:t>online gambling related</w:t>
      </w:r>
      <w:r>
        <w:t xml:space="preserve"> to online gambling </w:t>
      </w:r>
      <w:r w:rsidR="00A60948">
        <w:t>not otherwise captured, that is,</w:t>
      </w:r>
      <w:r>
        <w:t xml:space="preserve"> casino games and EGMs (not cards), bingo, event betting, skill games, virtual sport and other non-specified gambling.</w:t>
      </w:r>
    </w:p>
    <w:p w:rsidR="00211016" w:rsidRDefault="00211016" w:rsidP="00DF2C4E">
      <w:pPr>
        <w:jc w:val="both"/>
        <w:rPr>
          <w:sz w:val="22"/>
          <w:szCs w:val="22"/>
        </w:rPr>
      </w:pPr>
    </w:p>
    <w:p w:rsidR="0045621E" w:rsidRDefault="00A37112" w:rsidP="0045621E">
      <w:pPr>
        <w:jc w:val="both"/>
        <w:rPr>
          <w:sz w:val="22"/>
          <w:szCs w:val="22"/>
        </w:rPr>
      </w:pPr>
      <w:r w:rsidRPr="00E057B6">
        <w:rPr>
          <w:b/>
          <w:sz w:val="22"/>
          <w:szCs w:val="22"/>
        </w:rPr>
        <w:t xml:space="preserve">Summary of </w:t>
      </w:r>
      <w:r w:rsidR="00586486" w:rsidRPr="00E057B6">
        <w:rPr>
          <w:b/>
          <w:sz w:val="22"/>
          <w:szCs w:val="22"/>
        </w:rPr>
        <w:t>key findings</w:t>
      </w:r>
    </w:p>
    <w:p w:rsidR="00D61C8E" w:rsidRDefault="00D61C8E" w:rsidP="0045621E">
      <w:pPr>
        <w:jc w:val="both"/>
        <w:rPr>
          <w:sz w:val="22"/>
          <w:szCs w:val="22"/>
        </w:rPr>
      </w:pPr>
    </w:p>
    <w:p w:rsidR="00DC4AF9" w:rsidRPr="00DC4AF9" w:rsidRDefault="00BE6CFC" w:rsidP="0045621E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Overall </w:t>
      </w:r>
      <w:r w:rsidR="003E103B">
        <w:rPr>
          <w:i/>
          <w:sz w:val="22"/>
          <w:szCs w:val="22"/>
        </w:rPr>
        <w:t xml:space="preserve">and total population </w:t>
      </w:r>
      <w:r>
        <w:rPr>
          <w:i/>
          <w:sz w:val="22"/>
          <w:szCs w:val="22"/>
        </w:rPr>
        <w:t>o</w:t>
      </w:r>
      <w:r w:rsidR="00DC4AF9">
        <w:rPr>
          <w:i/>
          <w:sz w:val="22"/>
          <w:szCs w:val="22"/>
        </w:rPr>
        <w:t xml:space="preserve">ffshore </w:t>
      </w:r>
      <w:r w:rsidR="00D16CA3">
        <w:rPr>
          <w:i/>
          <w:sz w:val="22"/>
          <w:szCs w:val="22"/>
        </w:rPr>
        <w:t xml:space="preserve">online/remote </w:t>
      </w:r>
      <w:r w:rsidR="00DC4AF9">
        <w:rPr>
          <w:i/>
          <w:sz w:val="22"/>
          <w:szCs w:val="22"/>
        </w:rPr>
        <w:t>gambling participation</w:t>
      </w:r>
      <w:r w:rsidR="00F527A9">
        <w:rPr>
          <w:i/>
          <w:sz w:val="22"/>
          <w:szCs w:val="22"/>
        </w:rPr>
        <w:t xml:space="preserve"> and expenditure</w:t>
      </w:r>
    </w:p>
    <w:p w:rsidR="00DC4AF9" w:rsidRDefault="00DC4AF9" w:rsidP="00DC4AF9">
      <w:pPr>
        <w:pStyle w:val="RepNormal"/>
        <w:keepNext/>
        <w:numPr>
          <w:ilvl w:val="0"/>
          <w:numId w:val="34"/>
        </w:numPr>
      </w:pPr>
      <w:r>
        <w:t xml:space="preserve">Overall, </w:t>
      </w:r>
      <w:r w:rsidR="00BE6CFC">
        <w:t xml:space="preserve">in 2012, 2013 and 2014, </w:t>
      </w:r>
      <w:r w:rsidR="000A2BF0">
        <w:t xml:space="preserve">1.7%, 1.2% and 0.9% of the population took part in </w:t>
      </w:r>
      <w:r w:rsidR="00BE6CFC">
        <w:t xml:space="preserve">offshore </w:t>
      </w:r>
      <w:r>
        <w:t>o</w:t>
      </w:r>
      <w:r w:rsidRPr="00D61C8E">
        <w:t>nline/remote interactive gambling</w:t>
      </w:r>
      <w:r>
        <w:t>.</w:t>
      </w:r>
      <w:r w:rsidRPr="000751FC">
        <w:t xml:space="preserve"> </w:t>
      </w:r>
      <w:r>
        <w:t xml:space="preserve"> </w:t>
      </w:r>
    </w:p>
    <w:p w:rsidR="00F527A9" w:rsidRDefault="00F527A9" w:rsidP="00F527A9">
      <w:pPr>
        <w:pStyle w:val="RepNormal"/>
        <w:keepNext/>
        <w:numPr>
          <w:ilvl w:val="0"/>
          <w:numId w:val="34"/>
        </w:numPr>
      </w:pPr>
      <w:r w:rsidRPr="005B49D2">
        <w:t xml:space="preserve">Total population self-reported annual expenditure on </w:t>
      </w:r>
      <w:r>
        <w:t xml:space="preserve">offshore </w:t>
      </w:r>
      <w:r w:rsidRPr="005B49D2">
        <w:t>online</w:t>
      </w:r>
      <w:r>
        <w:t>/remote</w:t>
      </w:r>
      <w:r w:rsidRPr="005B49D2">
        <w:t xml:space="preserve"> gambling </w:t>
      </w:r>
      <w:r>
        <w:t>was $47.6 </w:t>
      </w:r>
      <w:r w:rsidRPr="005B49D2">
        <w:t>million, $14.6 million and $36.2 million in 2012, 2013 and 2014 respectively.</w:t>
      </w:r>
    </w:p>
    <w:p w:rsidR="00F527A9" w:rsidRDefault="00F527A9" w:rsidP="00F527A9">
      <w:pPr>
        <w:pStyle w:val="RepNormal"/>
        <w:keepNext/>
        <w:ind w:left="360"/>
      </w:pPr>
    </w:p>
    <w:p w:rsidR="00F527A9" w:rsidRDefault="00F527A9" w:rsidP="00F527A9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Offshore online/remote horse/dog race betting and sports betting participation and expenditure</w:t>
      </w:r>
    </w:p>
    <w:p w:rsidR="00A60948" w:rsidRDefault="000A2BF0" w:rsidP="00DC4AF9">
      <w:pPr>
        <w:pStyle w:val="RepNormal"/>
        <w:keepNext/>
        <w:numPr>
          <w:ilvl w:val="0"/>
          <w:numId w:val="34"/>
        </w:numPr>
      </w:pPr>
      <w:r>
        <w:t>The percentage</w:t>
      </w:r>
      <w:r w:rsidR="00BE6CFC">
        <w:t>s</w:t>
      </w:r>
      <w:r>
        <w:t xml:space="preserve"> for o</w:t>
      </w:r>
      <w:r w:rsidR="00DC4AF9">
        <w:t xml:space="preserve">ffshore online/remote gambling on horse/dog race betting </w:t>
      </w:r>
      <w:r w:rsidR="003E103B">
        <w:t xml:space="preserve">in 2012, 2013 and 2014 </w:t>
      </w:r>
      <w:r w:rsidR="00BE6CFC">
        <w:t xml:space="preserve">were 0.41%, 0.34% and 0.37%, and for </w:t>
      </w:r>
      <w:r w:rsidR="00DC4AF9">
        <w:t xml:space="preserve">sports betting </w:t>
      </w:r>
      <w:r w:rsidR="00BE6CFC">
        <w:t>were 0.35%, 0.25% and 0.25%</w:t>
      </w:r>
      <w:r w:rsidR="00DC4AF9">
        <w:t xml:space="preserve">. </w:t>
      </w:r>
    </w:p>
    <w:p w:rsidR="00DC4AF9" w:rsidRDefault="00A60948" w:rsidP="00A60948">
      <w:pPr>
        <w:pStyle w:val="RepNormal"/>
        <w:keepNext/>
        <w:numPr>
          <w:ilvl w:val="0"/>
          <w:numId w:val="34"/>
        </w:numPr>
      </w:pPr>
      <w:r w:rsidRPr="005B49D2">
        <w:t xml:space="preserve">In 2014, almost </w:t>
      </w:r>
      <w:r>
        <w:t>2</w:t>
      </w:r>
      <w:r w:rsidRPr="005B49D2">
        <w:t>0,000 people (</w:t>
      </w:r>
      <w:r>
        <w:t>19,865</w:t>
      </w:r>
      <w:r w:rsidRPr="005B49D2">
        <w:t xml:space="preserve">) participated in </w:t>
      </w:r>
      <w:r>
        <w:t xml:space="preserve">offshore </w:t>
      </w:r>
      <w:r w:rsidRPr="005B49D2">
        <w:t>online</w:t>
      </w:r>
      <w:r>
        <w:t>/remote</w:t>
      </w:r>
      <w:r w:rsidRPr="005B49D2">
        <w:t xml:space="preserve"> </w:t>
      </w:r>
      <w:r>
        <w:t xml:space="preserve">horse/dog race and sports </w:t>
      </w:r>
      <w:r w:rsidRPr="005B49D2">
        <w:t xml:space="preserve">gambling.  </w:t>
      </w:r>
      <w:r>
        <w:t>Offshore o</w:t>
      </w:r>
      <w:r w:rsidRPr="005B49D2">
        <w:t>nline</w:t>
      </w:r>
      <w:r>
        <w:t>/remote</w:t>
      </w:r>
      <w:r w:rsidRPr="005B49D2">
        <w:t xml:space="preserve"> </w:t>
      </w:r>
      <w:r>
        <w:t>horse/dog race and sports</w:t>
      </w:r>
      <w:r w:rsidRPr="005B49D2">
        <w:t xml:space="preserve"> gamblers were almost two-thirds (61%) of the </w:t>
      </w:r>
      <w:r>
        <w:t xml:space="preserve">overall </w:t>
      </w:r>
      <w:r w:rsidRPr="005B49D2">
        <w:t>offshore online</w:t>
      </w:r>
      <w:r>
        <w:t>/remote</w:t>
      </w:r>
      <w:r w:rsidRPr="005B49D2">
        <w:t xml:space="preserve"> gambling population.</w:t>
      </w:r>
      <w:r w:rsidR="00DC4AF9">
        <w:t xml:space="preserve"> </w:t>
      </w:r>
    </w:p>
    <w:p w:rsidR="00F527A9" w:rsidRDefault="00F527A9" w:rsidP="00F527A9">
      <w:pPr>
        <w:pStyle w:val="RepNormal"/>
        <w:numPr>
          <w:ilvl w:val="0"/>
          <w:numId w:val="34"/>
        </w:numPr>
      </w:pPr>
      <w:r w:rsidRPr="00A54A23">
        <w:t>The majority of horse/dog race and sports bettors gambled online</w:t>
      </w:r>
      <w:r>
        <w:t>/remotely</w:t>
      </w:r>
      <w:r w:rsidRPr="00A54A23">
        <w:t xml:space="preserve"> as an adjunct to betting at a NZ </w:t>
      </w:r>
      <w:r>
        <w:t>land-based venue.</w:t>
      </w:r>
    </w:p>
    <w:p w:rsidR="00BE6CFC" w:rsidRDefault="00BE6CFC" w:rsidP="00385C76">
      <w:pPr>
        <w:pStyle w:val="RepNormal"/>
        <w:numPr>
          <w:ilvl w:val="0"/>
          <w:numId w:val="37"/>
        </w:numPr>
      </w:pPr>
      <w:r>
        <w:t>T</w:t>
      </w:r>
      <w:r w:rsidRPr="005B49D2">
        <w:t xml:space="preserve">otal population annual </w:t>
      </w:r>
      <w:r>
        <w:t xml:space="preserve">offshore </w:t>
      </w:r>
      <w:r w:rsidRPr="005B49D2">
        <w:t>online</w:t>
      </w:r>
      <w:r>
        <w:t>/remote</w:t>
      </w:r>
      <w:r w:rsidRPr="005B49D2">
        <w:t xml:space="preserve"> expenditure on horse/dog race betting in 2012, 2013 and 2014 was $8.0</w:t>
      </w:r>
      <w:r>
        <w:t xml:space="preserve"> </w:t>
      </w:r>
      <w:r w:rsidRPr="005B49D2">
        <w:t>m</w:t>
      </w:r>
      <w:r>
        <w:t>illion, $</w:t>
      </w:r>
      <w:r w:rsidRPr="005B49D2">
        <w:t>3.0</w:t>
      </w:r>
      <w:r>
        <w:t xml:space="preserve"> </w:t>
      </w:r>
      <w:r w:rsidRPr="005B49D2">
        <w:t>m</w:t>
      </w:r>
      <w:r>
        <w:t xml:space="preserve">illion and </w:t>
      </w:r>
      <w:r w:rsidRPr="005B49D2">
        <w:t>$3.6</w:t>
      </w:r>
      <w:r>
        <w:t xml:space="preserve"> </w:t>
      </w:r>
      <w:r w:rsidRPr="005B49D2">
        <w:t>m</w:t>
      </w:r>
      <w:r>
        <w:t xml:space="preserve">illion </w:t>
      </w:r>
      <w:r w:rsidRPr="005B49D2">
        <w:t>respectively.</w:t>
      </w:r>
      <w:r>
        <w:t xml:space="preserve">  T</w:t>
      </w:r>
      <w:r w:rsidRPr="005B49D2">
        <w:t xml:space="preserve">otal population annual </w:t>
      </w:r>
      <w:r>
        <w:t xml:space="preserve">offshore online/remote </w:t>
      </w:r>
      <w:r w:rsidRPr="005B49D2">
        <w:t>expenditure on sports betting in 2012, 2013 and 2014 was $11.4</w:t>
      </w:r>
      <w:r>
        <w:t xml:space="preserve"> </w:t>
      </w:r>
      <w:r w:rsidRPr="005B49D2">
        <w:t>m</w:t>
      </w:r>
      <w:r>
        <w:t>illion</w:t>
      </w:r>
      <w:r w:rsidRPr="005B49D2">
        <w:t>, $2.8</w:t>
      </w:r>
      <w:r>
        <w:t xml:space="preserve"> </w:t>
      </w:r>
      <w:r w:rsidRPr="005B49D2">
        <w:t>m</w:t>
      </w:r>
      <w:r>
        <w:t>illion</w:t>
      </w:r>
      <w:r w:rsidRPr="005B49D2">
        <w:t xml:space="preserve"> and $3.3</w:t>
      </w:r>
      <w:r>
        <w:t xml:space="preserve"> </w:t>
      </w:r>
      <w:r w:rsidRPr="005B49D2">
        <w:t>m</w:t>
      </w:r>
      <w:r>
        <w:t>illion</w:t>
      </w:r>
      <w:r w:rsidRPr="005B49D2">
        <w:t xml:space="preserve"> respectively.</w:t>
      </w:r>
    </w:p>
    <w:p w:rsidR="00BE6CFC" w:rsidRDefault="00BE6CFC" w:rsidP="00BE6CFC">
      <w:pPr>
        <w:pStyle w:val="RepNormal"/>
        <w:numPr>
          <w:ilvl w:val="0"/>
          <w:numId w:val="37"/>
        </w:numPr>
      </w:pPr>
      <w:r>
        <w:t>Offshore o</w:t>
      </w:r>
      <w:r w:rsidRPr="005B49D2">
        <w:t>nline</w:t>
      </w:r>
      <w:r w:rsidR="003E3D3B">
        <w:t>/remote</w:t>
      </w:r>
      <w:r w:rsidRPr="005B49D2">
        <w:t xml:space="preserve"> </w:t>
      </w:r>
      <w:r>
        <w:t xml:space="preserve">horse/dog race and sports </w:t>
      </w:r>
      <w:r w:rsidRPr="005B49D2">
        <w:t>gamblers comprised about</w:t>
      </w:r>
      <w:r>
        <w:t xml:space="preserve"> </w:t>
      </w:r>
      <w:r w:rsidRPr="005B49D2">
        <w:t xml:space="preserve">one-fifth (19%) of </w:t>
      </w:r>
      <w:r w:rsidR="00B64622">
        <w:t>total</w:t>
      </w:r>
      <w:r w:rsidRPr="005B49D2">
        <w:t xml:space="preserve"> offshore online</w:t>
      </w:r>
      <w:r w:rsidR="003E3D3B">
        <w:t>/remote</w:t>
      </w:r>
      <w:r w:rsidRPr="005B49D2">
        <w:t xml:space="preserve"> gambling expenditure.  </w:t>
      </w:r>
    </w:p>
    <w:p w:rsidR="00F527A9" w:rsidRDefault="00F527A9" w:rsidP="00F527A9">
      <w:pPr>
        <w:pStyle w:val="RepNormal"/>
      </w:pPr>
    </w:p>
    <w:p w:rsidR="004062AA" w:rsidRPr="00362484" w:rsidRDefault="004062AA" w:rsidP="004062AA">
      <w:pPr>
        <w:pStyle w:val="RepNormal"/>
        <w:rPr>
          <w:i/>
        </w:rPr>
      </w:pPr>
      <w:r w:rsidRPr="00362484">
        <w:rPr>
          <w:i/>
        </w:rPr>
        <w:t>Associated factors for offshore gambling</w:t>
      </w:r>
    </w:p>
    <w:p w:rsidR="004062AA" w:rsidRPr="005B49D2" w:rsidRDefault="004062AA" w:rsidP="004062AA">
      <w:pPr>
        <w:pStyle w:val="RepNormal"/>
        <w:numPr>
          <w:ilvl w:val="0"/>
          <w:numId w:val="36"/>
        </w:numPr>
      </w:pPr>
      <w:r w:rsidRPr="005B49D2">
        <w:t>Being a migrant was associated with greater likelihood for gambling on</w:t>
      </w:r>
      <w:r>
        <w:t>:</w:t>
      </w:r>
      <w:r w:rsidRPr="005B49D2">
        <w:t xml:space="preserve"> offshore online/remote horse/dog race and sports betting combined</w:t>
      </w:r>
      <w:r>
        <w:t>,</w:t>
      </w:r>
      <w:r w:rsidRPr="005B49D2">
        <w:t xml:space="preserve"> offshore (land-based and online) raffles/lotteries.  </w:t>
      </w:r>
    </w:p>
    <w:p w:rsidR="004062AA" w:rsidRPr="005B49D2" w:rsidRDefault="004062AA" w:rsidP="004062AA">
      <w:pPr>
        <w:pStyle w:val="RepNormal"/>
        <w:numPr>
          <w:ilvl w:val="0"/>
          <w:numId w:val="36"/>
        </w:numPr>
      </w:pPr>
      <w:r w:rsidRPr="005B49D2">
        <w:t xml:space="preserve">Other associations with greater likelihood for </w:t>
      </w:r>
      <w:r>
        <w:t xml:space="preserve">offshore </w:t>
      </w:r>
      <w:r w:rsidRPr="005B49D2">
        <w:t xml:space="preserve">online/remote gambling included gambling on </w:t>
      </w:r>
      <w:r>
        <w:t>three or more</w:t>
      </w:r>
      <w:r w:rsidRPr="005B49D2">
        <w:t xml:space="preserve"> activities</w:t>
      </w:r>
      <w:r>
        <w:t>, being</w:t>
      </w:r>
      <w:r w:rsidRPr="005B49D2">
        <w:t xml:space="preserve"> unemployed or </w:t>
      </w:r>
      <w:r>
        <w:t xml:space="preserve">having </w:t>
      </w:r>
      <w:r w:rsidRPr="005B49D2">
        <w:t xml:space="preserve">a </w:t>
      </w:r>
      <w:r>
        <w:t>below-median</w:t>
      </w:r>
      <w:r w:rsidRPr="005B49D2">
        <w:t xml:space="preserve"> quality of life.  </w:t>
      </w:r>
    </w:p>
    <w:p w:rsidR="004062AA" w:rsidRPr="005B49D2" w:rsidRDefault="004062AA" w:rsidP="004062AA">
      <w:pPr>
        <w:pStyle w:val="RepNormal"/>
        <w:numPr>
          <w:ilvl w:val="0"/>
          <w:numId w:val="36"/>
        </w:numPr>
      </w:pPr>
      <w:r w:rsidRPr="005B49D2">
        <w:t>Being religious was associated with lower likel</w:t>
      </w:r>
      <w:r>
        <w:t xml:space="preserve">ihood for gambling on </w:t>
      </w:r>
      <w:r w:rsidRPr="005B49D2">
        <w:t xml:space="preserve">offshore online commercial poker gambling.  </w:t>
      </w:r>
    </w:p>
    <w:p w:rsidR="004062AA" w:rsidRDefault="004062AA" w:rsidP="004062AA">
      <w:pPr>
        <w:pStyle w:val="RepNormal"/>
        <w:numPr>
          <w:ilvl w:val="0"/>
          <w:numId w:val="36"/>
        </w:numPr>
      </w:pPr>
      <w:r>
        <w:t>S</w:t>
      </w:r>
      <w:r w:rsidRPr="005B49D2">
        <w:t>mok</w:t>
      </w:r>
      <w:r>
        <w:t>ing tobacco w</w:t>
      </w:r>
      <w:r w:rsidRPr="005B49D2">
        <w:t>as associated with lower likelihood for participating in offshore raffles/lotteries (land-based and online) and offshore</w:t>
      </w:r>
      <w:r>
        <w:t xml:space="preserve"> casino gambling (land-based).</w:t>
      </w:r>
    </w:p>
    <w:p w:rsidR="004062AA" w:rsidRPr="005B49D2" w:rsidRDefault="004062AA" w:rsidP="004062AA">
      <w:pPr>
        <w:pStyle w:val="RepNormal"/>
        <w:ind w:left="360"/>
      </w:pPr>
    </w:p>
    <w:p w:rsidR="00362484" w:rsidRPr="00362484" w:rsidRDefault="00362484" w:rsidP="00627151">
      <w:pPr>
        <w:pStyle w:val="RepNormal"/>
        <w:rPr>
          <w:i/>
        </w:rPr>
      </w:pPr>
      <w:proofErr w:type="spellStart"/>
      <w:r w:rsidRPr="003E103B">
        <w:rPr>
          <w:i/>
        </w:rPr>
        <w:t>Sociodemographic</w:t>
      </w:r>
      <w:proofErr w:type="spellEnd"/>
      <w:r w:rsidRPr="003E103B">
        <w:rPr>
          <w:i/>
        </w:rPr>
        <w:t xml:space="preserve"> characteristics of </w:t>
      </w:r>
      <w:r w:rsidR="005F3D8C">
        <w:rPr>
          <w:i/>
        </w:rPr>
        <w:t xml:space="preserve">offshore </w:t>
      </w:r>
      <w:r w:rsidR="00A60948">
        <w:rPr>
          <w:i/>
        </w:rPr>
        <w:t xml:space="preserve">online/remote </w:t>
      </w:r>
      <w:r w:rsidR="00F527A9" w:rsidRPr="003E103B">
        <w:rPr>
          <w:i/>
        </w:rPr>
        <w:t xml:space="preserve">gambling </w:t>
      </w:r>
      <w:r w:rsidRPr="003E103B">
        <w:rPr>
          <w:i/>
        </w:rPr>
        <w:t>participation</w:t>
      </w:r>
    </w:p>
    <w:p w:rsidR="00362484" w:rsidRPr="00E16293" w:rsidRDefault="005F3D8C" w:rsidP="00672A5B">
      <w:pPr>
        <w:pStyle w:val="RepNormal"/>
        <w:numPr>
          <w:ilvl w:val="0"/>
          <w:numId w:val="34"/>
        </w:numPr>
      </w:pPr>
      <w:r w:rsidRPr="00E16293">
        <w:t>Greater participation was noted amongst the 45-64 year age group f</w:t>
      </w:r>
      <w:r w:rsidR="00362484" w:rsidRPr="00E16293">
        <w:t xml:space="preserve">or </w:t>
      </w:r>
      <w:r w:rsidR="00E45EDF" w:rsidRPr="00E16293">
        <w:t xml:space="preserve">offshore online/remote </w:t>
      </w:r>
      <w:r w:rsidR="00362484" w:rsidRPr="00E16293">
        <w:t>horse/</w:t>
      </w:r>
      <w:r w:rsidRPr="00E16293">
        <w:t xml:space="preserve"> </w:t>
      </w:r>
      <w:r w:rsidR="00362484" w:rsidRPr="00E16293">
        <w:t>dog race betting</w:t>
      </w:r>
      <w:r w:rsidR="00E16293">
        <w:t xml:space="preserve"> compared to NZ online/remote horse/dog race betting where a greater proportion were aged 18-44 years</w:t>
      </w:r>
      <w:r w:rsidR="00362484" w:rsidRPr="00E16293">
        <w:t xml:space="preserve">.  </w:t>
      </w:r>
    </w:p>
    <w:p w:rsidR="005F3D8C" w:rsidRDefault="005F3D8C" w:rsidP="005F3D8C">
      <w:pPr>
        <w:pStyle w:val="RepNormal"/>
        <w:ind w:left="360"/>
      </w:pPr>
    </w:p>
    <w:p w:rsidR="00362484" w:rsidRPr="00362484" w:rsidRDefault="00A60948" w:rsidP="00362484">
      <w:pPr>
        <w:pStyle w:val="RepNormal"/>
        <w:keepNext/>
        <w:rPr>
          <w:i/>
        </w:rPr>
      </w:pPr>
      <w:r>
        <w:rPr>
          <w:i/>
        </w:rPr>
        <w:t xml:space="preserve">Gambling </w:t>
      </w:r>
      <w:r w:rsidR="00362484" w:rsidRPr="00362484">
        <w:rPr>
          <w:i/>
        </w:rPr>
        <w:t>behaviour</w:t>
      </w:r>
      <w:r w:rsidRPr="00A60948">
        <w:rPr>
          <w:i/>
        </w:rPr>
        <w:t xml:space="preserve"> </w:t>
      </w:r>
      <w:r>
        <w:rPr>
          <w:i/>
        </w:rPr>
        <w:t>characteristics for offshore online/remote gambling</w:t>
      </w:r>
    </w:p>
    <w:p w:rsidR="00362484" w:rsidRPr="00362484" w:rsidRDefault="00E16293" w:rsidP="00362484">
      <w:pPr>
        <w:pStyle w:val="RepNormal"/>
        <w:keepNext/>
        <w:numPr>
          <w:ilvl w:val="0"/>
          <w:numId w:val="35"/>
        </w:numPr>
      </w:pPr>
      <w:r>
        <w:t>A greater percentage of o</w:t>
      </w:r>
      <w:r w:rsidR="00362484" w:rsidRPr="00362484">
        <w:t>ffshore online commercial poker gambl</w:t>
      </w:r>
      <w:r>
        <w:t xml:space="preserve">ers </w:t>
      </w:r>
      <w:r w:rsidR="00820C2B">
        <w:t xml:space="preserve">were </w:t>
      </w:r>
      <w:r w:rsidR="00362484">
        <w:t xml:space="preserve">regular continuous </w:t>
      </w:r>
      <w:r w:rsidR="00362484" w:rsidRPr="00362484">
        <w:t>gamblers</w:t>
      </w:r>
      <w:r>
        <w:t xml:space="preserve"> compared with other modes of gambling</w:t>
      </w:r>
      <w:r w:rsidR="00820C2B">
        <w:t>.</w:t>
      </w:r>
      <w:r w:rsidR="00362484" w:rsidRPr="00362484">
        <w:t xml:space="preserve"> </w:t>
      </w:r>
      <w:r w:rsidR="00820C2B">
        <w:t xml:space="preserve"> </w:t>
      </w:r>
      <w:r w:rsidR="00A60948">
        <w:t>T</w:t>
      </w:r>
      <w:r w:rsidR="00820C2B">
        <w:t>here was a</w:t>
      </w:r>
      <w:r w:rsidR="00362484">
        <w:t xml:space="preserve"> </w:t>
      </w:r>
      <w:r w:rsidR="00362484" w:rsidRPr="00362484">
        <w:t xml:space="preserve">more even spread </w:t>
      </w:r>
      <w:r w:rsidR="00A60948">
        <w:t>of</w:t>
      </w:r>
      <w:r w:rsidR="00362484" w:rsidRPr="00362484">
        <w:t xml:space="preserve"> infrequent gamblers, regular non-continuous gamblers and regular continuous gamblers</w:t>
      </w:r>
      <w:r>
        <w:t xml:space="preserve"> </w:t>
      </w:r>
      <w:r w:rsidR="00A60948">
        <w:t xml:space="preserve">amongst offshore </w:t>
      </w:r>
      <w:r w:rsidR="00A60948" w:rsidRPr="00362484">
        <w:t>online</w:t>
      </w:r>
      <w:r w:rsidR="00A60948">
        <w:t>/remote</w:t>
      </w:r>
      <w:r w:rsidR="00A60948" w:rsidRPr="00362484">
        <w:t xml:space="preserve"> horse/dog race </w:t>
      </w:r>
      <w:r w:rsidR="00A60948">
        <w:t>gamblers</w:t>
      </w:r>
      <w:r w:rsidR="00A60948" w:rsidRPr="00362484">
        <w:t xml:space="preserve"> </w:t>
      </w:r>
      <w:r w:rsidR="00A60948">
        <w:t>in comparison</w:t>
      </w:r>
      <w:r>
        <w:t xml:space="preserve"> with land-based horse/dog </w:t>
      </w:r>
      <w:r w:rsidR="00A60948">
        <w:t>race gamblers</w:t>
      </w:r>
      <w:r w:rsidR="00362484" w:rsidRPr="00362484">
        <w:t xml:space="preserve">.  </w:t>
      </w:r>
    </w:p>
    <w:p w:rsidR="00362484" w:rsidRPr="00362484" w:rsidRDefault="00362484" w:rsidP="00362484">
      <w:pPr>
        <w:pStyle w:val="RepNormal"/>
        <w:numPr>
          <w:ilvl w:val="0"/>
          <w:numId w:val="35"/>
        </w:numPr>
      </w:pPr>
      <w:r w:rsidRPr="00362484">
        <w:t>A majority of participants across the modes of gambling were non-problem gamblers or low-risk gamblers</w:t>
      </w:r>
      <w:r w:rsidR="00820C2B">
        <w:t xml:space="preserve"> apart from </w:t>
      </w:r>
      <w:r w:rsidRPr="00362484">
        <w:t xml:space="preserve">offshore online commercial poker players </w:t>
      </w:r>
      <w:r w:rsidR="00820C2B">
        <w:t>(13.8%</w:t>
      </w:r>
      <w:r w:rsidRPr="00362484">
        <w:t xml:space="preserve"> </w:t>
      </w:r>
      <w:r w:rsidR="00820C2B">
        <w:t>problem gamblers</w:t>
      </w:r>
      <w:r w:rsidRPr="00362484">
        <w:t xml:space="preserve">) and </w:t>
      </w:r>
      <w:r w:rsidR="00A60948">
        <w:t xml:space="preserve">other </w:t>
      </w:r>
      <w:r w:rsidRPr="00362484">
        <w:t>offshore online gamblers</w:t>
      </w:r>
      <w:r w:rsidR="00E16293">
        <w:t xml:space="preserve"> (</w:t>
      </w:r>
      <w:r w:rsidR="00E16293" w:rsidRPr="00362484">
        <w:t>11.9% </w:t>
      </w:r>
      <w:r w:rsidR="00E16293">
        <w:t>problem gamblers)</w:t>
      </w:r>
      <w:r w:rsidRPr="00362484">
        <w:t>.</w:t>
      </w:r>
    </w:p>
    <w:p w:rsidR="00E16293" w:rsidRPr="005B49D2" w:rsidRDefault="00E16293" w:rsidP="00E16293">
      <w:pPr>
        <w:pStyle w:val="RepNormal"/>
      </w:pPr>
    </w:p>
    <w:p w:rsidR="00E16293" w:rsidRPr="00C57A18" w:rsidRDefault="00774728" w:rsidP="00E16293">
      <w:pPr>
        <w:pStyle w:val="RepNormal"/>
        <w:keepNext/>
        <w:rPr>
          <w:i/>
        </w:rPr>
      </w:pPr>
      <w:r>
        <w:rPr>
          <w:i/>
        </w:rPr>
        <w:t xml:space="preserve">Within </w:t>
      </w:r>
      <w:r w:rsidR="00E16293">
        <w:rPr>
          <w:i/>
        </w:rPr>
        <w:t>NZ o</w:t>
      </w:r>
      <w:r w:rsidR="00E16293" w:rsidRPr="00C57A18">
        <w:rPr>
          <w:i/>
        </w:rPr>
        <w:t>nline</w:t>
      </w:r>
      <w:r w:rsidR="00E16293">
        <w:rPr>
          <w:i/>
        </w:rPr>
        <w:t>/remote</w:t>
      </w:r>
      <w:r w:rsidR="00E16293" w:rsidRPr="00C57A18">
        <w:rPr>
          <w:i/>
        </w:rPr>
        <w:t xml:space="preserve"> horse/dog race </w:t>
      </w:r>
      <w:r w:rsidR="00E16293">
        <w:rPr>
          <w:i/>
        </w:rPr>
        <w:t xml:space="preserve">betting </w:t>
      </w:r>
      <w:r w:rsidR="00E16293" w:rsidRPr="00C57A18">
        <w:rPr>
          <w:i/>
        </w:rPr>
        <w:t xml:space="preserve">and sports </w:t>
      </w:r>
      <w:r w:rsidR="00E16293">
        <w:rPr>
          <w:i/>
        </w:rPr>
        <w:t>betting total population participation</w:t>
      </w:r>
      <w:r w:rsidR="00E16293" w:rsidRPr="00C57A18">
        <w:rPr>
          <w:i/>
        </w:rPr>
        <w:t xml:space="preserve"> and expenditure</w:t>
      </w:r>
    </w:p>
    <w:p w:rsidR="00E16293" w:rsidRPr="005B49D2" w:rsidRDefault="00E16293" w:rsidP="00E16293">
      <w:pPr>
        <w:pStyle w:val="RepNormal"/>
        <w:keepNext/>
        <w:numPr>
          <w:ilvl w:val="0"/>
          <w:numId w:val="39"/>
        </w:numPr>
      </w:pPr>
      <w:r w:rsidRPr="005B49D2">
        <w:t>In 2014, almost 100,000 people (96,334) participated in online</w:t>
      </w:r>
      <w:r>
        <w:t>/remote</w:t>
      </w:r>
      <w:r w:rsidRPr="005B49D2">
        <w:t xml:space="preserve"> </w:t>
      </w:r>
      <w:r>
        <w:t xml:space="preserve">horse/dog race and sports </w:t>
      </w:r>
      <w:r w:rsidRPr="005B49D2">
        <w:t xml:space="preserve">gambling </w:t>
      </w:r>
      <w:r w:rsidR="00774728">
        <w:t>with</w:t>
      </w:r>
      <w:r>
        <w:t>in</w:t>
      </w:r>
      <w:r w:rsidRPr="005B49D2">
        <w:t xml:space="preserve"> NZ.  Online</w:t>
      </w:r>
      <w:r>
        <w:t>/remote</w:t>
      </w:r>
      <w:r w:rsidRPr="005B49D2">
        <w:t xml:space="preserve"> </w:t>
      </w:r>
      <w:r>
        <w:t>horse/dog race and sports</w:t>
      </w:r>
      <w:r w:rsidRPr="005B49D2">
        <w:t xml:space="preserve"> gamblers were a quarter (26%) of the NZ online gambling population.</w:t>
      </w:r>
    </w:p>
    <w:p w:rsidR="00E16293" w:rsidRPr="005B49D2" w:rsidRDefault="00E16293" w:rsidP="00E16293">
      <w:pPr>
        <w:pStyle w:val="RepNormal"/>
        <w:numPr>
          <w:ilvl w:val="0"/>
          <w:numId w:val="39"/>
        </w:numPr>
      </w:pPr>
      <w:r>
        <w:t>T</w:t>
      </w:r>
      <w:r w:rsidRPr="005B49D2">
        <w:t xml:space="preserve">otal population expenditure </w:t>
      </w:r>
      <w:r>
        <w:t>in</w:t>
      </w:r>
      <w:r w:rsidRPr="005B49D2">
        <w:t xml:space="preserve"> 2014 </w:t>
      </w:r>
      <w:r>
        <w:t>was</w:t>
      </w:r>
      <w:r w:rsidRPr="005B49D2">
        <w:t xml:space="preserve"> $45.9 million for NZ online</w:t>
      </w:r>
      <w:r>
        <w:t>/remote</w:t>
      </w:r>
      <w:r w:rsidRPr="005B49D2">
        <w:t xml:space="preserve"> </w:t>
      </w:r>
      <w:r>
        <w:t xml:space="preserve">horse/dog race and sports </w:t>
      </w:r>
      <w:r w:rsidRPr="005B49D2">
        <w:t>gambling compris</w:t>
      </w:r>
      <w:r>
        <w:t>ing</w:t>
      </w:r>
      <w:r w:rsidRPr="005B49D2">
        <w:t xml:space="preserve"> about</w:t>
      </w:r>
      <w:r>
        <w:t xml:space="preserve"> one-third (35%) of total NZ</w:t>
      </w:r>
      <w:r w:rsidRPr="005B49D2">
        <w:t xml:space="preserve"> online</w:t>
      </w:r>
      <w:r>
        <w:t>/remote</w:t>
      </w:r>
      <w:r w:rsidRPr="005B49D2">
        <w:t xml:space="preserve"> gambling expenditure.  </w:t>
      </w:r>
    </w:p>
    <w:p w:rsidR="004D3FAC" w:rsidRPr="005B49D2" w:rsidRDefault="004D3FAC" w:rsidP="002B32C1">
      <w:pPr>
        <w:pStyle w:val="RepNormal"/>
      </w:pPr>
    </w:p>
    <w:sectPr w:rsidR="004D3FAC" w:rsidRPr="005B49D2" w:rsidSect="002259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4EC" w:rsidRDefault="00FC54EC">
      <w:r>
        <w:separator/>
      </w:r>
    </w:p>
  </w:endnote>
  <w:endnote w:type="continuationSeparator" w:id="0">
    <w:p w:rsidR="00FC54EC" w:rsidRDefault="00FC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E81" w:rsidRDefault="00CB7E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4515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A14B8" w:rsidRDefault="00CA14B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D013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D013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A14B8" w:rsidRDefault="00CA14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E81" w:rsidRDefault="00CB7E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4EC" w:rsidRDefault="00FC54EC">
      <w:r>
        <w:separator/>
      </w:r>
    </w:p>
  </w:footnote>
  <w:footnote w:type="continuationSeparator" w:id="0">
    <w:p w:rsidR="00FC54EC" w:rsidRDefault="00FC5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E81" w:rsidRDefault="00CB7E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19D" w:rsidRDefault="00E50DA5" w:rsidP="00586486">
    <w:pPr>
      <w:pStyle w:val="Header"/>
    </w:pPr>
    <w:r>
      <w:rPr>
        <w:noProof/>
        <w:lang w:eastAsia="en-NZ"/>
      </w:rPr>
      <w:drawing>
        <wp:inline distT="0" distB="0" distL="0" distR="0" wp14:anchorId="1FB4606F" wp14:editId="65E44216">
          <wp:extent cx="5731510" cy="38417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R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84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119D" w:rsidRDefault="00AF119D" w:rsidP="00586486">
    <w:pPr>
      <w:pStyle w:val="Header"/>
    </w:pPr>
  </w:p>
  <w:p w:rsidR="00AF119D" w:rsidRPr="00586486" w:rsidRDefault="00AF119D" w:rsidP="005864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E81" w:rsidRDefault="00CB7E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D4C"/>
    <w:multiLevelType w:val="hybridMultilevel"/>
    <w:tmpl w:val="AD38D6F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7D7EEE"/>
    <w:multiLevelType w:val="hybridMultilevel"/>
    <w:tmpl w:val="45787E3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96C23"/>
    <w:multiLevelType w:val="hybridMultilevel"/>
    <w:tmpl w:val="99166B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66BB6"/>
    <w:multiLevelType w:val="hybridMultilevel"/>
    <w:tmpl w:val="24B476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6156B"/>
    <w:multiLevelType w:val="hybridMultilevel"/>
    <w:tmpl w:val="CF86C7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F30CB"/>
    <w:multiLevelType w:val="hybridMultilevel"/>
    <w:tmpl w:val="339C5A46"/>
    <w:lvl w:ilvl="0" w:tplc="1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DD23089"/>
    <w:multiLevelType w:val="hybridMultilevel"/>
    <w:tmpl w:val="5C9641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F15A4"/>
    <w:multiLevelType w:val="hybridMultilevel"/>
    <w:tmpl w:val="AB706FCE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1B25595"/>
    <w:multiLevelType w:val="hybridMultilevel"/>
    <w:tmpl w:val="E83E2A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B6A2F"/>
    <w:multiLevelType w:val="hybridMultilevel"/>
    <w:tmpl w:val="1410EC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20555"/>
    <w:multiLevelType w:val="hybridMultilevel"/>
    <w:tmpl w:val="9766A8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DE053E"/>
    <w:multiLevelType w:val="hybridMultilevel"/>
    <w:tmpl w:val="B456BB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DF2721"/>
    <w:multiLevelType w:val="hybridMultilevel"/>
    <w:tmpl w:val="43D6D7D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370972"/>
    <w:multiLevelType w:val="hybridMultilevel"/>
    <w:tmpl w:val="4422580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71613B"/>
    <w:multiLevelType w:val="hybridMultilevel"/>
    <w:tmpl w:val="D51402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9C63F5"/>
    <w:multiLevelType w:val="hybridMultilevel"/>
    <w:tmpl w:val="D544111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20631D"/>
    <w:multiLevelType w:val="hybridMultilevel"/>
    <w:tmpl w:val="B5DEBDC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401552"/>
    <w:multiLevelType w:val="hybridMultilevel"/>
    <w:tmpl w:val="4BE4DD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536158"/>
    <w:multiLevelType w:val="hybridMultilevel"/>
    <w:tmpl w:val="B434CE22"/>
    <w:lvl w:ilvl="0" w:tplc="1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>
    <w:nsid w:val="462E291F"/>
    <w:multiLevelType w:val="hybridMultilevel"/>
    <w:tmpl w:val="4D786EE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C842E95"/>
    <w:multiLevelType w:val="hybridMultilevel"/>
    <w:tmpl w:val="62A24D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C903A7"/>
    <w:multiLevelType w:val="hybridMultilevel"/>
    <w:tmpl w:val="AC7E08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874D55"/>
    <w:multiLevelType w:val="hybridMultilevel"/>
    <w:tmpl w:val="0520DD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455FEC"/>
    <w:multiLevelType w:val="hybridMultilevel"/>
    <w:tmpl w:val="F2AC4C3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F65614"/>
    <w:multiLevelType w:val="hybridMultilevel"/>
    <w:tmpl w:val="F42E1E9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A75794"/>
    <w:multiLevelType w:val="hybridMultilevel"/>
    <w:tmpl w:val="FE3839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E304FC"/>
    <w:multiLevelType w:val="hybridMultilevel"/>
    <w:tmpl w:val="AA9EEB3E"/>
    <w:lvl w:ilvl="0" w:tplc="4A7A89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A6B7C75"/>
    <w:multiLevelType w:val="hybridMultilevel"/>
    <w:tmpl w:val="99A014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DB1769"/>
    <w:multiLevelType w:val="hybridMultilevel"/>
    <w:tmpl w:val="5D04DC0E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5F0214D3"/>
    <w:multiLevelType w:val="hybridMultilevel"/>
    <w:tmpl w:val="FE84A58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109736D"/>
    <w:multiLevelType w:val="hybridMultilevel"/>
    <w:tmpl w:val="65F4DBB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7A7C4C"/>
    <w:multiLevelType w:val="hybridMultilevel"/>
    <w:tmpl w:val="873C9C2C"/>
    <w:lvl w:ilvl="0" w:tplc="E54AD798">
      <w:start w:val="1"/>
      <w:numFmt w:val="decimal"/>
      <w:pStyle w:val="MEB51"/>
      <w:lvlText w:val="5.%1."/>
      <w:lvlJc w:val="left"/>
      <w:pPr>
        <w:tabs>
          <w:tab w:val="num" w:pos="324"/>
        </w:tabs>
        <w:ind w:left="324" w:hanging="360"/>
      </w:pPr>
      <w:rPr>
        <w:rFonts w:ascii="Times New Roman" w:hAnsi="Times New Roman" w:hint="default"/>
        <w:color w:val="auto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044" w:hanging="360"/>
      </w:pPr>
    </w:lvl>
    <w:lvl w:ilvl="2" w:tplc="1409001B" w:tentative="1">
      <w:start w:val="1"/>
      <w:numFmt w:val="lowerRoman"/>
      <w:lvlText w:val="%3."/>
      <w:lvlJc w:val="right"/>
      <w:pPr>
        <w:ind w:left="1764" w:hanging="180"/>
      </w:pPr>
    </w:lvl>
    <w:lvl w:ilvl="3" w:tplc="1409000F" w:tentative="1">
      <w:start w:val="1"/>
      <w:numFmt w:val="decimal"/>
      <w:lvlText w:val="%4."/>
      <w:lvlJc w:val="left"/>
      <w:pPr>
        <w:ind w:left="2484" w:hanging="360"/>
      </w:pPr>
    </w:lvl>
    <w:lvl w:ilvl="4" w:tplc="14090019" w:tentative="1">
      <w:start w:val="1"/>
      <w:numFmt w:val="lowerLetter"/>
      <w:lvlText w:val="%5."/>
      <w:lvlJc w:val="left"/>
      <w:pPr>
        <w:ind w:left="3204" w:hanging="360"/>
      </w:pPr>
    </w:lvl>
    <w:lvl w:ilvl="5" w:tplc="1409001B" w:tentative="1">
      <w:start w:val="1"/>
      <w:numFmt w:val="lowerRoman"/>
      <w:lvlText w:val="%6."/>
      <w:lvlJc w:val="right"/>
      <w:pPr>
        <w:ind w:left="3924" w:hanging="180"/>
      </w:pPr>
    </w:lvl>
    <w:lvl w:ilvl="6" w:tplc="1409000F" w:tentative="1">
      <w:start w:val="1"/>
      <w:numFmt w:val="decimal"/>
      <w:lvlText w:val="%7."/>
      <w:lvlJc w:val="left"/>
      <w:pPr>
        <w:ind w:left="4644" w:hanging="360"/>
      </w:pPr>
    </w:lvl>
    <w:lvl w:ilvl="7" w:tplc="14090019" w:tentative="1">
      <w:start w:val="1"/>
      <w:numFmt w:val="lowerLetter"/>
      <w:lvlText w:val="%8."/>
      <w:lvlJc w:val="left"/>
      <w:pPr>
        <w:ind w:left="5364" w:hanging="360"/>
      </w:pPr>
    </w:lvl>
    <w:lvl w:ilvl="8" w:tplc="1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32">
    <w:nsid w:val="65512427"/>
    <w:multiLevelType w:val="hybridMultilevel"/>
    <w:tmpl w:val="6018FEB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C9D208A"/>
    <w:multiLevelType w:val="hybridMultilevel"/>
    <w:tmpl w:val="148EFA9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F71B34"/>
    <w:multiLevelType w:val="hybridMultilevel"/>
    <w:tmpl w:val="22883C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EF86E14"/>
    <w:multiLevelType w:val="hybridMultilevel"/>
    <w:tmpl w:val="826CD1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705921"/>
    <w:multiLevelType w:val="hybridMultilevel"/>
    <w:tmpl w:val="358CC41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36C4F23"/>
    <w:multiLevelType w:val="hybridMultilevel"/>
    <w:tmpl w:val="B26C8BB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4872AED"/>
    <w:multiLevelType w:val="hybridMultilevel"/>
    <w:tmpl w:val="008AFAE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</w:num>
  <w:num w:numId="3">
    <w:abstractNumId w:val="15"/>
  </w:num>
  <w:num w:numId="4">
    <w:abstractNumId w:val="32"/>
  </w:num>
  <w:num w:numId="5">
    <w:abstractNumId w:val="23"/>
  </w:num>
  <w:num w:numId="6">
    <w:abstractNumId w:val="30"/>
  </w:num>
  <w:num w:numId="7">
    <w:abstractNumId w:val="19"/>
  </w:num>
  <w:num w:numId="8">
    <w:abstractNumId w:val="1"/>
  </w:num>
  <w:num w:numId="9">
    <w:abstractNumId w:val="20"/>
  </w:num>
  <w:num w:numId="10">
    <w:abstractNumId w:val="36"/>
  </w:num>
  <w:num w:numId="11">
    <w:abstractNumId w:val="6"/>
  </w:num>
  <w:num w:numId="12">
    <w:abstractNumId w:val="8"/>
  </w:num>
  <w:num w:numId="13">
    <w:abstractNumId w:val="33"/>
  </w:num>
  <w:num w:numId="14">
    <w:abstractNumId w:val="24"/>
  </w:num>
  <w:num w:numId="15">
    <w:abstractNumId w:val="2"/>
  </w:num>
  <w:num w:numId="16">
    <w:abstractNumId w:val="4"/>
  </w:num>
  <w:num w:numId="17">
    <w:abstractNumId w:val="22"/>
  </w:num>
  <w:num w:numId="18">
    <w:abstractNumId w:val="17"/>
  </w:num>
  <w:num w:numId="19">
    <w:abstractNumId w:val="27"/>
  </w:num>
  <w:num w:numId="20">
    <w:abstractNumId w:val="18"/>
  </w:num>
  <w:num w:numId="21">
    <w:abstractNumId w:val="7"/>
  </w:num>
  <w:num w:numId="22">
    <w:abstractNumId w:val="35"/>
  </w:num>
  <w:num w:numId="23">
    <w:abstractNumId w:val="28"/>
  </w:num>
  <w:num w:numId="24">
    <w:abstractNumId w:val="31"/>
  </w:num>
  <w:num w:numId="25">
    <w:abstractNumId w:val="11"/>
  </w:num>
  <w:num w:numId="26">
    <w:abstractNumId w:val="25"/>
  </w:num>
  <w:num w:numId="27">
    <w:abstractNumId w:val="38"/>
  </w:num>
  <w:num w:numId="28">
    <w:abstractNumId w:val="21"/>
  </w:num>
  <w:num w:numId="29">
    <w:abstractNumId w:val="3"/>
  </w:num>
  <w:num w:numId="30">
    <w:abstractNumId w:val="5"/>
  </w:num>
  <w:num w:numId="31">
    <w:abstractNumId w:val="9"/>
  </w:num>
  <w:num w:numId="32">
    <w:abstractNumId w:val="14"/>
  </w:num>
  <w:num w:numId="33">
    <w:abstractNumId w:val="10"/>
  </w:num>
  <w:num w:numId="34">
    <w:abstractNumId w:val="37"/>
  </w:num>
  <w:num w:numId="35">
    <w:abstractNumId w:val="29"/>
  </w:num>
  <w:num w:numId="36">
    <w:abstractNumId w:val="34"/>
  </w:num>
  <w:num w:numId="37">
    <w:abstractNumId w:val="13"/>
  </w:num>
  <w:num w:numId="38">
    <w:abstractNumId w:val="12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09"/>
    <w:rsid w:val="00002E0F"/>
    <w:rsid w:val="00003F4B"/>
    <w:rsid w:val="000047E0"/>
    <w:rsid w:val="00006249"/>
    <w:rsid w:val="000210D6"/>
    <w:rsid w:val="00041712"/>
    <w:rsid w:val="0004285A"/>
    <w:rsid w:val="0005665D"/>
    <w:rsid w:val="000A08BE"/>
    <w:rsid w:val="000A2BF0"/>
    <w:rsid w:val="000A4FE8"/>
    <w:rsid w:val="000B0EAE"/>
    <w:rsid w:val="000C178B"/>
    <w:rsid w:val="000C6FFE"/>
    <w:rsid w:val="000E3672"/>
    <w:rsid w:val="00106CC9"/>
    <w:rsid w:val="001106E0"/>
    <w:rsid w:val="001165CF"/>
    <w:rsid w:val="00117CEE"/>
    <w:rsid w:val="001308A3"/>
    <w:rsid w:val="001663F0"/>
    <w:rsid w:val="001B58E3"/>
    <w:rsid w:val="001D0134"/>
    <w:rsid w:val="001D4539"/>
    <w:rsid w:val="001D5A3E"/>
    <w:rsid w:val="001D60B7"/>
    <w:rsid w:val="001E0239"/>
    <w:rsid w:val="0020469D"/>
    <w:rsid w:val="00211016"/>
    <w:rsid w:val="00211B6D"/>
    <w:rsid w:val="00224E18"/>
    <w:rsid w:val="00225994"/>
    <w:rsid w:val="0024346F"/>
    <w:rsid w:val="00247720"/>
    <w:rsid w:val="00256153"/>
    <w:rsid w:val="002653F7"/>
    <w:rsid w:val="00276609"/>
    <w:rsid w:val="00287EDE"/>
    <w:rsid w:val="00295C4E"/>
    <w:rsid w:val="002A78C7"/>
    <w:rsid w:val="002B32C1"/>
    <w:rsid w:val="002D2B8F"/>
    <w:rsid w:val="002D4429"/>
    <w:rsid w:val="002D4EEA"/>
    <w:rsid w:val="002E332E"/>
    <w:rsid w:val="00301A47"/>
    <w:rsid w:val="00302111"/>
    <w:rsid w:val="0033077C"/>
    <w:rsid w:val="003468DA"/>
    <w:rsid w:val="00362484"/>
    <w:rsid w:val="00374AC4"/>
    <w:rsid w:val="00377419"/>
    <w:rsid w:val="00391D4C"/>
    <w:rsid w:val="003E068C"/>
    <w:rsid w:val="003E103B"/>
    <w:rsid w:val="003E3D3B"/>
    <w:rsid w:val="003F3D64"/>
    <w:rsid w:val="003F415D"/>
    <w:rsid w:val="004062AA"/>
    <w:rsid w:val="00423D55"/>
    <w:rsid w:val="00423EC0"/>
    <w:rsid w:val="00426391"/>
    <w:rsid w:val="00440A72"/>
    <w:rsid w:val="004426EA"/>
    <w:rsid w:val="00445F00"/>
    <w:rsid w:val="0045621E"/>
    <w:rsid w:val="00461B91"/>
    <w:rsid w:val="00472013"/>
    <w:rsid w:val="0048243A"/>
    <w:rsid w:val="00486AE0"/>
    <w:rsid w:val="00491591"/>
    <w:rsid w:val="00494CC7"/>
    <w:rsid w:val="004B1D90"/>
    <w:rsid w:val="004D3FAC"/>
    <w:rsid w:val="004E086F"/>
    <w:rsid w:val="004E0D85"/>
    <w:rsid w:val="004F0833"/>
    <w:rsid w:val="004F1209"/>
    <w:rsid w:val="004F75F3"/>
    <w:rsid w:val="00503EC8"/>
    <w:rsid w:val="005042C8"/>
    <w:rsid w:val="005105A9"/>
    <w:rsid w:val="005123A0"/>
    <w:rsid w:val="00522D34"/>
    <w:rsid w:val="00522FB9"/>
    <w:rsid w:val="00525351"/>
    <w:rsid w:val="00531274"/>
    <w:rsid w:val="00532EAD"/>
    <w:rsid w:val="00544D43"/>
    <w:rsid w:val="0054740A"/>
    <w:rsid w:val="00552775"/>
    <w:rsid w:val="00555AA8"/>
    <w:rsid w:val="00556F18"/>
    <w:rsid w:val="0056114A"/>
    <w:rsid w:val="005625AA"/>
    <w:rsid w:val="005762D0"/>
    <w:rsid w:val="00585364"/>
    <w:rsid w:val="0058635B"/>
    <w:rsid w:val="00586486"/>
    <w:rsid w:val="005B49D2"/>
    <w:rsid w:val="005D2479"/>
    <w:rsid w:val="005E21E7"/>
    <w:rsid w:val="005E35F6"/>
    <w:rsid w:val="005F14CD"/>
    <w:rsid w:val="005F3D8C"/>
    <w:rsid w:val="006071A3"/>
    <w:rsid w:val="00607B93"/>
    <w:rsid w:val="00627151"/>
    <w:rsid w:val="006312F3"/>
    <w:rsid w:val="00650C3D"/>
    <w:rsid w:val="006544D9"/>
    <w:rsid w:val="00656A18"/>
    <w:rsid w:val="006A1AA0"/>
    <w:rsid w:val="006A768E"/>
    <w:rsid w:val="006B4933"/>
    <w:rsid w:val="006B7366"/>
    <w:rsid w:val="006E4683"/>
    <w:rsid w:val="006E5078"/>
    <w:rsid w:val="006E721E"/>
    <w:rsid w:val="006E7EB2"/>
    <w:rsid w:val="006F08FA"/>
    <w:rsid w:val="00700FEE"/>
    <w:rsid w:val="0070613C"/>
    <w:rsid w:val="007148B4"/>
    <w:rsid w:val="00717742"/>
    <w:rsid w:val="00717790"/>
    <w:rsid w:val="00721841"/>
    <w:rsid w:val="00732DD0"/>
    <w:rsid w:val="00757D94"/>
    <w:rsid w:val="007712E1"/>
    <w:rsid w:val="00774728"/>
    <w:rsid w:val="007B2AD1"/>
    <w:rsid w:val="007D0E7C"/>
    <w:rsid w:val="007F4076"/>
    <w:rsid w:val="007F4D07"/>
    <w:rsid w:val="007F4DCE"/>
    <w:rsid w:val="00820C2B"/>
    <w:rsid w:val="00833944"/>
    <w:rsid w:val="00854867"/>
    <w:rsid w:val="00865483"/>
    <w:rsid w:val="008A3581"/>
    <w:rsid w:val="008B1B15"/>
    <w:rsid w:val="008C33EC"/>
    <w:rsid w:val="008F12D5"/>
    <w:rsid w:val="00902ECD"/>
    <w:rsid w:val="00906C48"/>
    <w:rsid w:val="009103F3"/>
    <w:rsid w:val="00914543"/>
    <w:rsid w:val="0092078F"/>
    <w:rsid w:val="00924DD5"/>
    <w:rsid w:val="009378CD"/>
    <w:rsid w:val="009548E6"/>
    <w:rsid w:val="00954F06"/>
    <w:rsid w:val="00957EF1"/>
    <w:rsid w:val="00960017"/>
    <w:rsid w:val="00965C90"/>
    <w:rsid w:val="009667B4"/>
    <w:rsid w:val="009A028F"/>
    <w:rsid w:val="009B1912"/>
    <w:rsid w:val="009B7F2B"/>
    <w:rsid w:val="00A37112"/>
    <w:rsid w:val="00A54A23"/>
    <w:rsid w:val="00A55EAC"/>
    <w:rsid w:val="00A560F9"/>
    <w:rsid w:val="00A60948"/>
    <w:rsid w:val="00A60C6B"/>
    <w:rsid w:val="00A60F4D"/>
    <w:rsid w:val="00A725B2"/>
    <w:rsid w:val="00A754EB"/>
    <w:rsid w:val="00A871C3"/>
    <w:rsid w:val="00AA37B9"/>
    <w:rsid w:val="00AA5A99"/>
    <w:rsid w:val="00AD0D91"/>
    <w:rsid w:val="00AF119D"/>
    <w:rsid w:val="00AF1FC2"/>
    <w:rsid w:val="00B01695"/>
    <w:rsid w:val="00B031AF"/>
    <w:rsid w:val="00B23F9A"/>
    <w:rsid w:val="00B240F3"/>
    <w:rsid w:val="00B3251D"/>
    <w:rsid w:val="00B338EB"/>
    <w:rsid w:val="00B4478A"/>
    <w:rsid w:val="00B44BF6"/>
    <w:rsid w:val="00B5349A"/>
    <w:rsid w:val="00B64622"/>
    <w:rsid w:val="00B65F38"/>
    <w:rsid w:val="00B76377"/>
    <w:rsid w:val="00BA17AD"/>
    <w:rsid w:val="00BB7261"/>
    <w:rsid w:val="00BE0AE9"/>
    <w:rsid w:val="00BE5A68"/>
    <w:rsid w:val="00BE6CFC"/>
    <w:rsid w:val="00C05426"/>
    <w:rsid w:val="00C466F7"/>
    <w:rsid w:val="00C536B0"/>
    <w:rsid w:val="00C57A18"/>
    <w:rsid w:val="00C742E3"/>
    <w:rsid w:val="00C75E23"/>
    <w:rsid w:val="00C83FE6"/>
    <w:rsid w:val="00CA14B8"/>
    <w:rsid w:val="00CB097E"/>
    <w:rsid w:val="00CB2B62"/>
    <w:rsid w:val="00CB35C1"/>
    <w:rsid w:val="00CB3B4F"/>
    <w:rsid w:val="00CB7E81"/>
    <w:rsid w:val="00CC301A"/>
    <w:rsid w:val="00CD33E0"/>
    <w:rsid w:val="00CF314D"/>
    <w:rsid w:val="00D07910"/>
    <w:rsid w:val="00D07FCC"/>
    <w:rsid w:val="00D16CA3"/>
    <w:rsid w:val="00D17A26"/>
    <w:rsid w:val="00D3401D"/>
    <w:rsid w:val="00D3573F"/>
    <w:rsid w:val="00D357F9"/>
    <w:rsid w:val="00D45386"/>
    <w:rsid w:val="00D533D2"/>
    <w:rsid w:val="00D536BE"/>
    <w:rsid w:val="00D54FB3"/>
    <w:rsid w:val="00D61C8E"/>
    <w:rsid w:val="00D647D6"/>
    <w:rsid w:val="00D93D26"/>
    <w:rsid w:val="00D9663E"/>
    <w:rsid w:val="00D971F6"/>
    <w:rsid w:val="00DA6A7D"/>
    <w:rsid w:val="00DB1E88"/>
    <w:rsid w:val="00DC30A0"/>
    <w:rsid w:val="00DC4AF9"/>
    <w:rsid w:val="00DD0998"/>
    <w:rsid w:val="00DD25E3"/>
    <w:rsid w:val="00DE6DFD"/>
    <w:rsid w:val="00DF1E0F"/>
    <w:rsid w:val="00DF2C4E"/>
    <w:rsid w:val="00E057B6"/>
    <w:rsid w:val="00E07514"/>
    <w:rsid w:val="00E1589A"/>
    <w:rsid w:val="00E16293"/>
    <w:rsid w:val="00E21AAB"/>
    <w:rsid w:val="00E45EDF"/>
    <w:rsid w:val="00E50A9E"/>
    <w:rsid w:val="00E50D23"/>
    <w:rsid w:val="00E50DA5"/>
    <w:rsid w:val="00E825B5"/>
    <w:rsid w:val="00EB6C58"/>
    <w:rsid w:val="00ED249A"/>
    <w:rsid w:val="00ED6985"/>
    <w:rsid w:val="00F037F6"/>
    <w:rsid w:val="00F06485"/>
    <w:rsid w:val="00F12763"/>
    <w:rsid w:val="00F129A4"/>
    <w:rsid w:val="00F33BC0"/>
    <w:rsid w:val="00F527A9"/>
    <w:rsid w:val="00F836D9"/>
    <w:rsid w:val="00F86AB4"/>
    <w:rsid w:val="00F919F7"/>
    <w:rsid w:val="00FA23FA"/>
    <w:rsid w:val="00FA677A"/>
    <w:rsid w:val="00FC0E52"/>
    <w:rsid w:val="00FC54EC"/>
    <w:rsid w:val="00FD478A"/>
    <w:rsid w:val="00FD7028"/>
    <w:rsid w:val="00FE4691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209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120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uiPriority w:val="99"/>
    <w:rsid w:val="004F1209"/>
    <w:rPr>
      <w:sz w:val="20"/>
      <w:szCs w:val="20"/>
    </w:rPr>
  </w:style>
  <w:style w:type="character" w:styleId="FootnoteReference">
    <w:name w:val="footnote reference"/>
    <w:uiPriority w:val="99"/>
    <w:rsid w:val="004F1209"/>
    <w:rPr>
      <w:vertAlign w:val="superscript"/>
    </w:rPr>
  </w:style>
  <w:style w:type="paragraph" w:styleId="Footer">
    <w:name w:val="footer"/>
    <w:basedOn w:val="Normal"/>
    <w:link w:val="FooterChar"/>
    <w:uiPriority w:val="99"/>
    <w:rsid w:val="00DF1E0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06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57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7D94"/>
    <w:rPr>
      <w:rFonts w:ascii="Tahoma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rsid w:val="000566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66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65D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056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665D"/>
    <w:rPr>
      <w:b/>
      <w:bCs/>
      <w:lang w:eastAsia="en-AU"/>
    </w:rPr>
  </w:style>
  <w:style w:type="paragraph" w:styleId="ListParagraph">
    <w:name w:val="List Paragraph"/>
    <w:basedOn w:val="Normal"/>
    <w:uiPriority w:val="34"/>
    <w:qFormat/>
    <w:rsid w:val="00FA677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F119D"/>
    <w:rPr>
      <w:sz w:val="24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74AC4"/>
    <w:rPr>
      <w:lang w:eastAsia="en-AU"/>
    </w:rPr>
  </w:style>
  <w:style w:type="paragraph" w:customStyle="1" w:styleId="MEB51">
    <w:name w:val="MEB5.1"/>
    <w:basedOn w:val="Normal"/>
    <w:rsid w:val="00E50D23"/>
    <w:pPr>
      <w:numPr>
        <w:numId w:val="24"/>
      </w:numPr>
      <w:ind w:left="426" w:hanging="426"/>
      <w:jc w:val="both"/>
    </w:pPr>
    <w:rPr>
      <w:b/>
      <w:bCs/>
      <w:i/>
      <w:sz w:val="22"/>
    </w:rPr>
  </w:style>
  <w:style w:type="paragraph" w:customStyle="1" w:styleId="RepNormal">
    <w:name w:val="Rep_Normal"/>
    <w:basedOn w:val="NoSpacing"/>
    <w:qFormat/>
    <w:rsid w:val="00D61C8E"/>
    <w:pPr>
      <w:jc w:val="both"/>
    </w:pPr>
    <w:rPr>
      <w:rFonts w:eastAsia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D61C8E"/>
    <w:rPr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209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120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uiPriority w:val="99"/>
    <w:rsid w:val="004F1209"/>
    <w:rPr>
      <w:sz w:val="20"/>
      <w:szCs w:val="20"/>
    </w:rPr>
  </w:style>
  <w:style w:type="character" w:styleId="FootnoteReference">
    <w:name w:val="footnote reference"/>
    <w:uiPriority w:val="99"/>
    <w:rsid w:val="004F1209"/>
    <w:rPr>
      <w:vertAlign w:val="superscript"/>
    </w:rPr>
  </w:style>
  <w:style w:type="paragraph" w:styleId="Footer">
    <w:name w:val="footer"/>
    <w:basedOn w:val="Normal"/>
    <w:link w:val="FooterChar"/>
    <w:uiPriority w:val="99"/>
    <w:rsid w:val="00DF1E0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06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57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7D94"/>
    <w:rPr>
      <w:rFonts w:ascii="Tahoma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rsid w:val="000566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66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65D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056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665D"/>
    <w:rPr>
      <w:b/>
      <w:bCs/>
      <w:lang w:eastAsia="en-AU"/>
    </w:rPr>
  </w:style>
  <w:style w:type="paragraph" w:styleId="ListParagraph">
    <w:name w:val="List Paragraph"/>
    <w:basedOn w:val="Normal"/>
    <w:uiPriority w:val="34"/>
    <w:qFormat/>
    <w:rsid w:val="00FA677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F119D"/>
    <w:rPr>
      <w:sz w:val="24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74AC4"/>
    <w:rPr>
      <w:lang w:eastAsia="en-AU"/>
    </w:rPr>
  </w:style>
  <w:style w:type="paragraph" w:customStyle="1" w:styleId="MEB51">
    <w:name w:val="MEB5.1"/>
    <w:basedOn w:val="Normal"/>
    <w:rsid w:val="00E50D23"/>
    <w:pPr>
      <w:numPr>
        <w:numId w:val="24"/>
      </w:numPr>
      <w:ind w:left="426" w:hanging="426"/>
      <w:jc w:val="both"/>
    </w:pPr>
    <w:rPr>
      <w:b/>
      <w:bCs/>
      <w:i/>
      <w:sz w:val="22"/>
    </w:rPr>
  </w:style>
  <w:style w:type="paragraph" w:customStyle="1" w:styleId="RepNormal">
    <w:name w:val="Rep_Normal"/>
    <w:basedOn w:val="NoSpacing"/>
    <w:qFormat/>
    <w:rsid w:val="00D61C8E"/>
    <w:pPr>
      <w:jc w:val="both"/>
    </w:pPr>
    <w:rPr>
      <w:rFonts w:eastAsia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D61C8E"/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F7176-3DE3-4CE1-B546-B81B0B491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EAG communication summary</vt:lpstr>
    </vt:vector>
  </TitlesOfParts>
  <Company>Auckland University of Technology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EAG communication summary</dc:title>
  <dc:creator>AUT User</dc:creator>
  <cp:lastModifiedBy>Ministry of Health</cp:lastModifiedBy>
  <cp:revision>1</cp:revision>
  <cp:lastPrinted>2015-09-23T01:43:00Z</cp:lastPrinted>
  <dcterms:created xsi:type="dcterms:W3CDTF">2015-12-20T20:58:00Z</dcterms:created>
  <dcterms:modified xsi:type="dcterms:W3CDTF">2015-12-20T20:58:00Z</dcterms:modified>
</cp:coreProperties>
</file>