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6248" w:rsidRPr="00926083" w:rsidRDefault="002D5F88" w:rsidP="00926083">
      <w:pPr>
        <w:pStyle w:val="Title"/>
      </w:pPr>
      <w:r>
        <w:t>New Zealand Antimicrobial Resistance Action Plan</w:t>
      </w:r>
    </w:p>
    <w:p w:rsidR="00C05132" w:rsidRPr="00C05132" w:rsidRDefault="007A7050" w:rsidP="00926083">
      <w:pPr>
        <w:pStyle w:val="Subhead"/>
      </w:pPr>
      <w:r>
        <w:t>Year one progress report</w:t>
      </w:r>
    </w:p>
    <w:p w:rsidR="00C05132" w:rsidRDefault="00C05132" w:rsidP="00A06BE4"/>
    <w:p w:rsidR="00142954" w:rsidRPr="00142954" w:rsidRDefault="00142954" w:rsidP="00142954">
      <w:pPr>
        <w:sectPr w:rsidR="00142954" w:rsidRPr="00142954" w:rsidSect="00E702EB">
          <w:headerReference w:type="default" r:id="rId8"/>
          <w:footerReference w:type="default" r:id="rId9"/>
          <w:pgSz w:w="11907" w:h="16834" w:code="9"/>
          <w:pgMar w:top="5670" w:right="1134" w:bottom="1134" w:left="1134" w:header="567" w:footer="851" w:gutter="0"/>
          <w:pgNumType w:start="1"/>
          <w:cols w:space="720"/>
        </w:sectPr>
      </w:pPr>
    </w:p>
    <w:p w:rsidR="00A80363" w:rsidRPr="00C05132" w:rsidRDefault="00A80363" w:rsidP="00A63DFF">
      <w:pPr>
        <w:pStyle w:val="Imprint"/>
        <w:spacing w:before="1200"/>
        <w:rPr>
          <w:rFonts w:cs="Segoe UI"/>
        </w:rPr>
      </w:pPr>
      <w:r w:rsidRPr="00C05132">
        <w:rPr>
          <w:rFonts w:cs="Segoe UI"/>
        </w:rPr>
        <w:lastRenderedPageBreak/>
        <w:t xml:space="preserve">Citation: </w:t>
      </w:r>
      <w:r w:rsidR="00442C1C" w:rsidRPr="00C05132">
        <w:rPr>
          <w:rFonts w:cs="Segoe UI"/>
        </w:rPr>
        <w:t>Ministry of Health</w:t>
      </w:r>
      <w:r w:rsidR="000762A4">
        <w:rPr>
          <w:rFonts w:cs="Segoe UI"/>
        </w:rPr>
        <w:t xml:space="preserve"> and Ministry for Primary Industries</w:t>
      </w:r>
      <w:r w:rsidR="00442C1C" w:rsidRPr="00C05132">
        <w:rPr>
          <w:rFonts w:cs="Segoe UI"/>
        </w:rPr>
        <w:t xml:space="preserve">. </w:t>
      </w:r>
      <w:r w:rsidR="002D5F88">
        <w:rPr>
          <w:rFonts w:cs="Segoe UI"/>
        </w:rPr>
        <w:t>2018</w:t>
      </w:r>
      <w:r w:rsidR="00442C1C" w:rsidRPr="00C05132">
        <w:rPr>
          <w:rFonts w:cs="Segoe UI"/>
        </w:rPr>
        <w:t xml:space="preserve">. </w:t>
      </w:r>
      <w:r w:rsidR="002D5F88">
        <w:rPr>
          <w:rFonts w:cs="Segoe UI"/>
          <w:i/>
        </w:rPr>
        <w:t>New Zealand Antimicrobial Resistance Action Plan</w:t>
      </w:r>
      <w:r w:rsidR="007A7050">
        <w:rPr>
          <w:rFonts w:cs="Segoe UI"/>
          <w:i/>
        </w:rPr>
        <w:t>: Year one progress report</w:t>
      </w:r>
      <w:r w:rsidR="00442C1C" w:rsidRPr="00C05132">
        <w:rPr>
          <w:rFonts w:cs="Segoe UI"/>
        </w:rPr>
        <w:t>. Wellington: Ministry of Health.</w:t>
      </w:r>
    </w:p>
    <w:p w:rsidR="00C86248" w:rsidRDefault="00C86248">
      <w:pPr>
        <w:pStyle w:val="Imprint"/>
      </w:pPr>
      <w:r>
        <w:t xml:space="preserve">Published in </w:t>
      </w:r>
      <w:r w:rsidR="002D5F88">
        <w:t>September 2018</w:t>
      </w:r>
      <w:r w:rsidR="00A63DFF">
        <w:t xml:space="preserve"> </w:t>
      </w:r>
      <w:r>
        <w:t>by the</w:t>
      </w:r>
      <w:r w:rsidR="00442C1C">
        <w:t xml:space="preserve"> </w:t>
      </w:r>
      <w:r>
        <w:t>Ministry of Health</w:t>
      </w:r>
      <w:r>
        <w:br/>
        <w:t>PO Box 5013, Wellington</w:t>
      </w:r>
      <w:r w:rsidR="00A80363">
        <w:t xml:space="preserve"> 614</w:t>
      </w:r>
      <w:r w:rsidR="006041F0">
        <w:t>0</w:t>
      </w:r>
      <w:r>
        <w:t xml:space="preserve">, </w:t>
      </w:r>
      <w:r w:rsidR="00571223">
        <w:t>New Zealand</w:t>
      </w:r>
    </w:p>
    <w:p w:rsidR="00082CD6" w:rsidRPr="009C0F2D" w:rsidRDefault="009A42D5" w:rsidP="00082CD6">
      <w:pPr>
        <w:pStyle w:val="Imprint"/>
      </w:pPr>
      <w:r>
        <w:t xml:space="preserve">ISBN </w:t>
      </w:r>
      <w:r w:rsidR="00617014" w:rsidRPr="00617014">
        <w:rPr>
          <w:rFonts w:eastAsia="Arial" w:cs="Segoe UI"/>
          <w:color w:val="000000"/>
        </w:rPr>
        <w:t>978-1-98-853996-6</w:t>
      </w:r>
      <w:r w:rsidR="00617014" w:rsidRPr="00617014">
        <w:rPr>
          <w:rFonts w:cs="Segoe UI"/>
        </w:rPr>
        <w:t xml:space="preserve"> </w:t>
      </w:r>
      <w:r w:rsidR="00D863D0" w:rsidRPr="00617014">
        <w:rPr>
          <w:rFonts w:cs="Segoe UI"/>
        </w:rPr>
        <w:t>(</w:t>
      </w:r>
      <w:r w:rsidR="00442C1C">
        <w:t>online</w:t>
      </w:r>
      <w:proofErr w:type="gramStart"/>
      <w:r w:rsidR="00D863D0">
        <w:t>)</w:t>
      </w:r>
      <w:proofErr w:type="gramEnd"/>
      <w:r w:rsidR="00082CD6">
        <w:br/>
      </w:r>
      <w:r w:rsidR="00082CD6" w:rsidRPr="009C0F2D">
        <w:t xml:space="preserve">HP </w:t>
      </w:r>
      <w:r w:rsidR="00617014">
        <w:t>6936</w:t>
      </w:r>
    </w:p>
    <w:p w:rsidR="00C86248" w:rsidRDefault="008C64C4" w:rsidP="00A63DFF">
      <w:r>
        <w:rPr>
          <w:noProof/>
          <w:lang w:eastAsia="en-NZ"/>
        </w:rPr>
        <w:drawing>
          <wp:inline distT="0" distB="0" distL="0" distR="0" wp14:anchorId="7498033C" wp14:editId="06C11A53">
            <wp:extent cx="1413163" cy="57633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grayscl/>
                      <a:extLst>
                        <a:ext uri="{28A0092B-C50C-407E-A947-70E740481C1C}">
                          <a14:useLocalDpi xmlns:a14="http://schemas.microsoft.com/office/drawing/2010/main" val="0"/>
                        </a:ext>
                      </a:extLst>
                    </a:blip>
                    <a:srcRect/>
                    <a:stretch>
                      <a:fillRect/>
                    </a:stretch>
                  </pic:blipFill>
                  <pic:spPr bwMode="auto">
                    <a:xfrm>
                      <a:off x="0" y="0"/>
                      <a:ext cx="1413017" cy="576270"/>
                    </a:xfrm>
                    <a:prstGeom prst="rect">
                      <a:avLst/>
                    </a:prstGeom>
                    <a:noFill/>
                    <a:ln>
                      <a:noFill/>
                    </a:ln>
                  </pic:spPr>
                </pic:pic>
              </a:graphicData>
            </a:graphic>
          </wp:inline>
        </w:drawing>
      </w:r>
      <w:r w:rsidR="000762A4">
        <w:tab/>
      </w:r>
      <w:r w:rsidR="000762A4">
        <w:tab/>
      </w:r>
      <w:r w:rsidR="000762A4" w:rsidRPr="009B0917">
        <w:rPr>
          <w:noProof/>
          <w:lang w:eastAsia="en-NZ"/>
        </w:rPr>
        <w:drawing>
          <wp:inline distT="0" distB="0" distL="0" distR="0" wp14:anchorId="1CA50D1D" wp14:editId="02F4D2F4">
            <wp:extent cx="2381250" cy="53813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a:grayscl/>
                    </a:blip>
                    <a:srcRect l="2167" r="1935"/>
                    <a:stretch/>
                  </pic:blipFill>
                  <pic:spPr bwMode="auto">
                    <a:xfrm>
                      <a:off x="0" y="0"/>
                      <a:ext cx="2518566" cy="569167"/>
                    </a:xfrm>
                    <a:prstGeom prst="rect">
                      <a:avLst/>
                    </a:prstGeom>
                    <a:ln>
                      <a:noFill/>
                    </a:ln>
                    <a:extLst>
                      <a:ext uri="{53640926-AAD7-44D8-BBD7-CCE9431645EC}">
                        <a14:shadowObscured xmlns:a14="http://schemas.microsoft.com/office/drawing/2010/main"/>
                      </a:ext>
                    </a:extLst>
                  </pic:spPr>
                </pic:pic>
              </a:graphicData>
            </a:graphic>
          </wp:inline>
        </w:drawing>
      </w:r>
    </w:p>
    <w:p w:rsidR="00A63DFF" w:rsidRDefault="00A63DFF" w:rsidP="00A63DFF">
      <w:pPr>
        <w:pStyle w:val="Imprint"/>
        <w:spacing w:before="240" w:after="480"/>
      </w:pPr>
      <w:r>
        <w:t>This document is available at health.govt.nz</w:t>
      </w:r>
      <w:r w:rsidR="000762A4">
        <w:t xml:space="preserve"> and mpi.govt.nz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26"/>
        <w:gridCol w:w="6061"/>
      </w:tblGrid>
      <w:tr w:rsidR="00A63DFF" w:rsidRPr="00A63DFF" w:rsidTr="00A63DFF">
        <w:trPr>
          <w:cantSplit/>
        </w:trPr>
        <w:tc>
          <w:tcPr>
            <w:tcW w:w="1526" w:type="dxa"/>
          </w:tcPr>
          <w:p w:rsidR="00A63DFF" w:rsidRPr="00A63DFF" w:rsidRDefault="00A63DFF" w:rsidP="00A63DFF">
            <w:pPr>
              <w:rPr>
                <w:rFonts w:cs="Segoe UI"/>
                <w:sz w:val="15"/>
                <w:szCs w:val="15"/>
              </w:rPr>
            </w:pPr>
            <w:r w:rsidRPr="00A63DFF">
              <w:rPr>
                <w:rFonts w:cs="Segoe UI"/>
                <w:b/>
                <w:noProof/>
                <w:sz w:val="15"/>
                <w:szCs w:val="15"/>
                <w:lang w:eastAsia="en-NZ"/>
              </w:rPr>
              <w:drawing>
                <wp:inline distT="0" distB="0" distL="0" distR="0" wp14:anchorId="391BA06B" wp14:editId="73E60089">
                  <wp:extent cx="809625" cy="285750"/>
                  <wp:effectExtent l="0" t="0" r="9525" b="0"/>
                  <wp:docPr id="3" name="Picture 3" descr="CC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BY"/>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a:noFill/>
                          </a:ln>
                        </pic:spPr>
                      </pic:pic>
                    </a:graphicData>
                  </a:graphic>
                </wp:inline>
              </w:drawing>
            </w:r>
          </w:p>
        </w:tc>
        <w:tc>
          <w:tcPr>
            <w:tcW w:w="6061" w:type="dxa"/>
          </w:tcPr>
          <w:p w:rsidR="00A63DFF" w:rsidRPr="00A63DFF" w:rsidRDefault="00A63DFF" w:rsidP="00A63DFF">
            <w:pPr>
              <w:rPr>
                <w:rFonts w:cs="Segoe UI"/>
                <w:sz w:val="15"/>
                <w:szCs w:val="15"/>
              </w:rPr>
            </w:pPr>
            <w:r w:rsidRPr="00A63DFF">
              <w:rPr>
                <w:rFonts w:cs="Segoe UI"/>
                <w:sz w:val="15"/>
                <w:szCs w:val="15"/>
              </w:rPr>
              <w:t xml:space="preserve">This work is licensed under the Creative Commons Attribution 4.0 International licence. In essence, </w:t>
            </w:r>
            <w:r w:rsidRPr="00A63DFF">
              <w:rPr>
                <w:rFonts w:cs="Segoe UI"/>
                <w:bCs/>
                <w:sz w:val="15"/>
                <w:szCs w:val="15"/>
              </w:rPr>
              <w:t xml:space="preserve">you are free to: </w:t>
            </w:r>
            <w:r w:rsidRPr="00A63DFF">
              <w:rPr>
                <w:rFonts w:cs="Segoe UI"/>
                <w:sz w:val="15"/>
                <w:szCs w:val="15"/>
              </w:rPr>
              <w:t xml:space="preserve">share </w:t>
            </w:r>
            <w:proofErr w:type="spellStart"/>
            <w:r w:rsidRPr="00A63DFF">
              <w:rPr>
                <w:rFonts w:cs="Segoe UI"/>
                <w:sz w:val="15"/>
                <w:szCs w:val="15"/>
              </w:rPr>
              <w:t>ie</w:t>
            </w:r>
            <w:proofErr w:type="spellEnd"/>
            <w:r w:rsidRPr="00A63DFF">
              <w:rPr>
                <w:rFonts w:cs="Segoe UI"/>
                <w:sz w:val="15"/>
                <w:szCs w:val="15"/>
              </w:rPr>
              <w:t xml:space="preserve">, copy and redistribute the material in any medium or format; adapt </w:t>
            </w:r>
            <w:proofErr w:type="spellStart"/>
            <w:r w:rsidRPr="00A63DFF">
              <w:rPr>
                <w:rFonts w:cs="Segoe UI"/>
                <w:sz w:val="15"/>
                <w:szCs w:val="15"/>
              </w:rPr>
              <w:t>ie</w:t>
            </w:r>
            <w:proofErr w:type="spellEnd"/>
            <w:r w:rsidRPr="00A63DFF">
              <w:rPr>
                <w:rFonts w:cs="Segoe UI"/>
                <w:sz w:val="15"/>
                <w:szCs w:val="15"/>
              </w:rPr>
              <w:t xml:space="preserve">, remix, transform and build upon the material. </w:t>
            </w:r>
            <w:r w:rsidRPr="00A63DFF">
              <w:rPr>
                <w:rFonts w:cs="Segoe UI"/>
                <w:bCs/>
                <w:sz w:val="15"/>
                <w:szCs w:val="15"/>
              </w:rPr>
              <w:t>You must give appropriate credit, provide a link to the licence and indicate if changes were made.</w:t>
            </w:r>
          </w:p>
        </w:tc>
      </w:tr>
    </w:tbl>
    <w:p w:rsidR="007E74F1" w:rsidRPr="001F45A7" w:rsidRDefault="007E74F1" w:rsidP="00A63DFF"/>
    <w:p w:rsidR="00C86248" w:rsidRDefault="00C86248">
      <w:pPr>
        <w:jc w:val="center"/>
        <w:sectPr w:rsidR="00C86248" w:rsidSect="00C05132">
          <w:footerReference w:type="even" r:id="rId13"/>
          <w:footerReference w:type="default" r:id="rId14"/>
          <w:pgSz w:w="11907" w:h="16834" w:code="9"/>
          <w:pgMar w:top="1701" w:right="2268" w:bottom="1134" w:left="2268" w:header="0" w:footer="0" w:gutter="0"/>
          <w:cols w:space="720"/>
          <w:vAlign w:val="bottom"/>
        </w:sectPr>
      </w:pPr>
    </w:p>
    <w:p w:rsidR="00C86248" w:rsidRDefault="00C86248" w:rsidP="00025A6F">
      <w:pPr>
        <w:pStyle w:val="IntroHead"/>
      </w:pPr>
      <w:bookmarkStart w:id="0" w:name="_Toc405792991"/>
      <w:bookmarkStart w:id="1" w:name="_Toc405793224"/>
      <w:r>
        <w:lastRenderedPageBreak/>
        <w:t>Contents</w:t>
      </w:r>
      <w:bookmarkEnd w:id="0"/>
      <w:bookmarkEnd w:id="1"/>
    </w:p>
    <w:p w:rsidR="00240FBE" w:rsidRDefault="00C86248">
      <w:pPr>
        <w:pStyle w:val="TOC1"/>
        <w:rPr>
          <w:rFonts w:asciiTheme="minorHAnsi" w:eastAsiaTheme="minorEastAsia" w:hAnsiTheme="minorHAnsi" w:cstheme="minorBidi"/>
          <w:noProof/>
          <w:sz w:val="22"/>
          <w:szCs w:val="22"/>
          <w:lang w:eastAsia="en-NZ"/>
        </w:rPr>
      </w:pPr>
      <w:r>
        <w:rPr>
          <w:b/>
        </w:rPr>
        <w:fldChar w:fldCharType="begin"/>
      </w:r>
      <w:r>
        <w:instrText xml:space="preserve"> TOC \o "1-2" </w:instrText>
      </w:r>
      <w:r>
        <w:rPr>
          <w:b/>
        </w:rPr>
        <w:fldChar w:fldCharType="separate"/>
      </w:r>
      <w:r w:rsidR="00240FBE" w:rsidRPr="0094389A">
        <w:rPr>
          <w:b/>
          <w:noProof/>
        </w:rPr>
        <w:t>Introduction</w:t>
      </w:r>
      <w:r w:rsidR="00240FBE">
        <w:rPr>
          <w:noProof/>
        </w:rPr>
        <w:tab/>
      </w:r>
      <w:r w:rsidR="00240FBE">
        <w:rPr>
          <w:noProof/>
        </w:rPr>
        <w:fldChar w:fldCharType="begin"/>
      </w:r>
      <w:r w:rsidR="00240FBE">
        <w:rPr>
          <w:noProof/>
        </w:rPr>
        <w:instrText xml:space="preserve"> PAGEREF _Toc524595540 \h </w:instrText>
      </w:r>
      <w:r w:rsidR="00240FBE">
        <w:rPr>
          <w:noProof/>
        </w:rPr>
      </w:r>
      <w:r w:rsidR="00240FBE">
        <w:rPr>
          <w:noProof/>
        </w:rPr>
        <w:fldChar w:fldCharType="separate"/>
      </w:r>
      <w:r w:rsidR="00E702EB">
        <w:rPr>
          <w:noProof/>
        </w:rPr>
        <w:t>1</w:t>
      </w:r>
      <w:r w:rsidR="00240FBE">
        <w:rPr>
          <w:noProof/>
        </w:rPr>
        <w:fldChar w:fldCharType="end"/>
      </w:r>
    </w:p>
    <w:p w:rsidR="00240FBE" w:rsidRDefault="00240FBE">
      <w:pPr>
        <w:pStyle w:val="TOC1"/>
        <w:rPr>
          <w:rFonts w:asciiTheme="minorHAnsi" w:eastAsiaTheme="minorEastAsia" w:hAnsiTheme="minorHAnsi" w:cstheme="minorBidi"/>
          <w:noProof/>
          <w:sz w:val="22"/>
          <w:szCs w:val="22"/>
          <w:lang w:eastAsia="en-NZ"/>
        </w:rPr>
      </w:pPr>
      <w:r>
        <w:rPr>
          <w:noProof/>
        </w:rPr>
        <w:t>Progress towards objectives</w:t>
      </w:r>
      <w:r>
        <w:rPr>
          <w:noProof/>
        </w:rPr>
        <w:tab/>
      </w:r>
      <w:r>
        <w:rPr>
          <w:noProof/>
        </w:rPr>
        <w:fldChar w:fldCharType="begin"/>
      </w:r>
      <w:r>
        <w:rPr>
          <w:noProof/>
        </w:rPr>
        <w:instrText xml:space="preserve"> PAGEREF _Toc524595541 \h </w:instrText>
      </w:r>
      <w:r>
        <w:rPr>
          <w:noProof/>
        </w:rPr>
      </w:r>
      <w:r>
        <w:rPr>
          <w:noProof/>
        </w:rPr>
        <w:fldChar w:fldCharType="separate"/>
      </w:r>
      <w:r w:rsidR="00E702EB">
        <w:rPr>
          <w:noProof/>
        </w:rPr>
        <w:t>2</w:t>
      </w:r>
      <w:r>
        <w:rPr>
          <w:noProof/>
        </w:rPr>
        <w:fldChar w:fldCharType="end"/>
      </w:r>
    </w:p>
    <w:p w:rsidR="00240FBE" w:rsidRDefault="00240FBE">
      <w:pPr>
        <w:pStyle w:val="TOC2"/>
        <w:rPr>
          <w:rFonts w:asciiTheme="minorHAnsi" w:eastAsiaTheme="minorEastAsia" w:hAnsiTheme="minorHAnsi" w:cstheme="minorBidi"/>
          <w:noProof/>
          <w:szCs w:val="22"/>
          <w:lang w:eastAsia="en-NZ"/>
        </w:rPr>
      </w:pPr>
      <w:r>
        <w:rPr>
          <w:noProof/>
        </w:rPr>
        <w:t xml:space="preserve">Objective 1: </w:t>
      </w:r>
      <w:r w:rsidRPr="0094389A">
        <w:rPr>
          <w:rFonts w:eastAsia="Book Antiqua"/>
          <w:noProof/>
        </w:rPr>
        <w:t>Awareness and understanding</w:t>
      </w:r>
      <w:r>
        <w:rPr>
          <w:noProof/>
        </w:rPr>
        <w:tab/>
      </w:r>
      <w:r>
        <w:rPr>
          <w:noProof/>
        </w:rPr>
        <w:fldChar w:fldCharType="begin"/>
      </w:r>
      <w:r>
        <w:rPr>
          <w:noProof/>
        </w:rPr>
        <w:instrText xml:space="preserve"> PAGEREF _Toc524595542 \h </w:instrText>
      </w:r>
      <w:r>
        <w:rPr>
          <w:noProof/>
        </w:rPr>
      </w:r>
      <w:r>
        <w:rPr>
          <w:noProof/>
        </w:rPr>
        <w:fldChar w:fldCharType="separate"/>
      </w:r>
      <w:r w:rsidR="00E702EB">
        <w:rPr>
          <w:noProof/>
        </w:rPr>
        <w:t>2</w:t>
      </w:r>
      <w:r>
        <w:rPr>
          <w:noProof/>
        </w:rPr>
        <w:fldChar w:fldCharType="end"/>
      </w:r>
    </w:p>
    <w:p w:rsidR="00240FBE" w:rsidRDefault="00240FBE">
      <w:pPr>
        <w:pStyle w:val="TOC2"/>
        <w:rPr>
          <w:rFonts w:asciiTheme="minorHAnsi" w:eastAsiaTheme="minorEastAsia" w:hAnsiTheme="minorHAnsi" w:cstheme="minorBidi"/>
          <w:noProof/>
          <w:szCs w:val="22"/>
          <w:lang w:eastAsia="en-NZ"/>
        </w:rPr>
      </w:pPr>
      <w:r>
        <w:rPr>
          <w:noProof/>
        </w:rPr>
        <w:t>Objective 2: Surveillance and research</w:t>
      </w:r>
      <w:r>
        <w:rPr>
          <w:noProof/>
        </w:rPr>
        <w:tab/>
      </w:r>
      <w:r>
        <w:rPr>
          <w:noProof/>
        </w:rPr>
        <w:fldChar w:fldCharType="begin"/>
      </w:r>
      <w:r>
        <w:rPr>
          <w:noProof/>
        </w:rPr>
        <w:instrText xml:space="preserve"> PAGEREF _Toc524595543 \h </w:instrText>
      </w:r>
      <w:r>
        <w:rPr>
          <w:noProof/>
        </w:rPr>
      </w:r>
      <w:r>
        <w:rPr>
          <w:noProof/>
        </w:rPr>
        <w:fldChar w:fldCharType="separate"/>
      </w:r>
      <w:r w:rsidR="00E702EB">
        <w:rPr>
          <w:noProof/>
        </w:rPr>
        <w:t>3</w:t>
      </w:r>
      <w:r>
        <w:rPr>
          <w:noProof/>
        </w:rPr>
        <w:fldChar w:fldCharType="end"/>
      </w:r>
    </w:p>
    <w:p w:rsidR="00240FBE" w:rsidRDefault="00240FBE">
      <w:pPr>
        <w:pStyle w:val="TOC2"/>
        <w:rPr>
          <w:rFonts w:asciiTheme="minorHAnsi" w:eastAsiaTheme="minorEastAsia" w:hAnsiTheme="minorHAnsi" w:cstheme="minorBidi"/>
          <w:noProof/>
          <w:szCs w:val="22"/>
          <w:lang w:eastAsia="en-NZ"/>
        </w:rPr>
      </w:pPr>
      <w:r>
        <w:rPr>
          <w:noProof/>
        </w:rPr>
        <w:t xml:space="preserve">Objective 3: </w:t>
      </w:r>
      <w:r w:rsidRPr="0094389A">
        <w:rPr>
          <w:rFonts w:eastAsia="Book Antiqua"/>
          <w:noProof/>
        </w:rPr>
        <w:t>Infection prevention and control</w:t>
      </w:r>
      <w:r>
        <w:rPr>
          <w:noProof/>
        </w:rPr>
        <w:tab/>
      </w:r>
      <w:r>
        <w:rPr>
          <w:noProof/>
        </w:rPr>
        <w:fldChar w:fldCharType="begin"/>
      </w:r>
      <w:r>
        <w:rPr>
          <w:noProof/>
        </w:rPr>
        <w:instrText xml:space="preserve"> PAGEREF _Toc524595544 \h </w:instrText>
      </w:r>
      <w:r>
        <w:rPr>
          <w:noProof/>
        </w:rPr>
      </w:r>
      <w:r>
        <w:rPr>
          <w:noProof/>
        </w:rPr>
        <w:fldChar w:fldCharType="separate"/>
      </w:r>
      <w:r w:rsidR="00E702EB">
        <w:rPr>
          <w:noProof/>
        </w:rPr>
        <w:t>4</w:t>
      </w:r>
      <w:r>
        <w:rPr>
          <w:noProof/>
        </w:rPr>
        <w:fldChar w:fldCharType="end"/>
      </w:r>
    </w:p>
    <w:p w:rsidR="00240FBE" w:rsidRDefault="00240FBE">
      <w:pPr>
        <w:pStyle w:val="TOC2"/>
        <w:rPr>
          <w:rFonts w:asciiTheme="minorHAnsi" w:eastAsiaTheme="minorEastAsia" w:hAnsiTheme="minorHAnsi" w:cstheme="minorBidi"/>
          <w:noProof/>
          <w:szCs w:val="22"/>
          <w:lang w:eastAsia="en-NZ"/>
        </w:rPr>
      </w:pPr>
      <w:r>
        <w:rPr>
          <w:noProof/>
        </w:rPr>
        <w:t>Objective 4: Antimicrobial stewardship</w:t>
      </w:r>
      <w:r>
        <w:rPr>
          <w:noProof/>
        </w:rPr>
        <w:tab/>
      </w:r>
      <w:r>
        <w:rPr>
          <w:noProof/>
        </w:rPr>
        <w:fldChar w:fldCharType="begin"/>
      </w:r>
      <w:r>
        <w:rPr>
          <w:noProof/>
        </w:rPr>
        <w:instrText xml:space="preserve"> PAGEREF _Toc524595545 \h </w:instrText>
      </w:r>
      <w:r>
        <w:rPr>
          <w:noProof/>
        </w:rPr>
      </w:r>
      <w:r>
        <w:rPr>
          <w:noProof/>
        </w:rPr>
        <w:fldChar w:fldCharType="separate"/>
      </w:r>
      <w:r w:rsidR="00E702EB">
        <w:rPr>
          <w:noProof/>
        </w:rPr>
        <w:t>5</w:t>
      </w:r>
      <w:r>
        <w:rPr>
          <w:noProof/>
        </w:rPr>
        <w:fldChar w:fldCharType="end"/>
      </w:r>
    </w:p>
    <w:p w:rsidR="00240FBE" w:rsidRDefault="00240FBE">
      <w:pPr>
        <w:pStyle w:val="TOC2"/>
        <w:rPr>
          <w:rFonts w:asciiTheme="minorHAnsi" w:eastAsiaTheme="minorEastAsia" w:hAnsiTheme="minorHAnsi" w:cstheme="minorBidi"/>
          <w:noProof/>
          <w:szCs w:val="22"/>
          <w:lang w:eastAsia="en-NZ"/>
        </w:rPr>
      </w:pPr>
      <w:r>
        <w:rPr>
          <w:noProof/>
        </w:rPr>
        <w:t>Objective 5: Governance, collaboration and investment</w:t>
      </w:r>
      <w:r>
        <w:rPr>
          <w:noProof/>
        </w:rPr>
        <w:tab/>
      </w:r>
      <w:r>
        <w:rPr>
          <w:noProof/>
        </w:rPr>
        <w:fldChar w:fldCharType="begin"/>
      </w:r>
      <w:r>
        <w:rPr>
          <w:noProof/>
        </w:rPr>
        <w:instrText xml:space="preserve"> PAGEREF _Toc524595546 \h </w:instrText>
      </w:r>
      <w:r>
        <w:rPr>
          <w:noProof/>
        </w:rPr>
      </w:r>
      <w:r>
        <w:rPr>
          <w:noProof/>
        </w:rPr>
        <w:fldChar w:fldCharType="separate"/>
      </w:r>
      <w:r w:rsidR="00E702EB">
        <w:rPr>
          <w:noProof/>
        </w:rPr>
        <w:t>7</w:t>
      </w:r>
      <w:r>
        <w:rPr>
          <w:noProof/>
        </w:rPr>
        <w:fldChar w:fldCharType="end"/>
      </w:r>
    </w:p>
    <w:p w:rsidR="00240FBE" w:rsidRDefault="00240FBE">
      <w:pPr>
        <w:pStyle w:val="TOC1"/>
        <w:rPr>
          <w:rFonts w:asciiTheme="minorHAnsi" w:eastAsiaTheme="minorEastAsia" w:hAnsiTheme="minorHAnsi" w:cstheme="minorBidi"/>
          <w:noProof/>
          <w:sz w:val="22"/>
          <w:szCs w:val="22"/>
          <w:lang w:eastAsia="en-NZ"/>
        </w:rPr>
      </w:pPr>
      <w:r>
        <w:rPr>
          <w:noProof/>
        </w:rPr>
        <w:t>Conclusion</w:t>
      </w:r>
      <w:r>
        <w:rPr>
          <w:noProof/>
        </w:rPr>
        <w:tab/>
      </w:r>
      <w:r>
        <w:rPr>
          <w:noProof/>
        </w:rPr>
        <w:fldChar w:fldCharType="begin"/>
      </w:r>
      <w:r>
        <w:rPr>
          <w:noProof/>
        </w:rPr>
        <w:instrText xml:space="preserve"> PAGEREF _Toc524595547 \h </w:instrText>
      </w:r>
      <w:r>
        <w:rPr>
          <w:noProof/>
        </w:rPr>
      </w:r>
      <w:r>
        <w:rPr>
          <w:noProof/>
        </w:rPr>
        <w:fldChar w:fldCharType="separate"/>
      </w:r>
      <w:r w:rsidR="00E702EB">
        <w:rPr>
          <w:noProof/>
        </w:rPr>
        <w:t>8</w:t>
      </w:r>
      <w:r>
        <w:rPr>
          <w:noProof/>
        </w:rPr>
        <w:fldChar w:fldCharType="end"/>
      </w:r>
    </w:p>
    <w:p w:rsidR="00C86248" w:rsidRDefault="00C86248">
      <w:r>
        <w:rPr>
          <w:b/>
        </w:rPr>
        <w:fldChar w:fldCharType="end"/>
      </w:r>
    </w:p>
    <w:p w:rsidR="002B76A7" w:rsidRDefault="002B76A7" w:rsidP="003A5FEA"/>
    <w:p w:rsidR="001D3E4E" w:rsidRDefault="001D3E4E" w:rsidP="003A5FEA">
      <w:pPr>
        <w:sectPr w:rsidR="001D3E4E" w:rsidSect="0078658E">
          <w:headerReference w:type="default" r:id="rId15"/>
          <w:footerReference w:type="even" r:id="rId16"/>
          <w:footerReference w:type="default" r:id="rId17"/>
          <w:pgSz w:w="11907" w:h="16840" w:code="9"/>
          <w:pgMar w:top="1418" w:right="1701" w:bottom="1134" w:left="1843" w:header="284" w:footer="425" w:gutter="284"/>
          <w:pgNumType w:fmt="lowerRoman"/>
          <w:cols w:space="720"/>
        </w:sectPr>
      </w:pPr>
    </w:p>
    <w:p w:rsidR="001D3E4E" w:rsidRDefault="001D3E4E" w:rsidP="003A5FEA"/>
    <w:p w:rsidR="001D3E4E" w:rsidRDefault="001D3E4E" w:rsidP="003A5FEA">
      <w:pPr>
        <w:sectPr w:rsidR="001D3E4E" w:rsidSect="0078658E">
          <w:footerReference w:type="even" r:id="rId18"/>
          <w:pgSz w:w="11907" w:h="16840" w:code="9"/>
          <w:pgMar w:top="1418" w:right="1701" w:bottom="1134" w:left="1843" w:header="284" w:footer="425" w:gutter="284"/>
          <w:pgNumType w:fmt="lowerRoman"/>
          <w:cols w:space="720"/>
        </w:sectPr>
      </w:pPr>
      <w:bookmarkStart w:id="2" w:name="_GoBack"/>
      <w:bookmarkEnd w:id="2"/>
    </w:p>
    <w:p w:rsidR="007A7050" w:rsidRDefault="007A7050" w:rsidP="004336D9">
      <w:pPr>
        <w:pStyle w:val="Heading1"/>
      </w:pPr>
      <w:bookmarkStart w:id="3" w:name="_Toc524595540"/>
      <w:r>
        <w:lastRenderedPageBreak/>
        <w:t>Introduction</w:t>
      </w:r>
      <w:bookmarkEnd w:id="3"/>
    </w:p>
    <w:p w:rsidR="007A7050" w:rsidRPr="005B1799" w:rsidRDefault="007A7050" w:rsidP="00BD646D">
      <w:pPr>
        <w:rPr>
          <w:rFonts w:cs="Adobe Garamond Pro"/>
        </w:rPr>
      </w:pPr>
      <w:r w:rsidRPr="005B1799">
        <w:t>New Zealand</w:t>
      </w:r>
      <w:r w:rsidR="00BD646D">
        <w:t>’</w:t>
      </w:r>
      <w:r w:rsidRPr="005B1799">
        <w:t>s Antimicrobial Resistance Action Plan</w:t>
      </w:r>
      <w:r>
        <w:t xml:space="preserve"> (the Action Plan)</w:t>
      </w:r>
      <w:r w:rsidRPr="005B1799">
        <w:t xml:space="preserve"> was jointly developed by the Ministry of Health, Ministry for Primary Industries and representatives from across the human health, animal health and agriculture sectors. The </w:t>
      </w:r>
      <w:r>
        <w:t>Action Plan</w:t>
      </w:r>
      <w:r w:rsidRPr="005B1799">
        <w:t xml:space="preserve"> draws on the findings from the</w:t>
      </w:r>
      <w:r>
        <w:t xml:space="preserve"> </w:t>
      </w:r>
      <w:r w:rsidRPr="005B1799">
        <w:t xml:space="preserve">report </w:t>
      </w:r>
      <w:r w:rsidRPr="00C4163A">
        <w:rPr>
          <w:i/>
        </w:rPr>
        <w:t>Antimicrobial Resistance: New Zealand</w:t>
      </w:r>
      <w:r w:rsidR="00BD646D">
        <w:rPr>
          <w:i/>
        </w:rPr>
        <w:t>’</w:t>
      </w:r>
      <w:r w:rsidRPr="00C4163A">
        <w:rPr>
          <w:i/>
        </w:rPr>
        <w:t>s current situation and identified areas for action</w:t>
      </w:r>
      <w:r w:rsidRPr="005B1799">
        <w:t>,</w:t>
      </w:r>
      <w:r>
        <w:t xml:space="preserve"> which was</w:t>
      </w:r>
      <w:r w:rsidR="00BD646D">
        <w:t xml:space="preserve"> released earlier this year.</w:t>
      </w:r>
    </w:p>
    <w:p w:rsidR="00317A2D" w:rsidRDefault="00317A2D" w:rsidP="00317A2D"/>
    <w:p w:rsidR="00BD646D" w:rsidRDefault="007A7050" w:rsidP="00317A2D">
      <w:r w:rsidRPr="005B1799">
        <w:t xml:space="preserve">This </w:t>
      </w:r>
      <w:r>
        <w:t>A</w:t>
      </w:r>
      <w:r w:rsidRPr="005B1799">
        <w:t xml:space="preserve">ction </w:t>
      </w:r>
      <w:r>
        <w:t>P</w:t>
      </w:r>
      <w:r w:rsidRPr="005B1799">
        <w:t xml:space="preserve">lan delivers on the </w:t>
      </w:r>
      <w:r>
        <w:t>World Health Organization (</w:t>
      </w:r>
      <w:r w:rsidRPr="005B1799">
        <w:t>WHO</w:t>
      </w:r>
      <w:r>
        <w:t>)</w:t>
      </w:r>
      <w:r w:rsidRPr="005B1799">
        <w:t xml:space="preserve"> requirement for all countries to have an action plan to </w:t>
      </w:r>
      <w:r>
        <w:t>address</w:t>
      </w:r>
      <w:r w:rsidRPr="005B1799">
        <w:t xml:space="preserve"> the challenges that antimicrobial resistance</w:t>
      </w:r>
      <w:r>
        <w:t xml:space="preserve"> (AMR)</w:t>
      </w:r>
      <w:r w:rsidRPr="005B1799">
        <w:t xml:space="preserve"> presents to our human health, animal health, welfare and production. </w:t>
      </w:r>
      <w:r>
        <w:t>To read</w:t>
      </w:r>
      <w:r w:rsidRPr="005B1799">
        <w:t xml:space="preserve"> </w:t>
      </w:r>
      <w:r>
        <w:t>the</w:t>
      </w:r>
      <w:r w:rsidRPr="005B1799">
        <w:t xml:space="preserve"> original plan</w:t>
      </w:r>
      <w:r>
        <w:t xml:space="preserve">, go to: </w:t>
      </w:r>
      <w:hyperlink r:id="rId19" w:history="1">
        <w:r w:rsidRPr="006E0D34">
          <w:rPr>
            <w:rStyle w:val="Hyperlink"/>
          </w:rPr>
          <w:t>www.health.govt.nz/publication/new-zealand-antimicrobial-resistance-action-plan</w:t>
        </w:r>
      </w:hyperlink>
    </w:p>
    <w:p w:rsidR="00317A2D" w:rsidRDefault="00317A2D" w:rsidP="00317A2D"/>
    <w:p w:rsidR="007A7050" w:rsidRPr="005B1799" w:rsidRDefault="007A7050" w:rsidP="00317A2D">
      <w:r w:rsidRPr="005B1799">
        <w:t xml:space="preserve">This progress report </w:t>
      </w:r>
      <w:r>
        <w:t>shows</w:t>
      </w:r>
      <w:r w:rsidRPr="005B1799">
        <w:t xml:space="preserve"> that the first year against the Action Plan has focused largely on establish</w:t>
      </w:r>
      <w:r>
        <w:t>ing</w:t>
      </w:r>
      <w:r w:rsidRPr="005B1799">
        <w:t xml:space="preserve"> coordinating and governance functions and additional scoping where required. These activities have been progressed by ongoing engagement across </w:t>
      </w:r>
      <w:r>
        <w:t>Ministry of Health</w:t>
      </w:r>
      <w:r w:rsidRPr="005B1799">
        <w:t xml:space="preserve"> and </w:t>
      </w:r>
      <w:r>
        <w:t>Ministry for Primary Industries</w:t>
      </w:r>
      <w:r w:rsidRPr="005B1799">
        <w:t xml:space="preserve"> objective leads. </w:t>
      </w:r>
      <w:r>
        <w:t>This work to establish</w:t>
      </w:r>
      <w:r w:rsidRPr="005B1799">
        <w:t xml:space="preserve"> robust governance processes and </w:t>
      </w:r>
      <w:r>
        <w:t>align</w:t>
      </w:r>
      <w:r w:rsidRPr="005B1799">
        <w:t xml:space="preserve"> operational principles</w:t>
      </w:r>
      <w:r>
        <w:t xml:space="preserve"> </w:t>
      </w:r>
      <w:r w:rsidRPr="005B1799">
        <w:t xml:space="preserve">has been </w:t>
      </w:r>
      <w:r>
        <w:t>essential groundwork</w:t>
      </w:r>
      <w:r w:rsidRPr="005B1799">
        <w:t xml:space="preserve"> for implement</w:t>
      </w:r>
      <w:r>
        <w:t>ing</w:t>
      </w:r>
      <w:r w:rsidRPr="005B1799">
        <w:t xml:space="preserve"> the </w:t>
      </w:r>
      <w:r>
        <w:t>Action P</w:t>
      </w:r>
      <w:r w:rsidRPr="005B1799">
        <w:t>lan.</w:t>
      </w:r>
    </w:p>
    <w:p w:rsidR="00317A2D" w:rsidRDefault="00317A2D" w:rsidP="00317A2D"/>
    <w:p w:rsidR="00BD646D" w:rsidRDefault="007A7050" w:rsidP="00317A2D">
      <w:r w:rsidRPr="005B1799">
        <w:t>The Action Plan is a living document</w:t>
      </w:r>
      <w:r>
        <w:t>.</w:t>
      </w:r>
      <w:r w:rsidRPr="005B1799">
        <w:t xml:space="preserve"> </w:t>
      </w:r>
      <w:r>
        <w:t>A</w:t>
      </w:r>
      <w:r w:rsidRPr="005B1799">
        <w:t>s a result of the additional scoping</w:t>
      </w:r>
      <w:r>
        <w:t xml:space="preserve"> and</w:t>
      </w:r>
      <w:r w:rsidRPr="005B1799">
        <w:t xml:space="preserve"> updating, and in line with available resourcing</w:t>
      </w:r>
      <w:r>
        <w:t xml:space="preserve"> </w:t>
      </w:r>
      <w:r w:rsidRPr="005B1799">
        <w:t>and progress made</w:t>
      </w:r>
      <w:r>
        <w:t>,</w:t>
      </w:r>
      <w:r w:rsidRPr="005B1799">
        <w:t xml:space="preserve"> some acti</w:t>
      </w:r>
      <w:r>
        <w:t>vitie</w:t>
      </w:r>
      <w:r w:rsidRPr="005B1799">
        <w:t xml:space="preserve">s have been consolidated or shifted to outlying years. Others have been shifted to </w:t>
      </w:r>
      <w:r w:rsidR="00BD646D">
        <w:t>‘</w:t>
      </w:r>
      <w:r w:rsidRPr="005B1799">
        <w:t>ongoing</w:t>
      </w:r>
      <w:r w:rsidR="00BD646D">
        <w:t>’</w:t>
      </w:r>
      <w:r w:rsidRPr="005B1799">
        <w:t xml:space="preserve"> </w:t>
      </w:r>
      <w:r>
        <w:t xml:space="preserve">status </w:t>
      </w:r>
      <w:r w:rsidRPr="005B1799">
        <w:t xml:space="preserve">as this more accurately reflects the nature of the subject matter or where external factors impact the timeframes. </w:t>
      </w:r>
      <w:r>
        <w:t>For a</w:t>
      </w:r>
      <w:r w:rsidRPr="005B1799">
        <w:t xml:space="preserve"> summary of this activity</w:t>
      </w:r>
      <w:r>
        <w:t>, go to the Ministry of Health website:</w:t>
      </w:r>
      <w:r w:rsidR="000440A5">
        <w:t xml:space="preserve"> </w:t>
      </w:r>
      <w:hyperlink r:id="rId20" w:history="1">
        <w:r w:rsidRPr="000440A5">
          <w:rPr>
            <w:rStyle w:val="Hyperlink"/>
          </w:rPr>
          <w:t>www.health.govt.nz/our-work/diseases-and-conditions/antimicrobial-resistance/new-zealand-antimicrobial-resistance-action-plan</w:t>
        </w:r>
      </w:hyperlink>
    </w:p>
    <w:p w:rsidR="00317A2D" w:rsidRDefault="00317A2D" w:rsidP="00317A2D"/>
    <w:p w:rsidR="00317A2D" w:rsidRDefault="00317A2D" w:rsidP="00317A2D"/>
    <w:p w:rsidR="007A7050" w:rsidRDefault="007A7050" w:rsidP="00317A2D">
      <w:pPr>
        <w:pStyle w:val="Heading1"/>
      </w:pPr>
      <w:bookmarkStart w:id="4" w:name="_Toc524595541"/>
      <w:r>
        <w:lastRenderedPageBreak/>
        <w:t>Progress towards objectives</w:t>
      </w:r>
      <w:bookmarkEnd w:id="4"/>
    </w:p>
    <w:p w:rsidR="007A7050" w:rsidRDefault="007A7050" w:rsidP="00317A2D">
      <w:pPr>
        <w:keepNext/>
      </w:pPr>
      <w:r>
        <w:t>This section identifies progress made in year one towards the five objectives of the Action Plan. It also notes any adjustments made to the original Action Plan over this period.</w:t>
      </w:r>
    </w:p>
    <w:p w:rsidR="00317A2D" w:rsidRPr="000D3D59" w:rsidRDefault="00317A2D" w:rsidP="00317A2D">
      <w:pPr>
        <w:keepNext/>
      </w:pPr>
    </w:p>
    <w:p w:rsidR="00317A2D" w:rsidRDefault="00317A2D" w:rsidP="00317A2D">
      <w:pPr>
        <w:pStyle w:val="Heading2"/>
        <w:rPr>
          <w:rFonts w:eastAsia="Book Antiqua"/>
        </w:rPr>
      </w:pPr>
      <w:bookmarkStart w:id="5" w:name="_Toc524595542"/>
      <w:r>
        <w:t>Objective 1</w:t>
      </w:r>
      <w:r w:rsidRPr="009B0917">
        <w:br/>
      </w:r>
      <w:r>
        <w:rPr>
          <w:rFonts w:eastAsia="Book Antiqua"/>
        </w:rPr>
        <w:t>Awareness and understanding</w:t>
      </w:r>
      <w:bookmarkEnd w:id="5"/>
    </w:p>
    <w:p w:rsidR="00317A2D" w:rsidRPr="009B0917" w:rsidRDefault="00317A2D" w:rsidP="00317A2D">
      <w:pPr>
        <w:pStyle w:val="Heading3"/>
      </w:pPr>
      <w:r w:rsidRPr="002E165F">
        <w:rPr>
          <w:rFonts w:eastAsia="Book Antiqua"/>
        </w:rPr>
        <w:t>Improve awareness and understanding of antimicrobial resistance through effective communication, education and training</w:t>
      </w:r>
    </w:p>
    <w:p w:rsidR="00317A2D" w:rsidRDefault="00317A2D" w:rsidP="00317A2D">
      <w:pPr>
        <w:pStyle w:val="Heading4"/>
      </w:pPr>
      <w:r>
        <w:t>Human health, animal health and agriculture</w:t>
      </w:r>
    </w:p>
    <w:p w:rsidR="00317A2D" w:rsidRDefault="00317A2D" w:rsidP="00317A2D">
      <w:r w:rsidRPr="005B1799">
        <w:t xml:space="preserve">The development of a National Antimicrobial Resistance Communications Plan for </w:t>
      </w:r>
      <w:r>
        <w:t>y</w:t>
      </w:r>
      <w:r w:rsidRPr="005B1799">
        <w:t xml:space="preserve">ear </w:t>
      </w:r>
      <w:r>
        <w:t>t</w:t>
      </w:r>
      <w:r w:rsidRPr="005B1799">
        <w:t>wo is on track. It is informed by a stakeholder engagement matrix and a calendar of key AMR-related events, both of which were developed in consultation with key stakeholders and partners across human health, animal health and agriculture.</w:t>
      </w:r>
    </w:p>
    <w:p w:rsidR="00317A2D" w:rsidRDefault="00317A2D" w:rsidP="00317A2D"/>
    <w:p w:rsidR="00317A2D" w:rsidRDefault="00317A2D" w:rsidP="00317A2D">
      <w:r>
        <w:t>The Ministry of Health</w:t>
      </w:r>
      <w:r w:rsidRPr="005B1799">
        <w:t xml:space="preserve"> and </w:t>
      </w:r>
      <w:r>
        <w:t>Ministry for Primary Industries</w:t>
      </w:r>
      <w:r w:rsidRPr="005B1799">
        <w:t xml:space="preserve"> worked together to promote World </w:t>
      </w:r>
      <w:r>
        <w:t xml:space="preserve">Antibiotic Awareness </w:t>
      </w:r>
      <w:r w:rsidRPr="005B1799">
        <w:t>Week in November</w:t>
      </w:r>
      <w:r>
        <w:t xml:space="preserve"> 2017</w:t>
      </w:r>
      <w:r w:rsidRPr="005B1799">
        <w:t xml:space="preserve">. </w:t>
      </w:r>
      <w:r>
        <w:t>They developed k</w:t>
      </w:r>
      <w:r w:rsidRPr="005B1799">
        <w:t xml:space="preserve">ey messages for </w:t>
      </w:r>
      <w:r>
        <w:t xml:space="preserve">New </w:t>
      </w:r>
      <w:r w:rsidRPr="005B1799">
        <w:t xml:space="preserve">Zealand stakeholders and partners across human health, animal health and agriculture, consolidating available resources on the Ministry of Health website and using new channels such as participation in a live global Twitter Chat </w:t>
      </w:r>
      <w:r>
        <w:t xml:space="preserve">coordinated </w:t>
      </w:r>
      <w:r w:rsidRPr="005B1799">
        <w:t xml:space="preserve">by the </w:t>
      </w:r>
      <w:r w:rsidRPr="00ED19DF">
        <w:t>European Centre for Disease Prevention and Control.</w:t>
      </w:r>
      <w:r>
        <w:t xml:space="preserve"> The Ministry for Primary Industries </w:t>
      </w:r>
      <w:r w:rsidRPr="005B1799">
        <w:t>used the week to raise awareness of antibiotic resistance in animals among vets and farmers.</w:t>
      </w:r>
    </w:p>
    <w:p w:rsidR="00317A2D" w:rsidRDefault="00317A2D" w:rsidP="00317A2D"/>
    <w:p w:rsidR="00317A2D" w:rsidRDefault="00317A2D" w:rsidP="00317A2D">
      <w:pPr>
        <w:pStyle w:val="Heading4"/>
      </w:pPr>
      <w:r>
        <w:t>Human health</w:t>
      </w:r>
    </w:p>
    <w:p w:rsidR="00317A2D" w:rsidRPr="00233DC6" w:rsidRDefault="00317A2D" w:rsidP="00317A2D">
      <w:r w:rsidRPr="00233DC6">
        <w:t xml:space="preserve">Three </w:t>
      </w:r>
      <w:r>
        <w:t>y</w:t>
      </w:r>
      <w:r w:rsidRPr="00233DC6">
        <w:t>ear</w:t>
      </w:r>
      <w:r>
        <w:t>-o</w:t>
      </w:r>
      <w:r w:rsidRPr="00233DC6">
        <w:t>ne activities have been completed. They relate to</w:t>
      </w:r>
      <w:r>
        <w:t>:</w:t>
      </w:r>
      <w:r w:rsidRPr="00233DC6">
        <w:t xml:space="preserve"> </w:t>
      </w:r>
      <w:r>
        <w:t>i</w:t>
      </w:r>
      <w:r w:rsidRPr="00233DC6">
        <w:t>dentifying the drivers of antimicrobial consumption in human health (</w:t>
      </w:r>
      <w:r>
        <w:t>P</w:t>
      </w:r>
      <w:r w:rsidRPr="00233DC6">
        <w:t>riority action area 1, activity 5)</w:t>
      </w:r>
      <w:r>
        <w:t>;</w:t>
      </w:r>
      <w:r w:rsidRPr="00233DC6">
        <w:t xml:space="preserve"> and </w:t>
      </w:r>
      <w:r>
        <w:t>e</w:t>
      </w:r>
      <w:r w:rsidRPr="00233DC6">
        <w:t>xpanding the promotion of World Antibiotic Awareness Week 2017 (</w:t>
      </w:r>
      <w:r>
        <w:t>P</w:t>
      </w:r>
      <w:r w:rsidRPr="00233DC6">
        <w:t>riority action area</w:t>
      </w:r>
      <w:r w:rsidR="00E702EB">
        <w:t> </w:t>
      </w:r>
      <w:r w:rsidRPr="00233DC6">
        <w:t>1, activit</w:t>
      </w:r>
      <w:r>
        <w:t>y</w:t>
      </w:r>
      <w:r w:rsidRPr="00233DC6">
        <w:t xml:space="preserve"> 6 and </w:t>
      </w:r>
      <w:r>
        <w:t xml:space="preserve">Priority action area 2, activity </w:t>
      </w:r>
      <w:r w:rsidRPr="00233DC6">
        <w:t>1).</w:t>
      </w:r>
    </w:p>
    <w:p w:rsidR="00317A2D" w:rsidRDefault="00317A2D" w:rsidP="00317A2D"/>
    <w:p w:rsidR="00317A2D" w:rsidRDefault="00317A2D" w:rsidP="000E56F7">
      <w:pPr>
        <w:keepNext/>
        <w:keepLines/>
      </w:pPr>
      <w:r w:rsidRPr="00233DC6">
        <w:lastRenderedPageBreak/>
        <w:t xml:space="preserve">Two </w:t>
      </w:r>
      <w:r>
        <w:t>y</w:t>
      </w:r>
      <w:r w:rsidRPr="00233DC6">
        <w:t>ear</w:t>
      </w:r>
      <w:r>
        <w:t>-o</w:t>
      </w:r>
      <w:r w:rsidRPr="00233DC6">
        <w:t>ne activities (</w:t>
      </w:r>
      <w:r>
        <w:t>P</w:t>
      </w:r>
      <w:r w:rsidRPr="00233DC6">
        <w:t xml:space="preserve">riority action area 2, activities 2 and 3) have strong antimicrobial stewardship themes and overlap with work in Objective 4. For this reason, the </w:t>
      </w:r>
      <w:r>
        <w:t>y</w:t>
      </w:r>
      <w:r w:rsidRPr="00233DC6">
        <w:t xml:space="preserve">ear </w:t>
      </w:r>
      <w:r>
        <w:t>o</w:t>
      </w:r>
      <w:r w:rsidRPr="00233DC6">
        <w:t xml:space="preserve">ne activities 2 and 3, as well as </w:t>
      </w:r>
      <w:r>
        <w:t>y</w:t>
      </w:r>
      <w:r w:rsidRPr="00233DC6">
        <w:t xml:space="preserve">ears two to five activities 5 and 6 have been merged and moved to Objective 4 for </w:t>
      </w:r>
      <w:proofErr w:type="gramStart"/>
      <w:r>
        <w:t>y</w:t>
      </w:r>
      <w:r w:rsidRPr="00233DC6">
        <w:t>ears</w:t>
      </w:r>
      <w:proofErr w:type="gramEnd"/>
      <w:r w:rsidRPr="00233DC6">
        <w:t xml:space="preserve"> </w:t>
      </w:r>
      <w:r>
        <w:t>two to five</w:t>
      </w:r>
      <w:r w:rsidRPr="00233DC6">
        <w:t>.</w:t>
      </w:r>
    </w:p>
    <w:p w:rsidR="000E56F7" w:rsidRPr="00233DC6" w:rsidRDefault="000E56F7" w:rsidP="000E56F7">
      <w:pPr>
        <w:keepNext/>
        <w:keepLines/>
      </w:pPr>
    </w:p>
    <w:p w:rsidR="00317A2D" w:rsidRPr="00233DC6" w:rsidRDefault="00317A2D" w:rsidP="000E56F7">
      <w:pPr>
        <w:keepNext/>
      </w:pPr>
      <w:r>
        <w:t xml:space="preserve">The content on the </w:t>
      </w:r>
      <w:r w:rsidRPr="00233DC6">
        <w:t>Ministry of Health website continues to be updated as appropriate</w:t>
      </w:r>
      <w:r>
        <w:t>.</w:t>
      </w:r>
      <w:r w:rsidRPr="00233DC6">
        <w:t xml:space="preserve"> </w:t>
      </w:r>
      <w:r>
        <w:t>Work</w:t>
      </w:r>
      <w:r w:rsidRPr="00233DC6">
        <w:t xml:space="preserve"> is also ongoing with Health AMR Coordination Group members to engage with media outlets and enhance understanding of AMR.</w:t>
      </w:r>
    </w:p>
    <w:p w:rsidR="00317A2D" w:rsidRDefault="00317A2D" w:rsidP="00317A2D"/>
    <w:p w:rsidR="00317A2D" w:rsidRDefault="00317A2D" w:rsidP="00317A2D">
      <w:pPr>
        <w:pStyle w:val="Heading4"/>
      </w:pPr>
      <w:r>
        <w:t>Animal health and agriculture</w:t>
      </w:r>
    </w:p>
    <w:p w:rsidR="00317A2D" w:rsidRDefault="00317A2D" w:rsidP="00317A2D">
      <w:r>
        <w:t>The Ministry for Primary Industries</w:t>
      </w:r>
      <w:r w:rsidRPr="00233DC6">
        <w:t xml:space="preserve"> ha</w:t>
      </w:r>
      <w:r>
        <w:t>s completed a map of stakeholders and what</w:t>
      </w:r>
      <w:r w:rsidRPr="00233DC6">
        <w:t xml:space="preserve"> activities</w:t>
      </w:r>
      <w:r>
        <w:t xml:space="preserve"> they</w:t>
      </w:r>
      <w:r w:rsidRPr="00233DC6">
        <w:t xml:space="preserve"> are undertaking </w:t>
      </w:r>
      <w:r>
        <w:t>to address</w:t>
      </w:r>
      <w:r w:rsidRPr="00233DC6">
        <w:t xml:space="preserve"> AMR. </w:t>
      </w:r>
      <w:r>
        <w:t xml:space="preserve">This map will be used to coordinate messaging, engage with stakeholders on specific matters and provide a forum for proactive messaging. It will also be used </w:t>
      </w:r>
      <w:r w:rsidRPr="00233DC6">
        <w:t>to maintain a watching brief o</w:t>
      </w:r>
      <w:r>
        <w:t>n</w:t>
      </w:r>
      <w:r w:rsidRPr="00233DC6">
        <w:t xml:space="preserve"> their activities.</w:t>
      </w:r>
    </w:p>
    <w:p w:rsidR="00317A2D" w:rsidRDefault="00317A2D" w:rsidP="00317A2D"/>
    <w:p w:rsidR="00317A2D" w:rsidRDefault="00317A2D" w:rsidP="00317A2D">
      <w:pPr>
        <w:pStyle w:val="Heading2"/>
      </w:pPr>
      <w:bookmarkStart w:id="6" w:name="_Toc524595543"/>
      <w:r>
        <w:t>Objective 2</w:t>
      </w:r>
      <w:r w:rsidRPr="009B0917">
        <w:br/>
        <w:t>Surveillance and research</w:t>
      </w:r>
      <w:bookmarkEnd w:id="6"/>
    </w:p>
    <w:p w:rsidR="00317A2D" w:rsidRDefault="00317A2D" w:rsidP="00317A2D">
      <w:pPr>
        <w:pStyle w:val="Heading3"/>
      </w:pPr>
      <w:r w:rsidRPr="009B0917">
        <w:t>Strengthen the knowledge and evidence base about antimicrobial resistance through surveillance and research</w:t>
      </w:r>
    </w:p>
    <w:p w:rsidR="00317A2D" w:rsidRDefault="00317A2D" w:rsidP="00317A2D">
      <w:pPr>
        <w:pStyle w:val="Heading4"/>
      </w:pPr>
      <w:r>
        <w:t>Human health</w:t>
      </w:r>
    </w:p>
    <w:p w:rsidR="00317A2D" w:rsidRPr="00233DC6" w:rsidRDefault="00317A2D" w:rsidP="00317A2D">
      <w:r w:rsidRPr="00233DC6">
        <w:t>Changes have been made to the list of priority organisms for surveillance and reporting</w:t>
      </w:r>
      <w:r>
        <w:t>.</w:t>
      </w:r>
      <w:r w:rsidRPr="00233DC6">
        <w:t xml:space="preserve"> </w:t>
      </w:r>
      <w:r>
        <w:t>T</w:t>
      </w:r>
      <w:r w:rsidRPr="00233DC6">
        <w:t>his list will continue to be reviewed periodically taking into account international guidance and the New Zealand context.</w:t>
      </w:r>
    </w:p>
    <w:p w:rsidR="00317A2D" w:rsidRDefault="00317A2D" w:rsidP="00317A2D"/>
    <w:p w:rsidR="00317A2D" w:rsidRDefault="00317A2D" w:rsidP="00317A2D">
      <w:r w:rsidRPr="00233DC6">
        <w:t xml:space="preserve">A stocktake of current surveillance information </w:t>
      </w:r>
      <w:r>
        <w:t>identified</w:t>
      </w:r>
      <w:r w:rsidRPr="00233DC6">
        <w:t xml:space="preserve"> the need for more coordinated reporting. Baseline information on antimicrobial consumption in hospitals has been collated and community consumption information has been reported to</w:t>
      </w:r>
      <w:r>
        <w:t xml:space="preserve"> the WHO</w:t>
      </w:r>
      <w:r w:rsidRPr="00233DC6">
        <w:t>. In the coming year, the Ministry of Health</w:t>
      </w:r>
      <w:r>
        <w:t>’</w:t>
      </w:r>
      <w:r w:rsidRPr="00233DC6">
        <w:t>s Communicable Disease Team is undertaking a review of wider surveillance systems to ensure they are fit for purpose</w:t>
      </w:r>
      <w:r>
        <w:t>. This work</w:t>
      </w:r>
      <w:r w:rsidRPr="00233DC6">
        <w:t xml:space="preserve"> will include</w:t>
      </w:r>
      <w:r>
        <w:t xml:space="preserve"> the</w:t>
      </w:r>
      <w:r w:rsidRPr="00233DC6">
        <w:t xml:space="preserve"> opportunity to further review and integrate AMR surveillance.</w:t>
      </w:r>
    </w:p>
    <w:p w:rsidR="00317A2D" w:rsidRDefault="00317A2D" w:rsidP="00317A2D"/>
    <w:p w:rsidR="00317A2D" w:rsidRDefault="00317A2D" w:rsidP="00317A2D">
      <w:r w:rsidRPr="00233DC6">
        <w:t xml:space="preserve">A </w:t>
      </w:r>
      <w:r>
        <w:t>guideline</w:t>
      </w:r>
      <w:r w:rsidRPr="00233DC6">
        <w:t xml:space="preserve"> has been developed for responding to carbapenemase producing </w:t>
      </w:r>
      <w:r>
        <w:t>E</w:t>
      </w:r>
      <w:r w:rsidRPr="0052383B">
        <w:t>nterobacteriaceae</w:t>
      </w:r>
      <w:r w:rsidRPr="00233DC6">
        <w:t xml:space="preserve"> (CPE) and emerging multi-drug resistant organism</w:t>
      </w:r>
      <w:r>
        <w:t>s</w:t>
      </w:r>
      <w:r w:rsidRPr="00233DC6">
        <w:t xml:space="preserve"> (</w:t>
      </w:r>
      <w:r>
        <w:t>MDRO). This guideline outlines the r</w:t>
      </w:r>
      <w:r w:rsidRPr="00233DC6">
        <w:t xml:space="preserve">equirements for an </w:t>
      </w:r>
      <w:r>
        <w:t>enhanced surveillance programme</w:t>
      </w:r>
      <w:r w:rsidRPr="00233DC6">
        <w:t xml:space="preserve"> including screening, laboratory identification, surveillance and critical resistance alerts. Implementation of the CPE and emerging MDRO </w:t>
      </w:r>
      <w:r>
        <w:t>guideline</w:t>
      </w:r>
      <w:r w:rsidRPr="00233DC6">
        <w:t xml:space="preserve"> </w:t>
      </w:r>
      <w:r>
        <w:t>is</w:t>
      </w:r>
      <w:r w:rsidRPr="00233DC6">
        <w:t xml:space="preserve"> being integrated into </w:t>
      </w:r>
      <w:r>
        <w:t>y</w:t>
      </w:r>
      <w:r w:rsidRPr="00233DC6">
        <w:t xml:space="preserve">ear </w:t>
      </w:r>
      <w:r>
        <w:t>t</w:t>
      </w:r>
      <w:r w:rsidRPr="00233DC6">
        <w:t xml:space="preserve">wo and </w:t>
      </w:r>
      <w:r>
        <w:t>years t</w:t>
      </w:r>
      <w:r w:rsidRPr="00233DC6">
        <w:t xml:space="preserve">hree </w:t>
      </w:r>
      <w:r>
        <w:t>to</w:t>
      </w:r>
      <w:r w:rsidRPr="00233DC6">
        <w:t xml:space="preserve"> </w:t>
      </w:r>
      <w:r>
        <w:t>f</w:t>
      </w:r>
      <w:r w:rsidRPr="00233DC6">
        <w:t>ive activities.</w:t>
      </w:r>
    </w:p>
    <w:p w:rsidR="00317A2D" w:rsidRDefault="00317A2D" w:rsidP="00317A2D"/>
    <w:p w:rsidR="00317A2D" w:rsidRDefault="00317A2D" w:rsidP="00317A2D">
      <w:r w:rsidRPr="00233DC6">
        <w:lastRenderedPageBreak/>
        <w:t>The National Antimicrobial Testing Committee has been established to provide expert advice to New Zealand diagnostic laboratories and to further the collaboration and sharing of skill development in the area of antimicrobial susceptibility testing within New Zealand.</w:t>
      </w:r>
    </w:p>
    <w:p w:rsidR="00317A2D" w:rsidRDefault="00317A2D" w:rsidP="00317A2D"/>
    <w:p w:rsidR="00317A2D" w:rsidRDefault="00317A2D" w:rsidP="00317A2D">
      <w:pPr>
        <w:pStyle w:val="Heading4"/>
      </w:pPr>
      <w:r>
        <w:t>Animal health and agriculture</w:t>
      </w:r>
    </w:p>
    <w:p w:rsidR="00317A2D" w:rsidRDefault="00317A2D" w:rsidP="00317A2D">
      <w:r w:rsidRPr="00233DC6">
        <w:t>The follow</w:t>
      </w:r>
      <w:r>
        <w:t>-</w:t>
      </w:r>
      <w:r w:rsidRPr="00233DC6">
        <w:t>up survey to the 2009 survey on bacteria sensitivity to antibiotics in animal commodities is under</w:t>
      </w:r>
      <w:r>
        <w:t xml:space="preserve"> </w:t>
      </w:r>
      <w:r w:rsidRPr="00233DC6">
        <w:t xml:space="preserve">way. The survey protocol has been modified by carrying out testing on animal species over a </w:t>
      </w:r>
      <w:r>
        <w:t>two- to three-</w:t>
      </w:r>
      <w:r w:rsidRPr="00233DC6">
        <w:t>year period rather than over a one</w:t>
      </w:r>
      <w:r>
        <w:t>-</w:t>
      </w:r>
      <w:r w:rsidRPr="00233DC6">
        <w:t>year period.</w:t>
      </w:r>
      <w:r>
        <w:t xml:space="preserve"> The first species tested will be poultry.</w:t>
      </w:r>
    </w:p>
    <w:p w:rsidR="00317A2D" w:rsidRPr="00233DC6" w:rsidRDefault="00317A2D" w:rsidP="00317A2D"/>
    <w:p w:rsidR="00317A2D" w:rsidRDefault="00317A2D" w:rsidP="00317A2D">
      <w:r w:rsidRPr="00233DC6">
        <w:t xml:space="preserve">The collection period for antibiotic sales information has been changed to </w:t>
      </w:r>
      <w:r>
        <w:t>match</w:t>
      </w:r>
      <w:r w:rsidRPr="00233DC6">
        <w:t xml:space="preserve"> the equivalent report </w:t>
      </w:r>
      <w:r>
        <w:t>that</w:t>
      </w:r>
      <w:r w:rsidRPr="00233DC6">
        <w:t xml:space="preserve"> countries </w:t>
      </w:r>
      <w:r>
        <w:t xml:space="preserve">with the World Organisation for Animal Health (OIE) make </w:t>
      </w:r>
      <w:r w:rsidRPr="00233DC6">
        <w:t>to the OIE.</w:t>
      </w:r>
      <w:r>
        <w:t xml:space="preserve"> This change is reflected in the Ministry for Primary Industries</w:t>
      </w:r>
      <w:r>
        <w:br/>
        <w:t>2014–2016 report on annual sales, which will be released in the near future.</w:t>
      </w:r>
    </w:p>
    <w:p w:rsidR="00317A2D" w:rsidRDefault="00317A2D" w:rsidP="00317A2D"/>
    <w:p w:rsidR="00317A2D" w:rsidRDefault="00317A2D" w:rsidP="00317A2D">
      <w:r w:rsidRPr="00233DC6">
        <w:t xml:space="preserve">The gap analysis for </w:t>
      </w:r>
      <w:r>
        <w:t>P</w:t>
      </w:r>
      <w:r w:rsidRPr="00233DC6">
        <w:t>riority</w:t>
      </w:r>
      <w:r>
        <w:t xml:space="preserve"> action area 6,</w:t>
      </w:r>
      <w:r w:rsidRPr="00233DC6">
        <w:t xml:space="preserve"> activity 3 was completed in 2017.</w:t>
      </w:r>
    </w:p>
    <w:p w:rsidR="00317A2D" w:rsidRDefault="00317A2D" w:rsidP="00317A2D"/>
    <w:p w:rsidR="00317A2D" w:rsidRPr="00233DC6" w:rsidRDefault="00317A2D" w:rsidP="00317A2D">
      <w:r w:rsidRPr="00233DC6">
        <w:t xml:space="preserve">Some activities have been carried over to </w:t>
      </w:r>
      <w:proofErr w:type="gramStart"/>
      <w:r w:rsidRPr="00233DC6">
        <w:t>years</w:t>
      </w:r>
      <w:proofErr w:type="gramEnd"/>
      <w:r w:rsidRPr="00233DC6">
        <w:t xml:space="preserve"> </w:t>
      </w:r>
      <w:r>
        <w:t>two to five,</w:t>
      </w:r>
      <w:r w:rsidRPr="00233DC6">
        <w:t xml:space="preserve"> such as </w:t>
      </w:r>
      <w:r>
        <w:t>P</w:t>
      </w:r>
      <w:r w:rsidRPr="00233DC6">
        <w:t>riority</w:t>
      </w:r>
      <w:r>
        <w:t xml:space="preserve"> action area 5,</w:t>
      </w:r>
      <w:r w:rsidRPr="00233DC6">
        <w:t xml:space="preserve"> activities 4 and 5.</w:t>
      </w:r>
    </w:p>
    <w:p w:rsidR="00317A2D" w:rsidRDefault="00317A2D" w:rsidP="00317A2D"/>
    <w:p w:rsidR="00317A2D" w:rsidRDefault="00317A2D" w:rsidP="00317A2D">
      <w:pPr>
        <w:pStyle w:val="Heading2"/>
        <w:rPr>
          <w:rFonts w:eastAsia="Book Antiqua"/>
        </w:rPr>
      </w:pPr>
      <w:bookmarkStart w:id="7" w:name="_Toc524595544"/>
      <w:r>
        <w:t>Objective 3</w:t>
      </w:r>
      <w:r w:rsidRPr="009B0917">
        <w:br/>
      </w:r>
      <w:r w:rsidRPr="002E165F">
        <w:rPr>
          <w:rFonts w:eastAsia="Book Antiqua"/>
        </w:rPr>
        <w:t>Infection prevention and control</w:t>
      </w:r>
      <w:bookmarkEnd w:id="7"/>
    </w:p>
    <w:p w:rsidR="00317A2D" w:rsidRDefault="00317A2D" w:rsidP="00317A2D">
      <w:pPr>
        <w:pStyle w:val="Heading3"/>
        <w:rPr>
          <w:rFonts w:eastAsia="Book Antiqua"/>
        </w:rPr>
      </w:pPr>
      <w:r w:rsidRPr="002E165F">
        <w:rPr>
          <w:rFonts w:eastAsia="Book Antiqua"/>
        </w:rPr>
        <w:t>Improve infection prevention and control measures across human health and animal care settings to prevent infection and transmission of micro-organisms</w:t>
      </w:r>
    </w:p>
    <w:p w:rsidR="00317A2D" w:rsidRDefault="00317A2D" w:rsidP="00317A2D">
      <w:pPr>
        <w:pStyle w:val="Heading4"/>
      </w:pPr>
      <w:r>
        <w:t>Human health</w:t>
      </w:r>
    </w:p>
    <w:p w:rsidR="00317A2D" w:rsidRPr="00233DC6" w:rsidRDefault="00317A2D" w:rsidP="00317A2D">
      <w:pPr>
        <w:rPr>
          <w:rFonts w:eastAsiaTheme="minorHAnsi"/>
          <w:lang w:eastAsia="en-US"/>
        </w:rPr>
      </w:pPr>
      <w:r>
        <w:rPr>
          <w:rFonts w:eastAsiaTheme="minorHAnsi"/>
          <w:lang w:eastAsia="en-US"/>
        </w:rPr>
        <w:t>L</w:t>
      </w:r>
      <w:r w:rsidRPr="00233DC6">
        <w:rPr>
          <w:rFonts w:eastAsiaTheme="minorHAnsi"/>
          <w:lang w:eastAsia="en-US"/>
        </w:rPr>
        <w:t xml:space="preserve">ater </w:t>
      </w:r>
      <w:r>
        <w:rPr>
          <w:rFonts w:eastAsiaTheme="minorHAnsi"/>
          <w:lang w:eastAsia="en-US"/>
        </w:rPr>
        <w:t>this year</w:t>
      </w:r>
      <w:r w:rsidR="005225E3">
        <w:rPr>
          <w:rFonts w:eastAsiaTheme="minorHAnsi"/>
          <w:lang w:eastAsia="en-US"/>
        </w:rPr>
        <w:t>,</w:t>
      </w:r>
      <w:r>
        <w:rPr>
          <w:rFonts w:eastAsiaTheme="minorHAnsi"/>
          <w:lang w:eastAsia="en-US"/>
        </w:rPr>
        <w:t xml:space="preserve"> </w:t>
      </w:r>
      <w:proofErr w:type="spellStart"/>
      <w:r>
        <w:rPr>
          <w:rFonts w:eastAsiaTheme="minorHAnsi"/>
          <w:lang w:eastAsia="en-US"/>
        </w:rPr>
        <w:t>HealthCERT</w:t>
      </w:r>
      <w:proofErr w:type="spellEnd"/>
      <w:r>
        <w:rPr>
          <w:rFonts w:eastAsiaTheme="minorHAnsi"/>
          <w:lang w:eastAsia="en-US"/>
        </w:rPr>
        <w:t xml:space="preserve"> will begin a</w:t>
      </w:r>
      <w:r w:rsidRPr="00233DC6">
        <w:rPr>
          <w:rFonts w:eastAsiaTheme="minorHAnsi"/>
          <w:lang w:eastAsia="en-US"/>
        </w:rPr>
        <w:t xml:space="preserve"> comprehensive review of the New Zealand health and disability standards</w:t>
      </w:r>
      <w:r>
        <w:rPr>
          <w:rFonts w:eastAsiaTheme="minorHAnsi"/>
          <w:lang w:eastAsia="en-US"/>
        </w:rPr>
        <w:t xml:space="preserve">. Part of </w:t>
      </w:r>
      <w:r w:rsidRPr="00233DC6">
        <w:rPr>
          <w:rFonts w:eastAsiaTheme="minorHAnsi"/>
          <w:lang w:eastAsia="en-US"/>
        </w:rPr>
        <w:t xml:space="preserve">this </w:t>
      </w:r>
      <w:r>
        <w:rPr>
          <w:rFonts w:eastAsiaTheme="minorHAnsi"/>
          <w:lang w:eastAsia="en-US"/>
        </w:rPr>
        <w:t xml:space="preserve">work </w:t>
      </w:r>
      <w:r w:rsidRPr="00233DC6">
        <w:rPr>
          <w:rFonts w:eastAsiaTheme="minorHAnsi"/>
          <w:lang w:eastAsia="en-US"/>
        </w:rPr>
        <w:t xml:space="preserve">will </w:t>
      </w:r>
      <w:r>
        <w:rPr>
          <w:rFonts w:eastAsiaTheme="minorHAnsi"/>
          <w:lang w:eastAsia="en-US"/>
        </w:rPr>
        <w:t>involve</w:t>
      </w:r>
      <w:r w:rsidRPr="00233DC6">
        <w:rPr>
          <w:rFonts w:eastAsiaTheme="minorHAnsi"/>
          <w:lang w:eastAsia="en-US"/>
        </w:rPr>
        <w:t xml:space="preserve"> a review of the </w:t>
      </w:r>
      <w:r>
        <w:rPr>
          <w:rFonts w:eastAsiaTheme="minorHAnsi"/>
          <w:lang w:eastAsia="en-US"/>
        </w:rPr>
        <w:t>i</w:t>
      </w:r>
      <w:r w:rsidRPr="00233DC6">
        <w:rPr>
          <w:rFonts w:eastAsiaTheme="minorHAnsi"/>
          <w:lang w:eastAsia="en-US"/>
        </w:rPr>
        <w:t xml:space="preserve">nfection </w:t>
      </w:r>
      <w:r>
        <w:rPr>
          <w:rFonts w:eastAsiaTheme="minorHAnsi"/>
          <w:lang w:eastAsia="en-US"/>
        </w:rPr>
        <w:t>p</w:t>
      </w:r>
      <w:r w:rsidRPr="00233DC6">
        <w:rPr>
          <w:rFonts w:eastAsiaTheme="minorHAnsi"/>
          <w:lang w:eastAsia="en-US"/>
        </w:rPr>
        <w:t xml:space="preserve">revention and </w:t>
      </w:r>
      <w:r>
        <w:rPr>
          <w:rFonts w:eastAsiaTheme="minorHAnsi"/>
          <w:lang w:eastAsia="en-US"/>
        </w:rPr>
        <w:t>c</w:t>
      </w:r>
      <w:r w:rsidRPr="00233DC6">
        <w:rPr>
          <w:rFonts w:eastAsiaTheme="minorHAnsi"/>
          <w:lang w:eastAsia="en-US"/>
        </w:rPr>
        <w:t>ontrol component of th</w:t>
      </w:r>
      <w:r>
        <w:rPr>
          <w:rFonts w:eastAsiaTheme="minorHAnsi"/>
          <w:lang w:eastAsia="en-US"/>
        </w:rPr>
        <w:t>ese</w:t>
      </w:r>
      <w:r w:rsidRPr="00233DC6">
        <w:rPr>
          <w:rFonts w:eastAsiaTheme="minorHAnsi"/>
          <w:lang w:eastAsia="en-US"/>
        </w:rPr>
        <w:t xml:space="preserve"> standard</w:t>
      </w:r>
      <w:r>
        <w:rPr>
          <w:rFonts w:eastAsiaTheme="minorHAnsi"/>
          <w:lang w:eastAsia="en-US"/>
        </w:rPr>
        <w:t>s. Ahead of</w:t>
      </w:r>
      <w:r w:rsidRPr="00233DC6">
        <w:rPr>
          <w:rFonts w:eastAsiaTheme="minorHAnsi"/>
          <w:lang w:eastAsia="en-US"/>
        </w:rPr>
        <w:t xml:space="preserve"> the consultation process</w:t>
      </w:r>
      <w:r>
        <w:rPr>
          <w:rFonts w:eastAsiaTheme="minorHAnsi"/>
          <w:lang w:eastAsia="en-US"/>
        </w:rPr>
        <w:t>, a</w:t>
      </w:r>
      <w:r w:rsidRPr="00233DC6">
        <w:rPr>
          <w:rFonts w:eastAsiaTheme="minorHAnsi"/>
          <w:lang w:eastAsia="en-US"/>
        </w:rPr>
        <w:t xml:space="preserve"> subgroup of </w:t>
      </w:r>
      <w:r>
        <w:rPr>
          <w:rFonts w:eastAsiaTheme="minorHAnsi"/>
          <w:lang w:eastAsia="en-US"/>
        </w:rPr>
        <w:t xml:space="preserve">the </w:t>
      </w:r>
      <w:r w:rsidRPr="00FF2E66">
        <w:t>Health AMR Coordination</w:t>
      </w:r>
      <w:r>
        <w:t xml:space="preserve"> Group (</w:t>
      </w:r>
      <w:r w:rsidRPr="00233DC6">
        <w:rPr>
          <w:rFonts w:eastAsiaTheme="minorHAnsi"/>
          <w:lang w:eastAsia="en-US"/>
        </w:rPr>
        <w:t>HARC</w:t>
      </w:r>
      <w:r>
        <w:rPr>
          <w:rFonts w:eastAsiaTheme="minorHAnsi"/>
          <w:lang w:eastAsia="en-US"/>
        </w:rPr>
        <w:t>) is</w:t>
      </w:r>
      <w:r w:rsidRPr="00233DC6">
        <w:rPr>
          <w:rFonts w:eastAsiaTheme="minorHAnsi"/>
          <w:lang w:eastAsia="en-US"/>
        </w:rPr>
        <w:t xml:space="preserve"> already </w:t>
      </w:r>
      <w:r>
        <w:rPr>
          <w:rFonts w:eastAsiaTheme="minorHAnsi"/>
          <w:lang w:eastAsia="en-US"/>
        </w:rPr>
        <w:t>doing the</w:t>
      </w:r>
      <w:r w:rsidRPr="00233DC6">
        <w:rPr>
          <w:rFonts w:eastAsiaTheme="minorHAnsi"/>
          <w:lang w:eastAsia="en-US"/>
        </w:rPr>
        <w:t xml:space="preserve"> initial</w:t>
      </w:r>
      <w:r>
        <w:rPr>
          <w:rFonts w:eastAsiaTheme="minorHAnsi"/>
          <w:lang w:eastAsia="en-US"/>
        </w:rPr>
        <w:t xml:space="preserve"> work of</w:t>
      </w:r>
      <w:r w:rsidRPr="00233DC6">
        <w:rPr>
          <w:rFonts w:eastAsiaTheme="minorHAnsi"/>
          <w:lang w:eastAsia="en-US"/>
        </w:rPr>
        <w:t xml:space="preserve"> identify</w:t>
      </w:r>
      <w:r>
        <w:rPr>
          <w:rFonts w:eastAsiaTheme="minorHAnsi"/>
          <w:lang w:eastAsia="en-US"/>
        </w:rPr>
        <w:t>ing</w:t>
      </w:r>
      <w:r w:rsidRPr="00233DC6">
        <w:rPr>
          <w:rFonts w:eastAsiaTheme="minorHAnsi"/>
          <w:lang w:eastAsia="en-US"/>
        </w:rPr>
        <w:t xml:space="preserve"> areas that could be strengthened.</w:t>
      </w:r>
    </w:p>
    <w:p w:rsidR="00317A2D" w:rsidRDefault="00317A2D" w:rsidP="00317A2D">
      <w:pPr>
        <w:rPr>
          <w:rFonts w:eastAsiaTheme="minorHAnsi"/>
          <w:lang w:eastAsia="en-US"/>
        </w:rPr>
      </w:pPr>
    </w:p>
    <w:p w:rsidR="00317A2D" w:rsidRPr="00622DB7" w:rsidRDefault="00317A2D" w:rsidP="00317A2D">
      <w:pPr>
        <w:rPr>
          <w:rFonts w:cs="Adobe Garamond Pro"/>
          <w:i/>
          <w:color w:val="808080"/>
        </w:rPr>
      </w:pPr>
      <w:r w:rsidRPr="00233DC6">
        <w:rPr>
          <w:rFonts w:eastAsiaTheme="minorHAnsi"/>
          <w:lang w:eastAsia="en-US"/>
        </w:rPr>
        <w:t xml:space="preserve">A </w:t>
      </w:r>
      <w:r>
        <w:rPr>
          <w:rFonts w:eastAsiaTheme="minorHAnsi"/>
          <w:lang w:eastAsia="en-US"/>
        </w:rPr>
        <w:t>guideline</w:t>
      </w:r>
      <w:r w:rsidRPr="00233DC6">
        <w:rPr>
          <w:rFonts w:eastAsiaTheme="minorHAnsi"/>
          <w:lang w:eastAsia="en-US"/>
        </w:rPr>
        <w:t xml:space="preserve"> for responding to CPE and MDRO </w:t>
      </w:r>
      <w:r>
        <w:rPr>
          <w:rFonts w:eastAsiaTheme="minorHAnsi"/>
          <w:lang w:eastAsia="en-US"/>
        </w:rPr>
        <w:t>has been developed</w:t>
      </w:r>
      <w:r w:rsidRPr="00233DC6">
        <w:rPr>
          <w:rFonts w:eastAsiaTheme="minorHAnsi"/>
          <w:lang w:eastAsia="en-US"/>
        </w:rPr>
        <w:t xml:space="preserve">. The </w:t>
      </w:r>
      <w:r>
        <w:rPr>
          <w:rFonts w:eastAsiaTheme="minorHAnsi"/>
          <w:lang w:eastAsia="en-US"/>
        </w:rPr>
        <w:t>guideline</w:t>
      </w:r>
      <w:r w:rsidRPr="00233DC6">
        <w:rPr>
          <w:rFonts w:eastAsiaTheme="minorHAnsi"/>
          <w:lang w:eastAsia="en-US"/>
        </w:rPr>
        <w:t xml:space="preserve"> outlines the requirements needed to respond effectively and quickly to this emerging MDRO and inc</w:t>
      </w:r>
      <w:r>
        <w:rPr>
          <w:rFonts w:eastAsiaTheme="minorHAnsi"/>
          <w:lang w:eastAsia="en-US"/>
        </w:rPr>
        <w:t>l</w:t>
      </w:r>
      <w:r w:rsidRPr="00233DC6">
        <w:rPr>
          <w:rFonts w:eastAsiaTheme="minorHAnsi"/>
          <w:lang w:eastAsia="en-US"/>
        </w:rPr>
        <w:t xml:space="preserve">udes </w:t>
      </w:r>
      <w:r>
        <w:rPr>
          <w:rFonts w:eastAsiaTheme="minorHAnsi"/>
          <w:lang w:eastAsia="en-US"/>
        </w:rPr>
        <w:t>i</w:t>
      </w:r>
      <w:r w:rsidRPr="00233DC6">
        <w:rPr>
          <w:rFonts w:eastAsiaTheme="minorHAnsi"/>
          <w:lang w:eastAsia="en-US"/>
        </w:rPr>
        <w:t xml:space="preserve">nfection </w:t>
      </w:r>
      <w:r>
        <w:rPr>
          <w:rFonts w:eastAsiaTheme="minorHAnsi"/>
          <w:lang w:eastAsia="en-US"/>
        </w:rPr>
        <w:t>p</w:t>
      </w:r>
      <w:r w:rsidRPr="00233DC6">
        <w:rPr>
          <w:rFonts w:eastAsiaTheme="minorHAnsi"/>
          <w:lang w:eastAsia="en-US"/>
        </w:rPr>
        <w:t xml:space="preserve">revention and </w:t>
      </w:r>
      <w:r>
        <w:rPr>
          <w:rFonts w:eastAsiaTheme="minorHAnsi"/>
          <w:lang w:eastAsia="en-US"/>
        </w:rPr>
        <w:t>c</w:t>
      </w:r>
      <w:r w:rsidRPr="00233DC6">
        <w:rPr>
          <w:rFonts w:eastAsiaTheme="minorHAnsi"/>
          <w:lang w:eastAsia="en-US"/>
        </w:rPr>
        <w:t>ontrol activities</w:t>
      </w:r>
      <w:r>
        <w:rPr>
          <w:rFonts w:eastAsiaTheme="minorHAnsi"/>
          <w:lang w:eastAsia="en-US"/>
        </w:rPr>
        <w:t xml:space="preserve"> that </w:t>
      </w:r>
      <w:r w:rsidRPr="00233DC6">
        <w:rPr>
          <w:rFonts w:eastAsiaTheme="minorHAnsi"/>
          <w:lang w:eastAsia="en-US"/>
        </w:rPr>
        <w:t>health</w:t>
      </w:r>
      <w:r>
        <w:rPr>
          <w:rFonts w:eastAsiaTheme="minorHAnsi"/>
          <w:lang w:eastAsia="en-US"/>
        </w:rPr>
        <w:t xml:space="preserve"> </w:t>
      </w:r>
      <w:r w:rsidRPr="00233DC6">
        <w:rPr>
          <w:rFonts w:eastAsiaTheme="minorHAnsi"/>
          <w:lang w:eastAsia="en-US"/>
        </w:rPr>
        <w:t xml:space="preserve">care facilities </w:t>
      </w:r>
      <w:r>
        <w:rPr>
          <w:rFonts w:eastAsiaTheme="minorHAnsi"/>
          <w:lang w:eastAsia="en-US"/>
        </w:rPr>
        <w:t xml:space="preserve">can use, </w:t>
      </w:r>
      <w:r w:rsidRPr="00233DC6">
        <w:rPr>
          <w:rFonts w:eastAsiaTheme="minorHAnsi"/>
          <w:lang w:eastAsia="en-US"/>
        </w:rPr>
        <w:t>such as screening, environmental risks and cleaning. Implement</w:t>
      </w:r>
      <w:r>
        <w:rPr>
          <w:rFonts w:eastAsiaTheme="minorHAnsi"/>
          <w:lang w:eastAsia="en-US"/>
        </w:rPr>
        <w:t>ing</w:t>
      </w:r>
      <w:r w:rsidRPr="00233DC6">
        <w:rPr>
          <w:rFonts w:eastAsiaTheme="minorHAnsi"/>
          <w:lang w:eastAsia="en-US"/>
        </w:rPr>
        <w:t xml:space="preserve"> this </w:t>
      </w:r>
      <w:r>
        <w:rPr>
          <w:rFonts w:eastAsiaTheme="minorHAnsi"/>
          <w:lang w:eastAsia="en-US"/>
        </w:rPr>
        <w:t>guideline</w:t>
      </w:r>
      <w:r w:rsidRPr="00233DC6">
        <w:rPr>
          <w:rFonts w:eastAsiaTheme="minorHAnsi"/>
          <w:lang w:eastAsia="en-US"/>
        </w:rPr>
        <w:t xml:space="preserve"> will be </w:t>
      </w:r>
      <w:r>
        <w:rPr>
          <w:rFonts w:eastAsiaTheme="minorHAnsi"/>
          <w:lang w:eastAsia="en-US"/>
        </w:rPr>
        <w:t>an activity in</w:t>
      </w:r>
      <w:r w:rsidRPr="00233DC6">
        <w:rPr>
          <w:rFonts w:eastAsiaTheme="minorHAnsi"/>
          <w:lang w:eastAsia="en-US"/>
        </w:rPr>
        <w:t xml:space="preserve"> years two and three.</w:t>
      </w:r>
      <w:r>
        <w:rPr>
          <w:rFonts w:eastAsiaTheme="minorHAnsi"/>
          <w:lang w:eastAsia="en-US"/>
        </w:rPr>
        <w:t xml:space="preserve"> </w:t>
      </w:r>
      <w:r w:rsidRPr="00233DC6">
        <w:rPr>
          <w:rFonts w:eastAsiaTheme="minorHAnsi"/>
          <w:lang w:eastAsia="en-US"/>
        </w:rPr>
        <w:t>Initial discussion with</w:t>
      </w:r>
      <w:r>
        <w:rPr>
          <w:rFonts w:eastAsiaTheme="minorHAnsi"/>
          <w:lang w:eastAsia="en-US"/>
        </w:rPr>
        <w:t xml:space="preserve"> the</w:t>
      </w:r>
      <w:r w:rsidRPr="00233DC6">
        <w:rPr>
          <w:rFonts w:eastAsiaTheme="minorHAnsi"/>
          <w:lang w:eastAsia="en-US"/>
        </w:rPr>
        <w:t xml:space="preserve"> Ministry of Education </w:t>
      </w:r>
      <w:r>
        <w:rPr>
          <w:rFonts w:eastAsiaTheme="minorHAnsi"/>
          <w:lang w:eastAsia="en-US"/>
        </w:rPr>
        <w:t xml:space="preserve">has helped </w:t>
      </w:r>
      <w:r>
        <w:rPr>
          <w:rFonts w:eastAsiaTheme="minorHAnsi"/>
          <w:lang w:eastAsia="en-US"/>
        </w:rPr>
        <w:lastRenderedPageBreak/>
        <w:t>with</w:t>
      </w:r>
      <w:r w:rsidRPr="00233DC6">
        <w:rPr>
          <w:rFonts w:eastAsiaTheme="minorHAnsi"/>
          <w:lang w:eastAsia="en-US"/>
        </w:rPr>
        <w:t xml:space="preserve"> understand</w:t>
      </w:r>
      <w:r>
        <w:rPr>
          <w:rFonts w:eastAsiaTheme="minorHAnsi"/>
          <w:lang w:eastAsia="en-US"/>
        </w:rPr>
        <w:t>ing</w:t>
      </w:r>
      <w:r w:rsidRPr="00233DC6">
        <w:rPr>
          <w:rFonts w:eastAsiaTheme="minorHAnsi"/>
          <w:lang w:eastAsia="en-US"/>
        </w:rPr>
        <w:t xml:space="preserve"> how</w:t>
      </w:r>
      <w:r>
        <w:rPr>
          <w:rFonts w:eastAsiaTheme="minorHAnsi"/>
          <w:lang w:eastAsia="en-US"/>
        </w:rPr>
        <w:t xml:space="preserve"> the</w:t>
      </w:r>
      <w:r w:rsidRPr="00233DC6">
        <w:rPr>
          <w:rFonts w:eastAsiaTheme="minorHAnsi"/>
          <w:lang w:eastAsia="en-US"/>
        </w:rPr>
        <w:t xml:space="preserve"> current school curriculum </w:t>
      </w:r>
      <w:r>
        <w:rPr>
          <w:rFonts w:eastAsiaTheme="minorHAnsi"/>
          <w:lang w:eastAsia="en-US"/>
        </w:rPr>
        <w:t>covers infection p</w:t>
      </w:r>
      <w:r w:rsidRPr="00233DC6">
        <w:rPr>
          <w:rFonts w:eastAsiaTheme="minorHAnsi"/>
          <w:lang w:eastAsia="en-US"/>
        </w:rPr>
        <w:t xml:space="preserve">revention and </w:t>
      </w:r>
      <w:r>
        <w:rPr>
          <w:rFonts w:eastAsiaTheme="minorHAnsi"/>
          <w:lang w:eastAsia="en-US"/>
        </w:rPr>
        <w:t>c</w:t>
      </w:r>
      <w:r w:rsidRPr="00233DC6">
        <w:rPr>
          <w:rFonts w:eastAsiaTheme="minorHAnsi"/>
          <w:lang w:eastAsia="en-US"/>
        </w:rPr>
        <w:t>ontrol</w:t>
      </w:r>
      <w:r>
        <w:rPr>
          <w:rFonts w:eastAsiaTheme="minorHAnsi"/>
          <w:lang w:eastAsia="en-US"/>
        </w:rPr>
        <w:t xml:space="preserve"> and </w:t>
      </w:r>
      <w:r w:rsidRPr="00233DC6">
        <w:rPr>
          <w:rFonts w:eastAsiaTheme="minorHAnsi"/>
          <w:lang w:eastAsia="en-US"/>
        </w:rPr>
        <w:t xml:space="preserve">AMR. Years two and three will build on this information and how to engage with education to strengthen </w:t>
      </w:r>
      <w:r>
        <w:rPr>
          <w:rFonts w:eastAsiaTheme="minorHAnsi"/>
          <w:lang w:eastAsia="en-US"/>
        </w:rPr>
        <w:t xml:space="preserve">work in </w:t>
      </w:r>
      <w:r w:rsidRPr="00233DC6">
        <w:rPr>
          <w:rFonts w:eastAsiaTheme="minorHAnsi"/>
          <w:lang w:eastAsia="en-US"/>
        </w:rPr>
        <w:t>this area.</w:t>
      </w:r>
    </w:p>
    <w:p w:rsidR="00317A2D" w:rsidRDefault="00317A2D" w:rsidP="00317A2D"/>
    <w:p w:rsidR="00317A2D" w:rsidRDefault="00317A2D" w:rsidP="00317A2D">
      <w:pPr>
        <w:pStyle w:val="Heading4"/>
      </w:pPr>
      <w:r>
        <w:t>Animal health and agriculture</w:t>
      </w:r>
    </w:p>
    <w:p w:rsidR="00317A2D" w:rsidRPr="00233DC6" w:rsidRDefault="00317A2D" w:rsidP="00317A2D">
      <w:r>
        <w:t>The Ministry for Primary Industries</w:t>
      </w:r>
      <w:r w:rsidRPr="00233DC6">
        <w:t xml:space="preserve"> is using its Antimicrobial Resistance Co-ordination Group, </w:t>
      </w:r>
      <w:r>
        <w:t>which is made up of representatives from</w:t>
      </w:r>
      <w:r w:rsidRPr="00233DC6">
        <w:t xml:space="preserve"> industry sectors and bodies,</w:t>
      </w:r>
      <w:r>
        <w:t xml:space="preserve"> representatives of</w:t>
      </w:r>
      <w:r w:rsidRPr="00233DC6">
        <w:t xml:space="preserve"> government agencies and researchers, to facilitate a number of activities. </w:t>
      </w:r>
      <w:r>
        <w:t xml:space="preserve">This includes supporting industry initiatives in this area, such as the work </w:t>
      </w:r>
      <w:r w:rsidRPr="00233DC6">
        <w:t xml:space="preserve">on prudent use and antimicrobial stewardship </w:t>
      </w:r>
      <w:r>
        <w:t>programmes</w:t>
      </w:r>
      <w:r w:rsidRPr="00233DC6">
        <w:t>. The work with these groups will be ongoing.</w:t>
      </w:r>
      <w:r>
        <w:t xml:space="preserve"> The Ministry for Primary Industries is also using its networks such as those in OIE to monitor international trends.</w:t>
      </w:r>
    </w:p>
    <w:p w:rsidR="00317A2D" w:rsidRDefault="00317A2D" w:rsidP="00317A2D"/>
    <w:p w:rsidR="00317A2D" w:rsidRPr="00233DC6" w:rsidRDefault="00317A2D" w:rsidP="00317A2D">
      <w:r w:rsidRPr="00233DC6">
        <w:t xml:space="preserve">The gap analysis for </w:t>
      </w:r>
      <w:r>
        <w:t>P</w:t>
      </w:r>
      <w:r w:rsidRPr="00233DC6">
        <w:t>riority</w:t>
      </w:r>
      <w:r>
        <w:t xml:space="preserve"> area 11,</w:t>
      </w:r>
      <w:r w:rsidRPr="00233DC6">
        <w:t xml:space="preserve"> activ</w:t>
      </w:r>
      <w:r>
        <w:t>ity 1 was completed in 2017. S</w:t>
      </w:r>
      <w:r w:rsidRPr="00233DC6">
        <w:t>ome activities</w:t>
      </w:r>
      <w:r>
        <w:t>,</w:t>
      </w:r>
      <w:r w:rsidRPr="00233DC6">
        <w:t xml:space="preserve"> such as </w:t>
      </w:r>
      <w:r>
        <w:t xml:space="preserve">Priority action area </w:t>
      </w:r>
      <w:r w:rsidRPr="00233DC6">
        <w:t>7</w:t>
      </w:r>
      <w:r>
        <w:t xml:space="preserve">, activities </w:t>
      </w:r>
      <w:r w:rsidRPr="00233DC6">
        <w:t>2 and 3</w:t>
      </w:r>
      <w:r>
        <w:t>,</w:t>
      </w:r>
      <w:r w:rsidRPr="00233DC6">
        <w:t xml:space="preserve"> will continue until year </w:t>
      </w:r>
      <w:r>
        <w:t>two</w:t>
      </w:r>
      <w:r w:rsidRPr="00233DC6">
        <w:t>.</w:t>
      </w:r>
    </w:p>
    <w:p w:rsidR="00317A2D" w:rsidRDefault="00317A2D" w:rsidP="00317A2D"/>
    <w:p w:rsidR="00317A2D" w:rsidRDefault="00317A2D" w:rsidP="00317A2D">
      <w:pPr>
        <w:pStyle w:val="Heading2"/>
      </w:pPr>
      <w:bookmarkStart w:id="8" w:name="_Toc524595545"/>
      <w:r>
        <w:t>Objective 4</w:t>
      </w:r>
      <w:r w:rsidRPr="009B0917">
        <w:br/>
        <w:t>Antimicrobial stewardship</w:t>
      </w:r>
      <w:bookmarkEnd w:id="8"/>
    </w:p>
    <w:p w:rsidR="00317A2D" w:rsidRPr="00317A2D" w:rsidRDefault="00317A2D" w:rsidP="00317A2D">
      <w:pPr>
        <w:pStyle w:val="Heading3"/>
      </w:pPr>
      <w:r w:rsidRPr="009B0917">
        <w:t>Optimise the use of antimicrobial medicines in human health, animal health and agriculture, including by maintaining and enhancing the regulation of animal and agriculture antimicrobials</w:t>
      </w:r>
    </w:p>
    <w:p w:rsidR="00317A2D" w:rsidRDefault="00317A2D" w:rsidP="00317A2D">
      <w:pPr>
        <w:pStyle w:val="Heading4"/>
      </w:pPr>
      <w:r>
        <w:t>Human health</w:t>
      </w:r>
    </w:p>
    <w:p w:rsidR="00317A2D" w:rsidRDefault="00317A2D" w:rsidP="00317A2D">
      <w:pPr>
        <w:rPr>
          <w:rFonts w:eastAsiaTheme="minorHAnsi"/>
          <w:lang w:eastAsia="en-US"/>
        </w:rPr>
      </w:pPr>
      <w:r>
        <w:rPr>
          <w:rFonts w:eastAsiaTheme="minorHAnsi"/>
          <w:lang w:eastAsia="en-US"/>
        </w:rPr>
        <w:t xml:space="preserve">As for Objective 3, </w:t>
      </w:r>
      <w:proofErr w:type="spellStart"/>
      <w:r>
        <w:rPr>
          <w:rFonts w:eastAsiaTheme="minorHAnsi"/>
          <w:lang w:eastAsia="en-US"/>
        </w:rPr>
        <w:t>HealthCERT’s</w:t>
      </w:r>
      <w:proofErr w:type="spellEnd"/>
      <w:r w:rsidRPr="00233DC6">
        <w:rPr>
          <w:rFonts w:eastAsiaTheme="minorHAnsi"/>
          <w:lang w:eastAsia="en-US"/>
        </w:rPr>
        <w:t xml:space="preserve"> full comprehensive review of the New Zealand</w:t>
      </w:r>
      <w:r>
        <w:rPr>
          <w:rFonts w:eastAsiaTheme="minorHAnsi"/>
          <w:lang w:eastAsia="en-US"/>
        </w:rPr>
        <w:t xml:space="preserve"> health and disability standards,</w:t>
      </w:r>
      <w:r w:rsidRPr="00233DC6">
        <w:rPr>
          <w:rFonts w:eastAsiaTheme="minorHAnsi"/>
          <w:lang w:eastAsia="en-US"/>
        </w:rPr>
        <w:t xml:space="preserve"> d</w:t>
      </w:r>
      <w:r>
        <w:rPr>
          <w:rFonts w:eastAsiaTheme="minorHAnsi"/>
          <w:lang w:eastAsia="en-US"/>
        </w:rPr>
        <w:t>ue to begin later in 2018</w:t>
      </w:r>
      <w:r w:rsidRPr="00233DC6">
        <w:rPr>
          <w:rFonts w:eastAsiaTheme="minorHAnsi"/>
          <w:lang w:eastAsia="en-US"/>
        </w:rPr>
        <w:t xml:space="preserve">, will include a review of the </w:t>
      </w:r>
      <w:r>
        <w:rPr>
          <w:rFonts w:eastAsiaTheme="minorHAnsi"/>
          <w:lang w:eastAsia="en-US"/>
        </w:rPr>
        <w:t>i</w:t>
      </w:r>
      <w:r w:rsidRPr="00233DC6">
        <w:rPr>
          <w:rFonts w:eastAsiaTheme="minorHAnsi"/>
          <w:lang w:eastAsia="en-US"/>
        </w:rPr>
        <w:t xml:space="preserve">nfection </w:t>
      </w:r>
      <w:r>
        <w:rPr>
          <w:rFonts w:eastAsiaTheme="minorHAnsi"/>
          <w:lang w:eastAsia="en-US"/>
        </w:rPr>
        <w:t>p</w:t>
      </w:r>
      <w:r w:rsidRPr="00233DC6">
        <w:rPr>
          <w:rFonts w:eastAsiaTheme="minorHAnsi"/>
          <w:lang w:eastAsia="en-US"/>
        </w:rPr>
        <w:t xml:space="preserve">revention and </w:t>
      </w:r>
      <w:r>
        <w:rPr>
          <w:rFonts w:eastAsiaTheme="minorHAnsi"/>
          <w:lang w:eastAsia="en-US"/>
        </w:rPr>
        <w:t>c</w:t>
      </w:r>
      <w:r w:rsidRPr="00233DC6">
        <w:rPr>
          <w:rFonts w:eastAsiaTheme="minorHAnsi"/>
          <w:lang w:eastAsia="en-US"/>
        </w:rPr>
        <w:t>ontrol component of th</w:t>
      </w:r>
      <w:r>
        <w:rPr>
          <w:rFonts w:eastAsiaTheme="minorHAnsi"/>
          <w:lang w:eastAsia="en-US"/>
        </w:rPr>
        <w:t>ese</w:t>
      </w:r>
      <w:r w:rsidRPr="00233DC6">
        <w:rPr>
          <w:rFonts w:eastAsiaTheme="minorHAnsi"/>
          <w:lang w:eastAsia="en-US"/>
        </w:rPr>
        <w:t xml:space="preserve"> standard</w:t>
      </w:r>
      <w:r>
        <w:rPr>
          <w:rFonts w:eastAsiaTheme="minorHAnsi"/>
          <w:lang w:eastAsia="en-US"/>
        </w:rPr>
        <w:t xml:space="preserve">s and will also consider relevant stewardship aspects. Ahead of </w:t>
      </w:r>
      <w:r w:rsidRPr="00233DC6">
        <w:rPr>
          <w:rFonts w:eastAsiaTheme="minorHAnsi"/>
          <w:lang w:eastAsia="en-US"/>
        </w:rPr>
        <w:t>the consultation process</w:t>
      </w:r>
      <w:r>
        <w:rPr>
          <w:rFonts w:eastAsiaTheme="minorHAnsi"/>
          <w:lang w:eastAsia="en-US"/>
        </w:rPr>
        <w:t xml:space="preserve">, </w:t>
      </w:r>
      <w:r w:rsidRPr="00233DC6">
        <w:rPr>
          <w:rFonts w:eastAsiaTheme="minorHAnsi"/>
          <w:lang w:eastAsia="en-US"/>
        </w:rPr>
        <w:t xml:space="preserve">a subgroup of HARC </w:t>
      </w:r>
      <w:r>
        <w:rPr>
          <w:rFonts w:eastAsiaTheme="minorHAnsi"/>
          <w:lang w:eastAsia="en-US"/>
        </w:rPr>
        <w:t>is already doing the</w:t>
      </w:r>
      <w:r w:rsidRPr="00233DC6">
        <w:rPr>
          <w:rFonts w:eastAsiaTheme="minorHAnsi"/>
          <w:lang w:eastAsia="en-US"/>
        </w:rPr>
        <w:t xml:space="preserve"> initial</w:t>
      </w:r>
      <w:r>
        <w:rPr>
          <w:rFonts w:eastAsiaTheme="minorHAnsi"/>
          <w:lang w:eastAsia="en-US"/>
        </w:rPr>
        <w:t xml:space="preserve"> work of</w:t>
      </w:r>
      <w:r w:rsidRPr="00233DC6">
        <w:rPr>
          <w:rFonts w:eastAsiaTheme="minorHAnsi"/>
          <w:lang w:eastAsia="en-US"/>
        </w:rPr>
        <w:t xml:space="preserve"> identify</w:t>
      </w:r>
      <w:r>
        <w:rPr>
          <w:rFonts w:eastAsiaTheme="minorHAnsi"/>
          <w:lang w:eastAsia="en-US"/>
        </w:rPr>
        <w:t>ing</w:t>
      </w:r>
      <w:r w:rsidRPr="00233DC6">
        <w:rPr>
          <w:rFonts w:eastAsiaTheme="minorHAnsi"/>
          <w:lang w:eastAsia="en-US"/>
        </w:rPr>
        <w:t xml:space="preserve"> areas that could be strengthened.</w:t>
      </w:r>
    </w:p>
    <w:p w:rsidR="00317A2D" w:rsidRDefault="00317A2D" w:rsidP="00317A2D">
      <w:pPr>
        <w:rPr>
          <w:rFonts w:eastAsiaTheme="minorHAnsi"/>
          <w:lang w:eastAsia="en-US"/>
        </w:rPr>
      </w:pPr>
    </w:p>
    <w:p w:rsidR="00317A2D" w:rsidRDefault="00317A2D" w:rsidP="00317A2D">
      <w:pPr>
        <w:rPr>
          <w:rFonts w:eastAsiaTheme="minorHAnsi"/>
          <w:lang w:eastAsia="en-US"/>
        </w:rPr>
      </w:pPr>
      <w:r>
        <w:rPr>
          <w:rFonts w:eastAsiaTheme="minorHAnsi"/>
          <w:lang w:eastAsia="en-US"/>
        </w:rPr>
        <w:t>A stocktake of antimicrobial stewardship services has been completed. Discussions have begun to investigate coordinating regional antimicrobial prescribing guidance, which includes considering whether to shift to a national guide.</w:t>
      </w:r>
    </w:p>
    <w:p w:rsidR="00317A2D" w:rsidRDefault="00317A2D" w:rsidP="00317A2D">
      <w:pPr>
        <w:rPr>
          <w:rFonts w:eastAsiaTheme="minorHAnsi"/>
          <w:lang w:eastAsia="en-US"/>
        </w:rPr>
      </w:pPr>
    </w:p>
    <w:p w:rsidR="00317A2D" w:rsidRDefault="00317A2D" w:rsidP="00317A2D">
      <w:pPr>
        <w:rPr>
          <w:rFonts w:eastAsiaTheme="minorHAnsi"/>
          <w:lang w:eastAsia="en-US"/>
        </w:rPr>
      </w:pPr>
      <w:r>
        <w:rPr>
          <w:rFonts w:eastAsiaTheme="minorHAnsi"/>
          <w:lang w:eastAsia="en-US"/>
        </w:rPr>
        <w:t>Scoping activity has aimed at improving understanding of the best measures for antimicrobial consumption in both hospitals and the community and point prevalence studies in hospitals and aged residential care facilities. Work is now under way to explore options for routinely implementing and disseminating results from daily dose equivalence and point prevalence studies. Agreement has been achieved for implementing a Health Quality &amp; Safety Commission Atlas of Variation on community antimicrobial use.</w:t>
      </w:r>
    </w:p>
    <w:p w:rsidR="00317A2D" w:rsidRDefault="00317A2D" w:rsidP="00317A2D">
      <w:pPr>
        <w:rPr>
          <w:rFonts w:eastAsiaTheme="minorHAnsi"/>
          <w:lang w:eastAsia="en-US"/>
        </w:rPr>
      </w:pPr>
      <w:r>
        <w:rPr>
          <w:rFonts w:eastAsiaTheme="minorHAnsi"/>
          <w:lang w:eastAsia="en-US"/>
        </w:rPr>
        <w:lastRenderedPageBreak/>
        <w:t>Data analysis work is under way to better understand prescribing practice by prescriber type. PHARMAC has completed an evaluation of equity of access to antimicrobials; also completed is a literature evaluation to investigate inequities in antimicrobial prescribing and care.</w:t>
      </w:r>
    </w:p>
    <w:p w:rsidR="00607AEE" w:rsidRDefault="00607AEE" w:rsidP="00317A2D">
      <w:pPr>
        <w:rPr>
          <w:rFonts w:eastAsiaTheme="minorHAnsi"/>
          <w:lang w:eastAsia="en-US"/>
        </w:rPr>
      </w:pPr>
    </w:p>
    <w:p w:rsidR="00317A2D" w:rsidRPr="00233DC6" w:rsidRDefault="00317A2D" w:rsidP="00317A2D">
      <w:pPr>
        <w:rPr>
          <w:rFonts w:eastAsiaTheme="minorHAnsi"/>
          <w:lang w:eastAsia="en-US"/>
        </w:rPr>
      </w:pPr>
      <w:r>
        <w:rPr>
          <w:rFonts w:eastAsiaTheme="minorHAnsi"/>
          <w:lang w:eastAsia="en-US"/>
        </w:rPr>
        <w:t>Priority action area 15, activities 1 to 3 have been shifted to years three to five. The reason for doing so is that these activities fall under the remit of the Therapeutic Products Bill work programme and its timeline is outside the control of this AMR work programme.</w:t>
      </w:r>
    </w:p>
    <w:p w:rsidR="00317A2D" w:rsidRDefault="00317A2D" w:rsidP="00317A2D"/>
    <w:p w:rsidR="00317A2D" w:rsidRDefault="00317A2D" w:rsidP="00317A2D">
      <w:pPr>
        <w:pStyle w:val="Heading4"/>
      </w:pPr>
      <w:r>
        <w:t>Animal health and agriculture</w:t>
      </w:r>
    </w:p>
    <w:p w:rsidR="00317A2D" w:rsidRPr="00683674" w:rsidRDefault="00317A2D" w:rsidP="00317A2D">
      <w:r>
        <w:t>The Ministry for Primary Industries</w:t>
      </w:r>
      <w:r w:rsidRPr="00683674">
        <w:t xml:space="preserve"> has </w:t>
      </w:r>
      <w:r>
        <w:t>begun</w:t>
      </w:r>
      <w:r w:rsidRPr="00683674">
        <w:t xml:space="preserve"> a review of information requirements and controls on antimicrobials.</w:t>
      </w:r>
    </w:p>
    <w:p w:rsidR="00317A2D" w:rsidRDefault="00317A2D" w:rsidP="00317A2D"/>
    <w:p w:rsidR="00317A2D" w:rsidRDefault="00317A2D" w:rsidP="00317A2D">
      <w:r>
        <w:t>It</w:t>
      </w:r>
      <w:r w:rsidRPr="00683674">
        <w:t xml:space="preserve"> has completed its prudent use directive. This umbrella document sets out expectations for all parties </w:t>
      </w:r>
      <w:r>
        <w:t>as they</w:t>
      </w:r>
      <w:r w:rsidRPr="00683674">
        <w:t xml:space="preserve"> develop their own prudent use guidance.</w:t>
      </w:r>
    </w:p>
    <w:p w:rsidR="00317A2D" w:rsidRDefault="00317A2D" w:rsidP="00317A2D"/>
    <w:p w:rsidR="00317A2D" w:rsidRDefault="00317A2D" w:rsidP="00317A2D">
      <w:r>
        <w:t>The Veterinary Council of New Zealand</w:t>
      </w:r>
      <w:r w:rsidRPr="00683674">
        <w:t xml:space="preserve"> is currently reviewing its code of professional conduct section on veterinary medicines</w:t>
      </w:r>
      <w:r>
        <w:t>,</w:t>
      </w:r>
      <w:r w:rsidRPr="00683674">
        <w:t xml:space="preserve"> which includes AMR management for antimicrobials. The review is nearly complete, but if necessary </w:t>
      </w:r>
      <w:r>
        <w:t xml:space="preserve">will </w:t>
      </w:r>
      <w:r w:rsidRPr="00683674">
        <w:t xml:space="preserve">continue as a year </w:t>
      </w:r>
      <w:r>
        <w:t>two</w:t>
      </w:r>
      <w:r w:rsidRPr="00683674">
        <w:t xml:space="preserve"> activity.</w:t>
      </w:r>
    </w:p>
    <w:p w:rsidR="00317A2D" w:rsidRPr="00683674" w:rsidRDefault="00317A2D" w:rsidP="00317A2D"/>
    <w:p w:rsidR="00317A2D" w:rsidRPr="00683674" w:rsidRDefault="00317A2D" w:rsidP="00317A2D">
      <w:pPr>
        <w:rPr>
          <w:b/>
          <w:i/>
          <w:color w:val="808080"/>
        </w:rPr>
      </w:pPr>
      <w:r>
        <w:t>The Ministry for Primary Industries</w:t>
      </w:r>
      <w:r w:rsidRPr="00683674">
        <w:t xml:space="preserve"> has </w:t>
      </w:r>
      <w:r>
        <w:t>begun to</w:t>
      </w:r>
      <w:r w:rsidRPr="00683674">
        <w:t xml:space="preserve"> reassess antimicrobials </w:t>
      </w:r>
      <w:r>
        <w:t>for the purpose of</w:t>
      </w:r>
      <w:r w:rsidRPr="00683674">
        <w:t xml:space="preserve"> review</w:t>
      </w:r>
      <w:r>
        <w:t>ing</w:t>
      </w:r>
      <w:r w:rsidRPr="00683674">
        <w:t xml:space="preserve"> their controls and labelling based on categories</w:t>
      </w:r>
      <w:r>
        <w:t xml:space="preserve"> established</w:t>
      </w:r>
      <w:r w:rsidRPr="00683674">
        <w:t xml:space="preserve"> for antimicrobials of importance to human health. This will be an ongoing activity</w:t>
      </w:r>
      <w:r w:rsidRPr="00683674">
        <w:rPr>
          <w:i/>
          <w:color w:val="808080"/>
        </w:rPr>
        <w:t>.</w:t>
      </w:r>
    </w:p>
    <w:p w:rsidR="00317A2D" w:rsidRDefault="00317A2D" w:rsidP="00317A2D"/>
    <w:p w:rsidR="00317A2D" w:rsidRDefault="00317A2D" w:rsidP="00223E6F">
      <w:pPr>
        <w:pStyle w:val="Heading2"/>
        <w:keepLines/>
        <w:pageBreakBefore/>
      </w:pPr>
      <w:bookmarkStart w:id="9" w:name="_Toc524595546"/>
      <w:r>
        <w:lastRenderedPageBreak/>
        <w:t>Objective 5</w:t>
      </w:r>
      <w:r w:rsidRPr="009B0917">
        <w:br/>
        <w:t>Governance, collaboration and investment</w:t>
      </w:r>
      <w:bookmarkEnd w:id="9"/>
    </w:p>
    <w:p w:rsidR="00317A2D" w:rsidRDefault="00317A2D" w:rsidP="00317A2D">
      <w:pPr>
        <w:pStyle w:val="Heading3"/>
      </w:pPr>
      <w:r w:rsidRPr="009B0917">
        <w:t>Establish and support clear governance, collaboration and investment arrangements for a sustainable approach to countering antimicrobial resistance</w:t>
      </w:r>
    </w:p>
    <w:p w:rsidR="00317A2D" w:rsidRDefault="00317A2D" w:rsidP="00317A2D">
      <w:pPr>
        <w:pStyle w:val="Heading4"/>
      </w:pPr>
      <w:r>
        <w:t xml:space="preserve">Human health, animal health and </w:t>
      </w:r>
      <w:r w:rsidR="004336D9">
        <w:t>agriculture</w:t>
      </w:r>
    </w:p>
    <w:p w:rsidR="00317A2D" w:rsidRPr="00683674" w:rsidRDefault="00317A2D" w:rsidP="00317A2D">
      <w:r w:rsidRPr="00683674">
        <w:t xml:space="preserve">Year </w:t>
      </w:r>
      <w:r>
        <w:t>o</w:t>
      </w:r>
      <w:r w:rsidRPr="00683674">
        <w:t xml:space="preserve">ne has seen </w:t>
      </w:r>
      <w:r>
        <w:t xml:space="preserve">the </w:t>
      </w:r>
      <w:r w:rsidRPr="00683674">
        <w:t xml:space="preserve">establishment of coordination and governance structures across human health, animal health and agriculture to support implementation and oversight of the Action Plan. These structures will be reviewed in </w:t>
      </w:r>
      <w:r>
        <w:t xml:space="preserve">each of the </w:t>
      </w:r>
      <w:proofErr w:type="gramStart"/>
      <w:r>
        <w:t>y</w:t>
      </w:r>
      <w:r w:rsidRPr="00683674">
        <w:t>ears</w:t>
      </w:r>
      <w:proofErr w:type="gramEnd"/>
      <w:r w:rsidRPr="00683674">
        <w:t xml:space="preserve"> </w:t>
      </w:r>
      <w:r>
        <w:t>t</w:t>
      </w:r>
      <w:r w:rsidRPr="00683674">
        <w:t xml:space="preserve">wo </w:t>
      </w:r>
      <w:r>
        <w:t>to f</w:t>
      </w:r>
      <w:r w:rsidRPr="00683674">
        <w:t>ive to ensure they are fit-for-purpose and effective.</w:t>
      </w:r>
    </w:p>
    <w:p w:rsidR="00317A2D" w:rsidRDefault="00317A2D" w:rsidP="00317A2D"/>
    <w:p w:rsidR="00317A2D" w:rsidRDefault="00317A2D" w:rsidP="00317A2D">
      <w:r w:rsidRPr="00683674">
        <w:t xml:space="preserve">The Primary Industries AMR Coordination </w:t>
      </w:r>
      <w:r>
        <w:t>G</w:t>
      </w:r>
      <w:r w:rsidRPr="00683674">
        <w:t>roup</w:t>
      </w:r>
      <w:r>
        <w:t>, which was established before the Action Plan,</w:t>
      </w:r>
      <w:r w:rsidRPr="00683674">
        <w:t xml:space="preserve"> continues to meet every four months</w:t>
      </w:r>
      <w:r>
        <w:t>. It is</w:t>
      </w:r>
      <w:r w:rsidRPr="00683674">
        <w:t xml:space="preserve"> a forum </w:t>
      </w:r>
      <w:r>
        <w:t>where</w:t>
      </w:r>
      <w:r w:rsidRPr="00683674">
        <w:t xml:space="preserve"> regulators (</w:t>
      </w:r>
      <w:r>
        <w:t>Ministry for Primary Industries</w:t>
      </w:r>
      <w:r w:rsidRPr="00683674">
        <w:t xml:space="preserve"> and </w:t>
      </w:r>
      <w:r>
        <w:rPr>
          <w:rFonts w:cs="Adobe Garamond Pro"/>
          <w:color w:val="000000" w:themeColor="text1"/>
        </w:rPr>
        <w:t>Veterinary Council of New Zealand</w:t>
      </w:r>
      <w:r w:rsidRPr="00683674">
        <w:t xml:space="preserve">) and representative groups, including the </w:t>
      </w:r>
      <w:r>
        <w:t>New Zealand Veterinary Association</w:t>
      </w:r>
      <w:r w:rsidRPr="00683674">
        <w:t>, may share information and coordinate activities.</w:t>
      </w:r>
    </w:p>
    <w:p w:rsidR="00317A2D" w:rsidRDefault="00317A2D" w:rsidP="00317A2D"/>
    <w:p w:rsidR="00317A2D" w:rsidRDefault="00317A2D" w:rsidP="00317A2D">
      <w:r w:rsidRPr="00FF2E66">
        <w:t>A Health AMR Coordination Group was established in 2017 to provide a forum in which government agencies and representative health professional bodies, agencies and organisations with a stake in AMR can share information</w:t>
      </w:r>
      <w:r>
        <w:t xml:space="preserve"> and</w:t>
      </w:r>
      <w:r w:rsidRPr="00FF2E66">
        <w:t xml:space="preserve"> expertise, and coordinate activities. The</w:t>
      </w:r>
      <w:r>
        <w:t xml:space="preserve"> </w:t>
      </w:r>
      <w:r w:rsidRPr="00FF2E66">
        <w:t>HARC Group meet</w:t>
      </w:r>
      <w:r>
        <w:t>s</w:t>
      </w:r>
      <w:r w:rsidRPr="00FF2E66">
        <w:t xml:space="preserve"> every four months, with subgroups</w:t>
      </w:r>
      <w:r>
        <w:t xml:space="preserve"> focused on</w:t>
      </w:r>
      <w:r w:rsidRPr="00FF2E66">
        <w:t xml:space="preserve"> specific objective</w:t>
      </w:r>
      <w:r>
        <w:t>s</w:t>
      </w:r>
      <w:r w:rsidRPr="00FF2E66">
        <w:t xml:space="preserve"> supporting work between meetings.</w:t>
      </w:r>
    </w:p>
    <w:p w:rsidR="00317A2D" w:rsidRDefault="00317A2D" w:rsidP="00317A2D"/>
    <w:p w:rsidR="00317A2D" w:rsidRPr="00FF2E66" w:rsidRDefault="00317A2D" w:rsidP="00317A2D">
      <w:r w:rsidRPr="00FF2E66">
        <w:t xml:space="preserve">The New Zealand AMR Governance Group was </w:t>
      </w:r>
      <w:r>
        <w:t xml:space="preserve">also </w:t>
      </w:r>
      <w:r w:rsidRPr="00FF2E66">
        <w:t>established in 2017</w:t>
      </w:r>
      <w:r>
        <w:t>. It</w:t>
      </w:r>
      <w:r w:rsidRPr="00FF2E66">
        <w:t xml:space="preserve"> meets every four months to oversee and provide advice on </w:t>
      </w:r>
      <w:r>
        <w:t xml:space="preserve">the </w:t>
      </w:r>
      <w:r w:rsidRPr="00FF2E66">
        <w:t xml:space="preserve">implementation of the Action Plan, as well as alignment between </w:t>
      </w:r>
      <w:r>
        <w:t xml:space="preserve">the </w:t>
      </w:r>
      <w:r w:rsidRPr="00FF2E66">
        <w:t xml:space="preserve">Ministry of Health and Ministry for Primary Industries. </w:t>
      </w:r>
      <w:r>
        <w:t>Members of the</w:t>
      </w:r>
      <w:r w:rsidRPr="00FF2E66">
        <w:t xml:space="preserve"> group </w:t>
      </w:r>
      <w:r>
        <w:t>are</w:t>
      </w:r>
      <w:r w:rsidRPr="00FF2E66">
        <w:t xml:space="preserve"> Deputy Director</w:t>
      </w:r>
      <w:r>
        <w:t>s-</w:t>
      </w:r>
      <w:r w:rsidRPr="00FF2E66">
        <w:t xml:space="preserve">General responsible </w:t>
      </w:r>
      <w:r>
        <w:t>for the Action Plan</w:t>
      </w:r>
      <w:r w:rsidRPr="00FF2E66">
        <w:t xml:space="preserve"> from both</w:t>
      </w:r>
      <w:r>
        <w:t xml:space="preserve"> the</w:t>
      </w:r>
      <w:r w:rsidRPr="00FF2E66">
        <w:t xml:space="preserve"> Ministry of Health and Ministry for Primary Industries (co-chairs), Chief Science Advisors from both organisations and a representative from each of the Health and Primary Industries AMR Coordination Groups.</w:t>
      </w:r>
    </w:p>
    <w:p w:rsidR="00317A2D" w:rsidRDefault="00317A2D" w:rsidP="00317A2D"/>
    <w:p w:rsidR="00317A2D" w:rsidRDefault="00317A2D" w:rsidP="00317A2D">
      <w:r w:rsidRPr="00FF2E66">
        <w:t xml:space="preserve">The Ministry of Health and Ministry for Primary Industries agreed </w:t>
      </w:r>
      <w:r>
        <w:t xml:space="preserve">on </w:t>
      </w:r>
      <w:r w:rsidRPr="00FF2E66">
        <w:t xml:space="preserve">leads for each objective in the Action Plan in 2017. These leads meet every four months after the Health and Primary Industries AMR Coordination Group Meetings to discuss progress and agree </w:t>
      </w:r>
      <w:r>
        <w:t xml:space="preserve">on </w:t>
      </w:r>
      <w:r w:rsidRPr="00FF2E66">
        <w:t>key decisions to go forward to the New Zealand AMR Governance Group.</w:t>
      </w:r>
    </w:p>
    <w:p w:rsidR="00317A2D" w:rsidRDefault="00317A2D" w:rsidP="00317A2D"/>
    <w:p w:rsidR="00317A2D" w:rsidRDefault="00317A2D" w:rsidP="00861D0A">
      <w:pPr>
        <w:keepNext/>
      </w:pPr>
      <w:r>
        <w:t>As staff are able, b</w:t>
      </w:r>
      <w:r w:rsidRPr="00FF2E66">
        <w:t xml:space="preserve">usiness cases have been developed to support relevant activities in the Action Plan. </w:t>
      </w:r>
      <w:r>
        <w:t>Because t</w:t>
      </w:r>
      <w:r w:rsidRPr="00FF2E66">
        <w:t>his</w:t>
      </w:r>
      <w:r>
        <w:t xml:space="preserve"> work</w:t>
      </w:r>
      <w:r w:rsidRPr="00FF2E66">
        <w:t xml:space="preserve"> will continue throughout the Action Plan timeframe, </w:t>
      </w:r>
      <w:r>
        <w:t>it</w:t>
      </w:r>
      <w:r w:rsidRPr="00FF2E66">
        <w:t xml:space="preserve"> has been moved to an ongoing activity for </w:t>
      </w:r>
      <w:proofErr w:type="gramStart"/>
      <w:r>
        <w:t>y</w:t>
      </w:r>
      <w:r w:rsidRPr="00FF2E66">
        <w:t>ears</w:t>
      </w:r>
      <w:proofErr w:type="gramEnd"/>
      <w:r w:rsidRPr="00FF2E66">
        <w:t xml:space="preserve"> </w:t>
      </w:r>
      <w:r>
        <w:t>t</w:t>
      </w:r>
      <w:r w:rsidRPr="00FF2E66">
        <w:t xml:space="preserve">wo </w:t>
      </w:r>
      <w:r>
        <w:t>to</w:t>
      </w:r>
      <w:r w:rsidRPr="00FF2E66">
        <w:t xml:space="preserve"> </w:t>
      </w:r>
      <w:r>
        <w:t>f</w:t>
      </w:r>
      <w:r w:rsidRPr="00FF2E66">
        <w:t>ive.</w:t>
      </w:r>
    </w:p>
    <w:p w:rsidR="00317A2D" w:rsidRDefault="00317A2D" w:rsidP="00317A2D"/>
    <w:p w:rsidR="00317A2D" w:rsidRDefault="00317A2D" w:rsidP="00317A2D">
      <w:r w:rsidRPr="00FF2E66">
        <w:lastRenderedPageBreak/>
        <w:t>Finally, opportunities for international collaborations and engagement across the human health, animal health and agricultural sectors have been identified</w:t>
      </w:r>
      <w:r>
        <w:t xml:space="preserve"> and in some instances they have been followed up. These opportunities</w:t>
      </w:r>
      <w:r w:rsidRPr="00FF2E66">
        <w:t xml:space="preserve"> includ</w:t>
      </w:r>
      <w:r>
        <w:t>e work with</w:t>
      </w:r>
      <w:r w:rsidRPr="00FF2E66">
        <w:t xml:space="preserve">: the Australian Department of Health, and Department of Agriculture and Water Resources; the WHO; </w:t>
      </w:r>
      <w:hyperlink r:id="rId21" w:history="1">
        <w:r w:rsidRPr="00FF2E66">
          <w:t>Codex Alimentarius</w:t>
        </w:r>
      </w:hyperlink>
      <w:r w:rsidRPr="00FF2E66">
        <w:t>; and OIE. Th</w:t>
      </w:r>
      <w:r>
        <w:t>is</w:t>
      </w:r>
      <w:r w:rsidRPr="00FF2E66">
        <w:t xml:space="preserve"> importan</w:t>
      </w:r>
      <w:r>
        <w:t>t work</w:t>
      </w:r>
      <w:r w:rsidRPr="00FF2E66">
        <w:t xml:space="preserve"> of strategically planning engagement and buil</w:t>
      </w:r>
      <w:r>
        <w:t>ding on these collaborations will be</w:t>
      </w:r>
      <w:r w:rsidRPr="00FF2E66">
        <w:t xml:space="preserve"> an ongoing activity for </w:t>
      </w:r>
      <w:proofErr w:type="gramStart"/>
      <w:r>
        <w:t>y</w:t>
      </w:r>
      <w:r w:rsidRPr="00FF2E66">
        <w:t>ears</w:t>
      </w:r>
      <w:proofErr w:type="gramEnd"/>
      <w:r w:rsidRPr="00FF2E66">
        <w:t xml:space="preserve"> </w:t>
      </w:r>
      <w:r>
        <w:t>t</w:t>
      </w:r>
      <w:r w:rsidRPr="00FF2E66">
        <w:t xml:space="preserve">wo </w:t>
      </w:r>
      <w:r>
        <w:t>to</w:t>
      </w:r>
      <w:r w:rsidRPr="00FF2E66">
        <w:t xml:space="preserve"> </w:t>
      </w:r>
      <w:r>
        <w:t>f</w:t>
      </w:r>
      <w:r w:rsidRPr="00FF2E66">
        <w:t>ive of the Action Plan.</w:t>
      </w:r>
    </w:p>
    <w:p w:rsidR="00317A2D" w:rsidRPr="00317A2D" w:rsidRDefault="00317A2D" w:rsidP="00861D0A"/>
    <w:p w:rsidR="007A7050" w:rsidRPr="00622DB7" w:rsidRDefault="007A7050" w:rsidP="00861D0A">
      <w:pPr>
        <w:pStyle w:val="Heading1"/>
      </w:pPr>
      <w:bookmarkStart w:id="10" w:name="_Toc524595547"/>
      <w:r>
        <w:t>Conclusion</w:t>
      </w:r>
      <w:bookmarkEnd w:id="10"/>
    </w:p>
    <w:p w:rsidR="007A7050" w:rsidRPr="00683674" w:rsidRDefault="007A7050" w:rsidP="00861D0A">
      <w:pPr>
        <w:rPr>
          <w:rFonts w:eastAsiaTheme="minorHAnsi"/>
          <w:lang w:eastAsia="en-US"/>
        </w:rPr>
      </w:pPr>
      <w:r w:rsidRPr="00683674">
        <w:rPr>
          <w:rFonts w:eastAsiaTheme="minorHAnsi"/>
          <w:lang w:eastAsia="en-US"/>
        </w:rPr>
        <w:t>It</w:t>
      </w:r>
      <w:r>
        <w:rPr>
          <w:rFonts w:eastAsiaTheme="minorHAnsi"/>
          <w:lang w:eastAsia="en-US"/>
        </w:rPr>
        <w:t xml:space="preserve"> i</w:t>
      </w:r>
      <w:r w:rsidRPr="00683674">
        <w:rPr>
          <w:rFonts w:eastAsiaTheme="minorHAnsi"/>
          <w:lang w:eastAsia="en-US"/>
        </w:rPr>
        <w:t xml:space="preserve">s important to acknowledge the hard work and efforts of the many groups and individuals </w:t>
      </w:r>
      <w:r>
        <w:rPr>
          <w:rFonts w:eastAsiaTheme="minorHAnsi"/>
          <w:lang w:eastAsia="en-US"/>
        </w:rPr>
        <w:t>aimed at</w:t>
      </w:r>
      <w:r w:rsidRPr="00683674">
        <w:rPr>
          <w:rFonts w:eastAsiaTheme="minorHAnsi"/>
          <w:lang w:eastAsia="en-US"/>
        </w:rPr>
        <w:t xml:space="preserve"> minimis</w:t>
      </w:r>
      <w:r>
        <w:rPr>
          <w:rFonts w:eastAsiaTheme="minorHAnsi"/>
          <w:lang w:eastAsia="en-US"/>
        </w:rPr>
        <w:t>ing</w:t>
      </w:r>
      <w:r w:rsidRPr="00683674">
        <w:rPr>
          <w:rFonts w:eastAsiaTheme="minorHAnsi"/>
          <w:lang w:eastAsia="en-US"/>
        </w:rPr>
        <w:t xml:space="preserve"> the threat of antimicrobial resistance </w:t>
      </w:r>
      <w:r>
        <w:rPr>
          <w:rFonts w:eastAsiaTheme="minorHAnsi"/>
          <w:lang w:eastAsia="en-US"/>
        </w:rPr>
        <w:t>to</w:t>
      </w:r>
      <w:r w:rsidRPr="00683674">
        <w:rPr>
          <w:rFonts w:eastAsiaTheme="minorHAnsi"/>
          <w:lang w:eastAsia="en-US"/>
        </w:rPr>
        <w:t xml:space="preserve"> human, animal and plant health. This One Health, multisectoral and holistic approach is crucial to New Zealand</w:t>
      </w:r>
      <w:r w:rsidR="00BD646D">
        <w:rPr>
          <w:rFonts w:eastAsiaTheme="minorHAnsi"/>
          <w:lang w:eastAsia="en-US"/>
        </w:rPr>
        <w:t>’</w:t>
      </w:r>
      <w:r>
        <w:rPr>
          <w:rFonts w:eastAsiaTheme="minorHAnsi"/>
          <w:lang w:eastAsia="en-US"/>
        </w:rPr>
        <w:t>s ability to</w:t>
      </w:r>
      <w:r w:rsidRPr="00683674">
        <w:rPr>
          <w:rFonts w:eastAsiaTheme="minorHAnsi"/>
          <w:lang w:eastAsia="en-US"/>
        </w:rPr>
        <w:t xml:space="preserve"> manag</w:t>
      </w:r>
      <w:r>
        <w:rPr>
          <w:rFonts w:eastAsiaTheme="minorHAnsi"/>
          <w:lang w:eastAsia="en-US"/>
        </w:rPr>
        <w:t>e</w:t>
      </w:r>
      <w:r w:rsidRPr="00683674">
        <w:rPr>
          <w:rFonts w:eastAsiaTheme="minorHAnsi"/>
          <w:lang w:eastAsia="en-US"/>
        </w:rPr>
        <w:t xml:space="preserve"> antimicrobials as a valuable shared resource</w:t>
      </w:r>
      <w:r>
        <w:rPr>
          <w:rFonts w:eastAsiaTheme="minorHAnsi"/>
          <w:lang w:eastAsia="en-US"/>
        </w:rPr>
        <w:t xml:space="preserve"> and maintain their</w:t>
      </w:r>
      <w:r w:rsidRPr="00683674">
        <w:rPr>
          <w:rFonts w:eastAsiaTheme="minorHAnsi"/>
          <w:lang w:eastAsia="en-US"/>
        </w:rPr>
        <w:t xml:space="preserve"> efficacy so they can be used to treat infections in humans, as well as to manage </w:t>
      </w:r>
      <w:r>
        <w:rPr>
          <w:rFonts w:eastAsiaTheme="minorHAnsi"/>
          <w:lang w:eastAsia="en-US"/>
        </w:rPr>
        <w:t>diseases in animals and plants.</w:t>
      </w:r>
    </w:p>
    <w:p w:rsidR="00861D0A" w:rsidRDefault="00861D0A" w:rsidP="00861D0A">
      <w:pPr>
        <w:rPr>
          <w:rFonts w:eastAsiaTheme="minorHAnsi"/>
          <w:lang w:eastAsia="en-US"/>
        </w:rPr>
      </w:pPr>
    </w:p>
    <w:sectPr w:rsidR="00861D0A" w:rsidSect="000E56F7">
      <w:headerReference w:type="default" r:id="rId22"/>
      <w:footerReference w:type="even" r:id="rId23"/>
      <w:footerReference w:type="default" r:id="rId24"/>
      <w:pgSz w:w="11907" w:h="16834" w:code="9"/>
      <w:pgMar w:top="1418" w:right="1701" w:bottom="1134" w:left="1843" w:header="284" w:footer="425"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3DD5" w:rsidRDefault="00183DD5">
      <w:r>
        <w:separator/>
      </w:r>
    </w:p>
    <w:p w:rsidR="00183DD5" w:rsidRDefault="00183DD5"/>
  </w:endnote>
  <w:endnote w:type="continuationSeparator" w:id="0">
    <w:p w:rsidR="00183DD5" w:rsidRDefault="00183DD5">
      <w:r>
        <w:continuationSeparator/>
      </w:r>
    </w:p>
    <w:p w:rsidR="00183DD5" w:rsidRDefault="00183D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 w:name="Book Antiqua">
    <w:panose1 w:val="02040602050305030304"/>
    <w:charset w:val="00"/>
    <w:family w:val="roman"/>
    <w:pitch w:val="variable"/>
    <w:sig w:usb0="00000287" w:usb1="00000000" w:usb2="00000000" w:usb3="00000000" w:csb0="0000009F" w:csb1="00000000"/>
  </w:font>
  <w:font w:name="Arial Mäori">
    <w:altName w:val="Arial"/>
    <w:panose1 w:val="00000000000000000000"/>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emibold">
    <w:panose1 w:val="020B0702040204020203"/>
    <w:charset w:val="00"/>
    <w:family w:val="swiss"/>
    <w:pitch w:val="variable"/>
    <w:sig w:usb0="E4002EFF" w:usb1="C000E47F" w:usb2="00000009" w:usb3="00000000" w:csb0="000001FF" w:csb1="00000000"/>
  </w:font>
  <w:font w:name="Segoe UI Black">
    <w:panose1 w:val="020B0A02040204020203"/>
    <w:charset w:val="00"/>
    <w:family w:val="swiss"/>
    <w:pitch w:val="variable"/>
    <w:sig w:usb0="E10002FF" w:usb1="4000E47F" w:usb2="00000021" w:usb3="00000000" w:csb0="0000019F" w:csb1="00000000"/>
  </w:font>
  <w:font w:name="Segoe UI Light">
    <w:panose1 w:val="020B0502040204020203"/>
    <w:charset w:val="00"/>
    <w:family w:val="swiss"/>
    <w:pitch w:val="variable"/>
    <w:sig w:usb0="E4002EFF" w:usb1="C000E47F" w:usb2="00000009" w:usb3="00000000" w:csb0="000001FF" w:csb1="00000000"/>
  </w:font>
  <w:font w:name="Adobe Garamond Pro">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79E5" w:rsidRPr="000762A4" w:rsidRDefault="005A79E5" w:rsidP="000762A4">
    <w:pPr>
      <w:pStyle w:val="Footer"/>
      <w:tabs>
        <w:tab w:val="right" w:pos="9498"/>
      </w:tabs>
      <w:rPr>
        <w:b/>
      </w:rPr>
    </w:pPr>
    <w:r w:rsidRPr="000762A4">
      <w:rPr>
        <w:b/>
      </w:rPr>
      <w:t>Released 2018</w:t>
    </w:r>
    <w:r w:rsidR="000762A4" w:rsidRPr="000762A4">
      <w:rPr>
        <w:b/>
      </w:rPr>
      <w:tab/>
    </w:r>
    <w:r w:rsidR="000762A4" w:rsidRPr="000762A4">
      <w:rPr>
        <w:noProof/>
        <w:lang w:eastAsia="en-NZ"/>
      </w:rPr>
      <w:drawing>
        <wp:inline distT="0" distB="0" distL="0" distR="0" wp14:anchorId="01757973" wp14:editId="12C0EA40">
          <wp:extent cx="1720735" cy="177135"/>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zgovernmentblacksmall.jpg"/>
                  <pic:cNvPicPr/>
                </pic:nvPicPr>
                <pic:blipFill>
                  <a:blip r:embed="rId1">
                    <a:extLst>
                      <a:ext uri="{28A0092B-C50C-407E-A947-70E740481C1C}">
                        <a14:useLocalDpi xmlns:a14="http://schemas.microsoft.com/office/drawing/2010/main" val="0"/>
                      </a:ext>
                    </a:extLst>
                  </a:blip>
                  <a:stretch>
                    <a:fillRect/>
                  </a:stretch>
                </pic:blipFill>
                <pic:spPr>
                  <a:xfrm>
                    <a:off x="0" y="0"/>
                    <a:ext cx="1718896" cy="176946"/>
                  </a:xfrm>
                  <a:prstGeom prst="rect">
                    <a:avLst/>
                  </a:prstGeom>
                </pic:spPr>
              </pic:pic>
            </a:graphicData>
          </a:graphic>
        </wp:inline>
      </w:drawing>
    </w:r>
  </w:p>
  <w:p w:rsidR="005A79E5" w:rsidRPr="005A79E5" w:rsidRDefault="005A79E5">
    <w:pPr>
      <w:pStyle w:val="Footer"/>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6083" w:rsidRDefault="00926083" w:rsidP="004D6689">
    <w:pPr>
      <w:pStyle w:val="Footer"/>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6083" w:rsidRDefault="00926083">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8789"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09"/>
      <w:gridCol w:w="8080"/>
    </w:tblGrid>
    <w:tr w:rsidR="00D662F8" w:rsidTr="00D662F8">
      <w:trPr>
        <w:cantSplit/>
      </w:trPr>
      <w:tc>
        <w:tcPr>
          <w:tcW w:w="709" w:type="dxa"/>
          <w:vAlign w:val="center"/>
        </w:tcPr>
        <w:p w:rsidR="00D662F8" w:rsidRPr="00931466" w:rsidRDefault="00D662F8" w:rsidP="0043478F">
          <w:pPr>
            <w:pStyle w:val="Footer"/>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sidR="003D229F">
            <w:rPr>
              <w:rStyle w:val="PageNumber"/>
              <w:noProof/>
            </w:rPr>
            <w:t>iv</w:t>
          </w:r>
          <w:r w:rsidRPr="00931466">
            <w:rPr>
              <w:rStyle w:val="PageNumber"/>
            </w:rPr>
            <w:fldChar w:fldCharType="end"/>
          </w:r>
        </w:p>
      </w:tc>
      <w:tc>
        <w:tcPr>
          <w:tcW w:w="8080" w:type="dxa"/>
          <w:vAlign w:val="center"/>
        </w:tcPr>
        <w:p w:rsidR="00D662F8" w:rsidRDefault="002D5F88" w:rsidP="00926083">
          <w:pPr>
            <w:pStyle w:val="RectoFooter"/>
            <w:jc w:val="left"/>
          </w:pPr>
          <w:r>
            <w:t>NEW ZEALAND ANTIMICROBIAL RESISTANCE ACTION PLAN</w:t>
          </w:r>
        </w:p>
      </w:tc>
    </w:tr>
  </w:tbl>
  <w:p w:rsidR="00926083" w:rsidRPr="00571223" w:rsidRDefault="00926083" w:rsidP="00571223">
    <w:pPr>
      <w:pStyle w:val="VersoFooter"/>
      <w:rPr>
        <w:sz w:val="2"/>
        <w:szCs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080"/>
      <w:gridCol w:w="709"/>
    </w:tblGrid>
    <w:tr w:rsidR="00D662F8" w:rsidTr="00D662F8">
      <w:trPr>
        <w:cantSplit/>
      </w:trPr>
      <w:tc>
        <w:tcPr>
          <w:tcW w:w="8080" w:type="dxa"/>
          <w:vAlign w:val="center"/>
        </w:tcPr>
        <w:p w:rsidR="00D662F8" w:rsidRDefault="002D5F88" w:rsidP="002D5F88">
          <w:pPr>
            <w:pStyle w:val="RectoFooter"/>
          </w:pPr>
          <w:r>
            <w:t>NEW ZEALAND ANTIMICROBIAL RESISTANCE ACTION PLAN</w:t>
          </w:r>
          <w:r w:rsidR="00240FBE">
            <w:t>: Year one progress report</w:t>
          </w:r>
        </w:p>
      </w:tc>
      <w:tc>
        <w:tcPr>
          <w:tcW w:w="709" w:type="dxa"/>
          <w:vAlign w:val="center"/>
        </w:tcPr>
        <w:p w:rsidR="00D662F8" w:rsidRPr="00931466" w:rsidRDefault="00D662F8" w:rsidP="00931466">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sidR="00E702EB">
            <w:rPr>
              <w:rStyle w:val="PageNumber"/>
              <w:noProof/>
            </w:rPr>
            <w:t>iii</w:t>
          </w:r>
          <w:r w:rsidRPr="00931466">
            <w:rPr>
              <w:rStyle w:val="PageNumber"/>
            </w:rPr>
            <w:fldChar w:fldCharType="end"/>
          </w:r>
        </w:p>
      </w:tc>
    </w:tr>
  </w:tbl>
  <w:p w:rsidR="00D05D74" w:rsidRPr="00581EB8" w:rsidRDefault="00D05D74" w:rsidP="00581EB8">
    <w:pPr>
      <w:pStyle w:val="Footer"/>
      <w:rPr>
        <w:sz w:val="2"/>
        <w:szCs w:val="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6083" w:rsidRPr="00571223" w:rsidRDefault="00926083" w:rsidP="00571223">
    <w:pPr>
      <w:pStyle w:val="VersoFooter"/>
      <w:rPr>
        <w:sz w:val="2"/>
        <w:szCs w:val="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74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75"/>
      <w:gridCol w:w="9072"/>
    </w:tblGrid>
    <w:tr w:rsidR="00D662F8" w:rsidTr="00D662F8">
      <w:trPr>
        <w:cantSplit/>
      </w:trPr>
      <w:tc>
        <w:tcPr>
          <w:tcW w:w="675" w:type="dxa"/>
          <w:vAlign w:val="center"/>
        </w:tcPr>
        <w:p w:rsidR="00D662F8" w:rsidRPr="00931466" w:rsidRDefault="00D662F8" w:rsidP="0043478F">
          <w:pPr>
            <w:pStyle w:val="Footer"/>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sidR="00E702EB">
            <w:rPr>
              <w:rStyle w:val="PageNumber"/>
              <w:noProof/>
            </w:rPr>
            <w:t>8</w:t>
          </w:r>
          <w:r w:rsidRPr="00931466">
            <w:rPr>
              <w:rStyle w:val="PageNumber"/>
            </w:rPr>
            <w:fldChar w:fldCharType="end"/>
          </w:r>
        </w:p>
      </w:tc>
      <w:tc>
        <w:tcPr>
          <w:tcW w:w="9072" w:type="dxa"/>
          <w:vAlign w:val="center"/>
        </w:tcPr>
        <w:p w:rsidR="00D662F8" w:rsidRDefault="002D5F88" w:rsidP="000D58DD">
          <w:pPr>
            <w:pStyle w:val="RectoFooter"/>
            <w:jc w:val="left"/>
          </w:pPr>
          <w:r>
            <w:t>NEW ZEALAND ANTIMICROBIAL RESISTANCE ACTION PLAN</w:t>
          </w:r>
          <w:r w:rsidR="00240FBE">
            <w:t>: year one progress report</w:t>
          </w:r>
        </w:p>
      </w:tc>
    </w:tr>
  </w:tbl>
  <w:p w:rsidR="00926083" w:rsidRPr="00571223" w:rsidRDefault="00926083" w:rsidP="00571223">
    <w:pPr>
      <w:pStyle w:val="VersoFooter"/>
      <w:rPr>
        <w:sz w:val="2"/>
        <w:szCs w:val="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080"/>
      <w:gridCol w:w="709"/>
    </w:tblGrid>
    <w:tr w:rsidR="00D662F8" w:rsidTr="00D662F8">
      <w:trPr>
        <w:cantSplit/>
      </w:trPr>
      <w:tc>
        <w:tcPr>
          <w:tcW w:w="8080" w:type="dxa"/>
          <w:vAlign w:val="center"/>
        </w:tcPr>
        <w:p w:rsidR="00D662F8" w:rsidRDefault="002D5F88" w:rsidP="00931466">
          <w:pPr>
            <w:pStyle w:val="RectoFooter"/>
          </w:pPr>
          <w:r>
            <w:t>NEW ZEALAND ANTIMICROBIAL RESISTANCE ACTION PLAN</w:t>
          </w:r>
          <w:r w:rsidR="00240FBE">
            <w:t>: year one progress report</w:t>
          </w:r>
        </w:p>
      </w:tc>
      <w:tc>
        <w:tcPr>
          <w:tcW w:w="709" w:type="dxa"/>
          <w:vAlign w:val="center"/>
        </w:tcPr>
        <w:p w:rsidR="00D662F8" w:rsidRPr="00931466" w:rsidRDefault="00D662F8" w:rsidP="00931466">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sidR="00E702EB">
            <w:rPr>
              <w:rStyle w:val="PageNumber"/>
              <w:noProof/>
            </w:rPr>
            <w:t>7</w:t>
          </w:r>
          <w:r w:rsidRPr="00931466">
            <w:rPr>
              <w:rStyle w:val="PageNumber"/>
            </w:rPr>
            <w:fldChar w:fldCharType="end"/>
          </w:r>
        </w:p>
      </w:tc>
    </w:tr>
  </w:tbl>
  <w:p w:rsidR="00926083" w:rsidRPr="00581EB8" w:rsidRDefault="00926083" w:rsidP="00581EB8">
    <w:pPr>
      <w:pStyle w:val="Footer"/>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3DD5" w:rsidRPr="00A26E6B" w:rsidRDefault="00183DD5" w:rsidP="00A26E6B"/>
  </w:footnote>
  <w:footnote w:type="continuationSeparator" w:id="0">
    <w:p w:rsidR="00183DD5" w:rsidRDefault="00183DD5">
      <w:r>
        <w:continuationSeparator/>
      </w:r>
    </w:p>
    <w:p w:rsidR="00183DD5" w:rsidRDefault="00183DD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210"/>
      <w:gridCol w:w="4429"/>
    </w:tblGrid>
    <w:tr w:rsidR="005A79E5" w:rsidTr="005A79E5">
      <w:trPr>
        <w:cantSplit/>
      </w:trPr>
      <w:tc>
        <w:tcPr>
          <w:tcW w:w="5210" w:type="dxa"/>
        </w:tcPr>
        <w:p w:rsidR="005A79E5" w:rsidRDefault="000762A4" w:rsidP="000762A4">
          <w:pPr>
            <w:pStyle w:val="Header"/>
            <w:spacing w:line="240" w:lineRule="auto"/>
          </w:pPr>
          <w:r w:rsidRPr="009B0917">
            <w:rPr>
              <w:noProof/>
              <w:lang w:eastAsia="en-NZ"/>
            </w:rPr>
            <w:drawing>
              <wp:inline distT="0" distB="0" distL="0" distR="0" wp14:anchorId="36ACF44A" wp14:editId="24247D45">
                <wp:extent cx="2686050" cy="607017"/>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a:grayscl/>
                        </a:blip>
                        <a:srcRect l="2167" r="1935"/>
                        <a:stretch/>
                      </pic:blipFill>
                      <pic:spPr bwMode="auto">
                        <a:xfrm>
                          <a:off x="0" y="0"/>
                          <a:ext cx="2722875" cy="615339"/>
                        </a:xfrm>
                        <a:prstGeom prst="rect">
                          <a:avLst/>
                        </a:prstGeom>
                        <a:ln>
                          <a:noFill/>
                        </a:ln>
                        <a:extLst>
                          <a:ext uri="{53640926-AAD7-44D8-BBD7-CCE9431645EC}">
                            <a14:shadowObscured xmlns:a14="http://schemas.microsoft.com/office/drawing/2010/main"/>
                          </a:ext>
                        </a:extLst>
                      </pic:spPr>
                    </pic:pic>
                  </a:graphicData>
                </a:graphic>
              </wp:inline>
            </w:drawing>
          </w:r>
        </w:p>
      </w:tc>
      <w:tc>
        <w:tcPr>
          <w:tcW w:w="4429" w:type="dxa"/>
          <w:vAlign w:val="center"/>
        </w:tcPr>
        <w:p w:rsidR="005A79E5" w:rsidRDefault="000762A4" w:rsidP="000762A4">
          <w:pPr>
            <w:pStyle w:val="Header"/>
            <w:jc w:val="right"/>
          </w:pPr>
          <w:r>
            <w:rPr>
              <w:noProof/>
              <w:lang w:eastAsia="en-NZ"/>
            </w:rPr>
            <w:drawing>
              <wp:inline distT="0" distB="0" distL="0" distR="0" wp14:anchorId="3A2A926E" wp14:editId="0E4057DC">
                <wp:extent cx="1516995" cy="618675"/>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grayscl/>
                          <a:extLst>
                            <a:ext uri="{28A0092B-C50C-407E-A947-70E740481C1C}">
                              <a14:useLocalDpi xmlns:a14="http://schemas.microsoft.com/office/drawing/2010/main" val="0"/>
                            </a:ext>
                          </a:extLst>
                        </a:blip>
                        <a:srcRect/>
                        <a:stretch>
                          <a:fillRect/>
                        </a:stretch>
                      </pic:blipFill>
                      <pic:spPr bwMode="auto">
                        <a:xfrm>
                          <a:off x="0" y="0"/>
                          <a:ext cx="1525385" cy="622097"/>
                        </a:xfrm>
                        <a:prstGeom prst="rect">
                          <a:avLst/>
                        </a:prstGeom>
                        <a:noFill/>
                        <a:ln>
                          <a:noFill/>
                        </a:ln>
                      </pic:spPr>
                    </pic:pic>
                  </a:graphicData>
                </a:graphic>
              </wp:inline>
            </w:drawing>
          </w:r>
        </w:p>
      </w:tc>
    </w:tr>
  </w:tbl>
  <w:p w:rsidR="005A79E5" w:rsidRDefault="005A79E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7ECF" w:rsidRDefault="00E27EC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6083" w:rsidRDefault="0092608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31757"/>
    <w:multiLevelType w:val="hybridMultilevel"/>
    <w:tmpl w:val="3FCCE284"/>
    <w:lvl w:ilvl="0" w:tplc="1409000F">
      <w:start w:val="1"/>
      <w:numFmt w:val="decimal"/>
      <w:lvlText w:val="%1."/>
      <w:lvlJc w:val="left"/>
      <w:pPr>
        <w:ind w:left="360" w:hanging="360"/>
      </w:pPr>
      <w:rPr>
        <w:rFonts w:eastAsia="Times New Roman"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
    <w:nsid w:val="042E1B55"/>
    <w:multiLevelType w:val="singleLevel"/>
    <w:tmpl w:val="1A46536C"/>
    <w:lvl w:ilvl="0">
      <w:start w:val="1"/>
      <w:numFmt w:val="bullet"/>
      <w:pStyle w:val="TableBullet"/>
      <w:lvlText w:val=""/>
      <w:lvlJc w:val="left"/>
      <w:pPr>
        <w:tabs>
          <w:tab w:val="num" w:pos="284"/>
        </w:tabs>
        <w:ind w:left="284" w:hanging="284"/>
      </w:pPr>
      <w:rPr>
        <w:rFonts w:ascii="Symbol" w:hAnsi="Symbol" w:hint="default"/>
        <w:sz w:val="16"/>
        <w:szCs w:val="16"/>
      </w:rPr>
    </w:lvl>
  </w:abstractNum>
  <w:abstractNum w:abstractNumId="2">
    <w:nsid w:val="052041F9"/>
    <w:multiLevelType w:val="hybridMultilevel"/>
    <w:tmpl w:val="ABAC7CB8"/>
    <w:lvl w:ilvl="0" w:tplc="614058B0">
      <w:start w:val="1"/>
      <w:numFmt w:val="decimal"/>
      <w:lvlText w:val="%1."/>
      <w:lvlJc w:val="left"/>
      <w:pPr>
        <w:ind w:left="840" w:hanging="360"/>
      </w:pPr>
      <w:rPr>
        <w:rFonts w:hint="default"/>
      </w:rPr>
    </w:lvl>
    <w:lvl w:ilvl="1" w:tplc="14090019">
      <w:start w:val="1"/>
      <w:numFmt w:val="lowerLetter"/>
      <w:lvlText w:val="%2."/>
      <w:lvlJc w:val="left"/>
      <w:pPr>
        <w:ind w:left="1560" w:hanging="360"/>
      </w:pPr>
    </w:lvl>
    <w:lvl w:ilvl="2" w:tplc="1409001B">
      <w:start w:val="1"/>
      <w:numFmt w:val="lowerRoman"/>
      <w:lvlText w:val="%3."/>
      <w:lvlJc w:val="right"/>
      <w:pPr>
        <w:ind w:left="2280" w:hanging="180"/>
      </w:pPr>
    </w:lvl>
    <w:lvl w:ilvl="3" w:tplc="1409000F" w:tentative="1">
      <w:start w:val="1"/>
      <w:numFmt w:val="decimal"/>
      <w:lvlText w:val="%4."/>
      <w:lvlJc w:val="left"/>
      <w:pPr>
        <w:ind w:left="3000" w:hanging="360"/>
      </w:pPr>
    </w:lvl>
    <w:lvl w:ilvl="4" w:tplc="14090019" w:tentative="1">
      <w:start w:val="1"/>
      <w:numFmt w:val="lowerLetter"/>
      <w:lvlText w:val="%5."/>
      <w:lvlJc w:val="left"/>
      <w:pPr>
        <w:ind w:left="3720" w:hanging="360"/>
      </w:pPr>
    </w:lvl>
    <w:lvl w:ilvl="5" w:tplc="1409001B" w:tentative="1">
      <w:start w:val="1"/>
      <w:numFmt w:val="lowerRoman"/>
      <w:lvlText w:val="%6."/>
      <w:lvlJc w:val="right"/>
      <w:pPr>
        <w:ind w:left="4440" w:hanging="180"/>
      </w:pPr>
    </w:lvl>
    <w:lvl w:ilvl="6" w:tplc="1409000F" w:tentative="1">
      <w:start w:val="1"/>
      <w:numFmt w:val="decimal"/>
      <w:lvlText w:val="%7."/>
      <w:lvlJc w:val="left"/>
      <w:pPr>
        <w:ind w:left="5160" w:hanging="360"/>
      </w:pPr>
    </w:lvl>
    <w:lvl w:ilvl="7" w:tplc="14090019" w:tentative="1">
      <w:start w:val="1"/>
      <w:numFmt w:val="lowerLetter"/>
      <w:lvlText w:val="%8."/>
      <w:lvlJc w:val="left"/>
      <w:pPr>
        <w:ind w:left="5880" w:hanging="360"/>
      </w:pPr>
    </w:lvl>
    <w:lvl w:ilvl="8" w:tplc="1409001B" w:tentative="1">
      <w:start w:val="1"/>
      <w:numFmt w:val="lowerRoman"/>
      <w:lvlText w:val="%9."/>
      <w:lvlJc w:val="right"/>
      <w:pPr>
        <w:ind w:left="6600" w:hanging="180"/>
      </w:pPr>
    </w:lvl>
  </w:abstractNum>
  <w:abstractNum w:abstractNumId="3">
    <w:nsid w:val="07BA0EC1"/>
    <w:multiLevelType w:val="hybridMultilevel"/>
    <w:tmpl w:val="0FDE2E92"/>
    <w:lvl w:ilvl="0" w:tplc="9B36D550">
      <w:numFmt w:val="bullet"/>
      <w:lvlText w:val="•"/>
      <w:lvlJc w:val="left"/>
      <w:pPr>
        <w:ind w:left="720" w:hanging="360"/>
      </w:pPr>
      <w:rPr>
        <w:rFonts w:ascii="Arial" w:eastAsia="Times New Roman"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nsid w:val="0F487000"/>
    <w:multiLevelType w:val="hybridMultilevel"/>
    <w:tmpl w:val="D1508736"/>
    <w:lvl w:ilvl="0" w:tplc="14090001">
      <w:start w:val="1"/>
      <w:numFmt w:val="bullet"/>
      <w:lvlText w:val=""/>
      <w:lvlJc w:val="left"/>
      <w:pPr>
        <w:ind w:left="1800" w:hanging="360"/>
      </w:pPr>
      <w:rPr>
        <w:rFonts w:ascii="Symbol" w:hAnsi="Symbol" w:hint="default"/>
      </w:rPr>
    </w:lvl>
    <w:lvl w:ilvl="1" w:tplc="14090003" w:tentative="1">
      <w:start w:val="1"/>
      <w:numFmt w:val="bullet"/>
      <w:lvlText w:val="o"/>
      <w:lvlJc w:val="left"/>
      <w:pPr>
        <w:ind w:left="2520" w:hanging="360"/>
      </w:pPr>
      <w:rPr>
        <w:rFonts w:ascii="Courier New" w:hAnsi="Courier New" w:cs="Courier New" w:hint="default"/>
      </w:rPr>
    </w:lvl>
    <w:lvl w:ilvl="2" w:tplc="14090005" w:tentative="1">
      <w:start w:val="1"/>
      <w:numFmt w:val="bullet"/>
      <w:lvlText w:val=""/>
      <w:lvlJc w:val="left"/>
      <w:pPr>
        <w:ind w:left="3240" w:hanging="360"/>
      </w:pPr>
      <w:rPr>
        <w:rFonts w:ascii="Wingdings" w:hAnsi="Wingdings" w:hint="default"/>
      </w:rPr>
    </w:lvl>
    <w:lvl w:ilvl="3" w:tplc="14090001" w:tentative="1">
      <w:start w:val="1"/>
      <w:numFmt w:val="bullet"/>
      <w:lvlText w:val=""/>
      <w:lvlJc w:val="left"/>
      <w:pPr>
        <w:ind w:left="3960" w:hanging="360"/>
      </w:pPr>
      <w:rPr>
        <w:rFonts w:ascii="Symbol" w:hAnsi="Symbol" w:hint="default"/>
      </w:rPr>
    </w:lvl>
    <w:lvl w:ilvl="4" w:tplc="14090003" w:tentative="1">
      <w:start w:val="1"/>
      <w:numFmt w:val="bullet"/>
      <w:lvlText w:val="o"/>
      <w:lvlJc w:val="left"/>
      <w:pPr>
        <w:ind w:left="4680" w:hanging="360"/>
      </w:pPr>
      <w:rPr>
        <w:rFonts w:ascii="Courier New" w:hAnsi="Courier New" w:cs="Courier New" w:hint="default"/>
      </w:rPr>
    </w:lvl>
    <w:lvl w:ilvl="5" w:tplc="14090005" w:tentative="1">
      <w:start w:val="1"/>
      <w:numFmt w:val="bullet"/>
      <w:lvlText w:val=""/>
      <w:lvlJc w:val="left"/>
      <w:pPr>
        <w:ind w:left="5400" w:hanging="360"/>
      </w:pPr>
      <w:rPr>
        <w:rFonts w:ascii="Wingdings" w:hAnsi="Wingdings" w:hint="default"/>
      </w:rPr>
    </w:lvl>
    <w:lvl w:ilvl="6" w:tplc="14090001" w:tentative="1">
      <w:start w:val="1"/>
      <w:numFmt w:val="bullet"/>
      <w:lvlText w:val=""/>
      <w:lvlJc w:val="left"/>
      <w:pPr>
        <w:ind w:left="6120" w:hanging="360"/>
      </w:pPr>
      <w:rPr>
        <w:rFonts w:ascii="Symbol" w:hAnsi="Symbol" w:hint="default"/>
      </w:rPr>
    </w:lvl>
    <w:lvl w:ilvl="7" w:tplc="14090003" w:tentative="1">
      <w:start w:val="1"/>
      <w:numFmt w:val="bullet"/>
      <w:lvlText w:val="o"/>
      <w:lvlJc w:val="left"/>
      <w:pPr>
        <w:ind w:left="6840" w:hanging="360"/>
      </w:pPr>
      <w:rPr>
        <w:rFonts w:ascii="Courier New" w:hAnsi="Courier New" w:cs="Courier New" w:hint="default"/>
      </w:rPr>
    </w:lvl>
    <w:lvl w:ilvl="8" w:tplc="14090005" w:tentative="1">
      <w:start w:val="1"/>
      <w:numFmt w:val="bullet"/>
      <w:lvlText w:val=""/>
      <w:lvlJc w:val="left"/>
      <w:pPr>
        <w:ind w:left="7560" w:hanging="360"/>
      </w:pPr>
      <w:rPr>
        <w:rFonts w:ascii="Wingdings" w:hAnsi="Wingdings" w:hint="default"/>
      </w:rPr>
    </w:lvl>
  </w:abstractNum>
  <w:abstractNum w:abstractNumId="5">
    <w:nsid w:val="11023BAD"/>
    <w:multiLevelType w:val="hybridMultilevel"/>
    <w:tmpl w:val="4830DBB8"/>
    <w:lvl w:ilvl="0" w:tplc="AEE29EB8">
      <w:start w:val="1"/>
      <w:numFmt w:val="bullet"/>
      <w:lvlText w:val="•"/>
      <w:lvlJc w:val="left"/>
      <w:pPr>
        <w:ind w:left="246" w:hanging="134"/>
      </w:pPr>
      <w:rPr>
        <w:rFonts w:ascii="Arial Unicode MS" w:eastAsia="Arial Unicode MS" w:hAnsi="Arial Unicode MS" w:hint="default"/>
        <w:w w:val="107"/>
        <w:sz w:val="21"/>
        <w:szCs w:val="21"/>
      </w:rPr>
    </w:lvl>
    <w:lvl w:ilvl="1" w:tplc="A89C032A">
      <w:start w:val="1"/>
      <w:numFmt w:val="bullet"/>
      <w:lvlText w:val="•"/>
      <w:lvlJc w:val="left"/>
      <w:pPr>
        <w:ind w:left="464" w:hanging="134"/>
      </w:pPr>
      <w:rPr>
        <w:rFonts w:hint="default"/>
      </w:rPr>
    </w:lvl>
    <w:lvl w:ilvl="2" w:tplc="AFB65F98">
      <w:start w:val="1"/>
      <w:numFmt w:val="bullet"/>
      <w:lvlText w:val="•"/>
      <w:lvlJc w:val="left"/>
      <w:pPr>
        <w:ind w:left="682" w:hanging="134"/>
      </w:pPr>
      <w:rPr>
        <w:rFonts w:hint="default"/>
      </w:rPr>
    </w:lvl>
    <w:lvl w:ilvl="3" w:tplc="A148FA04">
      <w:start w:val="1"/>
      <w:numFmt w:val="bullet"/>
      <w:lvlText w:val="•"/>
      <w:lvlJc w:val="left"/>
      <w:pPr>
        <w:ind w:left="900" w:hanging="134"/>
      </w:pPr>
      <w:rPr>
        <w:rFonts w:hint="default"/>
      </w:rPr>
    </w:lvl>
    <w:lvl w:ilvl="4" w:tplc="F490CA92">
      <w:start w:val="1"/>
      <w:numFmt w:val="bullet"/>
      <w:lvlText w:val="•"/>
      <w:lvlJc w:val="left"/>
      <w:pPr>
        <w:ind w:left="1118" w:hanging="134"/>
      </w:pPr>
      <w:rPr>
        <w:rFonts w:hint="default"/>
      </w:rPr>
    </w:lvl>
    <w:lvl w:ilvl="5" w:tplc="B9903E90">
      <w:start w:val="1"/>
      <w:numFmt w:val="bullet"/>
      <w:lvlText w:val="•"/>
      <w:lvlJc w:val="left"/>
      <w:pPr>
        <w:ind w:left="1336" w:hanging="134"/>
      </w:pPr>
      <w:rPr>
        <w:rFonts w:hint="default"/>
      </w:rPr>
    </w:lvl>
    <w:lvl w:ilvl="6" w:tplc="811ED8BC">
      <w:start w:val="1"/>
      <w:numFmt w:val="bullet"/>
      <w:lvlText w:val="•"/>
      <w:lvlJc w:val="left"/>
      <w:pPr>
        <w:ind w:left="1554" w:hanging="134"/>
      </w:pPr>
      <w:rPr>
        <w:rFonts w:hint="default"/>
      </w:rPr>
    </w:lvl>
    <w:lvl w:ilvl="7" w:tplc="20BC151E">
      <w:start w:val="1"/>
      <w:numFmt w:val="bullet"/>
      <w:lvlText w:val="•"/>
      <w:lvlJc w:val="left"/>
      <w:pPr>
        <w:ind w:left="1771" w:hanging="134"/>
      </w:pPr>
      <w:rPr>
        <w:rFonts w:hint="default"/>
      </w:rPr>
    </w:lvl>
    <w:lvl w:ilvl="8" w:tplc="80AA897C">
      <w:start w:val="1"/>
      <w:numFmt w:val="bullet"/>
      <w:lvlText w:val="•"/>
      <w:lvlJc w:val="left"/>
      <w:pPr>
        <w:ind w:left="1989" w:hanging="134"/>
      </w:pPr>
      <w:rPr>
        <w:rFonts w:hint="default"/>
      </w:rPr>
    </w:lvl>
  </w:abstractNum>
  <w:abstractNum w:abstractNumId="6">
    <w:nsid w:val="1915754A"/>
    <w:multiLevelType w:val="hybridMultilevel"/>
    <w:tmpl w:val="BE16CB2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nsid w:val="1A6C6694"/>
    <w:multiLevelType w:val="hybridMultilevel"/>
    <w:tmpl w:val="27DA59F2"/>
    <w:lvl w:ilvl="0" w:tplc="F6EEA218">
      <w:start w:val="1"/>
      <w:numFmt w:val="bullet"/>
      <w:lvlText w:val="•"/>
      <w:lvlJc w:val="left"/>
      <w:pPr>
        <w:ind w:left="559" w:hanging="134"/>
      </w:pPr>
      <w:rPr>
        <w:rFonts w:ascii="Lucida Sans Unicode" w:eastAsia="Lucida Sans Unicode" w:hAnsi="Lucida Sans Unicode" w:hint="default"/>
        <w:w w:val="59"/>
        <w:sz w:val="21"/>
        <w:szCs w:val="21"/>
      </w:rPr>
    </w:lvl>
    <w:lvl w:ilvl="1" w:tplc="002E3EAE">
      <w:start w:val="1"/>
      <w:numFmt w:val="bullet"/>
      <w:lvlText w:val="•"/>
      <w:lvlJc w:val="left"/>
      <w:pPr>
        <w:ind w:left="808" w:hanging="134"/>
      </w:pPr>
      <w:rPr>
        <w:rFonts w:hint="default"/>
      </w:rPr>
    </w:lvl>
    <w:lvl w:ilvl="2" w:tplc="2D64B7B0">
      <w:start w:val="1"/>
      <w:numFmt w:val="bullet"/>
      <w:lvlText w:val="•"/>
      <w:lvlJc w:val="left"/>
      <w:pPr>
        <w:ind w:left="1057" w:hanging="134"/>
      </w:pPr>
      <w:rPr>
        <w:rFonts w:hint="default"/>
      </w:rPr>
    </w:lvl>
    <w:lvl w:ilvl="3" w:tplc="82F22056">
      <w:start w:val="1"/>
      <w:numFmt w:val="bullet"/>
      <w:lvlText w:val="•"/>
      <w:lvlJc w:val="left"/>
      <w:pPr>
        <w:ind w:left="1306" w:hanging="134"/>
      </w:pPr>
      <w:rPr>
        <w:rFonts w:hint="default"/>
      </w:rPr>
    </w:lvl>
    <w:lvl w:ilvl="4" w:tplc="D920647A">
      <w:start w:val="1"/>
      <w:numFmt w:val="bullet"/>
      <w:lvlText w:val="•"/>
      <w:lvlJc w:val="left"/>
      <w:pPr>
        <w:ind w:left="1556" w:hanging="134"/>
      </w:pPr>
      <w:rPr>
        <w:rFonts w:hint="default"/>
      </w:rPr>
    </w:lvl>
    <w:lvl w:ilvl="5" w:tplc="24E6088C">
      <w:start w:val="1"/>
      <w:numFmt w:val="bullet"/>
      <w:lvlText w:val="•"/>
      <w:lvlJc w:val="left"/>
      <w:pPr>
        <w:ind w:left="1805" w:hanging="134"/>
      </w:pPr>
      <w:rPr>
        <w:rFonts w:hint="default"/>
      </w:rPr>
    </w:lvl>
    <w:lvl w:ilvl="6" w:tplc="273217BC">
      <w:start w:val="1"/>
      <w:numFmt w:val="bullet"/>
      <w:lvlText w:val="•"/>
      <w:lvlJc w:val="left"/>
      <w:pPr>
        <w:ind w:left="2054" w:hanging="134"/>
      </w:pPr>
      <w:rPr>
        <w:rFonts w:hint="default"/>
      </w:rPr>
    </w:lvl>
    <w:lvl w:ilvl="7" w:tplc="FCFE4A4A">
      <w:start w:val="1"/>
      <w:numFmt w:val="bullet"/>
      <w:lvlText w:val="•"/>
      <w:lvlJc w:val="left"/>
      <w:pPr>
        <w:ind w:left="2303" w:hanging="134"/>
      </w:pPr>
      <w:rPr>
        <w:rFonts w:hint="default"/>
      </w:rPr>
    </w:lvl>
    <w:lvl w:ilvl="8" w:tplc="47085256">
      <w:start w:val="1"/>
      <w:numFmt w:val="bullet"/>
      <w:lvlText w:val="•"/>
      <w:lvlJc w:val="left"/>
      <w:pPr>
        <w:ind w:left="2552" w:hanging="134"/>
      </w:pPr>
      <w:rPr>
        <w:rFonts w:hint="default"/>
      </w:rPr>
    </w:lvl>
  </w:abstractNum>
  <w:abstractNum w:abstractNumId="8">
    <w:nsid w:val="1AD22446"/>
    <w:multiLevelType w:val="hybridMultilevel"/>
    <w:tmpl w:val="82B0314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nsid w:val="1BF65D06"/>
    <w:multiLevelType w:val="hybridMultilevel"/>
    <w:tmpl w:val="0C0C9346"/>
    <w:lvl w:ilvl="0" w:tplc="1409000F">
      <w:start w:val="1"/>
      <w:numFmt w:val="decimal"/>
      <w:lvlText w:val="%1."/>
      <w:lvlJc w:val="left"/>
      <w:pPr>
        <w:ind w:left="360" w:hanging="360"/>
      </w:pPr>
    </w:lvl>
    <w:lvl w:ilvl="1" w:tplc="14090019">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0">
    <w:nsid w:val="1E2C3CC1"/>
    <w:multiLevelType w:val="hybridMultilevel"/>
    <w:tmpl w:val="EEF8345E"/>
    <w:lvl w:ilvl="0" w:tplc="5B960B98">
      <w:start w:val="1"/>
      <w:numFmt w:val="bullet"/>
      <w:lvlText w:val="•"/>
      <w:lvlJc w:val="left"/>
      <w:pPr>
        <w:ind w:left="1984" w:hanging="284"/>
      </w:pPr>
      <w:rPr>
        <w:rFonts w:ascii="Lucida Sans Unicode" w:eastAsia="Lucida Sans Unicode" w:hAnsi="Lucida Sans Unicode" w:hint="default"/>
        <w:w w:val="59"/>
        <w:sz w:val="21"/>
        <w:szCs w:val="21"/>
      </w:rPr>
    </w:lvl>
    <w:lvl w:ilvl="1" w:tplc="3A3EAE6C">
      <w:start w:val="1"/>
      <w:numFmt w:val="bullet"/>
      <w:lvlText w:val="•"/>
      <w:lvlJc w:val="left"/>
      <w:pPr>
        <w:ind w:left="2808" w:hanging="284"/>
      </w:pPr>
      <w:rPr>
        <w:rFonts w:hint="default"/>
      </w:rPr>
    </w:lvl>
    <w:lvl w:ilvl="2" w:tplc="0E4E143C">
      <w:start w:val="1"/>
      <w:numFmt w:val="bullet"/>
      <w:lvlText w:val="•"/>
      <w:lvlJc w:val="left"/>
      <w:pPr>
        <w:ind w:left="3632" w:hanging="284"/>
      </w:pPr>
      <w:rPr>
        <w:rFonts w:hint="default"/>
      </w:rPr>
    </w:lvl>
    <w:lvl w:ilvl="3" w:tplc="B79A0BDC">
      <w:start w:val="1"/>
      <w:numFmt w:val="bullet"/>
      <w:lvlText w:val="•"/>
      <w:lvlJc w:val="left"/>
      <w:pPr>
        <w:ind w:left="4456" w:hanging="284"/>
      </w:pPr>
      <w:rPr>
        <w:rFonts w:hint="default"/>
      </w:rPr>
    </w:lvl>
    <w:lvl w:ilvl="4" w:tplc="53B018D4">
      <w:start w:val="1"/>
      <w:numFmt w:val="bullet"/>
      <w:lvlText w:val="•"/>
      <w:lvlJc w:val="left"/>
      <w:pPr>
        <w:ind w:left="5280" w:hanging="284"/>
      </w:pPr>
      <w:rPr>
        <w:rFonts w:hint="default"/>
      </w:rPr>
    </w:lvl>
    <w:lvl w:ilvl="5" w:tplc="E0EC6604">
      <w:start w:val="1"/>
      <w:numFmt w:val="bullet"/>
      <w:lvlText w:val="•"/>
      <w:lvlJc w:val="left"/>
      <w:pPr>
        <w:ind w:left="6104" w:hanging="284"/>
      </w:pPr>
      <w:rPr>
        <w:rFonts w:hint="default"/>
      </w:rPr>
    </w:lvl>
    <w:lvl w:ilvl="6" w:tplc="400A10A6">
      <w:start w:val="1"/>
      <w:numFmt w:val="bullet"/>
      <w:lvlText w:val="•"/>
      <w:lvlJc w:val="left"/>
      <w:pPr>
        <w:ind w:left="6929" w:hanging="284"/>
      </w:pPr>
      <w:rPr>
        <w:rFonts w:hint="default"/>
      </w:rPr>
    </w:lvl>
    <w:lvl w:ilvl="7" w:tplc="153C0546">
      <w:start w:val="1"/>
      <w:numFmt w:val="bullet"/>
      <w:lvlText w:val="•"/>
      <w:lvlJc w:val="left"/>
      <w:pPr>
        <w:ind w:left="7753" w:hanging="284"/>
      </w:pPr>
      <w:rPr>
        <w:rFonts w:hint="default"/>
      </w:rPr>
    </w:lvl>
    <w:lvl w:ilvl="8" w:tplc="90B4C0C6">
      <w:start w:val="1"/>
      <w:numFmt w:val="bullet"/>
      <w:lvlText w:val="•"/>
      <w:lvlJc w:val="left"/>
      <w:pPr>
        <w:ind w:left="8577" w:hanging="284"/>
      </w:pPr>
      <w:rPr>
        <w:rFonts w:hint="default"/>
      </w:rPr>
    </w:lvl>
  </w:abstractNum>
  <w:abstractNum w:abstractNumId="11">
    <w:nsid w:val="23DC7796"/>
    <w:multiLevelType w:val="multilevel"/>
    <w:tmpl w:val="092076C8"/>
    <w:lvl w:ilvl="0">
      <w:start w:val="1"/>
      <w:numFmt w:val="decimal"/>
      <w:pStyle w:val="Number"/>
      <w:lvlText w:val="%1."/>
      <w:lvlJc w:val="left"/>
      <w:pPr>
        <w:ind w:left="567" w:hanging="567"/>
      </w:pPr>
      <w:rPr>
        <w:rFonts w:hint="default"/>
      </w:rPr>
    </w:lvl>
    <w:lvl w:ilvl="1">
      <w:start w:val="1"/>
      <w:numFmt w:val="lowerLetter"/>
      <w:pStyle w:val="Letter"/>
      <w:lvlText w:val="%2)"/>
      <w:lvlJc w:val="left"/>
      <w:pPr>
        <w:ind w:left="1134"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26B82D6F"/>
    <w:multiLevelType w:val="hybridMultilevel"/>
    <w:tmpl w:val="6C186060"/>
    <w:lvl w:ilvl="0" w:tplc="C15451FC">
      <w:start w:val="1"/>
      <w:numFmt w:val="bullet"/>
      <w:lvlText w:val="•"/>
      <w:lvlJc w:val="left"/>
      <w:pPr>
        <w:ind w:left="2267" w:hanging="284"/>
      </w:pPr>
      <w:rPr>
        <w:rFonts w:ascii="Lucida Sans Unicode" w:eastAsia="Lucida Sans Unicode" w:hAnsi="Lucida Sans Unicode" w:hint="default"/>
        <w:w w:val="59"/>
        <w:sz w:val="21"/>
        <w:szCs w:val="21"/>
      </w:rPr>
    </w:lvl>
    <w:lvl w:ilvl="1" w:tplc="C2804FC4">
      <w:start w:val="1"/>
      <w:numFmt w:val="bullet"/>
      <w:lvlText w:val="•"/>
      <w:lvlJc w:val="left"/>
      <w:pPr>
        <w:ind w:left="3231" w:hanging="284"/>
      </w:pPr>
      <w:rPr>
        <w:rFonts w:hint="default"/>
      </w:rPr>
    </w:lvl>
    <w:lvl w:ilvl="2" w:tplc="7B56FBF2">
      <w:start w:val="1"/>
      <w:numFmt w:val="bullet"/>
      <w:lvlText w:val="•"/>
      <w:lvlJc w:val="left"/>
      <w:pPr>
        <w:ind w:left="4195" w:hanging="284"/>
      </w:pPr>
      <w:rPr>
        <w:rFonts w:hint="default"/>
      </w:rPr>
    </w:lvl>
    <w:lvl w:ilvl="3" w:tplc="FF5C1366">
      <w:start w:val="1"/>
      <w:numFmt w:val="bullet"/>
      <w:lvlText w:val="•"/>
      <w:lvlJc w:val="left"/>
      <w:pPr>
        <w:ind w:left="5159" w:hanging="284"/>
      </w:pPr>
      <w:rPr>
        <w:rFonts w:hint="default"/>
      </w:rPr>
    </w:lvl>
    <w:lvl w:ilvl="4" w:tplc="B2CA8238">
      <w:start w:val="1"/>
      <w:numFmt w:val="bullet"/>
      <w:lvlText w:val="•"/>
      <w:lvlJc w:val="left"/>
      <w:pPr>
        <w:ind w:left="6122" w:hanging="284"/>
      </w:pPr>
      <w:rPr>
        <w:rFonts w:hint="default"/>
      </w:rPr>
    </w:lvl>
    <w:lvl w:ilvl="5" w:tplc="3378E1CC">
      <w:start w:val="1"/>
      <w:numFmt w:val="bullet"/>
      <w:lvlText w:val="•"/>
      <w:lvlJc w:val="left"/>
      <w:pPr>
        <w:ind w:left="7086" w:hanging="284"/>
      </w:pPr>
      <w:rPr>
        <w:rFonts w:hint="default"/>
      </w:rPr>
    </w:lvl>
    <w:lvl w:ilvl="6" w:tplc="DDFA6B44">
      <w:start w:val="1"/>
      <w:numFmt w:val="bullet"/>
      <w:lvlText w:val="•"/>
      <w:lvlJc w:val="left"/>
      <w:pPr>
        <w:ind w:left="8050" w:hanging="284"/>
      </w:pPr>
      <w:rPr>
        <w:rFonts w:hint="default"/>
      </w:rPr>
    </w:lvl>
    <w:lvl w:ilvl="7" w:tplc="7CA08396">
      <w:start w:val="1"/>
      <w:numFmt w:val="bullet"/>
      <w:lvlText w:val="•"/>
      <w:lvlJc w:val="left"/>
      <w:pPr>
        <w:ind w:left="9014" w:hanging="284"/>
      </w:pPr>
      <w:rPr>
        <w:rFonts w:hint="default"/>
      </w:rPr>
    </w:lvl>
    <w:lvl w:ilvl="8" w:tplc="A386EF5E">
      <w:start w:val="1"/>
      <w:numFmt w:val="bullet"/>
      <w:lvlText w:val="•"/>
      <w:lvlJc w:val="left"/>
      <w:pPr>
        <w:ind w:left="9977" w:hanging="284"/>
      </w:pPr>
      <w:rPr>
        <w:rFonts w:hint="default"/>
      </w:rPr>
    </w:lvl>
  </w:abstractNum>
  <w:abstractNum w:abstractNumId="13">
    <w:nsid w:val="28F57520"/>
    <w:multiLevelType w:val="singleLevel"/>
    <w:tmpl w:val="F3FE0FEA"/>
    <w:lvl w:ilvl="0">
      <w:start w:val="1"/>
      <w:numFmt w:val="bullet"/>
      <w:lvlText w:val="–"/>
      <w:lvlJc w:val="left"/>
      <w:pPr>
        <w:tabs>
          <w:tab w:val="num" w:pos="644"/>
        </w:tabs>
        <w:ind w:left="567" w:hanging="283"/>
      </w:pPr>
      <w:rPr>
        <w:rFonts w:ascii="Times New Roman" w:hAnsi="Times New Roman" w:hint="default"/>
        <w:sz w:val="20"/>
      </w:rPr>
    </w:lvl>
  </w:abstractNum>
  <w:abstractNum w:abstractNumId="14">
    <w:nsid w:val="293C17D5"/>
    <w:multiLevelType w:val="hybridMultilevel"/>
    <w:tmpl w:val="F552E806"/>
    <w:lvl w:ilvl="0" w:tplc="35404786">
      <w:start w:val="1"/>
      <w:numFmt w:val="decimal"/>
      <w:lvlText w:val="%1."/>
      <w:lvlJc w:val="left"/>
      <w:pPr>
        <w:ind w:left="570" w:hanging="570"/>
      </w:pPr>
      <w:rPr>
        <w:rFonts w:eastAsia="Book Antiqua"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nsid w:val="2D94347D"/>
    <w:multiLevelType w:val="hybridMultilevel"/>
    <w:tmpl w:val="CDC0E688"/>
    <w:lvl w:ilvl="0" w:tplc="AAE49842">
      <w:start w:val="1"/>
      <w:numFmt w:val="bullet"/>
      <w:lvlText w:val="•"/>
      <w:lvlJc w:val="left"/>
      <w:pPr>
        <w:ind w:left="1984" w:hanging="284"/>
      </w:pPr>
      <w:rPr>
        <w:rFonts w:ascii="Lucida Sans Unicode" w:eastAsia="Lucida Sans Unicode" w:hAnsi="Lucida Sans Unicode" w:hint="default"/>
        <w:w w:val="59"/>
        <w:sz w:val="21"/>
        <w:szCs w:val="21"/>
      </w:rPr>
    </w:lvl>
    <w:lvl w:ilvl="1" w:tplc="A3103622">
      <w:start w:val="1"/>
      <w:numFmt w:val="bullet"/>
      <w:lvlText w:val="•"/>
      <w:lvlJc w:val="left"/>
      <w:pPr>
        <w:ind w:left="2808" w:hanging="284"/>
      </w:pPr>
      <w:rPr>
        <w:rFonts w:hint="default"/>
      </w:rPr>
    </w:lvl>
    <w:lvl w:ilvl="2" w:tplc="2CC6F326">
      <w:start w:val="1"/>
      <w:numFmt w:val="bullet"/>
      <w:lvlText w:val="•"/>
      <w:lvlJc w:val="left"/>
      <w:pPr>
        <w:ind w:left="3632" w:hanging="284"/>
      </w:pPr>
      <w:rPr>
        <w:rFonts w:hint="default"/>
      </w:rPr>
    </w:lvl>
    <w:lvl w:ilvl="3" w:tplc="C026F318">
      <w:start w:val="1"/>
      <w:numFmt w:val="bullet"/>
      <w:lvlText w:val="•"/>
      <w:lvlJc w:val="left"/>
      <w:pPr>
        <w:ind w:left="4456" w:hanging="284"/>
      </w:pPr>
      <w:rPr>
        <w:rFonts w:hint="default"/>
      </w:rPr>
    </w:lvl>
    <w:lvl w:ilvl="4" w:tplc="8E1C6BD0">
      <w:start w:val="1"/>
      <w:numFmt w:val="bullet"/>
      <w:lvlText w:val="•"/>
      <w:lvlJc w:val="left"/>
      <w:pPr>
        <w:ind w:left="5280" w:hanging="284"/>
      </w:pPr>
      <w:rPr>
        <w:rFonts w:hint="default"/>
      </w:rPr>
    </w:lvl>
    <w:lvl w:ilvl="5" w:tplc="96EA3796">
      <w:start w:val="1"/>
      <w:numFmt w:val="bullet"/>
      <w:lvlText w:val="•"/>
      <w:lvlJc w:val="left"/>
      <w:pPr>
        <w:ind w:left="6104" w:hanging="284"/>
      </w:pPr>
      <w:rPr>
        <w:rFonts w:hint="default"/>
      </w:rPr>
    </w:lvl>
    <w:lvl w:ilvl="6" w:tplc="DF52DE2A">
      <w:start w:val="1"/>
      <w:numFmt w:val="bullet"/>
      <w:lvlText w:val="•"/>
      <w:lvlJc w:val="left"/>
      <w:pPr>
        <w:ind w:left="6929" w:hanging="284"/>
      </w:pPr>
      <w:rPr>
        <w:rFonts w:hint="default"/>
      </w:rPr>
    </w:lvl>
    <w:lvl w:ilvl="7" w:tplc="7D3E5354">
      <w:start w:val="1"/>
      <w:numFmt w:val="bullet"/>
      <w:lvlText w:val="•"/>
      <w:lvlJc w:val="left"/>
      <w:pPr>
        <w:ind w:left="7753" w:hanging="284"/>
      </w:pPr>
      <w:rPr>
        <w:rFonts w:hint="default"/>
      </w:rPr>
    </w:lvl>
    <w:lvl w:ilvl="8" w:tplc="0FE8A7AA">
      <w:start w:val="1"/>
      <w:numFmt w:val="bullet"/>
      <w:lvlText w:val="•"/>
      <w:lvlJc w:val="left"/>
      <w:pPr>
        <w:ind w:left="8577" w:hanging="284"/>
      </w:pPr>
      <w:rPr>
        <w:rFonts w:hint="default"/>
      </w:rPr>
    </w:lvl>
  </w:abstractNum>
  <w:abstractNum w:abstractNumId="16">
    <w:nsid w:val="31430E4A"/>
    <w:multiLevelType w:val="hybridMultilevel"/>
    <w:tmpl w:val="C4BE4BD4"/>
    <w:lvl w:ilvl="0" w:tplc="54ACCB78">
      <w:start w:val="1"/>
      <w:numFmt w:val="bullet"/>
      <w:lvlText w:val="•"/>
      <w:lvlJc w:val="left"/>
      <w:pPr>
        <w:ind w:left="623" w:hanging="284"/>
      </w:pPr>
      <w:rPr>
        <w:rFonts w:ascii="Arial Unicode MS" w:eastAsia="Arial Unicode MS" w:hAnsi="Arial Unicode MS" w:hint="default"/>
        <w:color w:val="FFFFFF"/>
        <w:w w:val="107"/>
        <w:sz w:val="21"/>
        <w:szCs w:val="21"/>
      </w:rPr>
    </w:lvl>
    <w:lvl w:ilvl="1" w:tplc="6EE81F12">
      <w:start w:val="1"/>
      <w:numFmt w:val="bullet"/>
      <w:lvlText w:val="•"/>
      <w:lvlJc w:val="left"/>
      <w:pPr>
        <w:ind w:left="926" w:hanging="284"/>
      </w:pPr>
      <w:rPr>
        <w:rFonts w:hint="default"/>
      </w:rPr>
    </w:lvl>
    <w:lvl w:ilvl="2" w:tplc="3D880680">
      <w:start w:val="1"/>
      <w:numFmt w:val="bullet"/>
      <w:lvlText w:val="•"/>
      <w:lvlJc w:val="left"/>
      <w:pPr>
        <w:ind w:left="1230" w:hanging="284"/>
      </w:pPr>
      <w:rPr>
        <w:rFonts w:hint="default"/>
      </w:rPr>
    </w:lvl>
    <w:lvl w:ilvl="3" w:tplc="B010C610">
      <w:start w:val="1"/>
      <w:numFmt w:val="bullet"/>
      <w:lvlText w:val="•"/>
      <w:lvlJc w:val="left"/>
      <w:pPr>
        <w:ind w:left="1533" w:hanging="284"/>
      </w:pPr>
      <w:rPr>
        <w:rFonts w:hint="default"/>
      </w:rPr>
    </w:lvl>
    <w:lvl w:ilvl="4" w:tplc="E6120074">
      <w:start w:val="1"/>
      <w:numFmt w:val="bullet"/>
      <w:lvlText w:val="•"/>
      <w:lvlJc w:val="left"/>
      <w:pPr>
        <w:ind w:left="1836" w:hanging="284"/>
      </w:pPr>
      <w:rPr>
        <w:rFonts w:hint="default"/>
      </w:rPr>
    </w:lvl>
    <w:lvl w:ilvl="5" w:tplc="CBC8627C">
      <w:start w:val="1"/>
      <w:numFmt w:val="bullet"/>
      <w:lvlText w:val="•"/>
      <w:lvlJc w:val="left"/>
      <w:pPr>
        <w:ind w:left="2140" w:hanging="284"/>
      </w:pPr>
      <w:rPr>
        <w:rFonts w:hint="default"/>
      </w:rPr>
    </w:lvl>
    <w:lvl w:ilvl="6" w:tplc="B9380D56">
      <w:start w:val="1"/>
      <w:numFmt w:val="bullet"/>
      <w:lvlText w:val="•"/>
      <w:lvlJc w:val="left"/>
      <w:pPr>
        <w:ind w:left="2443" w:hanging="284"/>
      </w:pPr>
      <w:rPr>
        <w:rFonts w:hint="default"/>
      </w:rPr>
    </w:lvl>
    <w:lvl w:ilvl="7" w:tplc="21BEC842">
      <w:start w:val="1"/>
      <w:numFmt w:val="bullet"/>
      <w:lvlText w:val="•"/>
      <w:lvlJc w:val="left"/>
      <w:pPr>
        <w:ind w:left="2746" w:hanging="284"/>
      </w:pPr>
      <w:rPr>
        <w:rFonts w:hint="default"/>
      </w:rPr>
    </w:lvl>
    <w:lvl w:ilvl="8" w:tplc="43B03AC2">
      <w:start w:val="1"/>
      <w:numFmt w:val="bullet"/>
      <w:lvlText w:val="•"/>
      <w:lvlJc w:val="left"/>
      <w:pPr>
        <w:ind w:left="3050" w:hanging="284"/>
      </w:pPr>
      <w:rPr>
        <w:rFonts w:hint="default"/>
      </w:rPr>
    </w:lvl>
  </w:abstractNum>
  <w:abstractNum w:abstractNumId="17">
    <w:nsid w:val="3CA71F78"/>
    <w:multiLevelType w:val="hybridMultilevel"/>
    <w:tmpl w:val="0D76E58A"/>
    <w:lvl w:ilvl="0" w:tplc="33A80CE8">
      <w:start w:val="1"/>
      <w:numFmt w:val="bullet"/>
      <w:pStyle w:val="Dash"/>
      <w:lvlText w:val="–"/>
      <w:lvlJc w:val="left"/>
      <w:pPr>
        <w:tabs>
          <w:tab w:val="num" w:pos="567"/>
        </w:tabs>
        <w:ind w:left="567" w:hanging="283"/>
      </w:pPr>
      <w:rPr>
        <w:rFonts w:ascii="Arial" w:hAnsi="Arial" w:hint="default"/>
        <w:b w:val="0"/>
        <w:i w:val="0"/>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nsid w:val="400E20E8"/>
    <w:multiLevelType w:val="hybridMultilevel"/>
    <w:tmpl w:val="FD9CE56E"/>
    <w:lvl w:ilvl="0" w:tplc="84F4142A">
      <w:start w:val="1"/>
      <w:numFmt w:val="bullet"/>
      <w:pStyle w:val="TableDash"/>
      <w:lvlText w:val="–"/>
      <w:lvlJc w:val="left"/>
      <w:pPr>
        <w:tabs>
          <w:tab w:val="num" w:pos="567"/>
        </w:tabs>
        <w:ind w:left="567" w:hanging="283"/>
      </w:pPr>
      <w:rPr>
        <w:rFonts w:ascii="Arial Mäori" w:hAnsi="Arial Mäori"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nsid w:val="4AFB4939"/>
    <w:multiLevelType w:val="hybridMultilevel"/>
    <w:tmpl w:val="B560C9E0"/>
    <w:lvl w:ilvl="0" w:tplc="5358D1F4">
      <w:start w:val="1"/>
      <w:numFmt w:val="bullet"/>
      <w:lvlText w:val="–"/>
      <w:lvlJc w:val="left"/>
      <w:pPr>
        <w:ind w:left="701" w:hanging="284"/>
      </w:pPr>
      <w:rPr>
        <w:rFonts w:ascii="Arial Black" w:eastAsia="Arial Black" w:hAnsi="Arial Black" w:hint="default"/>
        <w:b/>
        <w:bCs/>
        <w:sz w:val="21"/>
        <w:szCs w:val="21"/>
      </w:rPr>
    </w:lvl>
    <w:lvl w:ilvl="1" w:tplc="2D0A247C">
      <w:start w:val="1"/>
      <w:numFmt w:val="bullet"/>
      <w:lvlText w:val="•"/>
      <w:lvlJc w:val="left"/>
      <w:pPr>
        <w:ind w:left="1149" w:hanging="284"/>
      </w:pPr>
      <w:rPr>
        <w:rFonts w:hint="default"/>
      </w:rPr>
    </w:lvl>
    <w:lvl w:ilvl="2" w:tplc="014E8A48">
      <w:start w:val="1"/>
      <w:numFmt w:val="bullet"/>
      <w:lvlText w:val="•"/>
      <w:lvlJc w:val="left"/>
      <w:pPr>
        <w:ind w:left="1596" w:hanging="284"/>
      </w:pPr>
      <w:rPr>
        <w:rFonts w:hint="default"/>
      </w:rPr>
    </w:lvl>
    <w:lvl w:ilvl="3" w:tplc="62E68792">
      <w:start w:val="1"/>
      <w:numFmt w:val="bullet"/>
      <w:lvlText w:val="•"/>
      <w:lvlJc w:val="left"/>
      <w:pPr>
        <w:ind w:left="2044" w:hanging="284"/>
      </w:pPr>
      <w:rPr>
        <w:rFonts w:hint="default"/>
      </w:rPr>
    </w:lvl>
    <w:lvl w:ilvl="4" w:tplc="6BC03800">
      <w:start w:val="1"/>
      <w:numFmt w:val="bullet"/>
      <w:lvlText w:val="•"/>
      <w:lvlJc w:val="left"/>
      <w:pPr>
        <w:ind w:left="2492" w:hanging="284"/>
      </w:pPr>
      <w:rPr>
        <w:rFonts w:hint="default"/>
      </w:rPr>
    </w:lvl>
    <w:lvl w:ilvl="5" w:tplc="D62CF1AE">
      <w:start w:val="1"/>
      <w:numFmt w:val="bullet"/>
      <w:lvlText w:val="•"/>
      <w:lvlJc w:val="left"/>
      <w:pPr>
        <w:ind w:left="2940" w:hanging="284"/>
      </w:pPr>
      <w:rPr>
        <w:rFonts w:hint="default"/>
      </w:rPr>
    </w:lvl>
    <w:lvl w:ilvl="6" w:tplc="4AF656FE">
      <w:start w:val="1"/>
      <w:numFmt w:val="bullet"/>
      <w:lvlText w:val="•"/>
      <w:lvlJc w:val="left"/>
      <w:pPr>
        <w:ind w:left="3388" w:hanging="284"/>
      </w:pPr>
      <w:rPr>
        <w:rFonts w:hint="default"/>
      </w:rPr>
    </w:lvl>
    <w:lvl w:ilvl="7" w:tplc="B11C28E0">
      <w:start w:val="1"/>
      <w:numFmt w:val="bullet"/>
      <w:lvlText w:val="•"/>
      <w:lvlJc w:val="left"/>
      <w:pPr>
        <w:ind w:left="3836" w:hanging="284"/>
      </w:pPr>
      <w:rPr>
        <w:rFonts w:hint="default"/>
      </w:rPr>
    </w:lvl>
    <w:lvl w:ilvl="8" w:tplc="A2F2C1E6">
      <w:start w:val="1"/>
      <w:numFmt w:val="bullet"/>
      <w:lvlText w:val="•"/>
      <w:lvlJc w:val="left"/>
      <w:pPr>
        <w:ind w:left="4284" w:hanging="284"/>
      </w:pPr>
      <w:rPr>
        <w:rFonts w:hint="default"/>
      </w:rPr>
    </w:lvl>
  </w:abstractNum>
  <w:abstractNum w:abstractNumId="20">
    <w:nsid w:val="4B036AAB"/>
    <w:multiLevelType w:val="hybridMultilevel"/>
    <w:tmpl w:val="4634C1B4"/>
    <w:lvl w:ilvl="0" w:tplc="BB927956">
      <w:start w:val="1"/>
      <w:numFmt w:val="decimal"/>
      <w:lvlText w:val="%1."/>
      <w:lvlJc w:val="left"/>
      <w:pPr>
        <w:ind w:left="360" w:hanging="360"/>
      </w:pPr>
      <w:rPr>
        <w:rFonts w:hint="default"/>
        <w:color w:val="auto"/>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1">
    <w:nsid w:val="4D6856C8"/>
    <w:multiLevelType w:val="hybridMultilevel"/>
    <w:tmpl w:val="0338F8C0"/>
    <w:lvl w:ilvl="0" w:tplc="73FE36DE">
      <w:start w:val="1"/>
      <w:numFmt w:val="bullet"/>
      <w:lvlText w:val="•"/>
      <w:lvlJc w:val="left"/>
      <w:pPr>
        <w:ind w:left="245" w:hanging="134"/>
      </w:pPr>
      <w:rPr>
        <w:rFonts w:ascii="Arial Unicode MS" w:eastAsia="Arial Unicode MS" w:hAnsi="Arial Unicode MS" w:hint="default"/>
        <w:w w:val="107"/>
        <w:sz w:val="21"/>
        <w:szCs w:val="21"/>
      </w:rPr>
    </w:lvl>
    <w:lvl w:ilvl="1" w:tplc="3F32CFCA">
      <w:start w:val="1"/>
      <w:numFmt w:val="bullet"/>
      <w:lvlText w:val="•"/>
      <w:lvlJc w:val="left"/>
      <w:pPr>
        <w:ind w:left="494" w:hanging="134"/>
      </w:pPr>
      <w:rPr>
        <w:rFonts w:hint="default"/>
      </w:rPr>
    </w:lvl>
    <w:lvl w:ilvl="2" w:tplc="025CEB60">
      <w:start w:val="1"/>
      <w:numFmt w:val="bullet"/>
      <w:lvlText w:val="•"/>
      <w:lvlJc w:val="left"/>
      <w:pPr>
        <w:ind w:left="743" w:hanging="134"/>
      </w:pPr>
      <w:rPr>
        <w:rFonts w:hint="default"/>
      </w:rPr>
    </w:lvl>
    <w:lvl w:ilvl="3" w:tplc="5E0EC12A">
      <w:start w:val="1"/>
      <w:numFmt w:val="bullet"/>
      <w:lvlText w:val="•"/>
      <w:lvlJc w:val="left"/>
      <w:pPr>
        <w:ind w:left="993" w:hanging="134"/>
      </w:pPr>
      <w:rPr>
        <w:rFonts w:hint="default"/>
      </w:rPr>
    </w:lvl>
    <w:lvl w:ilvl="4" w:tplc="E8B04864">
      <w:start w:val="1"/>
      <w:numFmt w:val="bullet"/>
      <w:lvlText w:val="•"/>
      <w:lvlJc w:val="left"/>
      <w:pPr>
        <w:ind w:left="1242" w:hanging="134"/>
      </w:pPr>
      <w:rPr>
        <w:rFonts w:hint="default"/>
      </w:rPr>
    </w:lvl>
    <w:lvl w:ilvl="5" w:tplc="7EF0585E">
      <w:start w:val="1"/>
      <w:numFmt w:val="bullet"/>
      <w:lvlText w:val="•"/>
      <w:lvlJc w:val="left"/>
      <w:pPr>
        <w:ind w:left="1491" w:hanging="134"/>
      </w:pPr>
      <w:rPr>
        <w:rFonts w:hint="default"/>
      </w:rPr>
    </w:lvl>
    <w:lvl w:ilvl="6" w:tplc="7EC6F446">
      <w:start w:val="1"/>
      <w:numFmt w:val="bullet"/>
      <w:lvlText w:val="•"/>
      <w:lvlJc w:val="left"/>
      <w:pPr>
        <w:ind w:left="1740" w:hanging="134"/>
      </w:pPr>
      <w:rPr>
        <w:rFonts w:hint="default"/>
      </w:rPr>
    </w:lvl>
    <w:lvl w:ilvl="7" w:tplc="B4E0707E">
      <w:start w:val="1"/>
      <w:numFmt w:val="bullet"/>
      <w:lvlText w:val="•"/>
      <w:lvlJc w:val="left"/>
      <w:pPr>
        <w:ind w:left="1989" w:hanging="134"/>
      </w:pPr>
      <w:rPr>
        <w:rFonts w:hint="default"/>
      </w:rPr>
    </w:lvl>
    <w:lvl w:ilvl="8" w:tplc="30DCDC0C">
      <w:start w:val="1"/>
      <w:numFmt w:val="bullet"/>
      <w:lvlText w:val="•"/>
      <w:lvlJc w:val="left"/>
      <w:pPr>
        <w:ind w:left="2239" w:hanging="134"/>
      </w:pPr>
      <w:rPr>
        <w:rFonts w:hint="default"/>
      </w:rPr>
    </w:lvl>
  </w:abstractNum>
  <w:abstractNum w:abstractNumId="22">
    <w:nsid w:val="552E7B0C"/>
    <w:multiLevelType w:val="hybridMultilevel"/>
    <w:tmpl w:val="CA00DD82"/>
    <w:lvl w:ilvl="0" w:tplc="1409000F">
      <w:start w:val="2"/>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3">
    <w:nsid w:val="5B09314A"/>
    <w:multiLevelType w:val="multilevel"/>
    <w:tmpl w:val="7720957A"/>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4."/>
      <w:lvlJc w:val="left"/>
      <w:pPr>
        <w:ind w:left="567" w:hanging="567"/>
      </w:pPr>
      <w:rPr>
        <w:rFonts w:hint="default"/>
      </w:rPr>
    </w:lvl>
    <w:lvl w:ilvl="4">
      <w:start w:val="1"/>
      <w:numFmt w:val="lowerLetter"/>
      <w:lvlText w:val="%5)"/>
      <w:lvlJc w:val="left"/>
      <w:pPr>
        <w:tabs>
          <w:tab w:val="num" w:pos="1134"/>
        </w:tabs>
        <w:ind w:left="1134" w:hanging="56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5C724B65"/>
    <w:multiLevelType w:val="hybridMultilevel"/>
    <w:tmpl w:val="46E4FFEE"/>
    <w:lvl w:ilvl="0" w:tplc="EB0A854E">
      <w:start w:val="1"/>
      <w:numFmt w:val="bullet"/>
      <w:lvlText w:val="•"/>
      <w:lvlJc w:val="left"/>
      <w:pPr>
        <w:ind w:left="559" w:hanging="134"/>
      </w:pPr>
      <w:rPr>
        <w:rFonts w:ascii="Arial Unicode MS" w:eastAsia="Arial Unicode MS" w:hAnsi="Arial Unicode MS" w:hint="default"/>
        <w:w w:val="107"/>
        <w:sz w:val="21"/>
        <w:szCs w:val="21"/>
      </w:rPr>
    </w:lvl>
    <w:lvl w:ilvl="1" w:tplc="85E65D22">
      <w:start w:val="1"/>
      <w:numFmt w:val="bullet"/>
      <w:lvlText w:val="•"/>
      <w:lvlJc w:val="left"/>
      <w:pPr>
        <w:ind w:left="808" w:hanging="134"/>
      </w:pPr>
      <w:rPr>
        <w:rFonts w:hint="default"/>
      </w:rPr>
    </w:lvl>
    <w:lvl w:ilvl="2" w:tplc="69460D26">
      <w:start w:val="1"/>
      <w:numFmt w:val="bullet"/>
      <w:lvlText w:val="•"/>
      <w:lvlJc w:val="left"/>
      <w:pPr>
        <w:ind w:left="1058" w:hanging="134"/>
      </w:pPr>
      <w:rPr>
        <w:rFonts w:hint="default"/>
      </w:rPr>
    </w:lvl>
    <w:lvl w:ilvl="3" w:tplc="CD6AEA72">
      <w:start w:val="1"/>
      <w:numFmt w:val="bullet"/>
      <w:lvlText w:val="•"/>
      <w:lvlJc w:val="left"/>
      <w:pPr>
        <w:ind w:left="1307" w:hanging="134"/>
      </w:pPr>
      <w:rPr>
        <w:rFonts w:hint="default"/>
      </w:rPr>
    </w:lvl>
    <w:lvl w:ilvl="4" w:tplc="DCE6E408">
      <w:start w:val="1"/>
      <w:numFmt w:val="bullet"/>
      <w:lvlText w:val="•"/>
      <w:lvlJc w:val="left"/>
      <w:pPr>
        <w:ind w:left="1556" w:hanging="134"/>
      </w:pPr>
      <w:rPr>
        <w:rFonts w:hint="default"/>
      </w:rPr>
    </w:lvl>
    <w:lvl w:ilvl="5" w:tplc="C3182234">
      <w:start w:val="1"/>
      <w:numFmt w:val="bullet"/>
      <w:lvlText w:val="•"/>
      <w:lvlJc w:val="left"/>
      <w:pPr>
        <w:ind w:left="1805" w:hanging="134"/>
      </w:pPr>
      <w:rPr>
        <w:rFonts w:hint="default"/>
      </w:rPr>
    </w:lvl>
    <w:lvl w:ilvl="6" w:tplc="85C2C604">
      <w:start w:val="1"/>
      <w:numFmt w:val="bullet"/>
      <w:lvlText w:val="•"/>
      <w:lvlJc w:val="left"/>
      <w:pPr>
        <w:ind w:left="2054" w:hanging="134"/>
      </w:pPr>
      <w:rPr>
        <w:rFonts w:hint="default"/>
      </w:rPr>
    </w:lvl>
    <w:lvl w:ilvl="7" w:tplc="3B5A4DA6">
      <w:start w:val="1"/>
      <w:numFmt w:val="bullet"/>
      <w:lvlText w:val="•"/>
      <w:lvlJc w:val="left"/>
      <w:pPr>
        <w:ind w:left="2303" w:hanging="134"/>
      </w:pPr>
      <w:rPr>
        <w:rFonts w:hint="default"/>
      </w:rPr>
    </w:lvl>
    <w:lvl w:ilvl="8" w:tplc="37AAE036">
      <w:start w:val="1"/>
      <w:numFmt w:val="bullet"/>
      <w:lvlText w:val="•"/>
      <w:lvlJc w:val="left"/>
      <w:pPr>
        <w:ind w:left="2552" w:hanging="134"/>
      </w:pPr>
      <w:rPr>
        <w:rFonts w:hint="default"/>
      </w:rPr>
    </w:lvl>
  </w:abstractNum>
  <w:abstractNum w:abstractNumId="25">
    <w:nsid w:val="5D9A15C3"/>
    <w:multiLevelType w:val="hybridMultilevel"/>
    <w:tmpl w:val="1E9823CC"/>
    <w:lvl w:ilvl="0" w:tplc="AA18F162">
      <w:start w:val="1"/>
      <w:numFmt w:val="bullet"/>
      <w:lvlText w:val="•"/>
      <w:lvlJc w:val="left"/>
      <w:pPr>
        <w:ind w:left="245" w:hanging="134"/>
      </w:pPr>
      <w:rPr>
        <w:rFonts w:ascii="Arial Unicode MS" w:eastAsia="Arial Unicode MS" w:hAnsi="Arial Unicode MS" w:hint="default"/>
        <w:w w:val="107"/>
        <w:sz w:val="21"/>
        <w:szCs w:val="21"/>
      </w:rPr>
    </w:lvl>
    <w:lvl w:ilvl="1" w:tplc="D886110C">
      <w:start w:val="1"/>
      <w:numFmt w:val="bullet"/>
      <w:lvlText w:val="•"/>
      <w:lvlJc w:val="left"/>
      <w:pPr>
        <w:ind w:left="494" w:hanging="134"/>
      </w:pPr>
      <w:rPr>
        <w:rFonts w:hint="default"/>
      </w:rPr>
    </w:lvl>
    <w:lvl w:ilvl="2" w:tplc="5C048F26">
      <w:start w:val="1"/>
      <w:numFmt w:val="bullet"/>
      <w:lvlText w:val="•"/>
      <w:lvlJc w:val="left"/>
      <w:pPr>
        <w:ind w:left="744" w:hanging="134"/>
      </w:pPr>
      <w:rPr>
        <w:rFonts w:hint="default"/>
      </w:rPr>
    </w:lvl>
    <w:lvl w:ilvl="3" w:tplc="44DACB5A">
      <w:start w:val="1"/>
      <w:numFmt w:val="bullet"/>
      <w:lvlText w:val="•"/>
      <w:lvlJc w:val="left"/>
      <w:pPr>
        <w:ind w:left="993" w:hanging="134"/>
      </w:pPr>
      <w:rPr>
        <w:rFonts w:hint="default"/>
      </w:rPr>
    </w:lvl>
    <w:lvl w:ilvl="4" w:tplc="B8B465F0">
      <w:start w:val="1"/>
      <w:numFmt w:val="bullet"/>
      <w:lvlText w:val="•"/>
      <w:lvlJc w:val="left"/>
      <w:pPr>
        <w:ind w:left="1242" w:hanging="134"/>
      </w:pPr>
      <w:rPr>
        <w:rFonts w:hint="default"/>
      </w:rPr>
    </w:lvl>
    <w:lvl w:ilvl="5" w:tplc="1FDCA722">
      <w:start w:val="1"/>
      <w:numFmt w:val="bullet"/>
      <w:lvlText w:val="•"/>
      <w:lvlJc w:val="left"/>
      <w:pPr>
        <w:ind w:left="1491" w:hanging="134"/>
      </w:pPr>
      <w:rPr>
        <w:rFonts w:hint="default"/>
      </w:rPr>
    </w:lvl>
    <w:lvl w:ilvl="6" w:tplc="62501116">
      <w:start w:val="1"/>
      <w:numFmt w:val="bullet"/>
      <w:lvlText w:val="•"/>
      <w:lvlJc w:val="left"/>
      <w:pPr>
        <w:ind w:left="1740" w:hanging="134"/>
      </w:pPr>
      <w:rPr>
        <w:rFonts w:hint="default"/>
      </w:rPr>
    </w:lvl>
    <w:lvl w:ilvl="7" w:tplc="EA9AA01C">
      <w:start w:val="1"/>
      <w:numFmt w:val="bullet"/>
      <w:lvlText w:val="•"/>
      <w:lvlJc w:val="left"/>
      <w:pPr>
        <w:ind w:left="1989" w:hanging="134"/>
      </w:pPr>
      <w:rPr>
        <w:rFonts w:hint="default"/>
      </w:rPr>
    </w:lvl>
    <w:lvl w:ilvl="8" w:tplc="005E787C">
      <w:start w:val="1"/>
      <w:numFmt w:val="bullet"/>
      <w:lvlText w:val="•"/>
      <w:lvlJc w:val="left"/>
      <w:pPr>
        <w:ind w:left="2239" w:hanging="134"/>
      </w:pPr>
      <w:rPr>
        <w:rFonts w:hint="default"/>
      </w:rPr>
    </w:lvl>
  </w:abstractNum>
  <w:abstractNum w:abstractNumId="26">
    <w:nsid w:val="61485EFD"/>
    <w:multiLevelType w:val="hybridMultilevel"/>
    <w:tmpl w:val="49443D1A"/>
    <w:lvl w:ilvl="0" w:tplc="810C3930">
      <w:start w:val="1"/>
      <w:numFmt w:val="decimal"/>
      <w:lvlText w:val="%1."/>
      <w:lvlJc w:val="left"/>
      <w:pPr>
        <w:ind w:left="360" w:hanging="360"/>
      </w:pPr>
      <w:rPr>
        <w:rFonts w:eastAsia="Times New Roman" w:hint="default"/>
        <w:b w:val="0"/>
        <w:color w:val="00000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7">
    <w:nsid w:val="688D2C9E"/>
    <w:multiLevelType w:val="singleLevel"/>
    <w:tmpl w:val="976C8326"/>
    <w:lvl w:ilvl="0">
      <w:start w:val="1"/>
      <w:numFmt w:val="bullet"/>
      <w:lvlText w:val=""/>
      <w:lvlJc w:val="left"/>
      <w:pPr>
        <w:tabs>
          <w:tab w:val="num" w:pos="360"/>
        </w:tabs>
        <w:ind w:left="284" w:hanging="284"/>
      </w:pPr>
      <w:rPr>
        <w:rFonts w:ascii="Symbol" w:hAnsi="Symbol" w:hint="default"/>
        <w:sz w:val="18"/>
      </w:rPr>
    </w:lvl>
  </w:abstractNum>
  <w:abstractNum w:abstractNumId="28">
    <w:nsid w:val="6A493BA7"/>
    <w:multiLevelType w:val="hybridMultilevel"/>
    <w:tmpl w:val="54A49246"/>
    <w:lvl w:ilvl="0" w:tplc="32401D94">
      <w:start w:val="1"/>
      <w:numFmt w:val="bullet"/>
      <w:lvlText w:val="–"/>
      <w:lvlJc w:val="left"/>
      <w:pPr>
        <w:ind w:left="701" w:hanging="284"/>
      </w:pPr>
      <w:rPr>
        <w:rFonts w:ascii="Arial Black" w:eastAsia="Arial Black" w:hAnsi="Arial Black" w:hint="default"/>
        <w:b/>
        <w:bCs/>
        <w:sz w:val="21"/>
        <w:szCs w:val="21"/>
      </w:rPr>
    </w:lvl>
    <w:lvl w:ilvl="1" w:tplc="2702D4F0">
      <w:start w:val="1"/>
      <w:numFmt w:val="bullet"/>
      <w:lvlText w:val="•"/>
      <w:lvlJc w:val="left"/>
      <w:pPr>
        <w:ind w:left="1149" w:hanging="284"/>
      </w:pPr>
      <w:rPr>
        <w:rFonts w:hint="default"/>
      </w:rPr>
    </w:lvl>
    <w:lvl w:ilvl="2" w:tplc="7E12EC3E">
      <w:start w:val="1"/>
      <w:numFmt w:val="bullet"/>
      <w:lvlText w:val="•"/>
      <w:lvlJc w:val="left"/>
      <w:pPr>
        <w:ind w:left="1596" w:hanging="284"/>
      </w:pPr>
      <w:rPr>
        <w:rFonts w:hint="default"/>
      </w:rPr>
    </w:lvl>
    <w:lvl w:ilvl="3" w:tplc="8AE0534C">
      <w:start w:val="1"/>
      <w:numFmt w:val="bullet"/>
      <w:lvlText w:val="•"/>
      <w:lvlJc w:val="left"/>
      <w:pPr>
        <w:ind w:left="2044" w:hanging="284"/>
      </w:pPr>
      <w:rPr>
        <w:rFonts w:hint="default"/>
      </w:rPr>
    </w:lvl>
    <w:lvl w:ilvl="4" w:tplc="23967D3A">
      <w:start w:val="1"/>
      <w:numFmt w:val="bullet"/>
      <w:lvlText w:val="•"/>
      <w:lvlJc w:val="left"/>
      <w:pPr>
        <w:ind w:left="2492" w:hanging="284"/>
      </w:pPr>
      <w:rPr>
        <w:rFonts w:hint="default"/>
      </w:rPr>
    </w:lvl>
    <w:lvl w:ilvl="5" w:tplc="A1105360">
      <w:start w:val="1"/>
      <w:numFmt w:val="bullet"/>
      <w:lvlText w:val="•"/>
      <w:lvlJc w:val="left"/>
      <w:pPr>
        <w:ind w:left="2940" w:hanging="284"/>
      </w:pPr>
      <w:rPr>
        <w:rFonts w:hint="default"/>
      </w:rPr>
    </w:lvl>
    <w:lvl w:ilvl="6" w:tplc="1D5A8006">
      <w:start w:val="1"/>
      <w:numFmt w:val="bullet"/>
      <w:lvlText w:val="•"/>
      <w:lvlJc w:val="left"/>
      <w:pPr>
        <w:ind w:left="3388" w:hanging="284"/>
      </w:pPr>
      <w:rPr>
        <w:rFonts w:hint="default"/>
      </w:rPr>
    </w:lvl>
    <w:lvl w:ilvl="7" w:tplc="CAD8527E">
      <w:start w:val="1"/>
      <w:numFmt w:val="bullet"/>
      <w:lvlText w:val="•"/>
      <w:lvlJc w:val="left"/>
      <w:pPr>
        <w:ind w:left="3836" w:hanging="284"/>
      </w:pPr>
      <w:rPr>
        <w:rFonts w:hint="default"/>
      </w:rPr>
    </w:lvl>
    <w:lvl w:ilvl="8" w:tplc="2DAA237C">
      <w:start w:val="1"/>
      <w:numFmt w:val="bullet"/>
      <w:lvlText w:val="•"/>
      <w:lvlJc w:val="left"/>
      <w:pPr>
        <w:ind w:left="4284" w:hanging="284"/>
      </w:pPr>
      <w:rPr>
        <w:rFonts w:hint="default"/>
      </w:rPr>
    </w:lvl>
  </w:abstractNum>
  <w:abstractNum w:abstractNumId="29">
    <w:nsid w:val="6A871412"/>
    <w:multiLevelType w:val="hybridMultilevel"/>
    <w:tmpl w:val="679EAFA2"/>
    <w:lvl w:ilvl="0" w:tplc="59822F40">
      <w:start w:val="1"/>
      <w:numFmt w:val="bullet"/>
      <w:lvlText w:val="•"/>
      <w:lvlJc w:val="left"/>
      <w:pPr>
        <w:ind w:left="1984" w:hanging="284"/>
      </w:pPr>
      <w:rPr>
        <w:rFonts w:ascii="Lucida Sans Unicode" w:eastAsia="Lucida Sans Unicode" w:hAnsi="Lucida Sans Unicode" w:hint="default"/>
        <w:w w:val="59"/>
        <w:sz w:val="21"/>
        <w:szCs w:val="21"/>
      </w:rPr>
    </w:lvl>
    <w:lvl w:ilvl="1" w:tplc="0298ED54">
      <w:start w:val="1"/>
      <w:numFmt w:val="bullet"/>
      <w:lvlText w:val="•"/>
      <w:lvlJc w:val="left"/>
      <w:pPr>
        <w:ind w:left="2808" w:hanging="284"/>
      </w:pPr>
      <w:rPr>
        <w:rFonts w:hint="default"/>
      </w:rPr>
    </w:lvl>
    <w:lvl w:ilvl="2" w:tplc="3ACE3B56">
      <w:start w:val="1"/>
      <w:numFmt w:val="bullet"/>
      <w:lvlText w:val="•"/>
      <w:lvlJc w:val="left"/>
      <w:pPr>
        <w:ind w:left="3632" w:hanging="284"/>
      </w:pPr>
      <w:rPr>
        <w:rFonts w:hint="default"/>
      </w:rPr>
    </w:lvl>
    <w:lvl w:ilvl="3" w:tplc="AA96C0BE">
      <w:start w:val="1"/>
      <w:numFmt w:val="bullet"/>
      <w:lvlText w:val="•"/>
      <w:lvlJc w:val="left"/>
      <w:pPr>
        <w:ind w:left="4456" w:hanging="284"/>
      </w:pPr>
      <w:rPr>
        <w:rFonts w:hint="default"/>
      </w:rPr>
    </w:lvl>
    <w:lvl w:ilvl="4" w:tplc="CA98A634">
      <w:start w:val="1"/>
      <w:numFmt w:val="bullet"/>
      <w:lvlText w:val="•"/>
      <w:lvlJc w:val="left"/>
      <w:pPr>
        <w:ind w:left="5280" w:hanging="284"/>
      </w:pPr>
      <w:rPr>
        <w:rFonts w:hint="default"/>
      </w:rPr>
    </w:lvl>
    <w:lvl w:ilvl="5" w:tplc="AA4A5076">
      <w:start w:val="1"/>
      <w:numFmt w:val="bullet"/>
      <w:lvlText w:val="•"/>
      <w:lvlJc w:val="left"/>
      <w:pPr>
        <w:ind w:left="6104" w:hanging="284"/>
      </w:pPr>
      <w:rPr>
        <w:rFonts w:hint="default"/>
      </w:rPr>
    </w:lvl>
    <w:lvl w:ilvl="6" w:tplc="44422EEC">
      <w:start w:val="1"/>
      <w:numFmt w:val="bullet"/>
      <w:lvlText w:val="•"/>
      <w:lvlJc w:val="left"/>
      <w:pPr>
        <w:ind w:left="6929" w:hanging="284"/>
      </w:pPr>
      <w:rPr>
        <w:rFonts w:hint="default"/>
      </w:rPr>
    </w:lvl>
    <w:lvl w:ilvl="7" w:tplc="91644454">
      <w:start w:val="1"/>
      <w:numFmt w:val="bullet"/>
      <w:lvlText w:val="•"/>
      <w:lvlJc w:val="left"/>
      <w:pPr>
        <w:ind w:left="7753" w:hanging="284"/>
      </w:pPr>
      <w:rPr>
        <w:rFonts w:hint="default"/>
      </w:rPr>
    </w:lvl>
    <w:lvl w:ilvl="8" w:tplc="99B2DCF6">
      <w:start w:val="1"/>
      <w:numFmt w:val="bullet"/>
      <w:lvlText w:val="•"/>
      <w:lvlJc w:val="left"/>
      <w:pPr>
        <w:ind w:left="8577" w:hanging="284"/>
      </w:pPr>
      <w:rPr>
        <w:rFonts w:hint="default"/>
      </w:rPr>
    </w:lvl>
  </w:abstractNum>
  <w:abstractNum w:abstractNumId="30">
    <w:nsid w:val="6AB61074"/>
    <w:multiLevelType w:val="hybridMultilevel"/>
    <w:tmpl w:val="E9D8A206"/>
    <w:lvl w:ilvl="0" w:tplc="32DEC6B8">
      <w:start w:val="1"/>
      <w:numFmt w:val="bullet"/>
      <w:lvlText w:val="–"/>
      <w:lvlJc w:val="left"/>
      <w:pPr>
        <w:ind w:left="662" w:hanging="284"/>
      </w:pPr>
      <w:rPr>
        <w:rFonts w:ascii="Arial Black" w:eastAsia="Arial Black" w:hAnsi="Arial Black" w:hint="default"/>
        <w:b/>
        <w:bCs/>
        <w:sz w:val="21"/>
        <w:szCs w:val="21"/>
      </w:rPr>
    </w:lvl>
    <w:lvl w:ilvl="1" w:tplc="040C801C">
      <w:start w:val="1"/>
      <w:numFmt w:val="bullet"/>
      <w:lvlText w:val="•"/>
      <w:lvlJc w:val="left"/>
      <w:pPr>
        <w:ind w:left="1109" w:hanging="284"/>
      </w:pPr>
      <w:rPr>
        <w:rFonts w:hint="default"/>
      </w:rPr>
    </w:lvl>
    <w:lvl w:ilvl="2" w:tplc="1250F1EE">
      <w:start w:val="1"/>
      <w:numFmt w:val="bullet"/>
      <w:lvlText w:val="•"/>
      <w:lvlJc w:val="left"/>
      <w:pPr>
        <w:ind w:left="1557" w:hanging="284"/>
      </w:pPr>
      <w:rPr>
        <w:rFonts w:hint="default"/>
      </w:rPr>
    </w:lvl>
    <w:lvl w:ilvl="3" w:tplc="EED03DEA">
      <w:start w:val="1"/>
      <w:numFmt w:val="bullet"/>
      <w:lvlText w:val="•"/>
      <w:lvlJc w:val="left"/>
      <w:pPr>
        <w:ind w:left="2005" w:hanging="284"/>
      </w:pPr>
      <w:rPr>
        <w:rFonts w:hint="default"/>
      </w:rPr>
    </w:lvl>
    <w:lvl w:ilvl="4" w:tplc="C2526822">
      <w:start w:val="1"/>
      <w:numFmt w:val="bullet"/>
      <w:lvlText w:val="•"/>
      <w:lvlJc w:val="left"/>
      <w:pPr>
        <w:ind w:left="2453" w:hanging="284"/>
      </w:pPr>
      <w:rPr>
        <w:rFonts w:hint="default"/>
      </w:rPr>
    </w:lvl>
    <w:lvl w:ilvl="5" w:tplc="3B98B002">
      <w:start w:val="1"/>
      <w:numFmt w:val="bullet"/>
      <w:lvlText w:val="•"/>
      <w:lvlJc w:val="left"/>
      <w:pPr>
        <w:ind w:left="2901" w:hanging="284"/>
      </w:pPr>
      <w:rPr>
        <w:rFonts w:hint="default"/>
      </w:rPr>
    </w:lvl>
    <w:lvl w:ilvl="6" w:tplc="E2B4B88C">
      <w:start w:val="1"/>
      <w:numFmt w:val="bullet"/>
      <w:lvlText w:val="•"/>
      <w:lvlJc w:val="left"/>
      <w:pPr>
        <w:ind w:left="3349" w:hanging="284"/>
      </w:pPr>
      <w:rPr>
        <w:rFonts w:hint="default"/>
      </w:rPr>
    </w:lvl>
    <w:lvl w:ilvl="7" w:tplc="716A8E58">
      <w:start w:val="1"/>
      <w:numFmt w:val="bullet"/>
      <w:lvlText w:val="•"/>
      <w:lvlJc w:val="left"/>
      <w:pPr>
        <w:ind w:left="3797" w:hanging="284"/>
      </w:pPr>
      <w:rPr>
        <w:rFonts w:hint="default"/>
      </w:rPr>
    </w:lvl>
    <w:lvl w:ilvl="8" w:tplc="31BAFC90">
      <w:start w:val="1"/>
      <w:numFmt w:val="bullet"/>
      <w:lvlText w:val="•"/>
      <w:lvlJc w:val="left"/>
      <w:pPr>
        <w:ind w:left="4245" w:hanging="284"/>
      </w:pPr>
      <w:rPr>
        <w:rFonts w:hint="default"/>
      </w:rPr>
    </w:lvl>
  </w:abstractNum>
  <w:abstractNum w:abstractNumId="31">
    <w:nsid w:val="761C54D3"/>
    <w:multiLevelType w:val="hybridMultilevel"/>
    <w:tmpl w:val="6F1E4EBE"/>
    <w:lvl w:ilvl="0" w:tplc="14090001">
      <w:start w:val="1"/>
      <w:numFmt w:val="bullet"/>
      <w:lvlText w:val=""/>
      <w:lvlJc w:val="left"/>
      <w:pPr>
        <w:tabs>
          <w:tab w:val="num" w:pos="360"/>
        </w:tabs>
        <w:ind w:left="360" w:hanging="360"/>
      </w:pPr>
      <w:rPr>
        <w:rFonts w:ascii="Symbol" w:hAnsi="Symbol" w:hint="default"/>
      </w:rPr>
    </w:lvl>
    <w:lvl w:ilvl="1" w:tplc="1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nsid w:val="790B609F"/>
    <w:multiLevelType w:val="hybridMultilevel"/>
    <w:tmpl w:val="DADE0218"/>
    <w:lvl w:ilvl="0" w:tplc="B80C461A">
      <w:start w:val="1"/>
      <w:numFmt w:val="bullet"/>
      <w:lvlText w:val="•"/>
      <w:lvlJc w:val="left"/>
      <w:pPr>
        <w:ind w:left="587" w:hanging="284"/>
      </w:pPr>
      <w:rPr>
        <w:rFonts w:ascii="Lucida Sans Unicode" w:eastAsia="Lucida Sans Unicode" w:hAnsi="Lucida Sans Unicode" w:hint="default"/>
        <w:w w:val="59"/>
        <w:sz w:val="21"/>
        <w:szCs w:val="21"/>
      </w:rPr>
    </w:lvl>
    <w:lvl w:ilvl="1" w:tplc="DA12774A">
      <w:start w:val="1"/>
      <w:numFmt w:val="bullet"/>
      <w:lvlText w:val="•"/>
      <w:lvlJc w:val="left"/>
      <w:pPr>
        <w:ind w:left="2267" w:hanging="284"/>
      </w:pPr>
      <w:rPr>
        <w:rFonts w:ascii="Lucida Sans Unicode" w:eastAsia="Lucida Sans Unicode" w:hAnsi="Lucida Sans Unicode" w:hint="default"/>
        <w:w w:val="59"/>
        <w:sz w:val="21"/>
        <w:szCs w:val="21"/>
      </w:rPr>
    </w:lvl>
    <w:lvl w:ilvl="2" w:tplc="C6E244EC">
      <w:start w:val="1"/>
      <w:numFmt w:val="bullet"/>
      <w:lvlText w:val="•"/>
      <w:lvlJc w:val="left"/>
      <w:pPr>
        <w:ind w:left="2689" w:hanging="284"/>
      </w:pPr>
      <w:rPr>
        <w:rFonts w:hint="default"/>
      </w:rPr>
    </w:lvl>
    <w:lvl w:ilvl="3" w:tplc="8ADA74DA">
      <w:start w:val="1"/>
      <w:numFmt w:val="bullet"/>
      <w:lvlText w:val="•"/>
      <w:lvlJc w:val="left"/>
      <w:pPr>
        <w:ind w:left="3111" w:hanging="284"/>
      </w:pPr>
      <w:rPr>
        <w:rFonts w:hint="default"/>
      </w:rPr>
    </w:lvl>
    <w:lvl w:ilvl="4" w:tplc="4FC0E628">
      <w:start w:val="1"/>
      <w:numFmt w:val="bullet"/>
      <w:lvlText w:val="•"/>
      <w:lvlJc w:val="left"/>
      <w:pPr>
        <w:ind w:left="3532" w:hanging="284"/>
      </w:pPr>
      <w:rPr>
        <w:rFonts w:hint="default"/>
      </w:rPr>
    </w:lvl>
    <w:lvl w:ilvl="5" w:tplc="531CD59C">
      <w:start w:val="1"/>
      <w:numFmt w:val="bullet"/>
      <w:lvlText w:val="•"/>
      <w:lvlJc w:val="left"/>
      <w:pPr>
        <w:ind w:left="3954" w:hanging="284"/>
      </w:pPr>
      <w:rPr>
        <w:rFonts w:hint="default"/>
      </w:rPr>
    </w:lvl>
    <w:lvl w:ilvl="6" w:tplc="53CAE810">
      <w:start w:val="1"/>
      <w:numFmt w:val="bullet"/>
      <w:lvlText w:val="•"/>
      <w:lvlJc w:val="left"/>
      <w:pPr>
        <w:ind w:left="4376" w:hanging="284"/>
      </w:pPr>
      <w:rPr>
        <w:rFonts w:hint="default"/>
      </w:rPr>
    </w:lvl>
    <w:lvl w:ilvl="7" w:tplc="4F583E0A">
      <w:start w:val="1"/>
      <w:numFmt w:val="bullet"/>
      <w:lvlText w:val="•"/>
      <w:lvlJc w:val="left"/>
      <w:pPr>
        <w:ind w:left="4798" w:hanging="284"/>
      </w:pPr>
      <w:rPr>
        <w:rFonts w:hint="default"/>
      </w:rPr>
    </w:lvl>
    <w:lvl w:ilvl="8" w:tplc="4E8A9C6C">
      <w:start w:val="1"/>
      <w:numFmt w:val="bullet"/>
      <w:lvlText w:val="•"/>
      <w:lvlJc w:val="left"/>
      <w:pPr>
        <w:ind w:left="5219" w:hanging="284"/>
      </w:pPr>
      <w:rPr>
        <w:rFonts w:hint="default"/>
      </w:rPr>
    </w:lvl>
  </w:abstractNum>
  <w:abstractNum w:abstractNumId="33">
    <w:nsid w:val="7A46122C"/>
    <w:multiLevelType w:val="hybridMultilevel"/>
    <w:tmpl w:val="5888C120"/>
    <w:lvl w:ilvl="0" w:tplc="14090017">
      <w:start w:val="1"/>
      <w:numFmt w:val="lowerLetter"/>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4">
    <w:nsid w:val="7C1218D3"/>
    <w:multiLevelType w:val="singleLevel"/>
    <w:tmpl w:val="B224B1E2"/>
    <w:lvl w:ilvl="0">
      <w:start w:val="1"/>
      <w:numFmt w:val="bullet"/>
      <w:pStyle w:val="Bullet"/>
      <w:lvlText w:val=""/>
      <w:lvlJc w:val="left"/>
      <w:pPr>
        <w:tabs>
          <w:tab w:val="num" w:pos="284"/>
        </w:tabs>
        <w:ind w:left="284" w:hanging="284"/>
      </w:pPr>
      <w:rPr>
        <w:rFonts w:ascii="Symbol" w:hAnsi="Symbol" w:hint="default"/>
        <w:sz w:val="18"/>
      </w:rPr>
    </w:lvl>
  </w:abstractNum>
  <w:abstractNum w:abstractNumId="35">
    <w:nsid w:val="7C970E9C"/>
    <w:multiLevelType w:val="hybridMultilevel"/>
    <w:tmpl w:val="4384984A"/>
    <w:lvl w:ilvl="0" w:tplc="C93A288C">
      <w:start w:val="1"/>
      <w:numFmt w:val="bullet"/>
      <w:lvlText w:val="•"/>
      <w:lvlJc w:val="left"/>
      <w:pPr>
        <w:ind w:left="246" w:hanging="134"/>
      </w:pPr>
      <w:rPr>
        <w:rFonts w:ascii="Arial Unicode MS" w:eastAsia="Arial Unicode MS" w:hAnsi="Arial Unicode MS" w:hint="default"/>
        <w:w w:val="107"/>
        <w:sz w:val="21"/>
        <w:szCs w:val="21"/>
      </w:rPr>
    </w:lvl>
    <w:lvl w:ilvl="1" w:tplc="DA5E0414">
      <w:start w:val="1"/>
      <w:numFmt w:val="bullet"/>
      <w:lvlText w:val="•"/>
      <w:lvlJc w:val="left"/>
      <w:pPr>
        <w:ind w:left="464" w:hanging="134"/>
      </w:pPr>
      <w:rPr>
        <w:rFonts w:hint="default"/>
      </w:rPr>
    </w:lvl>
    <w:lvl w:ilvl="2" w:tplc="E29E55C8">
      <w:start w:val="1"/>
      <w:numFmt w:val="bullet"/>
      <w:lvlText w:val="•"/>
      <w:lvlJc w:val="left"/>
      <w:pPr>
        <w:ind w:left="682" w:hanging="134"/>
      </w:pPr>
      <w:rPr>
        <w:rFonts w:hint="default"/>
      </w:rPr>
    </w:lvl>
    <w:lvl w:ilvl="3" w:tplc="38AA3A8C">
      <w:start w:val="1"/>
      <w:numFmt w:val="bullet"/>
      <w:lvlText w:val="•"/>
      <w:lvlJc w:val="left"/>
      <w:pPr>
        <w:ind w:left="900" w:hanging="134"/>
      </w:pPr>
      <w:rPr>
        <w:rFonts w:hint="default"/>
      </w:rPr>
    </w:lvl>
    <w:lvl w:ilvl="4" w:tplc="6280268C">
      <w:start w:val="1"/>
      <w:numFmt w:val="bullet"/>
      <w:lvlText w:val="•"/>
      <w:lvlJc w:val="left"/>
      <w:pPr>
        <w:ind w:left="1118" w:hanging="134"/>
      </w:pPr>
      <w:rPr>
        <w:rFonts w:hint="default"/>
      </w:rPr>
    </w:lvl>
    <w:lvl w:ilvl="5" w:tplc="41CA4FC0">
      <w:start w:val="1"/>
      <w:numFmt w:val="bullet"/>
      <w:lvlText w:val="•"/>
      <w:lvlJc w:val="left"/>
      <w:pPr>
        <w:ind w:left="1336" w:hanging="134"/>
      </w:pPr>
      <w:rPr>
        <w:rFonts w:hint="default"/>
      </w:rPr>
    </w:lvl>
    <w:lvl w:ilvl="6" w:tplc="F828CB0C">
      <w:start w:val="1"/>
      <w:numFmt w:val="bullet"/>
      <w:lvlText w:val="•"/>
      <w:lvlJc w:val="left"/>
      <w:pPr>
        <w:ind w:left="1554" w:hanging="134"/>
      </w:pPr>
      <w:rPr>
        <w:rFonts w:hint="default"/>
      </w:rPr>
    </w:lvl>
    <w:lvl w:ilvl="7" w:tplc="21BEBEB6">
      <w:start w:val="1"/>
      <w:numFmt w:val="bullet"/>
      <w:lvlText w:val="•"/>
      <w:lvlJc w:val="left"/>
      <w:pPr>
        <w:ind w:left="1771" w:hanging="134"/>
      </w:pPr>
      <w:rPr>
        <w:rFonts w:hint="default"/>
      </w:rPr>
    </w:lvl>
    <w:lvl w:ilvl="8" w:tplc="D11CBA8E">
      <w:start w:val="1"/>
      <w:numFmt w:val="bullet"/>
      <w:lvlText w:val="•"/>
      <w:lvlJc w:val="left"/>
      <w:pPr>
        <w:ind w:left="1989" w:hanging="134"/>
      </w:pPr>
      <w:rPr>
        <w:rFonts w:hint="default"/>
      </w:rPr>
    </w:lvl>
  </w:abstractNum>
  <w:abstractNum w:abstractNumId="36">
    <w:nsid w:val="7CC72B21"/>
    <w:multiLevelType w:val="multilevel"/>
    <w:tmpl w:val="273EF2D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34"/>
  </w:num>
  <w:num w:numId="2">
    <w:abstractNumId w:val="27"/>
  </w:num>
  <w:num w:numId="3">
    <w:abstractNumId w:val="17"/>
  </w:num>
  <w:num w:numId="4">
    <w:abstractNumId w:val="18"/>
  </w:num>
  <w:num w:numId="5">
    <w:abstractNumId w:val="1"/>
  </w:num>
  <w:num w:numId="6">
    <w:abstractNumId w:val="36"/>
  </w:num>
  <w:num w:numId="7">
    <w:abstractNumId w:val="13"/>
  </w:num>
  <w:num w:numId="8">
    <w:abstractNumId w:val="3"/>
  </w:num>
  <w:num w:numId="9">
    <w:abstractNumId w:val="33"/>
  </w:num>
  <w:num w:numId="10">
    <w:abstractNumId w:val="2"/>
  </w:num>
  <w:num w:numId="11">
    <w:abstractNumId w:val="31"/>
  </w:num>
  <w:num w:numId="12">
    <w:abstractNumId w:val="4"/>
  </w:num>
  <w:num w:numId="13">
    <w:abstractNumId w:val="8"/>
  </w:num>
  <w:num w:numId="14">
    <w:abstractNumId w:val="6"/>
  </w:num>
  <w:num w:numId="15">
    <w:abstractNumId w:val="9"/>
  </w:num>
  <w:num w:numId="16">
    <w:abstractNumId w:val="23"/>
  </w:num>
  <w:num w:numId="17">
    <w:abstractNumId w:val="11"/>
  </w:num>
  <w:num w:numId="18">
    <w:abstractNumId w:val="29"/>
  </w:num>
  <w:num w:numId="19">
    <w:abstractNumId w:val="12"/>
  </w:num>
  <w:num w:numId="20">
    <w:abstractNumId w:val="21"/>
  </w:num>
  <w:num w:numId="21">
    <w:abstractNumId w:val="7"/>
  </w:num>
  <w:num w:numId="22">
    <w:abstractNumId w:val="5"/>
  </w:num>
  <w:num w:numId="23">
    <w:abstractNumId w:val="25"/>
  </w:num>
  <w:num w:numId="24">
    <w:abstractNumId w:val="24"/>
  </w:num>
  <w:num w:numId="25">
    <w:abstractNumId w:val="35"/>
  </w:num>
  <w:num w:numId="26">
    <w:abstractNumId w:val="15"/>
  </w:num>
  <w:num w:numId="27">
    <w:abstractNumId w:val="30"/>
  </w:num>
  <w:num w:numId="28">
    <w:abstractNumId w:val="28"/>
  </w:num>
  <w:num w:numId="29">
    <w:abstractNumId w:val="19"/>
  </w:num>
  <w:num w:numId="30">
    <w:abstractNumId w:val="10"/>
  </w:num>
  <w:num w:numId="31">
    <w:abstractNumId w:val="32"/>
  </w:num>
  <w:num w:numId="32">
    <w:abstractNumId w:val="16"/>
  </w:num>
  <w:num w:numId="33">
    <w:abstractNumId w:val="14"/>
  </w:num>
  <w:num w:numId="34">
    <w:abstractNumId w:val="0"/>
  </w:num>
  <w:num w:numId="35">
    <w:abstractNumId w:val="26"/>
  </w:num>
  <w:num w:numId="36">
    <w:abstractNumId w:val="22"/>
  </w:num>
  <w:num w:numId="37">
    <w:abstractNumId w:val="2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mirrorMargin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567"/>
  <w:evenAndOddHeaders/>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8EB"/>
    <w:rsid w:val="000025B8"/>
    <w:rsid w:val="00025A6F"/>
    <w:rsid w:val="0002618D"/>
    <w:rsid w:val="00030B26"/>
    <w:rsid w:val="00030E84"/>
    <w:rsid w:val="00032C0A"/>
    <w:rsid w:val="00035257"/>
    <w:rsid w:val="00035D68"/>
    <w:rsid w:val="000440A5"/>
    <w:rsid w:val="00054B44"/>
    <w:rsid w:val="0006228D"/>
    <w:rsid w:val="00072BD6"/>
    <w:rsid w:val="00075B78"/>
    <w:rsid w:val="000762A4"/>
    <w:rsid w:val="00082CD6"/>
    <w:rsid w:val="0008437D"/>
    <w:rsid w:val="00085AFE"/>
    <w:rsid w:val="00094800"/>
    <w:rsid w:val="000B0730"/>
    <w:rsid w:val="000D19F4"/>
    <w:rsid w:val="000D58DD"/>
    <w:rsid w:val="000E56F7"/>
    <w:rsid w:val="000E5C6D"/>
    <w:rsid w:val="000F2AE2"/>
    <w:rsid w:val="000F2BFF"/>
    <w:rsid w:val="00102063"/>
    <w:rsid w:val="0010541C"/>
    <w:rsid w:val="00106F93"/>
    <w:rsid w:val="00111D50"/>
    <w:rsid w:val="00113B8E"/>
    <w:rsid w:val="0012053C"/>
    <w:rsid w:val="00122363"/>
    <w:rsid w:val="001342C7"/>
    <w:rsid w:val="0013585C"/>
    <w:rsid w:val="00142261"/>
    <w:rsid w:val="00142954"/>
    <w:rsid w:val="001460E0"/>
    <w:rsid w:val="001472F0"/>
    <w:rsid w:val="00147F71"/>
    <w:rsid w:val="00150A6E"/>
    <w:rsid w:val="0016468A"/>
    <w:rsid w:val="00183DD5"/>
    <w:rsid w:val="0018662D"/>
    <w:rsid w:val="00197427"/>
    <w:rsid w:val="001A21B4"/>
    <w:rsid w:val="001A5CF5"/>
    <w:rsid w:val="001B39D2"/>
    <w:rsid w:val="001B4BF8"/>
    <w:rsid w:val="001C4326"/>
    <w:rsid w:val="001D3541"/>
    <w:rsid w:val="001D3E4E"/>
    <w:rsid w:val="001E254A"/>
    <w:rsid w:val="001E7386"/>
    <w:rsid w:val="001F45A7"/>
    <w:rsid w:val="00201A01"/>
    <w:rsid w:val="0020754B"/>
    <w:rsid w:val="002104D3"/>
    <w:rsid w:val="00213A33"/>
    <w:rsid w:val="0021763B"/>
    <w:rsid w:val="00223E6F"/>
    <w:rsid w:val="00240FBE"/>
    <w:rsid w:val="00246DB1"/>
    <w:rsid w:val="002476B5"/>
    <w:rsid w:val="00247EB8"/>
    <w:rsid w:val="002520CC"/>
    <w:rsid w:val="00253ECF"/>
    <w:rsid w:val="002546A1"/>
    <w:rsid w:val="002628F4"/>
    <w:rsid w:val="00275D08"/>
    <w:rsid w:val="002858E3"/>
    <w:rsid w:val="0029190A"/>
    <w:rsid w:val="00292C5A"/>
    <w:rsid w:val="00295241"/>
    <w:rsid w:val="002A4DFC"/>
    <w:rsid w:val="002B047D"/>
    <w:rsid w:val="002B732B"/>
    <w:rsid w:val="002B76A7"/>
    <w:rsid w:val="002C2219"/>
    <w:rsid w:val="002C2552"/>
    <w:rsid w:val="002D0DF2"/>
    <w:rsid w:val="002D23BD"/>
    <w:rsid w:val="002D5F88"/>
    <w:rsid w:val="002E0B47"/>
    <w:rsid w:val="002E10CE"/>
    <w:rsid w:val="002F4685"/>
    <w:rsid w:val="002F7213"/>
    <w:rsid w:val="0030382F"/>
    <w:rsid w:val="0030408D"/>
    <w:rsid w:val="003060E4"/>
    <w:rsid w:val="003160E7"/>
    <w:rsid w:val="0031739E"/>
    <w:rsid w:val="00317A2D"/>
    <w:rsid w:val="003309CA"/>
    <w:rsid w:val="003325AB"/>
    <w:rsid w:val="003332D1"/>
    <w:rsid w:val="0033412B"/>
    <w:rsid w:val="00341161"/>
    <w:rsid w:val="00343365"/>
    <w:rsid w:val="003445F4"/>
    <w:rsid w:val="00353501"/>
    <w:rsid w:val="00353734"/>
    <w:rsid w:val="003606F8"/>
    <w:rsid w:val="00362DAB"/>
    <w:rsid w:val="003648EF"/>
    <w:rsid w:val="003673E6"/>
    <w:rsid w:val="00377264"/>
    <w:rsid w:val="003779D2"/>
    <w:rsid w:val="00385E38"/>
    <w:rsid w:val="003A26A5"/>
    <w:rsid w:val="003A3761"/>
    <w:rsid w:val="003A512D"/>
    <w:rsid w:val="003A5FEA"/>
    <w:rsid w:val="003B1D10"/>
    <w:rsid w:val="003C76D4"/>
    <w:rsid w:val="003D137D"/>
    <w:rsid w:val="003D229F"/>
    <w:rsid w:val="003D2CC5"/>
    <w:rsid w:val="003E04C1"/>
    <w:rsid w:val="003E07FF"/>
    <w:rsid w:val="003E0887"/>
    <w:rsid w:val="003E7C46"/>
    <w:rsid w:val="003F2106"/>
    <w:rsid w:val="003F391E"/>
    <w:rsid w:val="003F52A7"/>
    <w:rsid w:val="003F7013"/>
    <w:rsid w:val="0040240C"/>
    <w:rsid w:val="00413021"/>
    <w:rsid w:val="004301C6"/>
    <w:rsid w:val="004336D9"/>
    <w:rsid w:val="0043478F"/>
    <w:rsid w:val="0043602B"/>
    <w:rsid w:val="00440BE0"/>
    <w:rsid w:val="00442C1C"/>
    <w:rsid w:val="0044584B"/>
    <w:rsid w:val="00447CB7"/>
    <w:rsid w:val="00455CC9"/>
    <w:rsid w:val="00460826"/>
    <w:rsid w:val="00460EA7"/>
    <w:rsid w:val="0046195B"/>
    <w:rsid w:val="0046362D"/>
    <w:rsid w:val="0046596D"/>
    <w:rsid w:val="00487C04"/>
    <w:rsid w:val="004907E1"/>
    <w:rsid w:val="004A035B"/>
    <w:rsid w:val="004A2108"/>
    <w:rsid w:val="004A38D7"/>
    <w:rsid w:val="004A778C"/>
    <w:rsid w:val="004B48C7"/>
    <w:rsid w:val="004C2E6A"/>
    <w:rsid w:val="004C64B8"/>
    <w:rsid w:val="004D08DC"/>
    <w:rsid w:val="004D2A2D"/>
    <w:rsid w:val="004D6689"/>
    <w:rsid w:val="004E1D1D"/>
    <w:rsid w:val="004E7AC8"/>
    <w:rsid w:val="004F0C94"/>
    <w:rsid w:val="004F4550"/>
    <w:rsid w:val="005019AE"/>
    <w:rsid w:val="00503749"/>
    <w:rsid w:val="00504CF4"/>
    <w:rsid w:val="0050635B"/>
    <w:rsid w:val="005151C2"/>
    <w:rsid w:val="005225E3"/>
    <w:rsid w:val="0053199F"/>
    <w:rsid w:val="00533B90"/>
    <w:rsid w:val="005410F8"/>
    <w:rsid w:val="005448EC"/>
    <w:rsid w:val="00545963"/>
    <w:rsid w:val="00550256"/>
    <w:rsid w:val="00553165"/>
    <w:rsid w:val="00553958"/>
    <w:rsid w:val="00556BB7"/>
    <w:rsid w:val="0055763D"/>
    <w:rsid w:val="00561516"/>
    <w:rsid w:val="005621F2"/>
    <w:rsid w:val="00567B58"/>
    <w:rsid w:val="00571223"/>
    <w:rsid w:val="005763E0"/>
    <w:rsid w:val="00581136"/>
    <w:rsid w:val="00581EB8"/>
    <w:rsid w:val="005A2354"/>
    <w:rsid w:val="005A27CA"/>
    <w:rsid w:val="005A43BD"/>
    <w:rsid w:val="005A79E5"/>
    <w:rsid w:val="005D034C"/>
    <w:rsid w:val="005E226E"/>
    <w:rsid w:val="005E2636"/>
    <w:rsid w:val="006015D7"/>
    <w:rsid w:val="00601B21"/>
    <w:rsid w:val="006041F0"/>
    <w:rsid w:val="00605C6D"/>
    <w:rsid w:val="00607AEE"/>
    <w:rsid w:val="006120CA"/>
    <w:rsid w:val="00617014"/>
    <w:rsid w:val="00624174"/>
    <w:rsid w:val="00626CF8"/>
    <w:rsid w:val="006314AF"/>
    <w:rsid w:val="006321CF"/>
    <w:rsid w:val="00634ED8"/>
    <w:rsid w:val="00636D7D"/>
    <w:rsid w:val="00637408"/>
    <w:rsid w:val="00642868"/>
    <w:rsid w:val="00647AFE"/>
    <w:rsid w:val="006512BC"/>
    <w:rsid w:val="00653A5A"/>
    <w:rsid w:val="006575F4"/>
    <w:rsid w:val="006579E6"/>
    <w:rsid w:val="00660682"/>
    <w:rsid w:val="00663EDC"/>
    <w:rsid w:val="00671078"/>
    <w:rsid w:val="006758CA"/>
    <w:rsid w:val="00680A04"/>
    <w:rsid w:val="00686D80"/>
    <w:rsid w:val="00694895"/>
    <w:rsid w:val="00697E2E"/>
    <w:rsid w:val="006A25A2"/>
    <w:rsid w:val="006A3B87"/>
    <w:rsid w:val="006B0E73"/>
    <w:rsid w:val="006B1E3D"/>
    <w:rsid w:val="006B4A4D"/>
    <w:rsid w:val="006B5695"/>
    <w:rsid w:val="006B7B2E"/>
    <w:rsid w:val="006C78EB"/>
    <w:rsid w:val="006D1660"/>
    <w:rsid w:val="006D63E5"/>
    <w:rsid w:val="006E3911"/>
    <w:rsid w:val="006F1B67"/>
    <w:rsid w:val="006F4D9C"/>
    <w:rsid w:val="0070091D"/>
    <w:rsid w:val="00702854"/>
    <w:rsid w:val="007168EA"/>
    <w:rsid w:val="0071741C"/>
    <w:rsid w:val="00742B90"/>
    <w:rsid w:val="0074434D"/>
    <w:rsid w:val="007605B8"/>
    <w:rsid w:val="00771B1E"/>
    <w:rsid w:val="00773C95"/>
    <w:rsid w:val="00777132"/>
    <w:rsid w:val="0078171E"/>
    <w:rsid w:val="0078658E"/>
    <w:rsid w:val="007920E2"/>
    <w:rsid w:val="0079566E"/>
    <w:rsid w:val="00795B34"/>
    <w:rsid w:val="007A067F"/>
    <w:rsid w:val="007A7050"/>
    <w:rsid w:val="007B1770"/>
    <w:rsid w:val="007B4D3E"/>
    <w:rsid w:val="007B7C70"/>
    <w:rsid w:val="007B7DEB"/>
    <w:rsid w:val="007D2151"/>
    <w:rsid w:val="007D3B90"/>
    <w:rsid w:val="007D42CC"/>
    <w:rsid w:val="007D5DE4"/>
    <w:rsid w:val="007D7C3A"/>
    <w:rsid w:val="007E0777"/>
    <w:rsid w:val="007E1341"/>
    <w:rsid w:val="007E1B41"/>
    <w:rsid w:val="007E1EC4"/>
    <w:rsid w:val="007E30B9"/>
    <w:rsid w:val="007E74F1"/>
    <w:rsid w:val="007F0F0C"/>
    <w:rsid w:val="007F1288"/>
    <w:rsid w:val="00800A8A"/>
    <w:rsid w:val="0080155C"/>
    <w:rsid w:val="008052E1"/>
    <w:rsid w:val="00822F2C"/>
    <w:rsid w:val="00823DEE"/>
    <w:rsid w:val="008305E8"/>
    <w:rsid w:val="00836165"/>
    <w:rsid w:val="0084640C"/>
    <w:rsid w:val="00856088"/>
    <w:rsid w:val="00860826"/>
    <w:rsid w:val="00860E21"/>
    <w:rsid w:val="00861D0A"/>
    <w:rsid w:val="00863117"/>
    <w:rsid w:val="0086388B"/>
    <w:rsid w:val="008642E5"/>
    <w:rsid w:val="00870A36"/>
    <w:rsid w:val="00872D93"/>
    <w:rsid w:val="00880470"/>
    <w:rsid w:val="00880D94"/>
    <w:rsid w:val="00886F64"/>
    <w:rsid w:val="008924DE"/>
    <w:rsid w:val="008A3755"/>
    <w:rsid w:val="008B19DC"/>
    <w:rsid w:val="008B264F"/>
    <w:rsid w:val="008B6F83"/>
    <w:rsid w:val="008B7FD8"/>
    <w:rsid w:val="008C2973"/>
    <w:rsid w:val="008C6324"/>
    <w:rsid w:val="008C64C4"/>
    <w:rsid w:val="008D74D5"/>
    <w:rsid w:val="008E3A07"/>
    <w:rsid w:val="008E537B"/>
    <w:rsid w:val="008F29BE"/>
    <w:rsid w:val="008F4AE5"/>
    <w:rsid w:val="008F51EB"/>
    <w:rsid w:val="00900197"/>
    <w:rsid w:val="00902F55"/>
    <w:rsid w:val="0090582B"/>
    <w:rsid w:val="009060C0"/>
    <w:rsid w:val="009133F5"/>
    <w:rsid w:val="0091756F"/>
    <w:rsid w:val="00920A27"/>
    <w:rsid w:val="00921216"/>
    <w:rsid w:val="009216CC"/>
    <w:rsid w:val="00926083"/>
    <w:rsid w:val="00930D08"/>
    <w:rsid w:val="00931466"/>
    <w:rsid w:val="00932D69"/>
    <w:rsid w:val="00935589"/>
    <w:rsid w:val="00944647"/>
    <w:rsid w:val="0095565C"/>
    <w:rsid w:val="00966F9A"/>
    <w:rsid w:val="00977B8A"/>
    <w:rsid w:val="00981B97"/>
    <w:rsid w:val="00982971"/>
    <w:rsid w:val="009845AD"/>
    <w:rsid w:val="00984835"/>
    <w:rsid w:val="009933EF"/>
    <w:rsid w:val="00995BA0"/>
    <w:rsid w:val="009A418B"/>
    <w:rsid w:val="009A426F"/>
    <w:rsid w:val="009A42D5"/>
    <w:rsid w:val="009A4473"/>
    <w:rsid w:val="009B05C9"/>
    <w:rsid w:val="009B286C"/>
    <w:rsid w:val="009C151C"/>
    <w:rsid w:val="009C440A"/>
    <w:rsid w:val="009D5125"/>
    <w:rsid w:val="009D60B8"/>
    <w:rsid w:val="009D7D4B"/>
    <w:rsid w:val="009E36ED"/>
    <w:rsid w:val="009E3C8C"/>
    <w:rsid w:val="009E6B77"/>
    <w:rsid w:val="009F460A"/>
    <w:rsid w:val="00A043FB"/>
    <w:rsid w:val="00A06BE4"/>
    <w:rsid w:val="00A0729C"/>
    <w:rsid w:val="00A07779"/>
    <w:rsid w:val="00A1166A"/>
    <w:rsid w:val="00A20B2E"/>
    <w:rsid w:val="00A24F33"/>
    <w:rsid w:val="00A25069"/>
    <w:rsid w:val="00A26E6B"/>
    <w:rsid w:val="00A3068F"/>
    <w:rsid w:val="00A3145B"/>
    <w:rsid w:val="00A339D0"/>
    <w:rsid w:val="00A41002"/>
    <w:rsid w:val="00A4201A"/>
    <w:rsid w:val="00A5465D"/>
    <w:rsid w:val="00A553CE"/>
    <w:rsid w:val="00A5677A"/>
    <w:rsid w:val="00A56DCC"/>
    <w:rsid w:val="00A625E8"/>
    <w:rsid w:val="00A63DFF"/>
    <w:rsid w:val="00A6490D"/>
    <w:rsid w:val="00A7415D"/>
    <w:rsid w:val="00A80363"/>
    <w:rsid w:val="00A80939"/>
    <w:rsid w:val="00A83E9D"/>
    <w:rsid w:val="00A87C05"/>
    <w:rsid w:val="00A9169D"/>
    <w:rsid w:val="00A97FA6"/>
    <w:rsid w:val="00AA240C"/>
    <w:rsid w:val="00AC101C"/>
    <w:rsid w:val="00AD4CF1"/>
    <w:rsid w:val="00AD5988"/>
    <w:rsid w:val="00AF77BE"/>
    <w:rsid w:val="00AF7800"/>
    <w:rsid w:val="00B00CF5"/>
    <w:rsid w:val="00B072E0"/>
    <w:rsid w:val="00B1007E"/>
    <w:rsid w:val="00B253F6"/>
    <w:rsid w:val="00B26675"/>
    <w:rsid w:val="00B305DB"/>
    <w:rsid w:val="00B332F8"/>
    <w:rsid w:val="00B3492B"/>
    <w:rsid w:val="00B4646F"/>
    <w:rsid w:val="00B55C7D"/>
    <w:rsid w:val="00B63038"/>
    <w:rsid w:val="00B64BD8"/>
    <w:rsid w:val="00B701D1"/>
    <w:rsid w:val="00B73AF2"/>
    <w:rsid w:val="00B7551A"/>
    <w:rsid w:val="00B773F1"/>
    <w:rsid w:val="00B86AB1"/>
    <w:rsid w:val="00BB2A06"/>
    <w:rsid w:val="00BB2CBB"/>
    <w:rsid w:val="00BB4198"/>
    <w:rsid w:val="00BC03EE"/>
    <w:rsid w:val="00BC59F1"/>
    <w:rsid w:val="00BD1770"/>
    <w:rsid w:val="00BD646D"/>
    <w:rsid w:val="00BF3DE1"/>
    <w:rsid w:val="00BF4843"/>
    <w:rsid w:val="00BF5205"/>
    <w:rsid w:val="00C05132"/>
    <w:rsid w:val="00C0527E"/>
    <w:rsid w:val="00C12508"/>
    <w:rsid w:val="00C23728"/>
    <w:rsid w:val="00C313A9"/>
    <w:rsid w:val="00C441CF"/>
    <w:rsid w:val="00C45AA2"/>
    <w:rsid w:val="00C4792C"/>
    <w:rsid w:val="00C55BEF"/>
    <w:rsid w:val="00C601AF"/>
    <w:rsid w:val="00C61A63"/>
    <w:rsid w:val="00C66296"/>
    <w:rsid w:val="00C7394D"/>
    <w:rsid w:val="00C77282"/>
    <w:rsid w:val="00C84DE5"/>
    <w:rsid w:val="00C86248"/>
    <w:rsid w:val="00C90B31"/>
    <w:rsid w:val="00CA4C33"/>
    <w:rsid w:val="00CA6F4A"/>
    <w:rsid w:val="00CB6427"/>
    <w:rsid w:val="00CC0FBE"/>
    <w:rsid w:val="00CC5E50"/>
    <w:rsid w:val="00CD2119"/>
    <w:rsid w:val="00CD237A"/>
    <w:rsid w:val="00CD36AC"/>
    <w:rsid w:val="00CE13A3"/>
    <w:rsid w:val="00CE36BC"/>
    <w:rsid w:val="00CF1747"/>
    <w:rsid w:val="00CF60ED"/>
    <w:rsid w:val="00D05D74"/>
    <w:rsid w:val="00D20C59"/>
    <w:rsid w:val="00D23323"/>
    <w:rsid w:val="00D2392A"/>
    <w:rsid w:val="00D25FFE"/>
    <w:rsid w:val="00D4476F"/>
    <w:rsid w:val="00D50573"/>
    <w:rsid w:val="00D54D50"/>
    <w:rsid w:val="00D560B4"/>
    <w:rsid w:val="00D662F8"/>
    <w:rsid w:val="00D66797"/>
    <w:rsid w:val="00D7087C"/>
    <w:rsid w:val="00D70C3C"/>
    <w:rsid w:val="00D71DF7"/>
    <w:rsid w:val="00D72BE5"/>
    <w:rsid w:val="00D81462"/>
    <w:rsid w:val="00D82F26"/>
    <w:rsid w:val="00D863D0"/>
    <w:rsid w:val="00D86FB9"/>
    <w:rsid w:val="00D87C87"/>
    <w:rsid w:val="00D90BB4"/>
    <w:rsid w:val="00D90E07"/>
    <w:rsid w:val="00D932C2"/>
    <w:rsid w:val="00DB39CF"/>
    <w:rsid w:val="00DB7256"/>
    <w:rsid w:val="00DC0401"/>
    <w:rsid w:val="00DC20BD"/>
    <w:rsid w:val="00DC48AB"/>
    <w:rsid w:val="00DD0BCD"/>
    <w:rsid w:val="00DD447A"/>
    <w:rsid w:val="00DE3B20"/>
    <w:rsid w:val="00DE6C94"/>
    <w:rsid w:val="00DE6FD7"/>
    <w:rsid w:val="00E23271"/>
    <w:rsid w:val="00E24F80"/>
    <w:rsid w:val="00E259F3"/>
    <w:rsid w:val="00E27ECF"/>
    <w:rsid w:val="00E30985"/>
    <w:rsid w:val="00E33238"/>
    <w:rsid w:val="00E376B7"/>
    <w:rsid w:val="00E4486C"/>
    <w:rsid w:val="00E460B6"/>
    <w:rsid w:val="00E511D5"/>
    <w:rsid w:val="00E60249"/>
    <w:rsid w:val="00E65269"/>
    <w:rsid w:val="00E702EB"/>
    <w:rsid w:val="00E76D66"/>
    <w:rsid w:val="00EA796A"/>
    <w:rsid w:val="00EB1856"/>
    <w:rsid w:val="00EC50CE"/>
    <w:rsid w:val="00EC5B34"/>
    <w:rsid w:val="00ED021E"/>
    <w:rsid w:val="00ED323C"/>
    <w:rsid w:val="00EE2D5C"/>
    <w:rsid w:val="00EE4ADE"/>
    <w:rsid w:val="00EE4DE8"/>
    <w:rsid w:val="00EE5CB7"/>
    <w:rsid w:val="00F024FE"/>
    <w:rsid w:val="00F05AD4"/>
    <w:rsid w:val="00F10EB6"/>
    <w:rsid w:val="00F13F07"/>
    <w:rsid w:val="00F140B2"/>
    <w:rsid w:val="00F25970"/>
    <w:rsid w:val="00F311A9"/>
    <w:rsid w:val="00F5180D"/>
    <w:rsid w:val="00F51E27"/>
    <w:rsid w:val="00F63781"/>
    <w:rsid w:val="00F67496"/>
    <w:rsid w:val="00F801BA"/>
    <w:rsid w:val="00F86656"/>
    <w:rsid w:val="00F9366A"/>
    <w:rsid w:val="00F946C9"/>
    <w:rsid w:val="00FA0EA5"/>
    <w:rsid w:val="00FA74EE"/>
    <w:rsid w:val="00FC3711"/>
    <w:rsid w:val="00FC46E7"/>
    <w:rsid w:val="00FC5D25"/>
    <w:rsid w:val="00FD0D7E"/>
    <w:rsid w:val="00FD4FFB"/>
    <w:rsid w:val="00FE6E13"/>
    <w:rsid w:val="00FF15F6"/>
    <w:rsid w:val="00FF527C"/>
    <w:rsid w:val="00FF65C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A712DE8-FF8E-49C8-8517-B45878E63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iPriority="0" w:unhideWhenUsed="1" w:qFormat="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362D"/>
    <w:rPr>
      <w:rFonts w:ascii="Segoe UI" w:hAnsi="Segoe UI"/>
      <w:sz w:val="21"/>
      <w:lang w:eastAsia="en-GB"/>
    </w:rPr>
  </w:style>
  <w:style w:type="paragraph" w:styleId="Heading1">
    <w:name w:val="heading 1"/>
    <w:basedOn w:val="Normal"/>
    <w:next w:val="Normal"/>
    <w:link w:val="Heading1Char"/>
    <w:uiPriority w:val="1"/>
    <w:qFormat/>
    <w:rsid w:val="00030E84"/>
    <w:pPr>
      <w:keepNext/>
      <w:spacing w:before="600" w:after="360"/>
      <w:outlineLvl w:val="0"/>
    </w:pPr>
    <w:rPr>
      <w:rFonts w:ascii="Georgia" w:hAnsi="Georgia"/>
      <w:color w:val="23305D"/>
      <w:spacing w:val="-10"/>
      <w:sz w:val="72"/>
    </w:rPr>
  </w:style>
  <w:style w:type="paragraph" w:styleId="Heading2">
    <w:name w:val="heading 2"/>
    <w:basedOn w:val="Normal"/>
    <w:next w:val="Normal"/>
    <w:link w:val="Heading2Char"/>
    <w:uiPriority w:val="1"/>
    <w:qFormat/>
    <w:rsid w:val="00030E84"/>
    <w:pPr>
      <w:keepNext/>
      <w:spacing w:before="480" w:after="180"/>
      <w:outlineLvl w:val="1"/>
    </w:pPr>
    <w:rPr>
      <w:b/>
      <w:color w:val="0A6AB4"/>
      <w:spacing w:val="-5"/>
      <w:sz w:val="48"/>
    </w:rPr>
  </w:style>
  <w:style w:type="paragraph" w:styleId="Heading3">
    <w:name w:val="heading 3"/>
    <w:basedOn w:val="Normal"/>
    <w:next w:val="Normal"/>
    <w:link w:val="Heading3Char"/>
    <w:uiPriority w:val="1"/>
    <w:qFormat/>
    <w:rsid w:val="00030E84"/>
    <w:pPr>
      <w:keepNext/>
      <w:spacing w:before="360" w:after="180"/>
      <w:outlineLvl w:val="2"/>
    </w:pPr>
    <w:rPr>
      <w:color w:val="0A6AB4"/>
      <w:spacing w:val="-5"/>
      <w:sz w:val="36"/>
    </w:rPr>
  </w:style>
  <w:style w:type="paragraph" w:styleId="Heading4">
    <w:name w:val="heading 4"/>
    <w:basedOn w:val="Normal"/>
    <w:next w:val="Normal"/>
    <w:link w:val="Heading4Char"/>
    <w:uiPriority w:val="1"/>
    <w:qFormat/>
    <w:rsid w:val="00030E84"/>
    <w:pPr>
      <w:keepNext/>
      <w:spacing w:before="240" w:after="120"/>
      <w:outlineLvl w:val="3"/>
    </w:pPr>
    <w:rPr>
      <w:color w:val="0A6AB4"/>
      <w:sz w:val="28"/>
    </w:rPr>
  </w:style>
  <w:style w:type="paragraph" w:styleId="Heading5">
    <w:name w:val="heading 5"/>
    <w:basedOn w:val="Normal"/>
    <w:next w:val="Normal"/>
    <w:link w:val="Heading5Char"/>
    <w:uiPriority w:val="1"/>
    <w:qFormat/>
    <w:rsid w:val="00B00CF5"/>
    <w:pPr>
      <w:keepNext/>
      <w:spacing w:before="120" w:after="120"/>
      <w:outlineLvl w:val="4"/>
    </w:pPr>
    <w:rPr>
      <w:color w:val="0A6AB4"/>
      <w:sz w:val="24"/>
    </w:rPr>
  </w:style>
  <w:style w:type="paragraph" w:styleId="Heading6">
    <w:name w:val="heading 6"/>
    <w:basedOn w:val="Normal"/>
    <w:next w:val="Normal"/>
    <w:link w:val="Heading6Char"/>
    <w:uiPriority w:val="1"/>
    <w:unhideWhenUsed/>
    <w:qFormat/>
    <w:rsid w:val="00122363"/>
    <w:pPr>
      <w:keepNext/>
      <w:keepLines/>
      <w:spacing w:before="200" w:after="120" w:line="276" w:lineRule="auto"/>
      <w:ind w:left="1152" w:hanging="1152"/>
      <w:outlineLvl w:val="5"/>
    </w:pPr>
    <w:rPr>
      <w:rFonts w:ascii="Calibri" w:eastAsia="MS Gothic" w:hAnsi="Calibri"/>
      <w:i/>
      <w:iCs/>
      <w:color w:val="243F60"/>
      <w:szCs w:val="24"/>
      <w:lang w:val="en-GB" w:eastAsia="en-US"/>
    </w:rPr>
  </w:style>
  <w:style w:type="paragraph" w:styleId="Heading7">
    <w:name w:val="heading 7"/>
    <w:basedOn w:val="Normal"/>
    <w:next w:val="Normal"/>
    <w:link w:val="Heading7Char"/>
    <w:uiPriority w:val="1"/>
    <w:unhideWhenUsed/>
    <w:qFormat/>
    <w:rsid w:val="00122363"/>
    <w:pPr>
      <w:keepNext/>
      <w:keepLines/>
      <w:spacing w:before="200" w:after="120" w:line="276" w:lineRule="auto"/>
      <w:ind w:left="1296" w:hanging="1296"/>
      <w:outlineLvl w:val="6"/>
    </w:pPr>
    <w:rPr>
      <w:rFonts w:ascii="Calibri" w:eastAsia="MS Gothic" w:hAnsi="Calibri"/>
      <w:i/>
      <w:iCs/>
      <w:color w:val="404040"/>
      <w:szCs w:val="24"/>
      <w:lang w:val="en-GB" w:eastAsia="en-US"/>
    </w:rPr>
  </w:style>
  <w:style w:type="paragraph" w:styleId="Heading8">
    <w:name w:val="heading 8"/>
    <w:basedOn w:val="Normal"/>
    <w:next w:val="Normal"/>
    <w:link w:val="Heading8Char"/>
    <w:uiPriority w:val="1"/>
    <w:unhideWhenUsed/>
    <w:qFormat/>
    <w:rsid w:val="00030E84"/>
    <w:pPr>
      <w:keepNext/>
      <w:keepLines/>
      <w:spacing w:before="480" w:after="240"/>
      <w:outlineLvl w:val="7"/>
    </w:pPr>
    <w:rPr>
      <w:rFonts w:eastAsia="MS Gothic"/>
      <w:color w:val="0A6AB4"/>
      <w:spacing w:val="-10"/>
      <w:sz w:val="36"/>
      <w:szCs w:val="24"/>
      <w:lang w:eastAsia="en-US"/>
    </w:rPr>
  </w:style>
  <w:style w:type="paragraph" w:styleId="Heading9">
    <w:name w:val="heading 9"/>
    <w:basedOn w:val="Normal"/>
    <w:next w:val="Normal"/>
    <w:link w:val="Heading9Char"/>
    <w:uiPriority w:val="1"/>
    <w:unhideWhenUsed/>
    <w:qFormat/>
    <w:rsid w:val="00122363"/>
    <w:pPr>
      <w:keepNext/>
      <w:keepLines/>
      <w:spacing w:before="200" w:after="120" w:line="276" w:lineRule="auto"/>
      <w:ind w:left="1584" w:hanging="1584"/>
      <w:outlineLvl w:val="8"/>
    </w:pPr>
    <w:rPr>
      <w:rFonts w:ascii="Calibri" w:eastAsia="MS Gothic" w:hAnsi="Calibri"/>
      <w:i/>
      <w:iCs/>
      <w:color w:val="404040"/>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uiPriority w:val="39"/>
    <w:qFormat/>
    <w:rsid w:val="001D3E4E"/>
    <w:pPr>
      <w:tabs>
        <w:tab w:val="right" w:pos="8080"/>
      </w:tabs>
      <w:spacing w:before="300"/>
      <w:ind w:right="567"/>
    </w:pPr>
    <w:rPr>
      <w:rFonts w:ascii="Segoe UI Semibold" w:hAnsi="Segoe UI Semibold"/>
      <w:sz w:val="24"/>
    </w:rPr>
  </w:style>
  <w:style w:type="paragraph" w:styleId="TOC2">
    <w:name w:val="toc 2"/>
    <w:basedOn w:val="Normal"/>
    <w:next w:val="Normal"/>
    <w:uiPriority w:val="39"/>
    <w:qFormat/>
    <w:rsid w:val="003D229F"/>
    <w:pPr>
      <w:tabs>
        <w:tab w:val="right" w:pos="8080"/>
      </w:tabs>
      <w:spacing w:before="90"/>
      <w:ind w:left="284" w:right="567"/>
    </w:pPr>
    <w:rPr>
      <w:sz w:val="22"/>
    </w:rPr>
  </w:style>
  <w:style w:type="paragraph" w:styleId="TOC3">
    <w:name w:val="toc 3"/>
    <w:basedOn w:val="Normal"/>
    <w:next w:val="Normal"/>
    <w:rsid w:val="002B76A7"/>
    <w:pPr>
      <w:tabs>
        <w:tab w:val="right" w:pos="8080"/>
      </w:tabs>
      <w:spacing w:before="120"/>
      <w:ind w:left="1276" w:right="567" w:hanging="1276"/>
    </w:pPr>
  </w:style>
  <w:style w:type="paragraph" w:customStyle="1" w:styleId="Bullet">
    <w:name w:val="Bullet"/>
    <w:basedOn w:val="Normal"/>
    <w:qFormat/>
    <w:rsid w:val="00FA0EA5"/>
    <w:pPr>
      <w:numPr>
        <w:numId w:val="1"/>
      </w:numPr>
      <w:tabs>
        <w:tab w:val="clear" w:pos="284"/>
      </w:tabs>
      <w:spacing w:before="90"/>
    </w:pPr>
  </w:style>
  <w:style w:type="paragraph" w:styleId="Quote">
    <w:name w:val="Quote"/>
    <w:basedOn w:val="Normal"/>
    <w:next w:val="Normal"/>
    <w:link w:val="QuoteChar"/>
    <w:qFormat/>
    <w:pPr>
      <w:spacing w:before="120"/>
      <w:ind w:left="284" w:right="284"/>
    </w:pPr>
  </w:style>
  <w:style w:type="paragraph" w:styleId="FootnoteText">
    <w:name w:val="footnote text"/>
    <w:basedOn w:val="Normal"/>
    <w:link w:val="FootnoteTextChar"/>
    <w:rsid w:val="00A7415D"/>
    <w:pPr>
      <w:spacing w:before="60" w:line="228" w:lineRule="auto"/>
      <w:ind w:left="284" w:hanging="284"/>
    </w:pPr>
    <w:rPr>
      <w:sz w:val="17"/>
    </w:rPr>
  </w:style>
  <w:style w:type="paragraph" w:styleId="Header">
    <w:name w:val="header"/>
    <w:basedOn w:val="Normal"/>
    <w:link w:val="HeaderChar"/>
    <w:qFormat/>
    <w:rsid w:val="00D25FFE"/>
  </w:style>
  <w:style w:type="paragraph" w:styleId="Title">
    <w:name w:val="Title"/>
    <w:basedOn w:val="Normal"/>
    <w:next w:val="Normal"/>
    <w:link w:val="TitleChar"/>
    <w:uiPriority w:val="99"/>
    <w:qFormat/>
    <w:rsid w:val="005A79E5"/>
    <w:pPr>
      <w:spacing w:line="216" w:lineRule="auto"/>
      <w:ind w:right="3402"/>
    </w:pPr>
    <w:rPr>
      <w:rFonts w:ascii="Segoe UI Black" w:hAnsi="Segoe UI Black" w:cs="Lucida Sans Unicode"/>
      <w:b/>
      <w:sz w:val="72"/>
      <w:szCs w:val="72"/>
    </w:rPr>
  </w:style>
  <w:style w:type="paragraph" w:customStyle="1" w:styleId="Imprint">
    <w:name w:val="Imprint"/>
    <w:basedOn w:val="Normal"/>
    <w:next w:val="Normal"/>
    <w:qFormat/>
    <w:rsid w:val="00C05132"/>
    <w:pPr>
      <w:spacing w:after="240"/>
    </w:pPr>
    <w:rPr>
      <w:sz w:val="20"/>
    </w:rPr>
  </w:style>
  <w:style w:type="paragraph" w:styleId="Footer">
    <w:name w:val="footer"/>
    <w:basedOn w:val="Normal"/>
    <w:link w:val="FooterChar"/>
    <w:qFormat/>
    <w:rsid w:val="000762A4"/>
  </w:style>
  <w:style w:type="character" w:styleId="PageNumber">
    <w:name w:val="page number"/>
    <w:rsid w:val="007A067F"/>
    <w:rPr>
      <w:rFonts w:ascii="Segoe UI" w:hAnsi="Segoe UI"/>
      <w:b/>
      <w:sz w:val="22"/>
    </w:rPr>
  </w:style>
  <w:style w:type="paragraph" w:customStyle="1" w:styleId="VersoFooter">
    <w:name w:val="Verso Footer"/>
    <w:basedOn w:val="Footer"/>
    <w:rsid w:val="00571223"/>
    <w:rPr>
      <w:sz w:val="15"/>
    </w:rPr>
  </w:style>
  <w:style w:type="paragraph" w:customStyle="1" w:styleId="RectoFooter">
    <w:name w:val="Recto Footer"/>
    <w:basedOn w:val="Footer"/>
    <w:rsid w:val="00581EB8"/>
    <w:pPr>
      <w:jc w:val="right"/>
    </w:pPr>
    <w:rPr>
      <w:caps/>
      <w:sz w:val="15"/>
    </w:rPr>
  </w:style>
  <w:style w:type="paragraph" w:customStyle="1" w:styleId="Figure">
    <w:name w:val="Figure"/>
    <w:basedOn w:val="Normal"/>
    <w:next w:val="Normal"/>
    <w:qFormat/>
    <w:rsid w:val="009133F5"/>
    <w:pPr>
      <w:keepNext/>
      <w:spacing w:before="120" w:after="120"/>
    </w:pPr>
    <w:rPr>
      <w:b/>
      <w:sz w:val="20"/>
    </w:rPr>
  </w:style>
  <w:style w:type="character" w:styleId="FootnoteReference">
    <w:name w:val="footnote reference"/>
    <w:rPr>
      <w:vertAlign w:val="superscript"/>
    </w:rPr>
  </w:style>
  <w:style w:type="paragraph" w:customStyle="1" w:styleId="Table">
    <w:name w:val="Table"/>
    <w:basedOn w:val="Figure"/>
    <w:qFormat/>
    <w:rsid w:val="00642868"/>
  </w:style>
  <w:style w:type="paragraph" w:customStyle="1" w:styleId="Dash">
    <w:name w:val="Dash"/>
    <w:basedOn w:val="Bullet"/>
    <w:qFormat/>
    <w:rsid w:val="00702854"/>
    <w:pPr>
      <w:numPr>
        <w:numId w:val="3"/>
      </w:numPr>
      <w:spacing w:before="60"/>
    </w:pPr>
  </w:style>
  <w:style w:type="paragraph" w:customStyle="1" w:styleId="TableText">
    <w:name w:val="TableText"/>
    <w:basedOn w:val="Normal"/>
    <w:qFormat/>
    <w:rsid w:val="009C440A"/>
    <w:pPr>
      <w:spacing w:before="60" w:after="60"/>
    </w:pPr>
    <w:rPr>
      <w:sz w:val="18"/>
    </w:rPr>
  </w:style>
  <w:style w:type="paragraph" w:customStyle="1" w:styleId="TableBullet">
    <w:name w:val="TableBullet"/>
    <w:basedOn w:val="TableText"/>
    <w:qFormat/>
    <w:rsid w:val="00B73AF2"/>
    <w:pPr>
      <w:numPr>
        <w:numId w:val="5"/>
      </w:numPr>
      <w:spacing w:before="0"/>
    </w:pPr>
  </w:style>
  <w:style w:type="paragraph" w:customStyle="1" w:styleId="Box">
    <w:name w:val="Box"/>
    <w:basedOn w:val="Normal"/>
    <w:qFormat/>
    <w:pPr>
      <w:pBdr>
        <w:top w:val="single" w:sz="4" w:space="12" w:color="auto"/>
        <w:left w:val="single" w:sz="4" w:space="12" w:color="auto"/>
        <w:bottom w:val="single" w:sz="4" w:space="12" w:color="auto"/>
        <w:right w:val="single" w:sz="4" w:space="12" w:color="auto"/>
      </w:pBdr>
      <w:spacing w:before="120"/>
      <w:ind w:left="284" w:right="284"/>
    </w:pPr>
  </w:style>
  <w:style w:type="paragraph" w:customStyle="1" w:styleId="BoxHeading">
    <w:name w:val="BoxHeading"/>
    <w:basedOn w:val="Normal"/>
    <w:qFormat/>
    <w:rsid w:val="00E30985"/>
    <w:pPr>
      <w:spacing w:before="240" w:line="264" w:lineRule="auto"/>
    </w:pPr>
    <w:rPr>
      <w:b/>
      <w:color w:val="FFFFFF" w:themeColor="background1"/>
      <w:sz w:val="24"/>
      <w:szCs w:val="24"/>
    </w:rPr>
  </w:style>
  <w:style w:type="paragraph" w:customStyle="1" w:styleId="BoxBullet">
    <w:name w:val="BoxBullet"/>
    <w:basedOn w:val="Bullet"/>
    <w:qFormat/>
    <w:rsid w:val="00E30985"/>
    <w:pPr>
      <w:spacing w:line="264" w:lineRule="auto"/>
    </w:pPr>
    <w:rPr>
      <w:color w:val="FFFFFF" w:themeColor="background1"/>
    </w:rPr>
  </w:style>
  <w:style w:type="paragraph" w:customStyle="1" w:styleId="IntroHead">
    <w:name w:val="IntroHead"/>
    <w:basedOn w:val="Heading1"/>
    <w:next w:val="Normal"/>
    <w:qFormat/>
    <w:rsid w:val="001D3E4E"/>
    <w:pPr>
      <w:spacing w:before="0"/>
      <w:outlineLvl w:val="9"/>
    </w:pPr>
  </w:style>
  <w:style w:type="paragraph" w:customStyle="1" w:styleId="Source">
    <w:name w:val="Source"/>
    <w:basedOn w:val="Note"/>
    <w:next w:val="Normal"/>
    <w:qFormat/>
    <w:rsid w:val="0012053C"/>
  </w:style>
  <w:style w:type="paragraph" w:customStyle="1" w:styleId="Note">
    <w:name w:val="Note"/>
    <w:basedOn w:val="Normal"/>
    <w:next w:val="Normal"/>
    <w:link w:val="NoteChar"/>
    <w:qFormat/>
    <w:rsid w:val="00A87C05"/>
    <w:pPr>
      <w:spacing w:before="80"/>
    </w:pPr>
    <w:rPr>
      <w:sz w:val="17"/>
    </w:rPr>
  </w:style>
  <w:style w:type="paragraph" w:customStyle="1" w:styleId="Subhead">
    <w:name w:val="Subhead"/>
    <w:basedOn w:val="Normal"/>
    <w:next w:val="Normal"/>
    <w:qFormat/>
    <w:rsid w:val="005A79E5"/>
    <w:pPr>
      <w:spacing w:before="840"/>
      <w:ind w:right="3402"/>
    </w:pPr>
    <w:rPr>
      <w:rFonts w:ascii="Segoe UI Semibold" w:hAnsi="Segoe UI Semibold" w:cs="Segoe UI Semibold"/>
      <w:sz w:val="26"/>
      <w:szCs w:val="26"/>
    </w:rPr>
  </w:style>
  <w:style w:type="character" w:styleId="Hyperlink">
    <w:name w:val="Hyperlink"/>
    <w:rsid w:val="003309CA"/>
    <w:rPr>
      <w:b/>
      <w:color w:val="595959" w:themeColor="text1" w:themeTint="A6"/>
      <w:u w:val="none"/>
    </w:rPr>
  </w:style>
  <w:style w:type="paragraph" w:customStyle="1" w:styleId="References">
    <w:name w:val="References"/>
    <w:basedOn w:val="Normal"/>
    <w:qFormat/>
    <w:rsid w:val="001460E0"/>
    <w:pPr>
      <w:spacing w:after="180"/>
    </w:pPr>
  </w:style>
  <w:style w:type="paragraph" w:customStyle="1" w:styleId="TableDash">
    <w:name w:val="TableDash"/>
    <w:basedOn w:val="TableText"/>
    <w:qFormat/>
    <w:rsid w:val="0010541C"/>
    <w:pPr>
      <w:numPr>
        <w:numId w:val="4"/>
      </w:numPr>
      <w:spacing w:before="40" w:after="0"/>
    </w:pPr>
    <w:rPr>
      <w:szCs w:val="22"/>
    </w:rPr>
  </w:style>
  <w:style w:type="character" w:customStyle="1" w:styleId="NoteChar">
    <w:name w:val="Note Char"/>
    <w:link w:val="Note"/>
    <w:rsid w:val="00A87C05"/>
    <w:rPr>
      <w:rFonts w:ascii="Segoe UI" w:hAnsi="Segoe UI"/>
      <w:sz w:val="17"/>
      <w:lang w:eastAsia="en-GB"/>
    </w:rPr>
  </w:style>
  <w:style w:type="character" w:customStyle="1" w:styleId="FootnoteTextChar">
    <w:name w:val="Footnote Text Char"/>
    <w:link w:val="FootnoteText"/>
    <w:rsid w:val="00A7415D"/>
    <w:rPr>
      <w:rFonts w:ascii="Segoe UI" w:hAnsi="Segoe UI"/>
      <w:sz w:val="17"/>
      <w:lang w:eastAsia="en-GB"/>
    </w:rPr>
  </w:style>
  <w:style w:type="table" w:styleId="TableGrid">
    <w:name w:val="Table Grid"/>
    <w:basedOn w:val="TableNormal"/>
    <w:uiPriority w:val="39"/>
    <w:rsid w:val="00503749"/>
    <w:pPr>
      <w:spacing w:line="264"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link w:val="Header"/>
    <w:uiPriority w:val="99"/>
    <w:rsid w:val="0086388B"/>
    <w:rPr>
      <w:rFonts w:ascii="Georgia" w:hAnsi="Georgia"/>
      <w:sz w:val="22"/>
      <w:lang w:eastAsia="en-GB"/>
    </w:rPr>
  </w:style>
  <w:style w:type="character" w:customStyle="1" w:styleId="FooterChar">
    <w:name w:val="Footer Char"/>
    <w:link w:val="Footer"/>
    <w:rsid w:val="000762A4"/>
    <w:rPr>
      <w:rFonts w:ascii="Segoe UI" w:hAnsi="Segoe UI"/>
      <w:sz w:val="21"/>
      <w:lang w:eastAsia="en-GB"/>
    </w:rPr>
  </w:style>
  <w:style w:type="character" w:customStyle="1" w:styleId="Heading1Char">
    <w:name w:val="Heading 1 Char"/>
    <w:link w:val="Heading1"/>
    <w:uiPriority w:val="1"/>
    <w:rsid w:val="00030E84"/>
    <w:rPr>
      <w:rFonts w:ascii="Georgia" w:hAnsi="Georgia"/>
      <w:color w:val="23305D"/>
      <w:spacing w:val="-10"/>
      <w:sz w:val="72"/>
      <w:lang w:eastAsia="en-GB"/>
    </w:rPr>
  </w:style>
  <w:style w:type="paragraph" w:styleId="Revision">
    <w:name w:val="Revision"/>
    <w:hidden/>
    <w:uiPriority w:val="99"/>
    <w:rsid w:val="0086388B"/>
    <w:rPr>
      <w:rFonts w:ascii="Calibri" w:eastAsia="Calibri" w:hAnsi="Calibri"/>
      <w:sz w:val="22"/>
      <w:szCs w:val="22"/>
      <w:lang w:val="en-US" w:eastAsia="en-US"/>
    </w:rPr>
  </w:style>
  <w:style w:type="character" w:customStyle="1" w:styleId="Heading2Char">
    <w:name w:val="Heading 2 Char"/>
    <w:link w:val="Heading2"/>
    <w:uiPriority w:val="1"/>
    <w:rsid w:val="00030E84"/>
    <w:rPr>
      <w:rFonts w:ascii="Segoe UI" w:hAnsi="Segoe UI"/>
      <w:b/>
      <w:color w:val="0A6AB4"/>
      <w:spacing w:val="-5"/>
      <w:sz w:val="48"/>
      <w:lang w:eastAsia="en-GB"/>
    </w:rPr>
  </w:style>
  <w:style w:type="character" w:customStyle="1" w:styleId="Heading3Char">
    <w:name w:val="Heading 3 Char"/>
    <w:link w:val="Heading3"/>
    <w:uiPriority w:val="1"/>
    <w:rsid w:val="00030E84"/>
    <w:rPr>
      <w:rFonts w:ascii="Segoe UI" w:hAnsi="Segoe UI"/>
      <w:color w:val="0A6AB4"/>
      <w:spacing w:val="-5"/>
      <w:sz w:val="36"/>
      <w:lang w:eastAsia="en-GB"/>
    </w:rPr>
  </w:style>
  <w:style w:type="paragraph" w:customStyle="1" w:styleId="Year">
    <w:name w:val="Year"/>
    <w:basedOn w:val="Subhead"/>
    <w:next w:val="Subhead"/>
    <w:qFormat/>
    <w:rsid w:val="008E3A07"/>
    <w:pPr>
      <w:pBdr>
        <w:bottom w:val="single" w:sz="48" w:space="6" w:color="auto"/>
      </w:pBdr>
    </w:pPr>
    <w:rPr>
      <w:sz w:val="56"/>
    </w:rPr>
  </w:style>
  <w:style w:type="character" w:customStyle="1" w:styleId="Heading6Char">
    <w:name w:val="Heading 6 Char"/>
    <w:basedOn w:val="DefaultParagraphFont"/>
    <w:link w:val="Heading6"/>
    <w:rsid w:val="00122363"/>
    <w:rPr>
      <w:rFonts w:ascii="Calibri" w:eastAsia="MS Gothic" w:hAnsi="Calibri"/>
      <w:i/>
      <w:iCs/>
      <w:color w:val="243F60"/>
      <w:sz w:val="22"/>
      <w:szCs w:val="24"/>
      <w:lang w:val="en-GB" w:eastAsia="en-US"/>
    </w:rPr>
  </w:style>
  <w:style w:type="character" w:customStyle="1" w:styleId="Heading7Char">
    <w:name w:val="Heading 7 Char"/>
    <w:basedOn w:val="DefaultParagraphFont"/>
    <w:link w:val="Heading7"/>
    <w:rsid w:val="00122363"/>
    <w:rPr>
      <w:rFonts w:ascii="Calibri" w:eastAsia="MS Gothic" w:hAnsi="Calibri"/>
      <w:i/>
      <w:iCs/>
      <w:color w:val="404040"/>
      <w:sz w:val="22"/>
      <w:szCs w:val="24"/>
      <w:lang w:val="en-GB" w:eastAsia="en-US"/>
    </w:rPr>
  </w:style>
  <w:style w:type="character" w:customStyle="1" w:styleId="Heading8Char">
    <w:name w:val="Heading 8 Char"/>
    <w:basedOn w:val="DefaultParagraphFont"/>
    <w:link w:val="Heading8"/>
    <w:uiPriority w:val="1"/>
    <w:rsid w:val="00030E84"/>
    <w:rPr>
      <w:rFonts w:ascii="Segoe UI" w:eastAsia="MS Gothic" w:hAnsi="Segoe UI"/>
      <w:color w:val="0A6AB4"/>
      <w:spacing w:val="-10"/>
      <w:sz w:val="36"/>
      <w:szCs w:val="24"/>
      <w:lang w:eastAsia="en-US"/>
    </w:rPr>
  </w:style>
  <w:style w:type="character" w:customStyle="1" w:styleId="Heading9Char">
    <w:name w:val="Heading 9 Char"/>
    <w:basedOn w:val="DefaultParagraphFont"/>
    <w:link w:val="Heading9"/>
    <w:rsid w:val="00122363"/>
    <w:rPr>
      <w:rFonts w:ascii="Calibri" w:eastAsia="MS Gothic" w:hAnsi="Calibri"/>
      <w:i/>
      <w:iCs/>
      <w:color w:val="404040"/>
      <w:sz w:val="22"/>
      <w:szCs w:val="24"/>
      <w:lang w:val="en-GB" w:eastAsia="en-US"/>
    </w:rPr>
  </w:style>
  <w:style w:type="character" w:customStyle="1" w:styleId="Heading4Char">
    <w:name w:val="Heading 4 Char"/>
    <w:link w:val="Heading4"/>
    <w:uiPriority w:val="1"/>
    <w:rsid w:val="00030E84"/>
    <w:rPr>
      <w:rFonts w:ascii="Segoe UI" w:hAnsi="Segoe UI"/>
      <w:color w:val="0A6AB4"/>
      <w:sz w:val="28"/>
      <w:lang w:eastAsia="en-GB"/>
    </w:rPr>
  </w:style>
  <w:style w:type="character" w:customStyle="1" w:styleId="Heading5Char">
    <w:name w:val="Heading 5 Char"/>
    <w:link w:val="Heading5"/>
    <w:uiPriority w:val="1"/>
    <w:rsid w:val="00B00CF5"/>
    <w:rPr>
      <w:rFonts w:ascii="Segoe UI" w:hAnsi="Segoe UI"/>
      <w:color w:val="0A6AB4"/>
      <w:sz w:val="24"/>
      <w:lang w:eastAsia="en-GB"/>
    </w:rPr>
  </w:style>
  <w:style w:type="character" w:customStyle="1" w:styleId="QuoteChar">
    <w:name w:val="Quote Char"/>
    <w:link w:val="Quote"/>
    <w:rsid w:val="00122363"/>
    <w:rPr>
      <w:rFonts w:ascii="Georgia" w:hAnsi="Georgia"/>
      <w:sz w:val="22"/>
      <w:lang w:eastAsia="en-GB"/>
    </w:rPr>
  </w:style>
  <w:style w:type="character" w:customStyle="1" w:styleId="TitleChar">
    <w:name w:val="Title Char"/>
    <w:link w:val="Title"/>
    <w:uiPriority w:val="99"/>
    <w:rsid w:val="005A79E5"/>
    <w:rPr>
      <w:rFonts w:ascii="Segoe UI Black" w:hAnsi="Segoe UI Black" w:cs="Lucida Sans Unicode"/>
      <w:b/>
      <w:sz w:val="72"/>
      <w:szCs w:val="72"/>
      <w:lang w:eastAsia="en-GB"/>
    </w:rPr>
  </w:style>
  <w:style w:type="paragraph" w:customStyle="1" w:styleId="Number">
    <w:name w:val="Number"/>
    <w:basedOn w:val="Normal"/>
    <w:rsid w:val="00F140B2"/>
    <w:pPr>
      <w:numPr>
        <w:numId w:val="17"/>
      </w:numPr>
      <w:spacing w:before="180"/>
    </w:pPr>
    <w:rPr>
      <w:szCs w:val="24"/>
    </w:rPr>
  </w:style>
  <w:style w:type="paragraph" w:customStyle="1" w:styleId="Letter">
    <w:name w:val="Letter"/>
    <w:basedOn w:val="Normal"/>
    <w:qFormat/>
    <w:rsid w:val="00F140B2"/>
    <w:pPr>
      <w:numPr>
        <w:ilvl w:val="1"/>
        <w:numId w:val="17"/>
      </w:numPr>
      <w:spacing w:before="120"/>
    </w:pPr>
  </w:style>
  <w:style w:type="paragraph" w:customStyle="1" w:styleId="Introductoryparagraph">
    <w:name w:val="Introductory paragraph"/>
    <w:basedOn w:val="Normal"/>
    <w:next w:val="Normal"/>
    <w:qFormat/>
    <w:rsid w:val="0012053C"/>
    <w:pPr>
      <w:spacing w:after="240" w:line="216" w:lineRule="auto"/>
      <w:ind w:right="1134"/>
    </w:pPr>
    <w:rPr>
      <w:rFonts w:ascii="Segoe UI Light" w:hAnsi="Segoe UI Light"/>
      <w:color w:val="404040" w:themeColor="text1" w:themeTint="BF"/>
      <w:sz w:val="44"/>
    </w:rPr>
  </w:style>
  <w:style w:type="paragraph" w:customStyle="1" w:styleId="Shadedboxheading">
    <w:name w:val="Shaded box heading"/>
    <w:basedOn w:val="BoxHeading"/>
    <w:next w:val="Shadedboxtext"/>
    <w:qFormat/>
    <w:rsid w:val="00E30985"/>
    <w:pPr>
      <w:keepNext/>
      <w:spacing w:after="120"/>
    </w:pPr>
    <w:rPr>
      <w:rFonts w:eastAsia="Arial Unicode MS"/>
    </w:rPr>
  </w:style>
  <w:style w:type="paragraph" w:customStyle="1" w:styleId="Shadedboxtext">
    <w:name w:val="Shaded box text"/>
    <w:basedOn w:val="Normal"/>
    <w:qFormat/>
    <w:rsid w:val="00E30985"/>
    <w:pPr>
      <w:spacing w:line="228" w:lineRule="auto"/>
      <w:ind w:right="142"/>
    </w:pPr>
    <w:rPr>
      <w:rFonts w:eastAsia="Arial Unicode MS"/>
    </w:rPr>
  </w:style>
  <w:style w:type="paragraph" w:styleId="BalloonText">
    <w:name w:val="Balloon Text"/>
    <w:basedOn w:val="Normal"/>
    <w:link w:val="BalloonTextChar"/>
    <w:uiPriority w:val="99"/>
    <w:semiHidden/>
    <w:unhideWhenUsed/>
    <w:rsid w:val="00F86656"/>
    <w:rPr>
      <w:rFonts w:cs="Segoe UI"/>
      <w:sz w:val="18"/>
      <w:szCs w:val="18"/>
    </w:rPr>
  </w:style>
  <w:style w:type="character" w:customStyle="1" w:styleId="BalloonTextChar">
    <w:name w:val="Balloon Text Char"/>
    <w:basedOn w:val="DefaultParagraphFont"/>
    <w:link w:val="BalloonText"/>
    <w:uiPriority w:val="99"/>
    <w:semiHidden/>
    <w:rsid w:val="00F86656"/>
    <w:rPr>
      <w:rFonts w:ascii="Segoe UI" w:hAnsi="Segoe UI" w:cs="Segoe UI"/>
      <w:sz w:val="18"/>
      <w:szCs w:val="18"/>
      <w:lang w:eastAsia="en-GB"/>
    </w:rPr>
  </w:style>
  <w:style w:type="character" w:styleId="FollowedHyperlink">
    <w:name w:val="FollowedHyperlink"/>
    <w:basedOn w:val="DefaultParagraphFont"/>
    <w:uiPriority w:val="99"/>
    <w:semiHidden/>
    <w:unhideWhenUsed/>
    <w:rsid w:val="00223E6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footer" Target="footer6.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twitter.com/FAOWHOCodex?ref_src=twsrc%5Egoogle%7Ctwcamp%5Eserp%7Ctwgr%5Eauthor" TargetMode="Externa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5.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http://www.health.govt.nz/our-work/diseases-and-conditions/antimicrobial-resistance/new-zealand-antimicrobial-resistance-action-pla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footer" Target="footer7.xml"/><Relationship Id="rId10" Type="http://schemas.openxmlformats.org/officeDocument/2006/relationships/image" Target="media/image2.png"/><Relationship Id="rId19" Type="http://schemas.openxmlformats.org/officeDocument/2006/relationships/hyperlink" Target="http://www.health.govt.nz/publication/new-zealand-antimicrobial-resistance-action-plan"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anne\Application%20Data\Microsoft\Templates\Health\2012%20Report%20Sans%20Serif%20Bod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758BB6-553D-41A4-BEA7-D5B790EE55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2012 Report Sans Serif Body</Template>
  <TotalTime>23</TotalTime>
  <Pages>12</Pages>
  <Words>2508</Words>
  <Characters>14301</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NZ Antimicrobial Resistance Action Plan: Year one progress report</dc:title>
  <dc:creator>Ministry of Health</dc:creator>
  <cp:lastModifiedBy>Bronwen Wall</cp:lastModifiedBy>
  <cp:revision>9</cp:revision>
  <cp:lastPrinted>2018-09-28T03:12:00Z</cp:lastPrinted>
  <dcterms:created xsi:type="dcterms:W3CDTF">2018-09-26T19:59:00Z</dcterms:created>
  <dcterms:modified xsi:type="dcterms:W3CDTF">2018-09-28T03:21:00Z</dcterms:modified>
</cp:coreProperties>
</file>