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6.xml" ContentType="application/vnd.openxmlformats-officedocument.themeOverride+xml"/>
  <Override PartName="/word/drawings/drawing7.xml" ContentType="application/vnd.openxmlformats-officedocument.drawingml.chartshapes+xml"/>
  <Override PartName="/word/charts/chart11.xml" ContentType="application/vnd.openxmlformats-officedocument.drawingml.chart+xml"/>
  <Override PartName="/word/theme/themeOverride7.xml" ContentType="application/vnd.openxmlformats-officedocument.themeOverride+xml"/>
  <Override PartName="/word/drawings/drawing8.xml" ContentType="application/vnd.openxmlformats-officedocument.drawingml.chartshapes+xml"/>
  <Override PartName="/word/charts/chart12.xml" ContentType="application/vnd.openxmlformats-officedocument.drawingml.chart+xml"/>
  <Override PartName="/word/theme/themeOverride8.xml" ContentType="application/vnd.openxmlformats-officedocument.themeOverride+xml"/>
  <Override PartName="/word/drawings/drawing9.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charts/chart19.xml" ContentType="application/vnd.openxmlformats-officedocument.drawingml.chart+xml"/>
  <Override PartName="/word/theme/themeOverride13.xml" ContentType="application/vnd.openxmlformats-officedocument.themeOverride+xml"/>
  <Override PartName="/word/charts/chart20.xml" ContentType="application/vnd.openxmlformats-officedocument.drawingml.chart+xml"/>
  <Override PartName="/word/theme/themeOverride14.xml" ContentType="application/vnd.openxmlformats-officedocument.themeOverride+xml"/>
  <Override PartName="/word/charts/chart21.xml" ContentType="application/vnd.openxmlformats-officedocument.drawingml.chart+xml"/>
  <Override PartName="/word/theme/themeOverride15.xml" ContentType="application/vnd.openxmlformats-officedocument.themeOverride+xml"/>
  <Override PartName="/word/charts/chart22.xml" ContentType="application/vnd.openxmlformats-officedocument.drawingml.chart+xml"/>
  <Override PartName="/word/theme/themeOverride16.xml" ContentType="application/vnd.openxmlformats-officedocument.themeOverride+xml"/>
  <Override PartName="/word/charts/chart23.xml" ContentType="application/vnd.openxmlformats-officedocument.drawingml.chart+xml"/>
  <Override PartName="/word/theme/themeOverride17.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128A9" w14:textId="3E9F4DAF" w:rsidR="00C86248" w:rsidRPr="00D54D50" w:rsidRDefault="00603EAF" w:rsidP="00D54D50">
      <w:pPr>
        <w:pStyle w:val="Title"/>
      </w:pPr>
      <w:bookmarkStart w:id="0" w:name="_GoBack"/>
      <w:bookmarkEnd w:id="0"/>
      <w:r>
        <w:rPr>
          <w:rFonts w:ascii="Arial" w:hAnsi="Arial" w:cs="Arial"/>
        </w:rPr>
        <w:t>ʹ</w:t>
      </w:r>
      <w:r w:rsidR="00054081">
        <w:t>Ala Mo</w:t>
      </w:r>
      <w:r>
        <w:rPr>
          <w:rFonts w:ascii="Arial" w:hAnsi="Arial" w:cs="Arial"/>
        </w:rPr>
        <w:t>ʹ</w:t>
      </w:r>
      <w:r w:rsidR="002601C2">
        <w:t>ui Progress Report</w:t>
      </w:r>
    </w:p>
    <w:p w14:paraId="66C1B070" w14:textId="43A63A76" w:rsidR="00455CC9" w:rsidRDefault="00F84327" w:rsidP="00455CC9">
      <w:pPr>
        <w:pStyle w:val="Year"/>
      </w:pPr>
      <w:r>
        <w:t xml:space="preserve">Pacific </w:t>
      </w:r>
      <w:r w:rsidR="002601C2">
        <w:t>Child Health</w:t>
      </w:r>
    </w:p>
    <w:p w14:paraId="2F9A98BF" w14:textId="7D5D8186" w:rsidR="00C86248" w:rsidRDefault="00EE78B6" w:rsidP="00343365">
      <w:pPr>
        <w:pStyle w:val="Subhead"/>
      </w:pPr>
      <w:r>
        <w:t>November</w:t>
      </w:r>
      <w:r w:rsidR="00892C39">
        <w:t xml:space="preserve"> 2018</w:t>
      </w:r>
    </w:p>
    <w:p w14:paraId="58E2ABFB"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6B426120" w14:textId="14510884" w:rsidR="00054081" w:rsidRPr="00054081" w:rsidRDefault="00054081" w:rsidP="00603EAF">
      <w:pPr>
        <w:pStyle w:val="Imprint"/>
      </w:pPr>
      <w:r>
        <w:lastRenderedPageBreak/>
        <w:t>Acknowledgements</w:t>
      </w:r>
      <w:r w:rsidR="005C6822">
        <w:t xml:space="preserve">: </w:t>
      </w:r>
      <w:r w:rsidRPr="00054081">
        <w:t>The authors of this report were Jordan Na'ama and Laura Cleary from the Ministry of Health.</w:t>
      </w:r>
    </w:p>
    <w:p w14:paraId="4F4B02B6" w14:textId="2504AAAE" w:rsidR="00EE78B6" w:rsidRDefault="00A80363">
      <w:pPr>
        <w:pStyle w:val="Imprint"/>
        <w:rPr>
          <w:i/>
        </w:rPr>
      </w:pPr>
      <w:r>
        <w:t xml:space="preserve">Citation: </w:t>
      </w:r>
      <w:r w:rsidR="00442C1C">
        <w:t xml:space="preserve">Ministry of Health. </w:t>
      </w:r>
      <w:r w:rsidR="002601C2">
        <w:t>201</w:t>
      </w:r>
      <w:r w:rsidR="00341742">
        <w:t>8</w:t>
      </w:r>
      <w:r w:rsidR="00442C1C">
        <w:t xml:space="preserve">. </w:t>
      </w:r>
      <w:r w:rsidR="00603EAF">
        <w:rPr>
          <w:rFonts w:ascii="Arial" w:hAnsi="Arial" w:cs="Arial"/>
        </w:rPr>
        <w:t>ʹ</w:t>
      </w:r>
      <w:r w:rsidR="00603EAF">
        <w:rPr>
          <w:i/>
        </w:rPr>
        <w:t>Ala Mo</w:t>
      </w:r>
      <w:r w:rsidR="00603EAF">
        <w:rPr>
          <w:rFonts w:ascii="Arial" w:hAnsi="Arial" w:cs="Arial"/>
          <w:i/>
        </w:rPr>
        <w:t>ʹ</w:t>
      </w:r>
      <w:r w:rsidR="002601C2">
        <w:rPr>
          <w:i/>
        </w:rPr>
        <w:t>ui Progress Report: Child health</w:t>
      </w:r>
      <w:r w:rsidR="00892C39">
        <w:rPr>
          <w:i/>
        </w:rPr>
        <w:t xml:space="preserve"> </w:t>
      </w:r>
    </w:p>
    <w:p w14:paraId="0AEC98CC" w14:textId="0BB3E1C1" w:rsidR="00A80363" w:rsidRPr="00442C1C" w:rsidRDefault="00EE78B6">
      <w:pPr>
        <w:pStyle w:val="Imprint"/>
      </w:pPr>
      <w:r>
        <w:rPr>
          <w:i/>
        </w:rPr>
        <w:t xml:space="preserve">November </w:t>
      </w:r>
      <w:r w:rsidR="00892C39">
        <w:rPr>
          <w:i/>
        </w:rPr>
        <w:t>2018</w:t>
      </w:r>
      <w:r w:rsidR="00442C1C">
        <w:t>. Wellington:</w:t>
      </w:r>
      <w:r w:rsidR="002601C2">
        <w:t> </w:t>
      </w:r>
      <w:r w:rsidR="00442C1C">
        <w:t>Ministry of Health.</w:t>
      </w:r>
    </w:p>
    <w:p w14:paraId="31AE9111" w14:textId="6BEAAD6B" w:rsidR="00C86248" w:rsidRDefault="00C86248">
      <w:pPr>
        <w:pStyle w:val="Imprint"/>
      </w:pPr>
      <w:r>
        <w:t xml:space="preserve">Published in </w:t>
      </w:r>
      <w:r w:rsidR="00EE78B6">
        <w:t>November</w:t>
      </w:r>
      <w:r w:rsidR="002601C2">
        <w:t xml:space="preserve"> 2018</w:t>
      </w:r>
      <w:r w:rsidR="005019AE">
        <w:br/>
      </w:r>
      <w:r>
        <w:t>by the</w:t>
      </w:r>
      <w:r w:rsidR="00442C1C">
        <w:t xml:space="preserve"> </w:t>
      </w:r>
      <w:r>
        <w:t>Ministry of Health</w:t>
      </w:r>
      <w:r>
        <w:br/>
        <w:t>PO Box 5013, Wellington</w:t>
      </w:r>
      <w:r w:rsidR="00A80363">
        <w:t xml:space="preserve"> 614</w:t>
      </w:r>
      <w:r w:rsidR="006041F0">
        <w:t>0</w:t>
      </w:r>
      <w:r>
        <w:t>, New Zealand</w:t>
      </w:r>
    </w:p>
    <w:p w14:paraId="1100138B" w14:textId="2E3EC518" w:rsidR="00082CD6" w:rsidRPr="009C0F2D" w:rsidRDefault="00D863D0" w:rsidP="00082CD6">
      <w:pPr>
        <w:pStyle w:val="Imprint"/>
      </w:pPr>
      <w:r>
        <w:t>ISBN</w:t>
      </w:r>
      <w:r w:rsidR="00442C1C">
        <w:t xml:space="preserve"> </w:t>
      </w:r>
      <w:r w:rsidR="00341742" w:rsidRPr="00341742">
        <w:t>978-1-98-853943-0</w:t>
      </w:r>
      <w:r w:rsidR="00442C1C">
        <w:t xml:space="preserve"> </w:t>
      </w:r>
      <w:r>
        <w:t>(</w:t>
      </w:r>
      <w:r w:rsidR="00442C1C">
        <w:t>online</w:t>
      </w:r>
      <w:r>
        <w:t>)</w:t>
      </w:r>
      <w:r w:rsidR="00082CD6">
        <w:br/>
      </w:r>
      <w:r w:rsidR="00082CD6" w:rsidRPr="009C0F2D">
        <w:t xml:space="preserve">HP </w:t>
      </w:r>
      <w:r w:rsidR="00341742">
        <w:t>6778</w:t>
      </w:r>
    </w:p>
    <w:p w14:paraId="4AFA7138" w14:textId="62C05863" w:rsidR="00C86248" w:rsidRPr="002F7222" w:rsidRDefault="008E3A07">
      <w:pPr>
        <w:pStyle w:val="Imprint"/>
        <w:rPr>
          <w:rStyle w:val="Hyperlink"/>
          <w:rFonts w:eastAsia="MS Gothic"/>
        </w:rPr>
      </w:pPr>
      <w:r>
        <w:t>Th</w:t>
      </w:r>
      <w:r w:rsidR="00341742">
        <w:t xml:space="preserve">is document is available at </w:t>
      </w:r>
      <w:r>
        <w:t>health.govt.nz</w:t>
      </w:r>
    </w:p>
    <w:p w14:paraId="04D65441" w14:textId="77777777" w:rsidR="00C86248" w:rsidRDefault="008C64C4">
      <w:pPr>
        <w:jc w:val="center"/>
      </w:pPr>
      <w:r>
        <w:rPr>
          <w:noProof/>
          <w:lang w:eastAsia="ja-JP"/>
        </w:rPr>
        <w:drawing>
          <wp:inline distT="0" distB="0" distL="0" distR="0" wp14:anchorId="3D725656" wp14:editId="2D74EC71">
            <wp:extent cx="1670685" cy="681355"/>
            <wp:effectExtent l="0" t="0" r="5715" b="4445"/>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2D6AEC19" w14:textId="77777777" w:rsidR="007E74F1" w:rsidRPr="001F45A7" w:rsidRDefault="007E74F1" w:rsidP="001F45A7">
      <w:pPr>
        <w:spacing w:before="240"/>
        <w:ind w:right="-851"/>
        <w:rPr>
          <w:sz w:val="18"/>
          <w:szCs w:val="18"/>
        </w:rPr>
      </w:pPr>
      <w:r w:rsidRPr="001F45A7">
        <w:rPr>
          <w:b/>
          <w:noProof/>
          <w:sz w:val="18"/>
          <w:szCs w:val="18"/>
          <w:lang w:eastAsia="ja-JP"/>
        </w:rPr>
        <w:drawing>
          <wp:inline distT="0" distB="0" distL="0" distR="0" wp14:anchorId="1839A09D" wp14:editId="75D3648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79F0548B"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13E8540E" w14:textId="77777777" w:rsidR="00C86248" w:rsidRDefault="00C86248" w:rsidP="00025A6F">
      <w:pPr>
        <w:pStyle w:val="IntroHead"/>
      </w:pPr>
      <w:bookmarkStart w:id="1" w:name="_Toc405792991"/>
      <w:bookmarkStart w:id="2" w:name="_Toc405793224"/>
      <w:r>
        <w:lastRenderedPageBreak/>
        <w:t>Contents</w:t>
      </w:r>
      <w:bookmarkEnd w:id="1"/>
      <w:bookmarkEnd w:id="2"/>
    </w:p>
    <w:p w14:paraId="3425EA02" w14:textId="77777777" w:rsidR="00954BA9" w:rsidRDefault="00954BA9">
      <w:pPr>
        <w:pStyle w:val="TOC1"/>
        <w:rPr>
          <w:rFonts w:asciiTheme="minorHAnsi" w:eastAsiaTheme="minorEastAsia" w:hAnsiTheme="minorHAnsi" w:cstheme="minorBidi"/>
          <w:b w:val="0"/>
          <w:noProof/>
          <w:szCs w:val="22"/>
          <w:lang w:eastAsia="en-NZ"/>
        </w:rPr>
      </w:pPr>
      <w:r>
        <w:fldChar w:fldCharType="begin"/>
      </w:r>
      <w:r>
        <w:instrText xml:space="preserve"> TOC \o "1-2" \h \z </w:instrText>
      </w:r>
      <w:r>
        <w:fldChar w:fldCharType="separate"/>
      </w:r>
      <w:hyperlink w:anchor="_Toc531258235" w:history="1">
        <w:r w:rsidRPr="004D7DBD">
          <w:rPr>
            <w:rStyle w:val="Hyperlink"/>
            <w:noProof/>
          </w:rPr>
          <w:t>Introduction</w:t>
        </w:r>
        <w:r>
          <w:rPr>
            <w:noProof/>
            <w:webHidden/>
          </w:rPr>
          <w:tab/>
        </w:r>
        <w:r>
          <w:rPr>
            <w:noProof/>
            <w:webHidden/>
          </w:rPr>
          <w:fldChar w:fldCharType="begin"/>
        </w:r>
        <w:r>
          <w:rPr>
            <w:noProof/>
            <w:webHidden/>
          </w:rPr>
          <w:instrText xml:space="preserve"> PAGEREF _Toc531258235 \h </w:instrText>
        </w:r>
        <w:r>
          <w:rPr>
            <w:noProof/>
            <w:webHidden/>
          </w:rPr>
        </w:r>
        <w:r>
          <w:rPr>
            <w:noProof/>
            <w:webHidden/>
          </w:rPr>
          <w:fldChar w:fldCharType="separate"/>
        </w:r>
        <w:r>
          <w:rPr>
            <w:noProof/>
            <w:webHidden/>
          </w:rPr>
          <w:t>1</w:t>
        </w:r>
        <w:r>
          <w:rPr>
            <w:noProof/>
            <w:webHidden/>
          </w:rPr>
          <w:fldChar w:fldCharType="end"/>
        </w:r>
      </w:hyperlink>
    </w:p>
    <w:p w14:paraId="2D8F2605" w14:textId="77777777" w:rsidR="00954BA9" w:rsidRDefault="00894CB1">
      <w:pPr>
        <w:pStyle w:val="TOC1"/>
        <w:rPr>
          <w:rFonts w:asciiTheme="minorHAnsi" w:eastAsiaTheme="minorEastAsia" w:hAnsiTheme="minorHAnsi" w:cstheme="minorBidi"/>
          <w:b w:val="0"/>
          <w:noProof/>
          <w:szCs w:val="22"/>
          <w:lang w:eastAsia="en-NZ"/>
        </w:rPr>
      </w:pPr>
      <w:hyperlink w:anchor="_Toc531258236" w:history="1">
        <w:r w:rsidR="00954BA9" w:rsidRPr="004D7DBD">
          <w:rPr>
            <w:rStyle w:val="Hyperlink"/>
            <w:noProof/>
          </w:rPr>
          <w:t>Purpose statement</w:t>
        </w:r>
        <w:r w:rsidR="00954BA9">
          <w:rPr>
            <w:noProof/>
            <w:webHidden/>
          </w:rPr>
          <w:tab/>
        </w:r>
        <w:r w:rsidR="00954BA9">
          <w:rPr>
            <w:noProof/>
            <w:webHidden/>
          </w:rPr>
          <w:fldChar w:fldCharType="begin"/>
        </w:r>
        <w:r w:rsidR="00954BA9">
          <w:rPr>
            <w:noProof/>
            <w:webHidden/>
          </w:rPr>
          <w:instrText xml:space="preserve"> PAGEREF _Toc531258236 \h </w:instrText>
        </w:r>
        <w:r w:rsidR="00954BA9">
          <w:rPr>
            <w:noProof/>
            <w:webHidden/>
          </w:rPr>
        </w:r>
        <w:r w:rsidR="00954BA9">
          <w:rPr>
            <w:noProof/>
            <w:webHidden/>
          </w:rPr>
          <w:fldChar w:fldCharType="separate"/>
        </w:r>
        <w:r w:rsidR="00954BA9">
          <w:rPr>
            <w:noProof/>
            <w:webHidden/>
          </w:rPr>
          <w:t>2</w:t>
        </w:r>
        <w:r w:rsidR="00954BA9">
          <w:rPr>
            <w:noProof/>
            <w:webHidden/>
          </w:rPr>
          <w:fldChar w:fldCharType="end"/>
        </w:r>
      </w:hyperlink>
    </w:p>
    <w:p w14:paraId="67B258BE" w14:textId="77777777" w:rsidR="00954BA9" w:rsidRDefault="00894CB1">
      <w:pPr>
        <w:pStyle w:val="TOC1"/>
        <w:rPr>
          <w:rFonts w:asciiTheme="minorHAnsi" w:eastAsiaTheme="minorEastAsia" w:hAnsiTheme="minorHAnsi" w:cstheme="minorBidi"/>
          <w:b w:val="0"/>
          <w:noProof/>
          <w:szCs w:val="22"/>
          <w:lang w:eastAsia="en-NZ"/>
        </w:rPr>
      </w:pPr>
      <w:hyperlink w:anchor="_Toc531258237" w:history="1">
        <w:r w:rsidR="00954BA9" w:rsidRPr="004D7DBD">
          <w:rPr>
            <w:rStyle w:val="Hyperlink"/>
            <w:noProof/>
          </w:rPr>
          <w:t>Background</w:t>
        </w:r>
        <w:r w:rsidR="00954BA9">
          <w:rPr>
            <w:noProof/>
            <w:webHidden/>
          </w:rPr>
          <w:tab/>
        </w:r>
        <w:r w:rsidR="00954BA9">
          <w:rPr>
            <w:noProof/>
            <w:webHidden/>
          </w:rPr>
          <w:fldChar w:fldCharType="begin"/>
        </w:r>
        <w:r w:rsidR="00954BA9">
          <w:rPr>
            <w:noProof/>
            <w:webHidden/>
          </w:rPr>
          <w:instrText xml:space="preserve"> PAGEREF _Toc531258237 \h </w:instrText>
        </w:r>
        <w:r w:rsidR="00954BA9">
          <w:rPr>
            <w:noProof/>
            <w:webHidden/>
          </w:rPr>
        </w:r>
        <w:r w:rsidR="00954BA9">
          <w:rPr>
            <w:noProof/>
            <w:webHidden/>
          </w:rPr>
          <w:fldChar w:fldCharType="separate"/>
        </w:r>
        <w:r w:rsidR="00954BA9">
          <w:rPr>
            <w:noProof/>
            <w:webHidden/>
          </w:rPr>
          <w:t>3</w:t>
        </w:r>
        <w:r w:rsidR="00954BA9">
          <w:rPr>
            <w:noProof/>
            <w:webHidden/>
          </w:rPr>
          <w:fldChar w:fldCharType="end"/>
        </w:r>
      </w:hyperlink>
    </w:p>
    <w:p w14:paraId="40036370" w14:textId="77777777" w:rsidR="00954BA9" w:rsidRDefault="00894CB1">
      <w:pPr>
        <w:pStyle w:val="TOC1"/>
        <w:rPr>
          <w:rFonts w:asciiTheme="minorHAnsi" w:eastAsiaTheme="minorEastAsia" w:hAnsiTheme="minorHAnsi" w:cstheme="minorBidi"/>
          <w:b w:val="0"/>
          <w:noProof/>
          <w:szCs w:val="22"/>
          <w:lang w:eastAsia="en-NZ"/>
        </w:rPr>
      </w:pPr>
      <w:hyperlink w:anchor="_Toc531258238" w:history="1">
        <w:r w:rsidR="00954BA9" w:rsidRPr="004D7DBD">
          <w:rPr>
            <w:rStyle w:val="Hyperlink"/>
            <w:noProof/>
          </w:rPr>
          <w:t>Notes about the data</w:t>
        </w:r>
        <w:r w:rsidR="00954BA9">
          <w:rPr>
            <w:noProof/>
            <w:webHidden/>
          </w:rPr>
          <w:tab/>
        </w:r>
        <w:r w:rsidR="00954BA9">
          <w:rPr>
            <w:noProof/>
            <w:webHidden/>
          </w:rPr>
          <w:fldChar w:fldCharType="begin"/>
        </w:r>
        <w:r w:rsidR="00954BA9">
          <w:rPr>
            <w:noProof/>
            <w:webHidden/>
          </w:rPr>
          <w:instrText xml:space="preserve"> PAGEREF _Toc531258238 \h </w:instrText>
        </w:r>
        <w:r w:rsidR="00954BA9">
          <w:rPr>
            <w:noProof/>
            <w:webHidden/>
          </w:rPr>
        </w:r>
        <w:r w:rsidR="00954BA9">
          <w:rPr>
            <w:noProof/>
            <w:webHidden/>
          </w:rPr>
          <w:fldChar w:fldCharType="separate"/>
        </w:r>
        <w:r w:rsidR="00954BA9">
          <w:rPr>
            <w:noProof/>
            <w:webHidden/>
          </w:rPr>
          <w:t>4</w:t>
        </w:r>
        <w:r w:rsidR="00954BA9">
          <w:rPr>
            <w:noProof/>
            <w:webHidden/>
          </w:rPr>
          <w:fldChar w:fldCharType="end"/>
        </w:r>
      </w:hyperlink>
    </w:p>
    <w:p w14:paraId="5D0AA789" w14:textId="77777777" w:rsidR="00954BA9" w:rsidRDefault="00894CB1">
      <w:pPr>
        <w:pStyle w:val="TOC1"/>
        <w:rPr>
          <w:rFonts w:asciiTheme="minorHAnsi" w:eastAsiaTheme="minorEastAsia" w:hAnsiTheme="minorHAnsi" w:cstheme="minorBidi"/>
          <w:b w:val="0"/>
          <w:noProof/>
          <w:szCs w:val="22"/>
          <w:lang w:eastAsia="en-NZ"/>
        </w:rPr>
      </w:pPr>
      <w:hyperlink w:anchor="_Toc531258239" w:history="1">
        <w:r w:rsidR="00954BA9" w:rsidRPr="004D7DBD">
          <w:rPr>
            <w:rStyle w:val="Hyperlink"/>
            <w:noProof/>
          </w:rPr>
          <w:t>National-level progress</w:t>
        </w:r>
        <w:r w:rsidR="00954BA9">
          <w:rPr>
            <w:noProof/>
            <w:webHidden/>
          </w:rPr>
          <w:tab/>
        </w:r>
        <w:r w:rsidR="00954BA9">
          <w:rPr>
            <w:noProof/>
            <w:webHidden/>
          </w:rPr>
          <w:fldChar w:fldCharType="begin"/>
        </w:r>
        <w:r w:rsidR="00954BA9">
          <w:rPr>
            <w:noProof/>
            <w:webHidden/>
          </w:rPr>
          <w:instrText xml:space="preserve"> PAGEREF _Toc531258239 \h </w:instrText>
        </w:r>
        <w:r w:rsidR="00954BA9">
          <w:rPr>
            <w:noProof/>
            <w:webHidden/>
          </w:rPr>
        </w:r>
        <w:r w:rsidR="00954BA9">
          <w:rPr>
            <w:noProof/>
            <w:webHidden/>
          </w:rPr>
          <w:fldChar w:fldCharType="separate"/>
        </w:r>
        <w:r w:rsidR="00954BA9">
          <w:rPr>
            <w:noProof/>
            <w:webHidden/>
          </w:rPr>
          <w:t>6</w:t>
        </w:r>
        <w:r w:rsidR="00954BA9">
          <w:rPr>
            <w:noProof/>
            <w:webHidden/>
          </w:rPr>
          <w:fldChar w:fldCharType="end"/>
        </w:r>
      </w:hyperlink>
    </w:p>
    <w:p w14:paraId="7CCA2987" w14:textId="77777777" w:rsidR="00954BA9" w:rsidRDefault="00894CB1">
      <w:pPr>
        <w:pStyle w:val="TOC1"/>
        <w:rPr>
          <w:rFonts w:asciiTheme="minorHAnsi" w:eastAsiaTheme="minorEastAsia" w:hAnsiTheme="minorHAnsi" w:cstheme="minorBidi"/>
          <w:b w:val="0"/>
          <w:noProof/>
          <w:szCs w:val="22"/>
          <w:lang w:eastAsia="en-NZ"/>
        </w:rPr>
      </w:pPr>
      <w:hyperlink w:anchor="_Toc531258240" w:history="1">
        <w:r w:rsidR="00954BA9" w:rsidRPr="004D7DBD">
          <w:rPr>
            <w:rStyle w:val="Hyperlink"/>
            <w:noProof/>
          </w:rPr>
          <w:t>Newborn enrolment with general practice</w:t>
        </w:r>
        <w:r w:rsidR="00954BA9">
          <w:rPr>
            <w:noProof/>
            <w:webHidden/>
          </w:rPr>
          <w:tab/>
        </w:r>
        <w:r w:rsidR="00954BA9">
          <w:rPr>
            <w:noProof/>
            <w:webHidden/>
          </w:rPr>
          <w:fldChar w:fldCharType="begin"/>
        </w:r>
        <w:r w:rsidR="00954BA9">
          <w:rPr>
            <w:noProof/>
            <w:webHidden/>
          </w:rPr>
          <w:instrText xml:space="preserve"> PAGEREF _Toc531258240 \h </w:instrText>
        </w:r>
        <w:r w:rsidR="00954BA9">
          <w:rPr>
            <w:noProof/>
            <w:webHidden/>
          </w:rPr>
        </w:r>
        <w:r w:rsidR="00954BA9">
          <w:rPr>
            <w:noProof/>
            <w:webHidden/>
          </w:rPr>
          <w:fldChar w:fldCharType="separate"/>
        </w:r>
        <w:r w:rsidR="00954BA9">
          <w:rPr>
            <w:noProof/>
            <w:webHidden/>
          </w:rPr>
          <w:t>8</w:t>
        </w:r>
        <w:r w:rsidR="00954BA9">
          <w:rPr>
            <w:noProof/>
            <w:webHidden/>
          </w:rPr>
          <w:fldChar w:fldCharType="end"/>
        </w:r>
      </w:hyperlink>
    </w:p>
    <w:p w14:paraId="72A81C6C" w14:textId="77777777" w:rsidR="00954BA9" w:rsidRDefault="00894CB1">
      <w:pPr>
        <w:pStyle w:val="TOC2"/>
        <w:rPr>
          <w:rFonts w:asciiTheme="minorHAnsi" w:eastAsiaTheme="minorEastAsia" w:hAnsiTheme="minorHAnsi" w:cstheme="minorBidi"/>
          <w:noProof/>
          <w:szCs w:val="22"/>
          <w:lang w:eastAsia="en-NZ"/>
        </w:rPr>
      </w:pPr>
      <w:hyperlink w:anchor="_Toc531258241" w:history="1">
        <w:r w:rsidR="00954BA9" w:rsidRPr="004D7DBD">
          <w:rPr>
            <w:rStyle w:val="Hyperlink"/>
            <w:noProof/>
            <w:lang w:eastAsia="en-NZ"/>
          </w:rPr>
          <w:t>Increased percentage of Pacific newborn infants who are enrolled with a general practice</w:t>
        </w:r>
        <w:r w:rsidR="00954BA9">
          <w:rPr>
            <w:noProof/>
            <w:webHidden/>
          </w:rPr>
          <w:tab/>
        </w:r>
        <w:r w:rsidR="00954BA9">
          <w:rPr>
            <w:noProof/>
            <w:webHidden/>
          </w:rPr>
          <w:fldChar w:fldCharType="begin"/>
        </w:r>
        <w:r w:rsidR="00954BA9">
          <w:rPr>
            <w:noProof/>
            <w:webHidden/>
          </w:rPr>
          <w:instrText xml:space="preserve"> PAGEREF _Toc531258241 \h </w:instrText>
        </w:r>
        <w:r w:rsidR="00954BA9">
          <w:rPr>
            <w:noProof/>
            <w:webHidden/>
          </w:rPr>
        </w:r>
        <w:r w:rsidR="00954BA9">
          <w:rPr>
            <w:noProof/>
            <w:webHidden/>
          </w:rPr>
          <w:fldChar w:fldCharType="separate"/>
        </w:r>
        <w:r w:rsidR="00954BA9">
          <w:rPr>
            <w:noProof/>
            <w:webHidden/>
          </w:rPr>
          <w:t>8</w:t>
        </w:r>
        <w:r w:rsidR="00954BA9">
          <w:rPr>
            <w:noProof/>
            <w:webHidden/>
          </w:rPr>
          <w:fldChar w:fldCharType="end"/>
        </w:r>
      </w:hyperlink>
    </w:p>
    <w:p w14:paraId="36574928" w14:textId="77777777" w:rsidR="00954BA9" w:rsidRDefault="00894CB1">
      <w:pPr>
        <w:pStyle w:val="TOC1"/>
        <w:rPr>
          <w:rFonts w:asciiTheme="minorHAnsi" w:eastAsiaTheme="minorEastAsia" w:hAnsiTheme="minorHAnsi" w:cstheme="minorBidi"/>
          <w:b w:val="0"/>
          <w:noProof/>
          <w:szCs w:val="22"/>
          <w:lang w:eastAsia="en-NZ"/>
        </w:rPr>
      </w:pPr>
      <w:hyperlink w:anchor="_Toc531258242" w:history="1">
        <w:r w:rsidR="00954BA9" w:rsidRPr="004D7DBD">
          <w:rPr>
            <w:rStyle w:val="Hyperlink"/>
            <w:noProof/>
          </w:rPr>
          <w:t>Well Child / Tamariki Ora core contacts</w:t>
        </w:r>
        <w:r w:rsidR="00954BA9">
          <w:rPr>
            <w:noProof/>
            <w:webHidden/>
          </w:rPr>
          <w:tab/>
        </w:r>
        <w:r w:rsidR="00954BA9">
          <w:rPr>
            <w:noProof/>
            <w:webHidden/>
          </w:rPr>
          <w:fldChar w:fldCharType="begin"/>
        </w:r>
        <w:r w:rsidR="00954BA9">
          <w:rPr>
            <w:noProof/>
            <w:webHidden/>
          </w:rPr>
          <w:instrText xml:space="preserve"> PAGEREF _Toc531258242 \h </w:instrText>
        </w:r>
        <w:r w:rsidR="00954BA9">
          <w:rPr>
            <w:noProof/>
            <w:webHidden/>
          </w:rPr>
        </w:r>
        <w:r w:rsidR="00954BA9">
          <w:rPr>
            <w:noProof/>
            <w:webHidden/>
          </w:rPr>
          <w:fldChar w:fldCharType="separate"/>
        </w:r>
        <w:r w:rsidR="00954BA9">
          <w:rPr>
            <w:noProof/>
            <w:webHidden/>
          </w:rPr>
          <w:t>11</w:t>
        </w:r>
        <w:r w:rsidR="00954BA9">
          <w:rPr>
            <w:noProof/>
            <w:webHidden/>
          </w:rPr>
          <w:fldChar w:fldCharType="end"/>
        </w:r>
      </w:hyperlink>
    </w:p>
    <w:p w14:paraId="4D9E48FD" w14:textId="77777777" w:rsidR="00954BA9" w:rsidRDefault="00894CB1">
      <w:pPr>
        <w:pStyle w:val="TOC2"/>
        <w:rPr>
          <w:rFonts w:asciiTheme="minorHAnsi" w:eastAsiaTheme="minorEastAsia" w:hAnsiTheme="minorHAnsi" w:cstheme="minorBidi"/>
          <w:noProof/>
          <w:szCs w:val="22"/>
          <w:lang w:eastAsia="en-NZ"/>
        </w:rPr>
      </w:pPr>
      <w:hyperlink w:anchor="_Toc531258243" w:history="1">
        <w:r w:rsidR="00954BA9" w:rsidRPr="004D7DBD">
          <w:rPr>
            <w:rStyle w:val="Hyperlink"/>
            <w:noProof/>
            <w:lang w:eastAsia="en-NZ"/>
          </w:rPr>
          <w:t>Increased percentage of Pacific infants who receive all five WCTO core contacts in their first year of life</w:t>
        </w:r>
        <w:r w:rsidR="00954BA9">
          <w:rPr>
            <w:noProof/>
            <w:webHidden/>
          </w:rPr>
          <w:tab/>
        </w:r>
        <w:r w:rsidR="00954BA9">
          <w:rPr>
            <w:noProof/>
            <w:webHidden/>
          </w:rPr>
          <w:fldChar w:fldCharType="begin"/>
        </w:r>
        <w:r w:rsidR="00954BA9">
          <w:rPr>
            <w:noProof/>
            <w:webHidden/>
          </w:rPr>
          <w:instrText xml:space="preserve"> PAGEREF _Toc531258243 \h </w:instrText>
        </w:r>
        <w:r w:rsidR="00954BA9">
          <w:rPr>
            <w:noProof/>
            <w:webHidden/>
          </w:rPr>
        </w:r>
        <w:r w:rsidR="00954BA9">
          <w:rPr>
            <w:noProof/>
            <w:webHidden/>
          </w:rPr>
          <w:fldChar w:fldCharType="separate"/>
        </w:r>
        <w:r w:rsidR="00954BA9">
          <w:rPr>
            <w:noProof/>
            <w:webHidden/>
          </w:rPr>
          <w:t>11</w:t>
        </w:r>
        <w:r w:rsidR="00954BA9">
          <w:rPr>
            <w:noProof/>
            <w:webHidden/>
          </w:rPr>
          <w:fldChar w:fldCharType="end"/>
        </w:r>
      </w:hyperlink>
    </w:p>
    <w:p w14:paraId="4C62FA5C" w14:textId="77777777" w:rsidR="00954BA9" w:rsidRDefault="00894CB1">
      <w:pPr>
        <w:pStyle w:val="TOC1"/>
        <w:rPr>
          <w:rFonts w:asciiTheme="minorHAnsi" w:eastAsiaTheme="minorEastAsia" w:hAnsiTheme="minorHAnsi" w:cstheme="minorBidi"/>
          <w:b w:val="0"/>
          <w:noProof/>
          <w:szCs w:val="22"/>
          <w:lang w:eastAsia="en-NZ"/>
        </w:rPr>
      </w:pPr>
      <w:hyperlink w:anchor="_Toc531258244" w:history="1">
        <w:r w:rsidR="00954BA9" w:rsidRPr="004D7DBD">
          <w:rPr>
            <w:rStyle w:val="Hyperlink"/>
            <w:noProof/>
          </w:rPr>
          <w:t>B4 School Checks</w:t>
        </w:r>
        <w:r w:rsidR="00954BA9">
          <w:rPr>
            <w:noProof/>
            <w:webHidden/>
          </w:rPr>
          <w:tab/>
        </w:r>
        <w:r w:rsidR="00954BA9">
          <w:rPr>
            <w:noProof/>
            <w:webHidden/>
          </w:rPr>
          <w:fldChar w:fldCharType="begin"/>
        </w:r>
        <w:r w:rsidR="00954BA9">
          <w:rPr>
            <w:noProof/>
            <w:webHidden/>
          </w:rPr>
          <w:instrText xml:space="preserve"> PAGEREF _Toc531258244 \h </w:instrText>
        </w:r>
        <w:r w:rsidR="00954BA9">
          <w:rPr>
            <w:noProof/>
            <w:webHidden/>
          </w:rPr>
        </w:r>
        <w:r w:rsidR="00954BA9">
          <w:rPr>
            <w:noProof/>
            <w:webHidden/>
          </w:rPr>
          <w:fldChar w:fldCharType="separate"/>
        </w:r>
        <w:r w:rsidR="00954BA9">
          <w:rPr>
            <w:noProof/>
            <w:webHidden/>
          </w:rPr>
          <w:t>14</w:t>
        </w:r>
        <w:r w:rsidR="00954BA9">
          <w:rPr>
            <w:noProof/>
            <w:webHidden/>
          </w:rPr>
          <w:fldChar w:fldCharType="end"/>
        </w:r>
      </w:hyperlink>
    </w:p>
    <w:p w14:paraId="0C2B7D35" w14:textId="77777777" w:rsidR="00954BA9" w:rsidRDefault="00894CB1">
      <w:pPr>
        <w:pStyle w:val="TOC2"/>
        <w:rPr>
          <w:rFonts w:asciiTheme="minorHAnsi" w:eastAsiaTheme="minorEastAsia" w:hAnsiTheme="minorHAnsi" w:cstheme="minorBidi"/>
          <w:noProof/>
          <w:szCs w:val="22"/>
          <w:lang w:eastAsia="en-NZ"/>
        </w:rPr>
      </w:pPr>
      <w:hyperlink w:anchor="_Toc531258245" w:history="1">
        <w:r w:rsidR="00954BA9" w:rsidRPr="004D7DBD">
          <w:rPr>
            <w:rStyle w:val="Hyperlink"/>
            <w:noProof/>
            <w:lang w:eastAsia="en-NZ"/>
          </w:rPr>
          <w:t>Increased percentage of Pacific children who receive a B4SC</w:t>
        </w:r>
        <w:r w:rsidR="00954BA9">
          <w:rPr>
            <w:noProof/>
            <w:webHidden/>
          </w:rPr>
          <w:tab/>
        </w:r>
        <w:r w:rsidR="00954BA9">
          <w:rPr>
            <w:noProof/>
            <w:webHidden/>
          </w:rPr>
          <w:fldChar w:fldCharType="begin"/>
        </w:r>
        <w:r w:rsidR="00954BA9">
          <w:rPr>
            <w:noProof/>
            <w:webHidden/>
          </w:rPr>
          <w:instrText xml:space="preserve"> PAGEREF _Toc531258245 \h </w:instrText>
        </w:r>
        <w:r w:rsidR="00954BA9">
          <w:rPr>
            <w:noProof/>
            <w:webHidden/>
          </w:rPr>
        </w:r>
        <w:r w:rsidR="00954BA9">
          <w:rPr>
            <w:noProof/>
            <w:webHidden/>
          </w:rPr>
          <w:fldChar w:fldCharType="separate"/>
        </w:r>
        <w:r w:rsidR="00954BA9">
          <w:rPr>
            <w:noProof/>
            <w:webHidden/>
          </w:rPr>
          <w:t>14</w:t>
        </w:r>
        <w:r w:rsidR="00954BA9">
          <w:rPr>
            <w:noProof/>
            <w:webHidden/>
          </w:rPr>
          <w:fldChar w:fldCharType="end"/>
        </w:r>
      </w:hyperlink>
    </w:p>
    <w:p w14:paraId="7B6F0F4D" w14:textId="77777777" w:rsidR="00954BA9" w:rsidRDefault="00894CB1">
      <w:pPr>
        <w:pStyle w:val="TOC1"/>
        <w:rPr>
          <w:rFonts w:asciiTheme="minorHAnsi" w:eastAsiaTheme="minorEastAsia" w:hAnsiTheme="minorHAnsi" w:cstheme="minorBidi"/>
          <w:b w:val="0"/>
          <w:noProof/>
          <w:szCs w:val="22"/>
          <w:lang w:eastAsia="en-NZ"/>
        </w:rPr>
      </w:pPr>
      <w:hyperlink w:anchor="_Toc531258246" w:history="1">
        <w:r w:rsidR="00954BA9" w:rsidRPr="004D7DBD">
          <w:rPr>
            <w:rStyle w:val="Hyperlink"/>
            <w:noProof/>
          </w:rPr>
          <w:t>Children breastfed at three months of age</w:t>
        </w:r>
        <w:r w:rsidR="00954BA9">
          <w:rPr>
            <w:noProof/>
            <w:webHidden/>
          </w:rPr>
          <w:tab/>
        </w:r>
        <w:r w:rsidR="00954BA9">
          <w:rPr>
            <w:noProof/>
            <w:webHidden/>
          </w:rPr>
          <w:fldChar w:fldCharType="begin"/>
        </w:r>
        <w:r w:rsidR="00954BA9">
          <w:rPr>
            <w:noProof/>
            <w:webHidden/>
          </w:rPr>
          <w:instrText xml:space="preserve"> PAGEREF _Toc531258246 \h </w:instrText>
        </w:r>
        <w:r w:rsidR="00954BA9">
          <w:rPr>
            <w:noProof/>
            <w:webHidden/>
          </w:rPr>
        </w:r>
        <w:r w:rsidR="00954BA9">
          <w:rPr>
            <w:noProof/>
            <w:webHidden/>
          </w:rPr>
          <w:fldChar w:fldCharType="separate"/>
        </w:r>
        <w:r w:rsidR="00954BA9">
          <w:rPr>
            <w:noProof/>
            <w:webHidden/>
          </w:rPr>
          <w:t>16</w:t>
        </w:r>
        <w:r w:rsidR="00954BA9">
          <w:rPr>
            <w:noProof/>
            <w:webHidden/>
          </w:rPr>
          <w:fldChar w:fldCharType="end"/>
        </w:r>
      </w:hyperlink>
    </w:p>
    <w:p w14:paraId="6EAAEDE3" w14:textId="77777777" w:rsidR="00954BA9" w:rsidRDefault="00894CB1">
      <w:pPr>
        <w:pStyle w:val="TOC2"/>
        <w:rPr>
          <w:rFonts w:asciiTheme="minorHAnsi" w:eastAsiaTheme="minorEastAsia" w:hAnsiTheme="minorHAnsi" w:cstheme="minorBidi"/>
          <w:noProof/>
          <w:szCs w:val="22"/>
          <w:lang w:eastAsia="en-NZ"/>
        </w:rPr>
      </w:pPr>
      <w:hyperlink w:anchor="_Toc531258247" w:history="1">
        <w:r w:rsidR="00954BA9" w:rsidRPr="004D7DBD">
          <w:rPr>
            <w:rStyle w:val="Hyperlink"/>
            <w:noProof/>
            <w:lang w:eastAsia="en-NZ"/>
          </w:rPr>
          <w:t>Increased percentage of Pacific infants who are exclusively or fully breastfed at three months of age</w:t>
        </w:r>
        <w:r w:rsidR="00954BA9">
          <w:rPr>
            <w:noProof/>
            <w:webHidden/>
          </w:rPr>
          <w:tab/>
        </w:r>
        <w:r w:rsidR="00954BA9">
          <w:rPr>
            <w:noProof/>
            <w:webHidden/>
          </w:rPr>
          <w:fldChar w:fldCharType="begin"/>
        </w:r>
        <w:r w:rsidR="00954BA9">
          <w:rPr>
            <w:noProof/>
            <w:webHidden/>
          </w:rPr>
          <w:instrText xml:space="preserve"> PAGEREF _Toc531258247 \h </w:instrText>
        </w:r>
        <w:r w:rsidR="00954BA9">
          <w:rPr>
            <w:noProof/>
            <w:webHidden/>
          </w:rPr>
        </w:r>
        <w:r w:rsidR="00954BA9">
          <w:rPr>
            <w:noProof/>
            <w:webHidden/>
          </w:rPr>
          <w:fldChar w:fldCharType="separate"/>
        </w:r>
        <w:r w:rsidR="00954BA9">
          <w:rPr>
            <w:noProof/>
            <w:webHidden/>
          </w:rPr>
          <w:t>16</w:t>
        </w:r>
        <w:r w:rsidR="00954BA9">
          <w:rPr>
            <w:noProof/>
            <w:webHidden/>
          </w:rPr>
          <w:fldChar w:fldCharType="end"/>
        </w:r>
      </w:hyperlink>
    </w:p>
    <w:p w14:paraId="2E75137A" w14:textId="77777777" w:rsidR="00954BA9" w:rsidRDefault="00894CB1">
      <w:pPr>
        <w:pStyle w:val="TOC1"/>
        <w:rPr>
          <w:rFonts w:asciiTheme="minorHAnsi" w:eastAsiaTheme="minorEastAsia" w:hAnsiTheme="minorHAnsi" w:cstheme="minorBidi"/>
          <w:b w:val="0"/>
          <w:noProof/>
          <w:szCs w:val="22"/>
          <w:lang w:eastAsia="en-NZ"/>
        </w:rPr>
      </w:pPr>
      <w:hyperlink w:anchor="_Toc531258248" w:history="1">
        <w:r w:rsidR="00954BA9" w:rsidRPr="004D7DBD">
          <w:rPr>
            <w:rStyle w:val="Hyperlink"/>
            <w:noProof/>
          </w:rPr>
          <w:t>Childhood obesity</w:t>
        </w:r>
        <w:r w:rsidR="00954BA9">
          <w:rPr>
            <w:noProof/>
            <w:webHidden/>
          </w:rPr>
          <w:tab/>
        </w:r>
        <w:r w:rsidR="00954BA9">
          <w:rPr>
            <w:noProof/>
            <w:webHidden/>
          </w:rPr>
          <w:fldChar w:fldCharType="begin"/>
        </w:r>
        <w:r w:rsidR="00954BA9">
          <w:rPr>
            <w:noProof/>
            <w:webHidden/>
          </w:rPr>
          <w:instrText xml:space="preserve"> PAGEREF _Toc531258248 \h </w:instrText>
        </w:r>
        <w:r w:rsidR="00954BA9">
          <w:rPr>
            <w:noProof/>
            <w:webHidden/>
          </w:rPr>
        </w:r>
        <w:r w:rsidR="00954BA9">
          <w:rPr>
            <w:noProof/>
            <w:webHidden/>
          </w:rPr>
          <w:fldChar w:fldCharType="separate"/>
        </w:r>
        <w:r w:rsidR="00954BA9">
          <w:rPr>
            <w:noProof/>
            <w:webHidden/>
          </w:rPr>
          <w:t>19</w:t>
        </w:r>
        <w:r w:rsidR="00954BA9">
          <w:rPr>
            <w:noProof/>
            <w:webHidden/>
          </w:rPr>
          <w:fldChar w:fldCharType="end"/>
        </w:r>
      </w:hyperlink>
    </w:p>
    <w:p w14:paraId="5C790C74" w14:textId="77777777" w:rsidR="00954BA9" w:rsidRDefault="00894CB1">
      <w:pPr>
        <w:pStyle w:val="TOC2"/>
        <w:rPr>
          <w:rFonts w:asciiTheme="minorHAnsi" w:eastAsiaTheme="minorEastAsia" w:hAnsiTheme="minorHAnsi" w:cstheme="minorBidi"/>
          <w:noProof/>
          <w:szCs w:val="22"/>
          <w:lang w:eastAsia="en-NZ"/>
        </w:rPr>
      </w:pPr>
      <w:hyperlink w:anchor="_Toc531258249" w:history="1">
        <w:r w:rsidR="00954BA9" w:rsidRPr="004D7DBD">
          <w:rPr>
            <w:rStyle w:val="Hyperlink"/>
            <w:noProof/>
          </w:rPr>
          <w:t>Percentage of children aged four years with BMI&gt;98th percentile referred to a general practitioner or specialist service</w:t>
        </w:r>
        <w:r w:rsidR="00954BA9">
          <w:rPr>
            <w:noProof/>
            <w:webHidden/>
          </w:rPr>
          <w:tab/>
        </w:r>
        <w:r w:rsidR="00954BA9">
          <w:rPr>
            <w:noProof/>
            <w:webHidden/>
          </w:rPr>
          <w:fldChar w:fldCharType="begin"/>
        </w:r>
        <w:r w:rsidR="00954BA9">
          <w:rPr>
            <w:noProof/>
            <w:webHidden/>
          </w:rPr>
          <w:instrText xml:space="preserve"> PAGEREF _Toc531258249 \h </w:instrText>
        </w:r>
        <w:r w:rsidR="00954BA9">
          <w:rPr>
            <w:noProof/>
            <w:webHidden/>
          </w:rPr>
        </w:r>
        <w:r w:rsidR="00954BA9">
          <w:rPr>
            <w:noProof/>
            <w:webHidden/>
          </w:rPr>
          <w:fldChar w:fldCharType="separate"/>
        </w:r>
        <w:r w:rsidR="00954BA9">
          <w:rPr>
            <w:noProof/>
            <w:webHidden/>
          </w:rPr>
          <w:t>19</w:t>
        </w:r>
        <w:r w:rsidR="00954BA9">
          <w:rPr>
            <w:noProof/>
            <w:webHidden/>
          </w:rPr>
          <w:fldChar w:fldCharType="end"/>
        </w:r>
      </w:hyperlink>
    </w:p>
    <w:p w14:paraId="2ADFB5E1" w14:textId="77777777" w:rsidR="00954BA9" w:rsidRDefault="00894CB1">
      <w:pPr>
        <w:pStyle w:val="TOC2"/>
        <w:rPr>
          <w:rFonts w:asciiTheme="minorHAnsi" w:eastAsiaTheme="minorEastAsia" w:hAnsiTheme="minorHAnsi" w:cstheme="minorBidi"/>
          <w:noProof/>
          <w:szCs w:val="22"/>
          <w:lang w:eastAsia="en-NZ"/>
        </w:rPr>
      </w:pPr>
      <w:hyperlink w:anchor="_Toc531258250" w:history="1">
        <w:r w:rsidR="00954BA9" w:rsidRPr="004D7DBD">
          <w:rPr>
            <w:rStyle w:val="Hyperlink"/>
            <w:noProof/>
          </w:rPr>
          <w:t>Percentage of children aged 2–14 years interviewed in the New Zealand Health Survey who were obese (BMI &gt;/= Cole cut-offs)</w:t>
        </w:r>
        <w:r w:rsidR="00954BA9">
          <w:rPr>
            <w:noProof/>
            <w:webHidden/>
          </w:rPr>
          <w:tab/>
        </w:r>
        <w:r w:rsidR="00954BA9">
          <w:rPr>
            <w:noProof/>
            <w:webHidden/>
          </w:rPr>
          <w:fldChar w:fldCharType="begin"/>
        </w:r>
        <w:r w:rsidR="00954BA9">
          <w:rPr>
            <w:noProof/>
            <w:webHidden/>
          </w:rPr>
          <w:instrText xml:space="preserve"> PAGEREF _Toc531258250 \h </w:instrText>
        </w:r>
        <w:r w:rsidR="00954BA9">
          <w:rPr>
            <w:noProof/>
            <w:webHidden/>
          </w:rPr>
        </w:r>
        <w:r w:rsidR="00954BA9">
          <w:rPr>
            <w:noProof/>
            <w:webHidden/>
          </w:rPr>
          <w:fldChar w:fldCharType="separate"/>
        </w:r>
        <w:r w:rsidR="00954BA9">
          <w:rPr>
            <w:noProof/>
            <w:webHidden/>
          </w:rPr>
          <w:t>19</w:t>
        </w:r>
        <w:r w:rsidR="00954BA9">
          <w:rPr>
            <w:noProof/>
            <w:webHidden/>
          </w:rPr>
          <w:fldChar w:fldCharType="end"/>
        </w:r>
      </w:hyperlink>
    </w:p>
    <w:p w14:paraId="63513641" w14:textId="77777777" w:rsidR="00954BA9" w:rsidRDefault="00894CB1">
      <w:pPr>
        <w:pStyle w:val="TOC2"/>
        <w:rPr>
          <w:rFonts w:asciiTheme="minorHAnsi" w:eastAsiaTheme="minorEastAsia" w:hAnsiTheme="minorHAnsi" w:cstheme="minorBidi"/>
          <w:noProof/>
          <w:szCs w:val="22"/>
          <w:lang w:eastAsia="en-NZ"/>
        </w:rPr>
      </w:pPr>
      <w:hyperlink w:anchor="_Toc531258251" w:history="1">
        <w:r w:rsidR="00954BA9" w:rsidRPr="004D7DBD">
          <w:rPr>
            <w:rStyle w:val="Hyperlink"/>
            <w:noProof/>
            <w:lang w:eastAsia="en-NZ"/>
          </w:rPr>
          <w:t>Increased percentage of Pacific children with BMI &gt;98th percentile who are referred to a GP or specialist services</w:t>
        </w:r>
        <w:r w:rsidR="00954BA9">
          <w:rPr>
            <w:noProof/>
            <w:webHidden/>
          </w:rPr>
          <w:tab/>
        </w:r>
        <w:r w:rsidR="00954BA9">
          <w:rPr>
            <w:noProof/>
            <w:webHidden/>
          </w:rPr>
          <w:fldChar w:fldCharType="begin"/>
        </w:r>
        <w:r w:rsidR="00954BA9">
          <w:rPr>
            <w:noProof/>
            <w:webHidden/>
          </w:rPr>
          <w:instrText xml:space="preserve"> PAGEREF _Toc531258251 \h </w:instrText>
        </w:r>
        <w:r w:rsidR="00954BA9">
          <w:rPr>
            <w:noProof/>
            <w:webHidden/>
          </w:rPr>
        </w:r>
        <w:r w:rsidR="00954BA9">
          <w:rPr>
            <w:noProof/>
            <w:webHidden/>
          </w:rPr>
          <w:fldChar w:fldCharType="separate"/>
        </w:r>
        <w:r w:rsidR="00954BA9">
          <w:rPr>
            <w:noProof/>
            <w:webHidden/>
          </w:rPr>
          <w:t>20</w:t>
        </w:r>
        <w:r w:rsidR="00954BA9">
          <w:rPr>
            <w:noProof/>
            <w:webHidden/>
          </w:rPr>
          <w:fldChar w:fldCharType="end"/>
        </w:r>
      </w:hyperlink>
    </w:p>
    <w:p w14:paraId="3D9B3A53" w14:textId="77777777" w:rsidR="00954BA9" w:rsidRDefault="00894CB1">
      <w:pPr>
        <w:pStyle w:val="TOC2"/>
        <w:rPr>
          <w:rFonts w:asciiTheme="minorHAnsi" w:eastAsiaTheme="minorEastAsia" w:hAnsiTheme="minorHAnsi" w:cstheme="minorBidi"/>
          <w:noProof/>
          <w:szCs w:val="22"/>
          <w:lang w:eastAsia="en-NZ"/>
        </w:rPr>
      </w:pPr>
      <w:hyperlink w:anchor="_Toc531258252" w:history="1">
        <w:r w:rsidR="00954BA9" w:rsidRPr="004D7DBD">
          <w:rPr>
            <w:rStyle w:val="Hyperlink"/>
            <w:noProof/>
            <w:lang w:eastAsia="en-NZ"/>
          </w:rPr>
          <w:t>Decreased number of Pacific children aged 2–14 years who are obese</w:t>
        </w:r>
        <w:r w:rsidR="00954BA9">
          <w:rPr>
            <w:noProof/>
            <w:webHidden/>
          </w:rPr>
          <w:tab/>
        </w:r>
        <w:r w:rsidR="00954BA9">
          <w:rPr>
            <w:noProof/>
            <w:webHidden/>
          </w:rPr>
          <w:fldChar w:fldCharType="begin"/>
        </w:r>
        <w:r w:rsidR="00954BA9">
          <w:rPr>
            <w:noProof/>
            <w:webHidden/>
          </w:rPr>
          <w:instrText xml:space="preserve"> PAGEREF _Toc531258252 \h </w:instrText>
        </w:r>
        <w:r w:rsidR="00954BA9">
          <w:rPr>
            <w:noProof/>
            <w:webHidden/>
          </w:rPr>
        </w:r>
        <w:r w:rsidR="00954BA9">
          <w:rPr>
            <w:noProof/>
            <w:webHidden/>
          </w:rPr>
          <w:fldChar w:fldCharType="separate"/>
        </w:r>
        <w:r w:rsidR="00954BA9">
          <w:rPr>
            <w:noProof/>
            <w:webHidden/>
          </w:rPr>
          <w:t>21</w:t>
        </w:r>
        <w:r w:rsidR="00954BA9">
          <w:rPr>
            <w:noProof/>
            <w:webHidden/>
          </w:rPr>
          <w:fldChar w:fldCharType="end"/>
        </w:r>
      </w:hyperlink>
    </w:p>
    <w:p w14:paraId="07194C69" w14:textId="77777777" w:rsidR="00954BA9" w:rsidRDefault="00894CB1">
      <w:pPr>
        <w:pStyle w:val="TOC1"/>
        <w:rPr>
          <w:rFonts w:asciiTheme="minorHAnsi" w:eastAsiaTheme="minorEastAsia" w:hAnsiTheme="minorHAnsi" w:cstheme="minorBidi"/>
          <w:b w:val="0"/>
          <w:noProof/>
          <w:szCs w:val="22"/>
          <w:lang w:eastAsia="en-NZ"/>
        </w:rPr>
      </w:pPr>
      <w:hyperlink w:anchor="_Toc531258253" w:history="1">
        <w:r w:rsidR="00954BA9" w:rsidRPr="004D7DBD">
          <w:rPr>
            <w:rStyle w:val="Hyperlink"/>
            <w:noProof/>
          </w:rPr>
          <w:t>Oral health</w:t>
        </w:r>
        <w:r w:rsidR="00954BA9">
          <w:rPr>
            <w:noProof/>
            <w:webHidden/>
          </w:rPr>
          <w:tab/>
        </w:r>
        <w:r w:rsidR="00954BA9">
          <w:rPr>
            <w:noProof/>
            <w:webHidden/>
          </w:rPr>
          <w:fldChar w:fldCharType="begin"/>
        </w:r>
        <w:r w:rsidR="00954BA9">
          <w:rPr>
            <w:noProof/>
            <w:webHidden/>
          </w:rPr>
          <w:instrText xml:space="preserve"> PAGEREF _Toc531258253 \h </w:instrText>
        </w:r>
        <w:r w:rsidR="00954BA9">
          <w:rPr>
            <w:noProof/>
            <w:webHidden/>
          </w:rPr>
        </w:r>
        <w:r w:rsidR="00954BA9">
          <w:rPr>
            <w:noProof/>
            <w:webHidden/>
          </w:rPr>
          <w:fldChar w:fldCharType="separate"/>
        </w:r>
        <w:r w:rsidR="00954BA9">
          <w:rPr>
            <w:noProof/>
            <w:webHidden/>
          </w:rPr>
          <w:t>22</w:t>
        </w:r>
        <w:r w:rsidR="00954BA9">
          <w:rPr>
            <w:noProof/>
            <w:webHidden/>
          </w:rPr>
          <w:fldChar w:fldCharType="end"/>
        </w:r>
      </w:hyperlink>
    </w:p>
    <w:p w14:paraId="70950BD8" w14:textId="77777777" w:rsidR="00954BA9" w:rsidRDefault="00894CB1">
      <w:pPr>
        <w:pStyle w:val="TOC2"/>
        <w:rPr>
          <w:rFonts w:asciiTheme="minorHAnsi" w:eastAsiaTheme="minorEastAsia" w:hAnsiTheme="minorHAnsi" w:cstheme="minorBidi"/>
          <w:noProof/>
          <w:szCs w:val="22"/>
          <w:lang w:eastAsia="en-NZ"/>
        </w:rPr>
      </w:pPr>
      <w:hyperlink w:anchor="_Toc531258254" w:history="1">
        <w:r w:rsidR="00954BA9" w:rsidRPr="004D7DBD">
          <w:rPr>
            <w:rStyle w:val="Hyperlink"/>
            <w:noProof/>
          </w:rPr>
          <w:t>Pacific enrolment with the Community Oral Health Service</w:t>
        </w:r>
        <w:r w:rsidR="00954BA9">
          <w:rPr>
            <w:noProof/>
            <w:webHidden/>
          </w:rPr>
          <w:tab/>
        </w:r>
        <w:r w:rsidR="00954BA9">
          <w:rPr>
            <w:noProof/>
            <w:webHidden/>
          </w:rPr>
          <w:fldChar w:fldCharType="begin"/>
        </w:r>
        <w:r w:rsidR="00954BA9">
          <w:rPr>
            <w:noProof/>
            <w:webHidden/>
          </w:rPr>
          <w:instrText xml:space="preserve"> PAGEREF _Toc531258254 \h </w:instrText>
        </w:r>
        <w:r w:rsidR="00954BA9">
          <w:rPr>
            <w:noProof/>
            <w:webHidden/>
          </w:rPr>
        </w:r>
        <w:r w:rsidR="00954BA9">
          <w:rPr>
            <w:noProof/>
            <w:webHidden/>
          </w:rPr>
          <w:fldChar w:fldCharType="separate"/>
        </w:r>
        <w:r w:rsidR="00954BA9">
          <w:rPr>
            <w:noProof/>
            <w:webHidden/>
          </w:rPr>
          <w:t>22</w:t>
        </w:r>
        <w:r w:rsidR="00954BA9">
          <w:rPr>
            <w:noProof/>
            <w:webHidden/>
          </w:rPr>
          <w:fldChar w:fldCharType="end"/>
        </w:r>
      </w:hyperlink>
    </w:p>
    <w:p w14:paraId="20F4440C" w14:textId="77777777" w:rsidR="00954BA9" w:rsidRDefault="00894CB1">
      <w:pPr>
        <w:pStyle w:val="TOC2"/>
        <w:rPr>
          <w:rFonts w:asciiTheme="minorHAnsi" w:eastAsiaTheme="minorEastAsia" w:hAnsiTheme="minorHAnsi" w:cstheme="minorBidi"/>
          <w:noProof/>
          <w:szCs w:val="22"/>
          <w:lang w:eastAsia="en-NZ"/>
        </w:rPr>
      </w:pPr>
      <w:hyperlink w:anchor="_Toc531258255" w:history="1">
        <w:r w:rsidR="00954BA9" w:rsidRPr="004D7DBD">
          <w:rPr>
            <w:rStyle w:val="Hyperlink"/>
            <w:noProof/>
          </w:rPr>
          <w:t>Percentage of Pacific children caries-free at age five and rates of decayed, missing or filled teeth at school year eight</w:t>
        </w:r>
        <w:r w:rsidR="00954BA9">
          <w:rPr>
            <w:noProof/>
            <w:webHidden/>
          </w:rPr>
          <w:tab/>
        </w:r>
        <w:r w:rsidR="00954BA9">
          <w:rPr>
            <w:noProof/>
            <w:webHidden/>
          </w:rPr>
          <w:fldChar w:fldCharType="begin"/>
        </w:r>
        <w:r w:rsidR="00954BA9">
          <w:rPr>
            <w:noProof/>
            <w:webHidden/>
          </w:rPr>
          <w:instrText xml:space="preserve"> PAGEREF _Toc531258255 \h </w:instrText>
        </w:r>
        <w:r w:rsidR="00954BA9">
          <w:rPr>
            <w:noProof/>
            <w:webHidden/>
          </w:rPr>
        </w:r>
        <w:r w:rsidR="00954BA9">
          <w:rPr>
            <w:noProof/>
            <w:webHidden/>
          </w:rPr>
          <w:fldChar w:fldCharType="separate"/>
        </w:r>
        <w:r w:rsidR="00954BA9">
          <w:rPr>
            <w:noProof/>
            <w:webHidden/>
          </w:rPr>
          <w:t>22</w:t>
        </w:r>
        <w:r w:rsidR="00954BA9">
          <w:rPr>
            <w:noProof/>
            <w:webHidden/>
          </w:rPr>
          <w:fldChar w:fldCharType="end"/>
        </w:r>
      </w:hyperlink>
    </w:p>
    <w:p w14:paraId="55E34D76" w14:textId="77777777" w:rsidR="00954BA9" w:rsidRDefault="00894CB1">
      <w:pPr>
        <w:pStyle w:val="TOC2"/>
        <w:rPr>
          <w:rFonts w:asciiTheme="minorHAnsi" w:eastAsiaTheme="minorEastAsia" w:hAnsiTheme="minorHAnsi" w:cstheme="minorBidi"/>
          <w:noProof/>
          <w:szCs w:val="22"/>
          <w:lang w:eastAsia="en-NZ"/>
        </w:rPr>
      </w:pPr>
      <w:hyperlink w:anchor="_Toc531258256" w:history="1">
        <w:r w:rsidR="00954BA9" w:rsidRPr="004D7DBD">
          <w:rPr>
            <w:rStyle w:val="Hyperlink"/>
            <w:noProof/>
            <w:lang w:eastAsia="en-NZ"/>
          </w:rPr>
          <w:t>Increased percentage of Pacific children under five years of age who are enrolled with the COHS</w:t>
        </w:r>
        <w:r w:rsidR="00954BA9">
          <w:rPr>
            <w:noProof/>
            <w:webHidden/>
          </w:rPr>
          <w:tab/>
        </w:r>
        <w:r w:rsidR="00954BA9">
          <w:rPr>
            <w:noProof/>
            <w:webHidden/>
          </w:rPr>
          <w:fldChar w:fldCharType="begin"/>
        </w:r>
        <w:r w:rsidR="00954BA9">
          <w:rPr>
            <w:noProof/>
            <w:webHidden/>
          </w:rPr>
          <w:instrText xml:space="preserve"> PAGEREF _Toc531258256 \h </w:instrText>
        </w:r>
        <w:r w:rsidR="00954BA9">
          <w:rPr>
            <w:noProof/>
            <w:webHidden/>
          </w:rPr>
        </w:r>
        <w:r w:rsidR="00954BA9">
          <w:rPr>
            <w:noProof/>
            <w:webHidden/>
          </w:rPr>
          <w:fldChar w:fldCharType="separate"/>
        </w:r>
        <w:r w:rsidR="00954BA9">
          <w:rPr>
            <w:noProof/>
            <w:webHidden/>
          </w:rPr>
          <w:t>23</w:t>
        </w:r>
        <w:r w:rsidR="00954BA9">
          <w:rPr>
            <w:noProof/>
            <w:webHidden/>
          </w:rPr>
          <w:fldChar w:fldCharType="end"/>
        </w:r>
      </w:hyperlink>
    </w:p>
    <w:p w14:paraId="0C1F7E30" w14:textId="77777777" w:rsidR="00954BA9" w:rsidRDefault="00894CB1">
      <w:pPr>
        <w:pStyle w:val="TOC2"/>
        <w:rPr>
          <w:rFonts w:asciiTheme="minorHAnsi" w:eastAsiaTheme="minorEastAsia" w:hAnsiTheme="minorHAnsi" w:cstheme="minorBidi"/>
          <w:noProof/>
          <w:szCs w:val="22"/>
          <w:lang w:eastAsia="en-NZ"/>
        </w:rPr>
      </w:pPr>
      <w:hyperlink w:anchor="_Toc531258257" w:history="1">
        <w:r w:rsidR="00954BA9" w:rsidRPr="004D7DBD">
          <w:rPr>
            <w:rStyle w:val="Hyperlink"/>
            <w:noProof/>
            <w:lang w:eastAsia="en-NZ"/>
          </w:rPr>
          <w:t>Increased number of Pacific children caries-free at age five, and rates of DMFT at school year eight at least equivalent to the total population</w:t>
        </w:r>
        <w:r w:rsidR="00954BA9">
          <w:rPr>
            <w:noProof/>
            <w:webHidden/>
          </w:rPr>
          <w:tab/>
        </w:r>
        <w:r w:rsidR="00954BA9">
          <w:rPr>
            <w:noProof/>
            <w:webHidden/>
          </w:rPr>
          <w:fldChar w:fldCharType="begin"/>
        </w:r>
        <w:r w:rsidR="00954BA9">
          <w:rPr>
            <w:noProof/>
            <w:webHidden/>
          </w:rPr>
          <w:instrText xml:space="preserve"> PAGEREF _Toc531258257 \h </w:instrText>
        </w:r>
        <w:r w:rsidR="00954BA9">
          <w:rPr>
            <w:noProof/>
            <w:webHidden/>
          </w:rPr>
        </w:r>
        <w:r w:rsidR="00954BA9">
          <w:rPr>
            <w:noProof/>
            <w:webHidden/>
          </w:rPr>
          <w:fldChar w:fldCharType="separate"/>
        </w:r>
        <w:r w:rsidR="00954BA9">
          <w:rPr>
            <w:noProof/>
            <w:webHidden/>
          </w:rPr>
          <w:t>25</w:t>
        </w:r>
        <w:r w:rsidR="00954BA9">
          <w:rPr>
            <w:noProof/>
            <w:webHidden/>
          </w:rPr>
          <w:fldChar w:fldCharType="end"/>
        </w:r>
      </w:hyperlink>
    </w:p>
    <w:p w14:paraId="2F38B481" w14:textId="77777777" w:rsidR="00954BA9" w:rsidRDefault="00894CB1">
      <w:pPr>
        <w:pStyle w:val="TOC1"/>
        <w:rPr>
          <w:rFonts w:asciiTheme="minorHAnsi" w:eastAsiaTheme="minorEastAsia" w:hAnsiTheme="minorHAnsi" w:cstheme="minorBidi"/>
          <w:b w:val="0"/>
          <w:noProof/>
          <w:szCs w:val="22"/>
          <w:lang w:eastAsia="en-NZ"/>
        </w:rPr>
      </w:pPr>
      <w:hyperlink w:anchor="_Toc531258258" w:history="1">
        <w:r w:rsidR="00954BA9" w:rsidRPr="004D7DBD">
          <w:rPr>
            <w:rStyle w:val="Hyperlink"/>
            <w:noProof/>
          </w:rPr>
          <w:t>Immunisations</w:t>
        </w:r>
        <w:r w:rsidR="00954BA9">
          <w:rPr>
            <w:noProof/>
            <w:webHidden/>
          </w:rPr>
          <w:tab/>
        </w:r>
        <w:r w:rsidR="00954BA9">
          <w:rPr>
            <w:noProof/>
            <w:webHidden/>
          </w:rPr>
          <w:fldChar w:fldCharType="begin"/>
        </w:r>
        <w:r w:rsidR="00954BA9">
          <w:rPr>
            <w:noProof/>
            <w:webHidden/>
          </w:rPr>
          <w:instrText xml:space="preserve"> PAGEREF _Toc531258258 \h </w:instrText>
        </w:r>
        <w:r w:rsidR="00954BA9">
          <w:rPr>
            <w:noProof/>
            <w:webHidden/>
          </w:rPr>
        </w:r>
        <w:r w:rsidR="00954BA9">
          <w:rPr>
            <w:noProof/>
            <w:webHidden/>
          </w:rPr>
          <w:fldChar w:fldCharType="separate"/>
        </w:r>
        <w:r w:rsidR="00954BA9">
          <w:rPr>
            <w:noProof/>
            <w:webHidden/>
          </w:rPr>
          <w:t>29</w:t>
        </w:r>
        <w:r w:rsidR="00954BA9">
          <w:rPr>
            <w:noProof/>
            <w:webHidden/>
          </w:rPr>
          <w:fldChar w:fldCharType="end"/>
        </w:r>
      </w:hyperlink>
    </w:p>
    <w:p w14:paraId="2D719421" w14:textId="77777777" w:rsidR="00954BA9" w:rsidRDefault="00894CB1">
      <w:pPr>
        <w:pStyle w:val="TOC2"/>
        <w:rPr>
          <w:rFonts w:asciiTheme="minorHAnsi" w:eastAsiaTheme="minorEastAsia" w:hAnsiTheme="minorHAnsi" w:cstheme="minorBidi"/>
          <w:noProof/>
          <w:szCs w:val="22"/>
          <w:lang w:eastAsia="en-NZ"/>
        </w:rPr>
      </w:pPr>
      <w:hyperlink w:anchor="_Toc531258259" w:history="1">
        <w:r w:rsidR="00954BA9" w:rsidRPr="004D7DBD">
          <w:rPr>
            <w:rStyle w:val="Hyperlink"/>
            <w:noProof/>
          </w:rPr>
          <w:t>Increased Pacific infant immunisation coverage</w:t>
        </w:r>
        <w:r w:rsidR="00954BA9">
          <w:rPr>
            <w:noProof/>
            <w:webHidden/>
          </w:rPr>
          <w:tab/>
        </w:r>
        <w:r w:rsidR="00954BA9">
          <w:rPr>
            <w:noProof/>
            <w:webHidden/>
          </w:rPr>
          <w:fldChar w:fldCharType="begin"/>
        </w:r>
        <w:r w:rsidR="00954BA9">
          <w:rPr>
            <w:noProof/>
            <w:webHidden/>
          </w:rPr>
          <w:instrText xml:space="preserve"> PAGEREF _Toc531258259 \h </w:instrText>
        </w:r>
        <w:r w:rsidR="00954BA9">
          <w:rPr>
            <w:noProof/>
            <w:webHidden/>
          </w:rPr>
        </w:r>
        <w:r w:rsidR="00954BA9">
          <w:rPr>
            <w:noProof/>
            <w:webHidden/>
          </w:rPr>
          <w:fldChar w:fldCharType="separate"/>
        </w:r>
        <w:r w:rsidR="00954BA9">
          <w:rPr>
            <w:noProof/>
            <w:webHidden/>
          </w:rPr>
          <w:t>29</w:t>
        </w:r>
        <w:r w:rsidR="00954BA9">
          <w:rPr>
            <w:noProof/>
            <w:webHidden/>
          </w:rPr>
          <w:fldChar w:fldCharType="end"/>
        </w:r>
      </w:hyperlink>
    </w:p>
    <w:p w14:paraId="794C729A" w14:textId="77777777" w:rsidR="00954BA9" w:rsidRDefault="00894CB1">
      <w:pPr>
        <w:pStyle w:val="TOC1"/>
        <w:rPr>
          <w:rFonts w:asciiTheme="minorHAnsi" w:eastAsiaTheme="minorEastAsia" w:hAnsiTheme="minorHAnsi" w:cstheme="minorBidi"/>
          <w:b w:val="0"/>
          <w:noProof/>
          <w:szCs w:val="22"/>
          <w:lang w:eastAsia="en-NZ"/>
        </w:rPr>
      </w:pPr>
      <w:hyperlink w:anchor="_Toc531258260" w:history="1">
        <w:r w:rsidR="00954BA9" w:rsidRPr="004D7DBD">
          <w:rPr>
            <w:rStyle w:val="Hyperlink"/>
            <w:noProof/>
          </w:rPr>
          <w:t>References</w:t>
        </w:r>
        <w:r w:rsidR="00954BA9">
          <w:rPr>
            <w:noProof/>
            <w:webHidden/>
          </w:rPr>
          <w:tab/>
        </w:r>
        <w:r w:rsidR="00954BA9">
          <w:rPr>
            <w:noProof/>
            <w:webHidden/>
          </w:rPr>
          <w:fldChar w:fldCharType="begin"/>
        </w:r>
        <w:r w:rsidR="00954BA9">
          <w:rPr>
            <w:noProof/>
            <w:webHidden/>
          </w:rPr>
          <w:instrText xml:space="preserve"> PAGEREF _Toc531258260 \h </w:instrText>
        </w:r>
        <w:r w:rsidR="00954BA9">
          <w:rPr>
            <w:noProof/>
            <w:webHidden/>
          </w:rPr>
        </w:r>
        <w:r w:rsidR="00954BA9">
          <w:rPr>
            <w:noProof/>
            <w:webHidden/>
          </w:rPr>
          <w:fldChar w:fldCharType="separate"/>
        </w:r>
        <w:r w:rsidR="00954BA9">
          <w:rPr>
            <w:noProof/>
            <w:webHidden/>
          </w:rPr>
          <w:t>32</w:t>
        </w:r>
        <w:r w:rsidR="00954BA9">
          <w:rPr>
            <w:noProof/>
            <w:webHidden/>
          </w:rPr>
          <w:fldChar w:fldCharType="end"/>
        </w:r>
      </w:hyperlink>
    </w:p>
    <w:p w14:paraId="686BC6C4" w14:textId="081F6EAB" w:rsidR="00C86248" w:rsidRDefault="00954BA9">
      <w:r>
        <w:fldChar w:fldCharType="end"/>
      </w:r>
    </w:p>
    <w:p w14:paraId="08C99E97" w14:textId="77777777" w:rsidR="00C86248" w:rsidRDefault="00C86248" w:rsidP="003B1D10">
      <w:pPr>
        <w:pStyle w:val="TOC1"/>
        <w:keepNext/>
      </w:pPr>
      <w:r>
        <w:t>List of Tables</w:t>
      </w:r>
    </w:p>
    <w:p w14:paraId="7F4B73B0" w14:textId="77777777" w:rsidR="00954BA9" w:rsidRDefault="00954BA9">
      <w:pPr>
        <w:pStyle w:val="TOC3"/>
        <w:rPr>
          <w:rFonts w:asciiTheme="minorHAnsi" w:eastAsiaTheme="minorEastAsia" w:hAnsiTheme="minorHAnsi" w:cstheme="minorBidi"/>
          <w:noProof/>
          <w:szCs w:val="22"/>
          <w:lang w:eastAsia="en-NZ"/>
        </w:rPr>
      </w:pPr>
      <w:r>
        <w:rPr>
          <w:sz w:val="20"/>
        </w:rPr>
        <w:fldChar w:fldCharType="begin"/>
      </w:r>
      <w:r>
        <w:rPr>
          <w:sz w:val="20"/>
        </w:rPr>
        <w:instrText xml:space="preserve"> TOC \h \z \t "Table,3" </w:instrText>
      </w:r>
      <w:r>
        <w:rPr>
          <w:sz w:val="20"/>
        </w:rPr>
        <w:fldChar w:fldCharType="separate"/>
      </w:r>
      <w:hyperlink w:anchor="_Toc531258261" w:history="1">
        <w:r w:rsidRPr="005551D0">
          <w:rPr>
            <w:rStyle w:val="Hyperlink"/>
            <w:noProof/>
          </w:rPr>
          <w:t>Table A1: Projected Pacific peoples population for 2015/16, by DHB, based on the 2013 Census</w:t>
        </w:r>
        <w:r>
          <w:rPr>
            <w:noProof/>
            <w:webHidden/>
          </w:rPr>
          <w:tab/>
        </w:r>
        <w:r>
          <w:rPr>
            <w:noProof/>
            <w:webHidden/>
          </w:rPr>
          <w:fldChar w:fldCharType="begin"/>
        </w:r>
        <w:r>
          <w:rPr>
            <w:noProof/>
            <w:webHidden/>
          </w:rPr>
          <w:instrText xml:space="preserve"> PAGEREF _Toc531258261 \h </w:instrText>
        </w:r>
        <w:r>
          <w:rPr>
            <w:noProof/>
            <w:webHidden/>
          </w:rPr>
        </w:r>
        <w:r>
          <w:rPr>
            <w:noProof/>
            <w:webHidden/>
          </w:rPr>
          <w:fldChar w:fldCharType="separate"/>
        </w:r>
        <w:r>
          <w:rPr>
            <w:noProof/>
            <w:webHidden/>
          </w:rPr>
          <w:t>5</w:t>
        </w:r>
        <w:r>
          <w:rPr>
            <w:noProof/>
            <w:webHidden/>
          </w:rPr>
          <w:fldChar w:fldCharType="end"/>
        </w:r>
      </w:hyperlink>
    </w:p>
    <w:p w14:paraId="0CA2299E" w14:textId="77777777" w:rsidR="00954BA9" w:rsidRDefault="00894CB1">
      <w:pPr>
        <w:pStyle w:val="TOC3"/>
        <w:rPr>
          <w:rFonts w:asciiTheme="minorHAnsi" w:eastAsiaTheme="minorEastAsia" w:hAnsiTheme="minorHAnsi" w:cstheme="minorBidi"/>
          <w:noProof/>
          <w:szCs w:val="22"/>
          <w:lang w:eastAsia="en-NZ"/>
        </w:rPr>
      </w:pPr>
      <w:hyperlink w:anchor="_Toc531258262" w:history="1">
        <w:r w:rsidR="00954BA9" w:rsidRPr="005551D0">
          <w:rPr>
            <w:rStyle w:val="Hyperlink"/>
            <w:noProof/>
          </w:rPr>
          <w:t>Table 4: Number and percentage of newborn infants enrolled in a general practice, Pacific peoples, priority DHBs, 20 August–19 November 2016</w:t>
        </w:r>
        <w:r w:rsidR="00954BA9">
          <w:rPr>
            <w:noProof/>
            <w:webHidden/>
          </w:rPr>
          <w:tab/>
        </w:r>
        <w:r w:rsidR="00954BA9">
          <w:rPr>
            <w:noProof/>
            <w:webHidden/>
          </w:rPr>
          <w:fldChar w:fldCharType="begin"/>
        </w:r>
        <w:r w:rsidR="00954BA9">
          <w:rPr>
            <w:noProof/>
            <w:webHidden/>
          </w:rPr>
          <w:instrText xml:space="preserve"> PAGEREF _Toc531258262 \h </w:instrText>
        </w:r>
        <w:r w:rsidR="00954BA9">
          <w:rPr>
            <w:noProof/>
            <w:webHidden/>
          </w:rPr>
        </w:r>
        <w:r w:rsidR="00954BA9">
          <w:rPr>
            <w:noProof/>
            <w:webHidden/>
          </w:rPr>
          <w:fldChar w:fldCharType="separate"/>
        </w:r>
        <w:r w:rsidR="00954BA9">
          <w:rPr>
            <w:noProof/>
            <w:webHidden/>
          </w:rPr>
          <w:t>10</w:t>
        </w:r>
        <w:r w:rsidR="00954BA9">
          <w:rPr>
            <w:noProof/>
            <w:webHidden/>
          </w:rPr>
          <w:fldChar w:fldCharType="end"/>
        </w:r>
      </w:hyperlink>
    </w:p>
    <w:p w14:paraId="44233D7B" w14:textId="77777777" w:rsidR="00954BA9" w:rsidRDefault="00894CB1">
      <w:pPr>
        <w:pStyle w:val="TOC3"/>
        <w:rPr>
          <w:rFonts w:asciiTheme="minorHAnsi" w:eastAsiaTheme="minorEastAsia" w:hAnsiTheme="minorHAnsi" w:cstheme="minorBidi"/>
          <w:noProof/>
          <w:szCs w:val="22"/>
          <w:lang w:eastAsia="en-NZ"/>
        </w:rPr>
      </w:pPr>
      <w:hyperlink w:anchor="_Toc531258263" w:history="1">
        <w:r w:rsidR="00954BA9" w:rsidRPr="005551D0">
          <w:rPr>
            <w:rStyle w:val="Hyperlink"/>
            <w:noProof/>
          </w:rPr>
          <w:t>Table 5: Number and percentage of children under five years of age enrolled in the Community Oral Health Service, Pacific peoples, priority DHBs, 1 January–30 December 2015</w:t>
        </w:r>
        <w:r w:rsidR="00954BA9">
          <w:rPr>
            <w:noProof/>
            <w:webHidden/>
          </w:rPr>
          <w:tab/>
        </w:r>
        <w:r w:rsidR="00954BA9">
          <w:rPr>
            <w:noProof/>
            <w:webHidden/>
          </w:rPr>
          <w:fldChar w:fldCharType="begin"/>
        </w:r>
        <w:r w:rsidR="00954BA9">
          <w:rPr>
            <w:noProof/>
            <w:webHidden/>
          </w:rPr>
          <w:instrText xml:space="preserve"> PAGEREF _Toc531258263 \h </w:instrText>
        </w:r>
        <w:r w:rsidR="00954BA9">
          <w:rPr>
            <w:noProof/>
            <w:webHidden/>
          </w:rPr>
        </w:r>
        <w:r w:rsidR="00954BA9">
          <w:rPr>
            <w:noProof/>
            <w:webHidden/>
          </w:rPr>
          <w:fldChar w:fldCharType="separate"/>
        </w:r>
        <w:r w:rsidR="00954BA9">
          <w:rPr>
            <w:noProof/>
            <w:webHidden/>
          </w:rPr>
          <w:t>24</w:t>
        </w:r>
        <w:r w:rsidR="00954BA9">
          <w:rPr>
            <w:noProof/>
            <w:webHidden/>
          </w:rPr>
          <w:fldChar w:fldCharType="end"/>
        </w:r>
      </w:hyperlink>
    </w:p>
    <w:p w14:paraId="16FA8289" w14:textId="77777777" w:rsidR="00954BA9" w:rsidRDefault="00894CB1">
      <w:pPr>
        <w:pStyle w:val="TOC3"/>
        <w:rPr>
          <w:rFonts w:asciiTheme="minorHAnsi" w:eastAsiaTheme="minorEastAsia" w:hAnsiTheme="minorHAnsi" w:cstheme="minorBidi"/>
          <w:noProof/>
          <w:szCs w:val="22"/>
          <w:lang w:eastAsia="en-NZ"/>
        </w:rPr>
      </w:pPr>
      <w:hyperlink w:anchor="_Toc531258264" w:history="1">
        <w:r w:rsidR="00954BA9" w:rsidRPr="005551D0">
          <w:rPr>
            <w:rStyle w:val="Hyperlink"/>
            <w:noProof/>
          </w:rPr>
          <w:t>Table 6: Number and percentage of children caries-free at age five, Pacific peoples, priority DHBs, 1 January–30 December 2015</w:t>
        </w:r>
        <w:r w:rsidR="00954BA9">
          <w:rPr>
            <w:noProof/>
            <w:webHidden/>
          </w:rPr>
          <w:tab/>
        </w:r>
        <w:r w:rsidR="00954BA9">
          <w:rPr>
            <w:noProof/>
            <w:webHidden/>
          </w:rPr>
          <w:fldChar w:fldCharType="begin"/>
        </w:r>
        <w:r w:rsidR="00954BA9">
          <w:rPr>
            <w:noProof/>
            <w:webHidden/>
          </w:rPr>
          <w:instrText xml:space="preserve"> PAGEREF _Toc531258264 \h </w:instrText>
        </w:r>
        <w:r w:rsidR="00954BA9">
          <w:rPr>
            <w:noProof/>
            <w:webHidden/>
          </w:rPr>
        </w:r>
        <w:r w:rsidR="00954BA9">
          <w:rPr>
            <w:noProof/>
            <w:webHidden/>
          </w:rPr>
          <w:fldChar w:fldCharType="separate"/>
        </w:r>
        <w:r w:rsidR="00954BA9">
          <w:rPr>
            <w:noProof/>
            <w:webHidden/>
          </w:rPr>
          <w:t>26</w:t>
        </w:r>
        <w:r w:rsidR="00954BA9">
          <w:rPr>
            <w:noProof/>
            <w:webHidden/>
          </w:rPr>
          <w:fldChar w:fldCharType="end"/>
        </w:r>
      </w:hyperlink>
    </w:p>
    <w:p w14:paraId="236E75FF" w14:textId="77777777" w:rsidR="00954BA9" w:rsidRDefault="00894CB1">
      <w:pPr>
        <w:pStyle w:val="TOC3"/>
        <w:rPr>
          <w:rFonts w:asciiTheme="minorHAnsi" w:eastAsiaTheme="minorEastAsia" w:hAnsiTheme="minorHAnsi" w:cstheme="minorBidi"/>
          <w:noProof/>
          <w:szCs w:val="22"/>
          <w:lang w:eastAsia="en-NZ"/>
        </w:rPr>
      </w:pPr>
      <w:hyperlink w:anchor="_Toc531258265" w:history="1">
        <w:r w:rsidR="00954BA9" w:rsidRPr="005551D0">
          <w:rPr>
            <w:rStyle w:val="Hyperlink"/>
            <w:noProof/>
          </w:rPr>
          <w:t>Table 7: Count and mean number of decayed, missing or filled teeth for children in school year eight, Pacific peoples, by priority DHBs, 1 January–30 December 2015</w:t>
        </w:r>
        <w:r w:rsidR="00954BA9">
          <w:rPr>
            <w:noProof/>
            <w:webHidden/>
          </w:rPr>
          <w:tab/>
        </w:r>
        <w:r w:rsidR="00954BA9">
          <w:rPr>
            <w:noProof/>
            <w:webHidden/>
          </w:rPr>
          <w:fldChar w:fldCharType="begin"/>
        </w:r>
        <w:r w:rsidR="00954BA9">
          <w:rPr>
            <w:noProof/>
            <w:webHidden/>
          </w:rPr>
          <w:instrText xml:space="preserve"> PAGEREF _Toc531258265 \h </w:instrText>
        </w:r>
        <w:r w:rsidR="00954BA9">
          <w:rPr>
            <w:noProof/>
            <w:webHidden/>
          </w:rPr>
        </w:r>
        <w:r w:rsidR="00954BA9">
          <w:rPr>
            <w:noProof/>
            <w:webHidden/>
          </w:rPr>
          <w:fldChar w:fldCharType="separate"/>
        </w:r>
        <w:r w:rsidR="00954BA9">
          <w:rPr>
            <w:noProof/>
            <w:webHidden/>
          </w:rPr>
          <w:t>28</w:t>
        </w:r>
        <w:r w:rsidR="00954BA9">
          <w:rPr>
            <w:noProof/>
            <w:webHidden/>
          </w:rPr>
          <w:fldChar w:fldCharType="end"/>
        </w:r>
      </w:hyperlink>
    </w:p>
    <w:p w14:paraId="5FB18244" w14:textId="77777777" w:rsidR="00954BA9" w:rsidRDefault="00894CB1">
      <w:pPr>
        <w:pStyle w:val="TOC3"/>
        <w:rPr>
          <w:rFonts w:asciiTheme="minorHAnsi" w:eastAsiaTheme="minorEastAsia" w:hAnsiTheme="minorHAnsi" w:cstheme="minorBidi"/>
          <w:noProof/>
          <w:szCs w:val="22"/>
          <w:lang w:eastAsia="en-NZ"/>
        </w:rPr>
      </w:pPr>
      <w:hyperlink w:anchor="_Toc531258266" w:history="1">
        <w:r w:rsidR="00954BA9" w:rsidRPr="005551D0">
          <w:rPr>
            <w:rStyle w:val="Hyperlink"/>
            <w:noProof/>
          </w:rPr>
          <w:t>Table 8: Count and percentage of babies fully immunised at eight months of age, Pacific peoples, priority DHBs, 1 January–30 March 2017</w:t>
        </w:r>
        <w:r w:rsidR="00954BA9">
          <w:rPr>
            <w:noProof/>
            <w:webHidden/>
          </w:rPr>
          <w:tab/>
        </w:r>
        <w:r w:rsidR="00954BA9">
          <w:rPr>
            <w:noProof/>
            <w:webHidden/>
          </w:rPr>
          <w:fldChar w:fldCharType="begin"/>
        </w:r>
        <w:r w:rsidR="00954BA9">
          <w:rPr>
            <w:noProof/>
            <w:webHidden/>
          </w:rPr>
          <w:instrText xml:space="preserve"> PAGEREF _Toc531258266 \h </w:instrText>
        </w:r>
        <w:r w:rsidR="00954BA9">
          <w:rPr>
            <w:noProof/>
            <w:webHidden/>
          </w:rPr>
        </w:r>
        <w:r w:rsidR="00954BA9">
          <w:rPr>
            <w:noProof/>
            <w:webHidden/>
          </w:rPr>
          <w:fldChar w:fldCharType="separate"/>
        </w:r>
        <w:r w:rsidR="00954BA9">
          <w:rPr>
            <w:noProof/>
            <w:webHidden/>
          </w:rPr>
          <w:t>31</w:t>
        </w:r>
        <w:r w:rsidR="00954BA9">
          <w:rPr>
            <w:noProof/>
            <w:webHidden/>
          </w:rPr>
          <w:fldChar w:fldCharType="end"/>
        </w:r>
      </w:hyperlink>
    </w:p>
    <w:p w14:paraId="468A48BC" w14:textId="3CC96F28" w:rsidR="00C86248" w:rsidRDefault="00954BA9" w:rsidP="0030382F">
      <w:r>
        <w:rPr>
          <w:sz w:val="20"/>
        </w:rPr>
        <w:fldChar w:fldCharType="end"/>
      </w:r>
    </w:p>
    <w:p w14:paraId="42153F12" w14:textId="77777777" w:rsidR="002A1E1A" w:rsidRDefault="002A1E1A" w:rsidP="0030382F"/>
    <w:p w14:paraId="44216929" w14:textId="77777777" w:rsidR="003A5FEA" w:rsidRDefault="003A5FEA" w:rsidP="002A1E1A">
      <w:pPr>
        <w:pStyle w:val="TOC1"/>
        <w:keepNext/>
      </w:pPr>
      <w:r>
        <w:t>List of Figures</w:t>
      </w:r>
    </w:p>
    <w:p w14:paraId="62F04C42" w14:textId="77777777" w:rsidR="00954BA9" w:rsidRDefault="00954BA9">
      <w:pPr>
        <w:pStyle w:val="TOC3"/>
        <w:rPr>
          <w:rFonts w:asciiTheme="minorHAnsi" w:eastAsiaTheme="minorEastAsia" w:hAnsiTheme="minorHAnsi" w:cstheme="minorBidi"/>
          <w:noProof/>
          <w:szCs w:val="22"/>
          <w:lang w:eastAsia="en-NZ"/>
        </w:rPr>
      </w:pPr>
      <w:r>
        <w:fldChar w:fldCharType="begin"/>
      </w:r>
      <w:r>
        <w:instrText xml:space="preserve"> TOC \h \z \t "Figure,3" </w:instrText>
      </w:r>
      <w:r>
        <w:fldChar w:fldCharType="separate"/>
      </w:r>
      <w:hyperlink w:anchor="_Toc531258277" w:history="1">
        <w:r w:rsidRPr="00A221DF">
          <w:rPr>
            <w:rStyle w:val="Hyperlink"/>
            <w:noProof/>
          </w:rPr>
          <w:t>Figure 1: Percentage of newborn infants enrolled with a general practice, Pacific peoples and total New Zealand population, March 2014–March 2017</w:t>
        </w:r>
        <w:r>
          <w:rPr>
            <w:noProof/>
            <w:webHidden/>
          </w:rPr>
          <w:tab/>
        </w:r>
        <w:r>
          <w:rPr>
            <w:noProof/>
            <w:webHidden/>
          </w:rPr>
          <w:fldChar w:fldCharType="begin"/>
        </w:r>
        <w:r>
          <w:rPr>
            <w:noProof/>
            <w:webHidden/>
          </w:rPr>
          <w:instrText xml:space="preserve"> PAGEREF _Toc531258277 \h </w:instrText>
        </w:r>
        <w:r>
          <w:rPr>
            <w:noProof/>
            <w:webHidden/>
          </w:rPr>
        </w:r>
        <w:r>
          <w:rPr>
            <w:noProof/>
            <w:webHidden/>
          </w:rPr>
          <w:fldChar w:fldCharType="separate"/>
        </w:r>
        <w:r>
          <w:rPr>
            <w:noProof/>
            <w:webHidden/>
          </w:rPr>
          <w:t>8</w:t>
        </w:r>
        <w:r>
          <w:rPr>
            <w:noProof/>
            <w:webHidden/>
          </w:rPr>
          <w:fldChar w:fldCharType="end"/>
        </w:r>
      </w:hyperlink>
    </w:p>
    <w:p w14:paraId="37AA711E" w14:textId="77777777" w:rsidR="00954BA9" w:rsidRDefault="00894CB1">
      <w:pPr>
        <w:pStyle w:val="TOC3"/>
        <w:rPr>
          <w:rFonts w:asciiTheme="minorHAnsi" w:eastAsiaTheme="minorEastAsia" w:hAnsiTheme="minorHAnsi" w:cstheme="minorBidi"/>
          <w:noProof/>
          <w:szCs w:val="22"/>
          <w:lang w:eastAsia="en-NZ"/>
        </w:rPr>
      </w:pPr>
      <w:hyperlink w:anchor="_Toc531258278" w:history="1">
        <w:r w:rsidR="00954BA9" w:rsidRPr="00A221DF">
          <w:rPr>
            <w:rStyle w:val="Hyperlink"/>
            <w:noProof/>
          </w:rPr>
          <w:t>Figure 2A: Percentage of Pacific newborn infants enrolled with a general practice, Auckland region DHBs, March 2014–March 2017</w:t>
        </w:r>
        <w:r w:rsidR="00954BA9">
          <w:rPr>
            <w:noProof/>
            <w:webHidden/>
          </w:rPr>
          <w:tab/>
        </w:r>
        <w:r w:rsidR="00954BA9">
          <w:rPr>
            <w:noProof/>
            <w:webHidden/>
          </w:rPr>
          <w:fldChar w:fldCharType="begin"/>
        </w:r>
        <w:r w:rsidR="00954BA9">
          <w:rPr>
            <w:noProof/>
            <w:webHidden/>
          </w:rPr>
          <w:instrText xml:space="preserve"> PAGEREF _Toc531258278 \h </w:instrText>
        </w:r>
        <w:r w:rsidR="00954BA9">
          <w:rPr>
            <w:noProof/>
            <w:webHidden/>
          </w:rPr>
        </w:r>
        <w:r w:rsidR="00954BA9">
          <w:rPr>
            <w:noProof/>
            <w:webHidden/>
          </w:rPr>
          <w:fldChar w:fldCharType="separate"/>
        </w:r>
        <w:r w:rsidR="00954BA9">
          <w:rPr>
            <w:noProof/>
            <w:webHidden/>
          </w:rPr>
          <w:t>9</w:t>
        </w:r>
        <w:r w:rsidR="00954BA9">
          <w:rPr>
            <w:noProof/>
            <w:webHidden/>
          </w:rPr>
          <w:fldChar w:fldCharType="end"/>
        </w:r>
      </w:hyperlink>
    </w:p>
    <w:p w14:paraId="20C27061" w14:textId="77777777" w:rsidR="00954BA9" w:rsidRDefault="00894CB1">
      <w:pPr>
        <w:pStyle w:val="TOC3"/>
        <w:rPr>
          <w:rFonts w:asciiTheme="minorHAnsi" w:eastAsiaTheme="minorEastAsia" w:hAnsiTheme="minorHAnsi" w:cstheme="minorBidi"/>
          <w:noProof/>
          <w:szCs w:val="22"/>
          <w:lang w:eastAsia="en-NZ"/>
        </w:rPr>
      </w:pPr>
      <w:hyperlink w:anchor="_Toc531258279" w:history="1">
        <w:r w:rsidR="00954BA9" w:rsidRPr="00A221DF">
          <w:rPr>
            <w:rStyle w:val="Hyperlink"/>
            <w:noProof/>
          </w:rPr>
          <w:t>Figure 2B: Percentage of newborn infants enrolled with a general practice, Pacific peoples, priority DHBs outside the Auckland region, March 2014–March 2017</w:t>
        </w:r>
        <w:r w:rsidR="00954BA9">
          <w:rPr>
            <w:noProof/>
            <w:webHidden/>
          </w:rPr>
          <w:tab/>
        </w:r>
        <w:r w:rsidR="00954BA9">
          <w:rPr>
            <w:noProof/>
            <w:webHidden/>
          </w:rPr>
          <w:fldChar w:fldCharType="begin"/>
        </w:r>
        <w:r w:rsidR="00954BA9">
          <w:rPr>
            <w:noProof/>
            <w:webHidden/>
          </w:rPr>
          <w:instrText xml:space="preserve"> PAGEREF _Toc531258279 \h </w:instrText>
        </w:r>
        <w:r w:rsidR="00954BA9">
          <w:rPr>
            <w:noProof/>
            <w:webHidden/>
          </w:rPr>
        </w:r>
        <w:r w:rsidR="00954BA9">
          <w:rPr>
            <w:noProof/>
            <w:webHidden/>
          </w:rPr>
          <w:fldChar w:fldCharType="separate"/>
        </w:r>
        <w:r w:rsidR="00954BA9">
          <w:rPr>
            <w:noProof/>
            <w:webHidden/>
          </w:rPr>
          <w:t>9</w:t>
        </w:r>
        <w:r w:rsidR="00954BA9">
          <w:rPr>
            <w:noProof/>
            <w:webHidden/>
          </w:rPr>
          <w:fldChar w:fldCharType="end"/>
        </w:r>
      </w:hyperlink>
    </w:p>
    <w:p w14:paraId="5E5E02F7" w14:textId="77777777" w:rsidR="00954BA9" w:rsidRDefault="00894CB1">
      <w:pPr>
        <w:pStyle w:val="TOC3"/>
        <w:rPr>
          <w:rFonts w:asciiTheme="minorHAnsi" w:eastAsiaTheme="minorEastAsia" w:hAnsiTheme="minorHAnsi" w:cstheme="minorBidi"/>
          <w:noProof/>
          <w:szCs w:val="22"/>
          <w:lang w:eastAsia="en-NZ"/>
        </w:rPr>
      </w:pPr>
      <w:hyperlink w:anchor="_Toc531258280" w:history="1">
        <w:r w:rsidR="00954BA9" w:rsidRPr="00A221DF">
          <w:rPr>
            <w:rStyle w:val="Hyperlink"/>
            <w:noProof/>
          </w:rPr>
          <w:t>Figure 3: Percentage of infants who received all Well Child / Tamariki Ora core contacts in their first year of life, Pacific peoples and total New Zealand population, June 2013–June 2016</w:t>
        </w:r>
        <w:r w:rsidR="00954BA9">
          <w:rPr>
            <w:noProof/>
            <w:webHidden/>
          </w:rPr>
          <w:tab/>
        </w:r>
        <w:r w:rsidR="00954BA9">
          <w:rPr>
            <w:noProof/>
            <w:webHidden/>
          </w:rPr>
          <w:fldChar w:fldCharType="begin"/>
        </w:r>
        <w:r w:rsidR="00954BA9">
          <w:rPr>
            <w:noProof/>
            <w:webHidden/>
          </w:rPr>
          <w:instrText xml:space="preserve"> PAGEREF _Toc531258280 \h </w:instrText>
        </w:r>
        <w:r w:rsidR="00954BA9">
          <w:rPr>
            <w:noProof/>
            <w:webHidden/>
          </w:rPr>
        </w:r>
        <w:r w:rsidR="00954BA9">
          <w:rPr>
            <w:noProof/>
            <w:webHidden/>
          </w:rPr>
          <w:fldChar w:fldCharType="separate"/>
        </w:r>
        <w:r w:rsidR="00954BA9">
          <w:rPr>
            <w:noProof/>
            <w:webHidden/>
          </w:rPr>
          <w:t>11</w:t>
        </w:r>
        <w:r w:rsidR="00954BA9">
          <w:rPr>
            <w:noProof/>
            <w:webHidden/>
          </w:rPr>
          <w:fldChar w:fldCharType="end"/>
        </w:r>
      </w:hyperlink>
    </w:p>
    <w:p w14:paraId="57A4B3BE" w14:textId="77777777" w:rsidR="00954BA9" w:rsidRDefault="00894CB1">
      <w:pPr>
        <w:pStyle w:val="TOC3"/>
        <w:rPr>
          <w:rFonts w:asciiTheme="minorHAnsi" w:eastAsiaTheme="minorEastAsia" w:hAnsiTheme="minorHAnsi" w:cstheme="minorBidi"/>
          <w:noProof/>
          <w:szCs w:val="22"/>
          <w:lang w:eastAsia="en-NZ"/>
        </w:rPr>
      </w:pPr>
      <w:hyperlink w:anchor="_Toc531258281" w:history="1">
        <w:r w:rsidR="00954BA9" w:rsidRPr="00A221DF">
          <w:rPr>
            <w:rStyle w:val="Hyperlink"/>
            <w:noProof/>
          </w:rPr>
          <w:t>Figure 4A: Percentage of infants who received all Well Child / Tamariki Ora core contacts in their first year of life, Pacific peoples, Auckland region DHBs, January 2013–December 2016</w:t>
        </w:r>
        <w:r w:rsidR="00954BA9">
          <w:rPr>
            <w:noProof/>
            <w:webHidden/>
          </w:rPr>
          <w:tab/>
        </w:r>
        <w:r w:rsidR="00954BA9">
          <w:rPr>
            <w:noProof/>
            <w:webHidden/>
          </w:rPr>
          <w:fldChar w:fldCharType="begin"/>
        </w:r>
        <w:r w:rsidR="00954BA9">
          <w:rPr>
            <w:noProof/>
            <w:webHidden/>
          </w:rPr>
          <w:instrText xml:space="preserve"> PAGEREF _Toc531258281 \h </w:instrText>
        </w:r>
        <w:r w:rsidR="00954BA9">
          <w:rPr>
            <w:noProof/>
            <w:webHidden/>
          </w:rPr>
        </w:r>
        <w:r w:rsidR="00954BA9">
          <w:rPr>
            <w:noProof/>
            <w:webHidden/>
          </w:rPr>
          <w:fldChar w:fldCharType="separate"/>
        </w:r>
        <w:r w:rsidR="00954BA9">
          <w:rPr>
            <w:noProof/>
            <w:webHidden/>
          </w:rPr>
          <w:t>12</w:t>
        </w:r>
        <w:r w:rsidR="00954BA9">
          <w:rPr>
            <w:noProof/>
            <w:webHidden/>
          </w:rPr>
          <w:fldChar w:fldCharType="end"/>
        </w:r>
      </w:hyperlink>
    </w:p>
    <w:p w14:paraId="64905D15" w14:textId="77777777" w:rsidR="00954BA9" w:rsidRDefault="00894CB1">
      <w:pPr>
        <w:pStyle w:val="TOC3"/>
        <w:rPr>
          <w:rFonts w:asciiTheme="minorHAnsi" w:eastAsiaTheme="minorEastAsia" w:hAnsiTheme="minorHAnsi" w:cstheme="minorBidi"/>
          <w:noProof/>
          <w:szCs w:val="22"/>
          <w:lang w:eastAsia="en-NZ"/>
        </w:rPr>
      </w:pPr>
      <w:hyperlink w:anchor="_Toc531258282" w:history="1">
        <w:r w:rsidR="00954BA9" w:rsidRPr="00A221DF">
          <w:rPr>
            <w:rStyle w:val="Hyperlink"/>
            <w:noProof/>
          </w:rPr>
          <w:t>Figure 4B: Percentage of infants who received all Well Child / Tamariki Ora core contacts in their first year of life, Pacific peoples, priority DHBs outside the Auckland region, January 2013–December 2016</w:t>
        </w:r>
        <w:r w:rsidR="00954BA9">
          <w:rPr>
            <w:noProof/>
            <w:webHidden/>
          </w:rPr>
          <w:tab/>
        </w:r>
        <w:r w:rsidR="00954BA9">
          <w:rPr>
            <w:noProof/>
            <w:webHidden/>
          </w:rPr>
          <w:fldChar w:fldCharType="begin"/>
        </w:r>
        <w:r w:rsidR="00954BA9">
          <w:rPr>
            <w:noProof/>
            <w:webHidden/>
          </w:rPr>
          <w:instrText xml:space="preserve"> PAGEREF _Toc531258282 \h </w:instrText>
        </w:r>
        <w:r w:rsidR="00954BA9">
          <w:rPr>
            <w:noProof/>
            <w:webHidden/>
          </w:rPr>
        </w:r>
        <w:r w:rsidR="00954BA9">
          <w:rPr>
            <w:noProof/>
            <w:webHidden/>
          </w:rPr>
          <w:fldChar w:fldCharType="separate"/>
        </w:r>
        <w:r w:rsidR="00954BA9">
          <w:rPr>
            <w:noProof/>
            <w:webHidden/>
          </w:rPr>
          <w:t>12</w:t>
        </w:r>
        <w:r w:rsidR="00954BA9">
          <w:rPr>
            <w:noProof/>
            <w:webHidden/>
          </w:rPr>
          <w:fldChar w:fldCharType="end"/>
        </w:r>
      </w:hyperlink>
    </w:p>
    <w:p w14:paraId="114FDF66" w14:textId="77777777" w:rsidR="00954BA9" w:rsidRDefault="00894CB1">
      <w:pPr>
        <w:pStyle w:val="TOC3"/>
        <w:rPr>
          <w:rFonts w:asciiTheme="minorHAnsi" w:eastAsiaTheme="minorEastAsia" w:hAnsiTheme="minorHAnsi" w:cstheme="minorBidi"/>
          <w:noProof/>
          <w:szCs w:val="22"/>
          <w:lang w:eastAsia="en-NZ"/>
        </w:rPr>
      </w:pPr>
      <w:hyperlink w:anchor="_Toc531258283" w:history="1">
        <w:r w:rsidR="00954BA9" w:rsidRPr="00A221DF">
          <w:rPr>
            <w:rStyle w:val="Hyperlink"/>
            <w:noProof/>
          </w:rPr>
          <w:t>Figure 5: Percentage of four-year-old children who received a B4 School Check, Pacific peoples and total New Zealand population, July 2012–June 2016</w:t>
        </w:r>
        <w:r w:rsidR="00954BA9">
          <w:rPr>
            <w:noProof/>
            <w:webHidden/>
          </w:rPr>
          <w:tab/>
        </w:r>
        <w:r w:rsidR="00954BA9">
          <w:rPr>
            <w:noProof/>
            <w:webHidden/>
          </w:rPr>
          <w:fldChar w:fldCharType="begin"/>
        </w:r>
        <w:r w:rsidR="00954BA9">
          <w:rPr>
            <w:noProof/>
            <w:webHidden/>
          </w:rPr>
          <w:instrText xml:space="preserve"> PAGEREF _Toc531258283 \h </w:instrText>
        </w:r>
        <w:r w:rsidR="00954BA9">
          <w:rPr>
            <w:noProof/>
            <w:webHidden/>
          </w:rPr>
        </w:r>
        <w:r w:rsidR="00954BA9">
          <w:rPr>
            <w:noProof/>
            <w:webHidden/>
          </w:rPr>
          <w:fldChar w:fldCharType="separate"/>
        </w:r>
        <w:r w:rsidR="00954BA9">
          <w:rPr>
            <w:noProof/>
            <w:webHidden/>
          </w:rPr>
          <w:t>14</w:t>
        </w:r>
        <w:r w:rsidR="00954BA9">
          <w:rPr>
            <w:noProof/>
            <w:webHidden/>
          </w:rPr>
          <w:fldChar w:fldCharType="end"/>
        </w:r>
      </w:hyperlink>
    </w:p>
    <w:p w14:paraId="403A0DB1" w14:textId="77777777" w:rsidR="00954BA9" w:rsidRDefault="00894CB1">
      <w:pPr>
        <w:pStyle w:val="TOC3"/>
        <w:rPr>
          <w:rFonts w:asciiTheme="minorHAnsi" w:eastAsiaTheme="minorEastAsia" w:hAnsiTheme="minorHAnsi" w:cstheme="minorBidi"/>
          <w:noProof/>
          <w:szCs w:val="22"/>
          <w:lang w:eastAsia="en-NZ"/>
        </w:rPr>
      </w:pPr>
      <w:hyperlink w:anchor="_Toc531258284" w:history="1">
        <w:r w:rsidR="00954BA9" w:rsidRPr="00A221DF">
          <w:rPr>
            <w:rStyle w:val="Hyperlink"/>
            <w:noProof/>
          </w:rPr>
          <w:t>Figure 6A: Percentage of four-year-olds who received a B4 School Check, Pacific peoples, Auckland region DHBs, July 2012–June 2016</w:t>
        </w:r>
        <w:r w:rsidR="00954BA9">
          <w:rPr>
            <w:noProof/>
            <w:webHidden/>
          </w:rPr>
          <w:tab/>
        </w:r>
        <w:r w:rsidR="00954BA9">
          <w:rPr>
            <w:noProof/>
            <w:webHidden/>
          </w:rPr>
          <w:fldChar w:fldCharType="begin"/>
        </w:r>
        <w:r w:rsidR="00954BA9">
          <w:rPr>
            <w:noProof/>
            <w:webHidden/>
          </w:rPr>
          <w:instrText xml:space="preserve"> PAGEREF _Toc531258284 \h </w:instrText>
        </w:r>
        <w:r w:rsidR="00954BA9">
          <w:rPr>
            <w:noProof/>
            <w:webHidden/>
          </w:rPr>
        </w:r>
        <w:r w:rsidR="00954BA9">
          <w:rPr>
            <w:noProof/>
            <w:webHidden/>
          </w:rPr>
          <w:fldChar w:fldCharType="separate"/>
        </w:r>
        <w:r w:rsidR="00954BA9">
          <w:rPr>
            <w:noProof/>
            <w:webHidden/>
          </w:rPr>
          <w:t>15</w:t>
        </w:r>
        <w:r w:rsidR="00954BA9">
          <w:rPr>
            <w:noProof/>
            <w:webHidden/>
          </w:rPr>
          <w:fldChar w:fldCharType="end"/>
        </w:r>
      </w:hyperlink>
    </w:p>
    <w:p w14:paraId="0E2C1DA4" w14:textId="77777777" w:rsidR="00954BA9" w:rsidRDefault="00894CB1">
      <w:pPr>
        <w:pStyle w:val="TOC3"/>
        <w:rPr>
          <w:rFonts w:asciiTheme="minorHAnsi" w:eastAsiaTheme="minorEastAsia" w:hAnsiTheme="minorHAnsi" w:cstheme="minorBidi"/>
          <w:noProof/>
          <w:szCs w:val="22"/>
          <w:lang w:eastAsia="en-NZ"/>
        </w:rPr>
      </w:pPr>
      <w:hyperlink w:anchor="_Toc531258285" w:history="1">
        <w:r w:rsidR="00954BA9" w:rsidRPr="00A221DF">
          <w:rPr>
            <w:rStyle w:val="Hyperlink"/>
            <w:noProof/>
          </w:rPr>
          <w:t>Figure 6B: Percentage of four-year-olds who received a B4 School Check, Pacific peoples, priority DHBs outside the Auckland region, July 2012–June 2016</w:t>
        </w:r>
        <w:r w:rsidR="00954BA9">
          <w:rPr>
            <w:noProof/>
            <w:webHidden/>
          </w:rPr>
          <w:tab/>
        </w:r>
        <w:r w:rsidR="00954BA9">
          <w:rPr>
            <w:noProof/>
            <w:webHidden/>
          </w:rPr>
          <w:fldChar w:fldCharType="begin"/>
        </w:r>
        <w:r w:rsidR="00954BA9">
          <w:rPr>
            <w:noProof/>
            <w:webHidden/>
          </w:rPr>
          <w:instrText xml:space="preserve"> PAGEREF _Toc531258285 \h </w:instrText>
        </w:r>
        <w:r w:rsidR="00954BA9">
          <w:rPr>
            <w:noProof/>
            <w:webHidden/>
          </w:rPr>
        </w:r>
        <w:r w:rsidR="00954BA9">
          <w:rPr>
            <w:noProof/>
            <w:webHidden/>
          </w:rPr>
          <w:fldChar w:fldCharType="separate"/>
        </w:r>
        <w:r w:rsidR="00954BA9">
          <w:rPr>
            <w:noProof/>
            <w:webHidden/>
          </w:rPr>
          <w:t>15</w:t>
        </w:r>
        <w:r w:rsidR="00954BA9">
          <w:rPr>
            <w:noProof/>
            <w:webHidden/>
          </w:rPr>
          <w:fldChar w:fldCharType="end"/>
        </w:r>
      </w:hyperlink>
    </w:p>
    <w:p w14:paraId="4D79C3FD" w14:textId="77777777" w:rsidR="00954BA9" w:rsidRDefault="00894CB1">
      <w:pPr>
        <w:pStyle w:val="TOC3"/>
        <w:rPr>
          <w:rFonts w:asciiTheme="minorHAnsi" w:eastAsiaTheme="minorEastAsia" w:hAnsiTheme="minorHAnsi" w:cstheme="minorBidi"/>
          <w:noProof/>
          <w:szCs w:val="22"/>
          <w:lang w:eastAsia="en-NZ"/>
        </w:rPr>
      </w:pPr>
      <w:hyperlink w:anchor="_Toc531258286" w:history="1">
        <w:r w:rsidR="00954BA9" w:rsidRPr="00A221DF">
          <w:rPr>
            <w:rStyle w:val="Hyperlink"/>
            <w:noProof/>
          </w:rPr>
          <w:t>Figure 7: Percentage of infants exclusively or fully breastfed at 2.5–4 months of age, Pacific peoples and total New Zealand population, June 2013–December 2016</w:t>
        </w:r>
        <w:r w:rsidR="00954BA9">
          <w:rPr>
            <w:noProof/>
            <w:webHidden/>
          </w:rPr>
          <w:tab/>
        </w:r>
        <w:r w:rsidR="00954BA9">
          <w:rPr>
            <w:noProof/>
            <w:webHidden/>
          </w:rPr>
          <w:fldChar w:fldCharType="begin"/>
        </w:r>
        <w:r w:rsidR="00954BA9">
          <w:rPr>
            <w:noProof/>
            <w:webHidden/>
          </w:rPr>
          <w:instrText xml:space="preserve"> PAGEREF _Toc531258286 \h </w:instrText>
        </w:r>
        <w:r w:rsidR="00954BA9">
          <w:rPr>
            <w:noProof/>
            <w:webHidden/>
          </w:rPr>
        </w:r>
        <w:r w:rsidR="00954BA9">
          <w:rPr>
            <w:noProof/>
            <w:webHidden/>
          </w:rPr>
          <w:fldChar w:fldCharType="separate"/>
        </w:r>
        <w:r w:rsidR="00954BA9">
          <w:rPr>
            <w:noProof/>
            <w:webHidden/>
          </w:rPr>
          <w:t>16</w:t>
        </w:r>
        <w:r w:rsidR="00954BA9">
          <w:rPr>
            <w:noProof/>
            <w:webHidden/>
          </w:rPr>
          <w:fldChar w:fldCharType="end"/>
        </w:r>
      </w:hyperlink>
    </w:p>
    <w:p w14:paraId="5360AF94" w14:textId="77777777" w:rsidR="00954BA9" w:rsidRDefault="00894CB1">
      <w:pPr>
        <w:pStyle w:val="TOC3"/>
        <w:rPr>
          <w:rFonts w:asciiTheme="minorHAnsi" w:eastAsiaTheme="minorEastAsia" w:hAnsiTheme="minorHAnsi" w:cstheme="minorBidi"/>
          <w:noProof/>
          <w:szCs w:val="22"/>
          <w:lang w:eastAsia="en-NZ"/>
        </w:rPr>
      </w:pPr>
      <w:hyperlink w:anchor="_Toc531258287" w:history="1">
        <w:r w:rsidR="00954BA9" w:rsidRPr="00A221DF">
          <w:rPr>
            <w:rStyle w:val="Hyperlink"/>
            <w:noProof/>
          </w:rPr>
          <w:t>Figure 8A: Percentage of infants exclusively or fully breastfed at 2.5–4 months of age, Pacific peoples, Auckland region DHBs, January 2013–December 2016</w:t>
        </w:r>
        <w:r w:rsidR="00954BA9">
          <w:rPr>
            <w:noProof/>
            <w:webHidden/>
          </w:rPr>
          <w:tab/>
        </w:r>
        <w:r w:rsidR="00954BA9">
          <w:rPr>
            <w:noProof/>
            <w:webHidden/>
          </w:rPr>
          <w:fldChar w:fldCharType="begin"/>
        </w:r>
        <w:r w:rsidR="00954BA9">
          <w:rPr>
            <w:noProof/>
            <w:webHidden/>
          </w:rPr>
          <w:instrText xml:space="preserve"> PAGEREF _Toc531258287 \h </w:instrText>
        </w:r>
        <w:r w:rsidR="00954BA9">
          <w:rPr>
            <w:noProof/>
            <w:webHidden/>
          </w:rPr>
        </w:r>
        <w:r w:rsidR="00954BA9">
          <w:rPr>
            <w:noProof/>
            <w:webHidden/>
          </w:rPr>
          <w:fldChar w:fldCharType="separate"/>
        </w:r>
        <w:r w:rsidR="00954BA9">
          <w:rPr>
            <w:noProof/>
            <w:webHidden/>
          </w:rPr>
          <w:t>17</w:t>
        </w:r>
        <w:r w:rsidR="00954BA9">
          <w:rPr>
            <w:noProof/>
            <w:webHidden/>
          </w:rPr>
          <w:fldChar w:fldCharType="end"/>
        </w:r>
      </w:hyperlink>
    </w:p>
    <w:p w14:paraId="3F3CA578" w14:textId="77777777" w:rsidR="00954BA9" w:rsidRDefault="00894CB1">
      <w:pPr>
        <w:pStyle w:val="TOC3"/>
        <w:rPr>
          <w:rFonts w:asciiTheme="minorHAnsi" w:eastAsiaTheme="minorEastAsia" w:hAnsiTheme="minorHAnsi" w:cstheme="minorBidi"/>
          <w:noProof/>
          <w:szCs w:val="22"/>
          <w:lang w:eastAsia="en-NZ"/>
        </w:rPr>
      </w:pPr>
      <w:hyperlink w:anchor="_Toc531258288" w:history="1">
        <w:r w:rsidR="00954BA9" w:rsidRPr="00A221DF">
          <w:rPr>
            <w:rStyle w:val="Hyperlink"/>
            <w:noProof/>
          </w:rPr>
          <w:t>Figure 8B: Percentage of infants exclusively or fully breastfed at 2.5–4 months of age, Pacific peoples, priority DHBs outside the Auckland region, January 2013–December 2016</w:t>
        </w:r>
        <w:r w:rsidR="00954BA9">
          <w:rPr>
            <w:noProof/>
            <w:webHidden/>
          </w:rPr>
          <w:tab/>
        </w:r>
        <w:r w:rsidR="00954BA9">
          <w:rPr>
            <w:noProof/>
            <w:webHidden/>
          </w:rPr>
          <w:fldChar w:fldCharType="begin"/>
        </w:r>
        <w:r w:rsidR="00954BA9">
          <w:rPr>
            <w:noProof/>
            <w:webHidden/>
          </w:rPr>
          <w:instrText xml:space="preserve"> PAGEREF _Toc531258288 \h </w:instrText>
        </w:r>
        <w:r w:rsidR="00954BA9">
          <w:rPr>
            <w:noProof/>
            <w:webHidden/>
          </w:rPr>
        </w:r>
        <w:r w:rsidR="00954BA9">
          <w:rPr>
            <w:noProof/>
            <w:webHidden/>
          </w:rPr>
          <w:fldChar w:fldCharType="separate"/>
        </w:r>
        <w:r w:rsidR="00954BA9">
          <w:rPr>
            <w:noProof/>
            <w:webHidden/>
          </w:rPr>
          <w:t>17</w:t>
        </w:r>
        <w:r w:rsidR="00954BA9">
          <w:rPr>
            <w:noProof/>
            <w:webHidden/>
          </w:rPr>
          <w:fldChar w:fldCharType="end"/>
        </w:r>
      </w:hyperlink>
    </w:p>
    <w:p w14:paraId="14A4CB3B" w14:textId="77777777" w:rsidR="00954BA9" w:rsidRDefault="00894CB1">
      <w:pPr>
        <w:pStyle w:val="TOC3"/>
        <w:rPr>
          <w:rFonts w:asciiTheme="minorHAnsi" w:eastAsiaTheme="minorEastAsia" w:hAnsiTheme="minorHAnsi" w:cstheme="minorBidi"/>
          <w:noProof/>
          <w:szCs w:val="22"/>
          <w:lang w:eastAsia="en-NZ"/>
        </w:rPr>
      </w:pPr>
      <w:hyperlink w:anchor="_Toc531258289" w:history="1">
        <w:r w:rsidR="00954BA9" w:rsidRPr="00A221DF">
          <w:rPr>
            <w:rStyle w:val="Hyperlink"/>
            <w:noProof/>
          </w:rPr>
          <w:t>Figure 9: Percentage of children aged four years with body mass index &gt;98th percentile referred to a general practitioner or specialist services, Pacific peoples and total New Zealand population, May 2016–February 2017</w:t>
        </w:r>
        <w:r w:rsidR="00954BA9">
          <w:rPr>
            <w:noProof/>
            <w:webHidden/>
          </w:rPr>
          <w:tab/>
        </w:r>
        <w:r w:rsidR="00954BA9">
          <w:rPr>
            <w:noProof/>
            <w:webHidden/>
          </w:rPr>
          <w:fldChar w:fldCharType="begin"/>
        </w:r>
        <w:r w:rsidR="00954BA9">
          <w:rPr>
            <w:noProof/>
            <w:webHidden/>
          </w:rPr>
          <w:instrText xml:space="preserve"> PAGEREF _Toc531258289 \h </w:instrText>
        </w:r>
        <w:r w:rsidR="00954BA9">
          <w:rPr>
            <w:noProof/>
            <w:webHidden/>
          </w:rPr>
        </w:r>
        <w:r w:rsidR="00954BA9">
          <w:rPr>
            <w:noProof/>
            <w:webHidden/>
          </w:rPr>
          <w:fldChar w:fldCharType="separate"/>
        </w:r>
        <w:r w:rsidR="00954BA9">
          <w:rPr>
            <w:noProof/>
            <w:webHidden/>
          </w:rPr>
          <w:t>20</w:t>
        </w:r>
        <w:r w:rsidR="00954BA9">
          <w:rPr>
            <w:noProof/>
            <w:webHidden/>
          </w:rPr>
          <w:fldChar w:fldCharType="end"/>
        </w:r>
      </w:hyperlink>
    </w:p>
    <w:p w14:paraId="111559B9" w14:textId="77777777" w:rsidR="00954BA9" w:rsidRDefault="00894CB1">
      <w:pPr>
        <w:pStyle w:val="TOC3"/>
        <w:rPr>
          <w:rFonts w:asciiTheme="minorHAnsi" w:eastAsiaTheme="minorEastAsia" w:hAnsiTheme="minorHAnsi" w:cstheme="minorBidi"/>
          <w:noProof/>
          <w:szCs w:val="22"/>
          <w:lang w:eastAsia="en-NZ"/>
        </w:rPr>
      </w:pPr>
      <w:hyperlink w:anchor="_Toc531258290" w:history="1">
        <w:r w:rsidR="00954BA9" w:rsidRPr="00A221DF">
          <w:rPr>
            <w:rStyle w:val="Hyperlink"/>
            <w:noProof/>
          </w:rPr>
          <w:t>Figure 10: Percentage of children aged 2–14 years measured in the New Zealand Health Survey who were obese (BMI &gt;/= Cole cut-offs), Pacific peoples and total New Zealand population, 2006/07–2015/16</w:t>
        </w:r>
        <w:r w:rsidR="00954BA9">
          <w:rPr>
            <w:noProof/>
            <w:webHidden/>
          </w:rPr>
          <w:tab/>
        </w:r>
        <w:r w:rsidR="00954BA9">
          <w:rPr>
            <w:noProof/>
            <w:webHidden/>
          </w:rPr>
          <w:fldChar w:fldCharType="begin"/>
        </w:r>
        <w:r w:rsidR="00954BA9">
          <w:rPr>
            <w:noProof/>
            <w:webHidden/>
          </w:rPr>
          <w:instrText xml:space="preserve"> PAGEREF _Toc531258290 \h </w:instrText>
        </w:r>
        <w:r w:rsidR="00954BA9">
          <w:rPr>
            <w:noProof/>
            <w:webHidden/>
          </w:rPr>
        </w:r>
        <w:r w:rsidR="00954BA9">
          <w:rPr>
            <w:noProof/>
            <w:webHidden/>
          </w:rPr>
          <w:fldChar w:fldCharType="separate"/>
        </w:r>
        <w:r w:rsidR="00954BA9">
          <w:rPr>
            <w:noProof/>
            <w:webHidden/>
          </w:rPr>
          <w:t>21</w:t>
        </w:r>
        <w:r w:rsidR="00954BA9">
          <w:rPr>
            <w:noProof/>
            <w:webHidden/>
          </w:rPr>
          <w:fldChar w:fldCharType="end"/>
        </w:r>
      </w:hyperlink>
    </w:p>
    <w:p w14:paraId="7B1FC606" w14:textId="77777777" w:rsidR="00954BA9" w:rsidRDefault="00894CB1">
      <w:pPr>
        <w:pStyle w:val="TOC3"/>
        <w:rPr>
          <w:rFonts w:asciiTheme="minorHAnsi" w:eastAsiaTheme="minorEastAsia" w:hAnsiTheme="minorHAnsi" w:cstheme="minorBidi"/>
          <w:noProof/>
          <w:szCs w:val="22"/>
          <w:lang w:eastAsia="en-NZ"/>
        </w:rPr>
      </w:pPr>
      <w:hyperlink w:anchor="_Toc531258291" w:history="1">
        <w:r w:rsidR="00954BA9" w:rsidRPr="00A221DF">
          <w:rPr>
            <w:rStyle w:val="Hyperlink"/>
            <w:noProof/>
          </w:rPr>
          <w:t>Figure 11: Percentage of children under five years of age enrolled in the Community Oral Health Service, Pacific peoples and total New Zealand population, 2007–2015</w:t>
        </w:r>
        <w:r w:rsidR="00954BA9">
          <w:rPr>
            <w:noProof/>
            <w:webHidden/>
          </w:rPr>
          <w:tab/>
        </w:r>
        <w:r w:rsidR="00954BA9">
          <w:rPr>
            <w:noProof/>
            <w:webHidden/>
          </w:rPr>
          <w:fldChar w:fldCharType="begin"/>
        </w:r>
        <w:r w:rsidR="00954BA9">
          <w:rPr>
            <w:noProof/>
            <w:webHidden/>
          </w:rPr>
          <w:instrText xml:space="preserve"> PAGEREF _Toc531258291 \h </w:instrText>
        </w:r>
        <w:r w:rsidR="00954BA9">
          <w:rPr>
            <w:noProof/>
            <w:webHidden/>
          </w:rPr>
        </w:r>
        <w:r w:rsidR="00954BA9">
          <w:rPr>
            <w:noProof/>
            <w:webHidden/>
          </w:rPr>
          <w:fldChar w:fldCharType="separate"/>
        </w:r>
        <w:r w:rsidR="00954BA9">
          <w:rPr>
            <w:noProof/>
            <w:webHidden/>
          </w:rPr>
          <w:t>23</w:t>
        </w:r>
        <w:r w:rsidR="00954BA9">
          <w:rPr>
            <w:noProof/>
            <w:webHidden/>
          </w:rPr>
          <w:fldChar w:fldCharType="end"/>
        </w:r>
      </w:hyperlink>
    </w:p>
    <w:p w14:paraId="0CFCE0C0" w14:textId="77777777" w:rsidR="00954BA9" w:rsidRDefault="00894CB1">
      <w:pPr>
        <w:pStyle w:val="TOC3"/>
        <w:rPr>
          <w:rFonts w:asciiTheme="minorHAnsi" w:eastAsiaTheme="minorEastAsia" w:hAnsiTheme="minorHAnsi" w:cstheme="minorBidi"/>
          <w:noProof/>
          <w:szCs w:val="22"/>
          <w:lang w:eastAsia="en-NZ"/>
        </w:rPr>
      </w:pPr>
      <w:hyperlink w:anchor="_Toc531258292" w:history="1">
        <w:r w:rsidR="00954BA9" w:rsidRPr="00A221DF">
          <w:rPr>
            <w:rStyle w:val="Hyperlink"/>
            <w:noProof/>
          </w:rPr>
          <w:t>Figure 12A: Percentage of children under five years of age enrolled in the Community Oral Health Service, Pacific peoples, Auckland region DHBs, 2007–2015</w:t>
        </w:r>
        <w:r w:rsidR="00954BA9">
          <w:rPr>
            <w:noProof/>
            <w:webHidden/>
          </w:rPr>
          <w:tab/>
        </w:r>
        <w:r w:rsidR="00954BA9">
          <w:rPr>
            <w:noProof/>
            <w:webHidden/>
          </w:rPr>
          <w:fldChar w:fldCharType="begin"/>
        </w:r>
        <w:r w:rsidR="00954BA9">
          <w:rPr>
            <w:noProof/>
            <w:webHidden/>
          </w:rPr>
          <w:instrText xml:space="preserve"> PAGEREF _Toc531258292 \h </w:instrText>
        </w:r>
        <w:r w:rsidR="00954BA9">
          <w:rPr>
            <w:noProof/>
            <w:webHidden/>
          </w:rPr>
        </w:r>
        <w:r w:rsidR="00954BA9">
          <w:rPr>
            <w:noProof/>
            <w:webHidden/>
          </w:rPr>
          <w:fldChar w:fldCharType="separate"/>
        </w:r>
        <w:r w:rsidR="00954BA9">
          <w:rPr>
            <w:noProof/>
            <w:webHidden/>
          </w:rPr>
          <w:t>23</w:t>
        </w:r>
        <w:r w:rsidR="00954BA9">
          <w:rPr>
            <w:noProof/>
            <w:webHidden/>
          </w:rPr>
          <w:fldChar w:fldCharType="end"/>
        </w:r>
      </w:hyperlink>
    </w:p>
    <w:p w14:paraId="5C46CFEF" w14:textId="77777777" w:rsidR="00954BA9" w:rsidRDefault="00894CB1">
      <w:pPr>
        <w:pStyle w:val="TOC3"/>
        <w:rPr>
          <w:rFonts w:asciiTheme="minorHAnsi" w:eastAsiaTheme="minorEastAsia" w:hAnsiTheme="minorHAnsi" w:cstheme="minorBidi"/>
          <w:noProof/>
          <w:szCs w:val="22"/>
          <w:lang w:eastAsia="en-NZ"/>
        </w:rPr>
      </w:pPr>
      <w:hyperlink w:anchor="_Toc531258293" w:history="1">
        <w:r w:rsidR="00954BA9" w:rsidRPr="00A221DF">
          <w:rPr>
            <w:rStyle w:val="Hyperlink"/>
            <w:noProof/>
          </w:rPr>
          <w:t>Figure 12B: Percentage of children under five years of age enrolled in the Community Oral Health Service, Pacific peoples, priority DHBs outside the Auckland region, 2007–2015</w:t>
        </w:r>
        <w:r w:rsidR="00954BA9">
          <w:rPr>
            <w:noProof/>
            <w:webHidden/>
          </w:rPr>
          <w:tab/>
        </w:r>
        <w:r w:rsidR="00954BA9">
          <w:rPr>
            <w:noProof/>
            <w:webHidden/>
          </w:rPr>
          <w:fldChar w:fldCharType="begin"/>
        </w:r>
        <w:r w:rsidR="00954BA9">
          <w:rPr>
            <w:noProof/>
            <w:webHidden/>
          </w:rPr>
          <w:instrText xml:space="preserve"> PAGEREF _Toc531258293 \h </w:instrText>
        </w:r>
        <w:r w:rsidR="00954BA9">
          <w:rPr>
            <w:noProof/>
            <w:webHidden/>
          </w:rPr>
        </w:r>
        <w:r w:rsidR="00954BA9">
          <w:rPr>
            <w:noProof/>
            <w:webHidden/>
          </w:rPr>
          <w:fldChar w:fldCharType="separate"/>
        </w:r>
        <w:r w:rsidR="00954BA9">
          <w:rPr>
            <w:noProof/>
            <w:webHidden/>
          </w:rPr>
          <w:t>24</w:t>
        </w:r>
        <w:r w:rsidR="00954BA9">
          <w:rPr>
            <w:noProof/>
            <w:webHidden/>
          </w:rPr>
          <w:fldChar w:fldCharType="end"/>
        </w:r>
      </w:hyperlink>
    </w:p>
    <w:p w14:paraId="23A3E7C8" w14:textId="77777777" w:rsidR="00954BA9" w:rsidRDefault="00894CB1">
      <w:pPr>
        <w:pStyle w:val="TOC3"/>
        <w:rPr>
          <w:rFonts w:asciiTheme="minorHAnsi" w:eastAsiaTheme="minorEastAsia" w:hAnsiTheme="minorHAnsi" w:cstheme="minorBidi"/>
          <w:noProof/>
          <w:szCs w:val="22"/>
          <w:lang w:eastAsia="en-NZ"/>
        </w:rPr>
      </w:pPr>
      <w:hyperlink w:anchor="_Toc531258294" w:history="1">
        <w:r w:rsidR="00954BA9" w:rsidRPr="00A221DF">
          <w:rPr>
            <w:rStyle w:val="Hyperlink"/>
            <w:noProof/>
          </w:rPr>
          <w:t>Figure 13: Percentage of children caries-free at age five, Pacific peoples and total New Zealand population, 2007–2015</w:t>
        </w:r>
        <w:r w:rsidR="00954BA9">
          <w:rPr>
            <w:noProof/>
            <w:webHidden/>
          </w:rPr>
          <w:tab/>
        </w:r>
        <w:r w:rsidR="00954BA9">
          <w:rPr>
            <w:noProof/>
            <w:webHidden/>
          </w:rPr>
          <w:fldChar w:fldCharType="begin"/>
        </w:r>
        <w:r w:rsidR="00954BA9">
          <w:rPr>
            <w:noProof/>
            <w:webHidden/>
          </w:rPr>
          <w:instrText xml:space="preserve"> PAGEREF _Toc531258294 \h </w:instrText>
        </w:r>
        <w:r w:rsidR="00954BA9">
          <w:rPr>
            <w:noProof/>
            <w:webHidden/>
          </w:rPr>
        </w:r>
        <w:r w:rsidR="00954BA9">
          <w:rPr>
            <w:noProof/>
            <w:webHidden/>
          </w:rPr>
          <w:fldChar w:fldCharType="separate"/>
        </w:r>
        <w:r w:rsidR="00954BA9">
          <w:rPr>
            <w:noProof/>
            <w:webHidden/>
          </w:rPr>
          <w:t>25</w:t>
        </w:r>
        <w:r w:rsidR="00954BA9">
          <w:rPr>
            <w:noProof/>
            <w:webHidden/>
          </w:rPr>
          <w:fldChar w:fldCharType="end"/>
        </w:r>
      </w:hyperlink>
    </w:p>
    <w:p w14:paraId="61FFA2F8" w14:textId="77777777" w:rsidR="00954BA9" w:rsidRDefault="00894CB1">
      <w:pPr>
        <w:pStyle w:val="TOC3"/>
        <w:rPr>
          <w:rFonts w:asciiTheme="minorHAnsi" w:eastAsiaTheme="minorEastAsia" w:hAnsiTheme="minorHAnsi" w:cstheme="minorBidi"/>
          <w:noProof/>
          <w:szCs w:val="22"/>
          <w:lang w:eastAsia="en-NZ"/>
        </w:rPr>
      </w:pPr>
      <w:hyperlink w:anchor="_Toc531258295" w:history="1">
        <w:r w:rsidR="00954BA9" w:rsidRPr="00A221DF">
          <w:rPr>
            <w:rStyle w:val="Hyperlink"/>
            <w:noProof/>
          </w:rPr>
          <w:t>Figure 14A: Percentage of children caries-free at age five, Pacific peoples, Auckland region DHBs, 2007–2015</w:t>
        </w:r>
        <w:r w:rsidR="00954BA9">
          <w:rPr>
            <w:noProof/>
            <w:webHidden/>
          </w:rPr>
          <w:tab/>
        </w:r>
        <w:r w:rsidR="00954BA9">
          <w:rPr>
            <w:noProof/>
            <w:webHidden/>
          </w:rPr>
          <w:fldChar w:fldCharType="begin"/>
        </w:r>
        <w:r w:rsidR="00954BA9">
          <w:rPr>
            <w:noProof/>
            <w:webHidden/>
          </w:rPr>
          <w:instrText xml:space="preserve"> PAGEREF _Toc531258295 \h </w:instrText>
        </w:r>
        <w:r w:rsidR="00954BA9">
          <w:rPr>
            <w:noProof/>
            <w:webHidden/>
          </w:rPr>
        </w:r>
        <w:r w:rsidR="00954BA9">
          <w:rPr>
            <w:noProof/>
            <w:webHidden/>
          </w:rPr>
          <w:fldChar w:fldCharType="separate"/>
        </w:r>
        <w:r w:rsidR="00954BA9">
          <w:rPr>
            <w:noProof/>
            <w:webHidden/>
          </w:rPr>
          <w:t>25</w:t>
        </w:r>
        <w:r w:rsidR="00954BA9">
          <w:rPr>
            <w:noProof/>
            <w:webHidden/>
          </w:rPr>
          <w:fldChar w:fldCharType="end"/>
        </w:r>
      </w:hyperlink>
    </w:p>
    <w:p w14:paraId="271BF097" w14:textId="77777777" w:rsidR="00954BA9" w:rsidRDefault="00894CB1">
      <w:pPr>
        <w:pStyle w:val="TOC3"/>
        <w:rPr>
          <w:rFonts w:asciiTheme="minorHAnsi" w:eastAsiaTheme="minorEastAsia" w:hAnsiTheme="minorHAnsi" w:cstheme="minorBidi"/>
          <w:noProof/>
          <w:szCs w:val="22"/>
          <w:lang w:eastAsia="en-NZ"/>
        </w:rPr>
      </w:pPr>
      <w:hyperlink w:anchor="_Toc531258296" w:history="1">
        <w:r w:rsidR="00954BA9" w:rsidRPr="00A221DF">
          <w:rPr>
            <w:rStyle w:val="Hyperlink"/>
            <w:noProof/>
          </w:rPr>
          <w:t>Figure 14B: Percentage of children caries-free at age five, Pacific peoples, priority DHBs outside the Auckland region, 2007–2015</w:t>
        </w:r>
        <w:r w:rsidR="00954BA9">
          <w:rPr>
            <w:noProof/>
            <w:webHidden/>
          </w:rPr>
          <w:tab/>
        </w:r>
        <w:r w:rsidR="00954BA9">
          <w:rPr>
            <w:noProof/>
            <w:webHidden/>
          </w:rPr>
          <w:fldChar w:fldCharType="begin"/>
        </w:r>
        <w:r w:rsidR="00954BA9">
          <w:rPr>
            <w:noProof/>
            <w:webHidden/>
          </w:rPr>
          <w:instrText xml:space="preserve"> PAGEREF _Toc531258296 \h </w:instrText>
        </w:r>
        <w:r w:rsidR="00954BA9">
          <w:rPr>
            <w:noProof/>
            <w:webHidden/>
          </w:rPr>
        </w:r>
        <w:r w:rsidR="00954BA9">
          <w:rPr>
            <w:noProof/>
            <w:webHidden/>
          </w:rPr>
          <w:fldChar w:fldCharType="separate"/>
        </w:r>
        <w:r w:rsidR="00954BA9">
          <w:rPr>
            <w:noProof/>
            <w:webHidden/>
          </w:rPr>
          <w:t>26</w:t>
        </w:r>
        <w:r w:rsidR="00954BA9">
          <w:rPr>
            <w:noProof/>
            <w:webHidden/>
          </w:rPr>
          <w:fldChar w:fldCharType="end"/>
        </w:r>
      </w:hyperlink>
    </w:p>
    <w:p w14:paraId="75E9AB4A" w14:textId="77777777" w:rsidR="00954BA9" w:rsidRDefault="00894CB1">
      <w:pPr>
        <w:pStyle w:val="TOC3"/>
        <w:rPr>
          <w:rFonts w:asciiTheme="minorHAnsi" w:eastAsiaTheme="minorEastAsia" w:hAnsiTheme="minorHAnsi" w:cstheme="minorBidi"/>
          <w:noProof/>
          <w:szCs w:val="22"/>
          <w:lang w:eastAsia="en-NZ"/>
        </w:rPr>
      </w:pPr>
      <w:hyperlink w:anchor="_Toc531258297" w:history="1">
        <w:r w:rsidR="00954BA9" w:rsidRPr="00A221DF">
          <w:rPr>
            <w:rStyle w:val="Hyperlink"/>
            <w:noProof/>
          </w:rPr>
          <w:t>Figure 15: Mean number of decayed, missing or filled teeth per child in school year eight, Pacific peoples and total New Zealand population, 2007–2015</w:t>
        </w:r>
        <w:r w:rsidR="00954BA9">
          <w:rPr>
            <w:noProof/>
            <w:webHidden/>
          </w:rPr>
          <w:tab/>
        </w:r>
        <w:r w:rsidR="00954BA9">
          <w:rPr>
            <w:noProof/>
            <w:webHidden/>
          </w:rPr>
          <w:fldChar w:fldCharType="begin"/>
        </w:r>
        <w:r w:rsidR="00954BA9">
          <w:rPr>
            <w:noProof/>
            <w:webHidden/>
          </w:rPr>
          <w:instrText xml:space="preserve"> PAGEREF _Toc531258297 \h </w:instrText>
        </w:r>
        <w:r w:rsidR="00954BA9">
          <w:rPr>
            <w:noProof/>
            <w:webHidden/>
          </w:rPr>
        </w:r>
        <w:r w:rsidR="00954BA9">
          <w:rPr>
            <w:noProof/>
            <w:webHidden/>
          </w:rPr>
          <w:fldChar w:fldCharType="separate"/>
        </w:r>
        <w:r w:rsidR="00954BA9">
          <w:rPr>
            <w:noProof/>
            <w:webHidden/>
          </w:rPr>
          <w:t>27</w:t>
        </w:r>
        <w:r w:rsidR="00954BA9">
          <w:rPr>
            <w:noProof/>
            <w:webHidden/>
          </w:rPr>
          <w:fldChar w:fldCharType="end"/>
        </w:r>
      </w:hyperlink>
    </w:p>
    <w:p w14:paraId="205D3F4E" w14:textId="77777777" w:rsidR="00954BA9" w:rsidRDefault="00894CB1">
      <w:pPr>
        <w:pStyle w:val="TOC3"/>
        <w:rPr>
          <w:rFonts w:asciiTheme="minorHAnsi" w:eastAsiaTheme="minorEastAsia" w:hAnsiTheme="minorHAnsi" w:cstheme="minorBidi"/>
          <w:noProof/>
          <w:szCs w:val="22"/>
          <w:lang w:eastAsia="en-NZ"/>
        </w:rPr>
      </w:pPr>
      <w:hyperlink w:anchor="_Toc531258298" w:history="1">
        <w:r w:rsidR="00954BA9" w:rsidRPr="00A221DF">
          <w:rPr>
            <w:rStyle w:val="Hyperlink"/>
            <w:noProof/>
          </w:rPr>
          <w:t>Figure 16A: Mean number of decayed, missing or filled teeth per child in school year eight, Pacific peoples, Auckland region DHBs, 2007–2015</w:t>
        </w:r>
        <w:r w:rsidR="00954BA9">
          <w:rPr>
            <w:noProof/>
            <w:webHidden/>
          </w:rPr>
          <w:tab/>
        </w:r>
        <w:r w:rsidR="00954BA9">
          <w:rPr>
            <w:noProof/>
            <w:webHidden/>
          </w:rPr>
          <w:fldChar w:fldCharType="begin"/>
        </w:r>
        <w:r w:rsidR="00954BA9">
          <w:rPr>
            <w:noProof/>
            <w:webHidden/>
          </w:rPr>
          <w:instrText xml:space="preserve"> PAGEREF _Toc531258298 \h </w:instrText>
        </w:r>
        <w:r w:rsidR="00954BA9">
          <w:rPr>
            <w:noProof/>
            <w:webHidden/>
          </w:rPr>
        </w:r>
        <w:r w:rsidR="00954BA9">
          <w:rPr>
            <w:noProof/>
            <w:webHidden/>
          </w:rPr>
          <w:fldChar w:fldCharType="separate"/>
        </w:r>
        <w:r w:rsidR="00954BA9">
          <w:rPr>
            <w:noProof/>
            <w:webHidden/>
          </w:rPr>
          <w:t>27</w:t>
        </w:r>
        <w:r w:rsidR="00954BA9">
          <w:rPr>
            <w:noProof/>
            <w:webHidden/>
          </w:rPr>
          <w:fldChar w:fldCharType="end"/>
        </w:r>
      </w:hyperlink>
    </w:p>
    <w:p w14:paraId="34524BE8" w14:textId="77777777" w:rsidR="00954BA9" w:rsidRDefault="00894CB1">
      <w:pPr>
        <w:pStyle w:val="TOC3"/>
        <w:rPr>
          <w:rFonts w:asciiTheme="minorHAnsi" w:eastAsiaTheme="minorEastAsia" w:hAnsiTheme="minorHAnsi" w:cstheme="minorBidi"/>
          <w:noProof/>
          <w:szCs w:val="22"/>
          <w:lang w:eastAsia="en-NZ"/>
        </w:rPr>
      </w:pPr>
      <w:hyperlink w:anchor="_Toc531258299" w:history="1">
        <w:r w:rsidR="00954BA9" w:rsidRPr="00A221DF">
          <w:rPr>
            <w:rStyle w:val="Hyperlink"/>
            <w:noProof/>
          </w:rPr>
          <w:t>Figure 16B: Mean number of decayed, missing or filled teeth per child in school year eight, Pacific peoples, priority DHBs outside the Auckland region, 2007–2015</w:t>
        </w:r>
        <w:r w:rsidR="00954BA9">
          <w:rPr>
            <w:noProof/>
            <w:webHidden/>
          </w:rPr>
          <w:tab/>
        </w:r>
        <w:r w:rsidR="00954BA9">
          <w:rPr>
            <w:noProof/>
            <w:webHidden/>
          </w:rPr>
          <w:fldChar w:fldCharType="begin"/>
        </w:r>
        <w:r w:rsidR="00954BA9">
          <w:rPr>
            <w:noProof/>
            <w:webHidden/>
          </w:rPr>
          <w:instrText xml:space="preserve"> PAGEREF _Toc531258299 \h </w:instrText>
        </w:r>
        <w:r w:rsidR="00954BA9">
          <w:rPr>
            <w:noProof/>
            <w:webHidden/>
          </w:rPr>
        </w:r>
        <w:r w:rsidR="00954BA9">
          <w:rPr>
            <w:noProof/>
            <w:webHidden/>
          </w:rPr>
          <w:fldChar w:fldCharType="separate"/>
        </w:r>
        <w:r w:rsidR="00954BA9">
          <w:rPr>
            <w:noProof/>
            <w:webHidden/>
          </w:rPr>
          <w:t>28</w:t>
        </w:r>
        <w:r w:rsidR="00954BA9">
          <w:rPr>
            <w:noProof/>
            <w:webHidden/>
          </w:rPr>
          <w:fldChar w:fldCharType="end"/>
        </w:r>
      </w:hyperlink>
    </w:p>
    <w:p w14:paraId="5436E270" w14:textId="77777777" w:rsidR="00954BA9" w:rsidRDefault="00894CB1">
      <w:pPr>
        <w:pStyle w:val="TOC3"/>
        <w:rPr>
          <w:rFonts w:asciiTheme="minorHAnsi" w:eastAsiaTheme="minorEastAsia" w:hAnsiTheme="minorHAnsi" w:cstheme="minorBidi"/>
          <w:noProof/>
          <w:szCs w:val="22"/>
          <w:lang w:eastAsia="en-NZ"/>
        </w:rPr>
      </w:pPr>
      <w:hyperlink w:anchor="_Toc531258300" w:history="1">
        <w:r w:rsidR="00954BA9" w:rsidRPr="00A221DF">
          <w:rPr>
            <w:rStyle w:val="Hyperlink"/>
            <w:noProof/>
          </w:rPr>
          <w:t>Figure 17: Immunisation coverage (percentage) of eight-month-old babies, March 2014–March 2017, Pacific peoples and total New Zealand population</w:t>
        </w:r>
        <w:r w:rsidR="00954BA9">
          <w:rPr>
            <w:noProof/>
            <w:webHidden/>
          </w:rPr>
          <w:tab/>
        </w:r>
        <w:r w:rsidR="00954BA9">
          <w:rPr>
            <w:noProof/>
            <w:webHidden/>
          </w:rPr>
          <w:fldChar w:fldCharType="begin"/>
        </w:r>
        <w:r w:rsidR="00954BA9">
          <w:rPr>
            <w:noProof/>
            <w:webHidden/>
          </w:rPr>
          <w:instrText xml:space="preserve"> PAGEREF _Toc531258300 \h </w:instrText>
        </w:r>
        <w:r w:rsidR="00954BA9">
          <w:rPr>
            <w:noProof/>
            <w:webHidden/>
          </w:rPr>
        </w:r>
        <w:r w:rsidR="00954BA9">
          <w:rPr>
            <w:noProof/>
            <w:webHidden/>
          </w:rPr>
          <w:fldChar w:fldCharType="separate"/>
        </w:r>
        <w:r w:rsidR="00954BA9">
          <w:rPr>
            <w:noProof/>
            <w:webHidden/>
          </w:rPr>
          <w:t>29</w:t>
        </w:r>
        <w:r w:rsidR="00954BA9">
          <w:rPr>
            <w:noProof/>
            <w:webHidden/>
          </w:rPr>
          <w:fldChar w:fldCharType="end"/>
        </w:r>
      </w:hyperlink>
    </w:p>
    <w:p w14:paraId="5899D6C0" w14:textId="77777777" w:rsidR="00954BA9" w:rsidRDefault="00894CB1">
      <w:pPr>
        <w:pStyle w:val="TOC3"/>
        <w:rPr>
          <w:rFonts w:asciiTheme="minorHAnsi" w:eastAsiaTheme="minorEastAsia" w:hAnsiTheme="minorHAnsi" w:cstheme="minorBidi"/>
          <w:noProof/>
          <w:szCs w:val="22"/>
          <w:lang w:eastAsia="en-NZ"/>
        </w:rPr>
      </w:pPr>
      <w:hyperlink w:anchor="_Toc531258301" w:history="1">
        <w:r w:rsidR="00954BA9" w:rsidRPr="00A221DF">
          <w:rPr>
            <w:rStyle w:val="Hyperlink"/>
            <w:noProof/>
          </w:rPr>
          <w:t>Figure 18A: Immunisation coverage (percentage) of eight-month-old Pacific babies, Auckland region DHBs, March 2013–March 2017</w:t>
        </w:r>
        <w:r w:rsidR="00954BA9">
          <w:rPr>
            <w:noProof/>
            <w:webHidden/>
          </w:rPr>
          <w:tab/>
        </w:r>
        <w:r w:rsidR="00954BA9">
          <w:rPr>
            <w:noProof/>
            <w:webHidden/>
          </w:rPr>
          <w:fldChar w:fldCharType="begin"/>
        </w:r>
        <w:r w:rsidR="00954BA9">
          <w:rPr>
            <w:noProof/>
            <w:webHidden/>
          </w:rPr>
          <w:instrText xml:space="preserve"> PAGEREF _Toc531258301 \h </w:instrText>
        </w:r>
        <w:r w:rsidR="00954BA9">
          <w:rPr>
            <w:noProof/>
            <w:webHidden/>
          </w:rPr>
        </w:r>
        <w:r w:rsidR="00954BA9">
          <w:rPr>
            <w:noProof/>
            <w:webHidden/>
          </w:rPr>
          <w:fldChar w:fldCharType="separate"/>
        </w:r>
        <w:r w:rsidR="00954BA9">
          <w:rPr>
            <w:noProof/>
            <w:webHidden/>
          </w:rPr>
          <w:t>30</w:t>
        </w:r>
        <w:r w:rsidR="00954BA9">
          <w:rPr>
            <w:noProof/>
            <w:webHidden/>
          </w:rPr>
          <w:fldChar w:fldCharType="end"/>
        </w:r>
      </w:hyperlink>
    </w:p>
    <w:p w14:paraId="20D06B74" w14:textId="77777777" w:rsidR="00954BA9" w:rsidRDefault="00894CB1">
      <w:pPr>
        <w:pStyle w:val="TOC3"/>
        <w:rPr>
          <w:rFonts w:asciiTheme="minorHAnsi" w:eastAsiaTheme="minorEastAsia" w:hAnsiTheme="minorHAnsi" w:cstheme="minorBidi"/>
          <w:noProof/>
          <w:szCs w:val="22"/>
          <w:lang w:eastAsia="en-NZ"/>
        </w:rPr>
      </w:pPr>
      <w:hyperlink w:anchor="_Toc531258302" w:history="1">
        <w:r w:rsidR="00954BA9" w:rsidRPr="00A221DF">
          <w:rPr>
            <w:rStyle w:val="Hyperlink"/>
            <w:noProof/>
          </w:rPr>
          <w:t>Figure 18B: Immunisation coverage (percentage) of eight-month-old Pacific babies, priority DHBs outside the Auckland region, March 2013–March 2017</w:t>
        </w:r>
        <w:r w:rsidR="00954BA9">
          <w:rPr>
            <w:noProof/>
            <w:webHidden/>
          </w:rPr>
          <w:tab/>
        </w:r>
        <w:r w:rsidR="00954BA9">
          <w:rPr>
            <w:noProof/>
            <w:webHidden/>
          </w:rPr>
          <w:fldChar w:fldCharType="begin"/>
        </w:r>
        <w:r w:rsidR="00954BA9">
          <w:rPr>
            <w:noProof/>
            <w:webHidden/>
          </w:rPr>
          <w:instrText xml:space="preserve"> PAGEREF _Toc531258302 \h </w:instrText>
        </w:r>
        <w:r w:rsidR="00954BA9">
          <w:rPr>
            <w:noProof/>
            <w:webHidden/>
          </w:rPr>
        </w:r>
        <w:r w:rsidR="00954BA9">
          <w:rPr>
            <w:noProof/>
            <w:webHidden/>
          </w:rPr>
          <w:fldChar w:fldCharType="separate"/>
        </w:r>
        <w:r w:rsidR="00954BA9">
          <w:rPr>
            <w:noProof/>
            <w:webHidden/>
          </w:rPr>
          <w:t>30</w:t>
        </w:r>
        <w:r w:rsidR="00954BA9">
          <w:rPr>
            <w:noProof/>
            <w:webHidden/>
          </w:rPr>
          <w:fldChar w:fldCharType="end"/>
        </w:r>
      </w:hyperlink>
    </w:p>
    <w:p w14:paraId="21C1BA9E" w14:textId="393C7CDD" w:rsidR="003A5FEA" w:rsidRDefault="00954BA9" w:rsidP="003A5FEA">
      <w:r>
        <w:fldChar w:fldCharType="end"/>
      </w:r>
    </w:p>
    <w:p w14:paraId="20211040" w14:textId="77777777" w:rsidR="00455CC9" w:rsidRDefault="00455CC9" w:rsidP="0086388B"/>
    <w:p w14:paraId="2F791A5A" w14:textId="77777777"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53F4C3E3" w14:textId="77777777" w:rsidR="008C2973" w:rsidRDefault="002601C2" w:rsidP="008E3A07">
      <w:pPr>
        <w:pStyle w:val="Heading1"/>
      </w:pPr>
      <w:bookmarkStart w:id="3" w:name="_Toc531258235"/>
      <w:r>
        <w:lastRenderedPageBreak/>
        <w:t>Introduction</w:t>
      </w:r>
      <w:bookmarkEnd w:id="3"/>
    </w:p>
    <w:p w14:paraId="700BC975" w14:textId="54B10755" w:rsidR="002601C2" w:rsidRPr="00A119E8" w:rsidRDefault="00AF4508" w:rsidP="00A4643F">
      <w:r>
        <w:rPr>
          <w:rFonts w:ascii="Arial" w:hAnsi="Arial" w:cs="Arial"/>
          <w:i/>
        </w:rPr>
        <w:t>ʹ</w:t>
      </w:r>
      <w:r>
        <w:rPr>
          <w:i/>
        </w:rPr>
        <w:t>Ala Mo</w:t>
      </w:r>
      <w:r>
        <w:rPr>
          <w:rFonts w:ascii="Arial" w:hAnsi="Arial" w:cs="Arial"/>
          <w:i/>
        </w:rPr>
        <w:t>ʹ</w:t>
      </w:r>
      <w:r w:rsidR="002601C2">
        <w:rPr>
          <w:i/>
        </w:rPr>
        <w:t>ui</w:t>
      </w:r>
      <w:r w:rsidR="002601C2" w:rsidRPr="00A119E8">
        <w:rPr>
          <w:i/>
        </w:rPr>
        <w:t>: Pathways to Pacific Health and Wellbeing 2014–2018</w:t>
      </w:r>
      <w:r w:rsidR="002601C2" w:rsidRPr="00A119E8">
        <w:t xml:space="preserve"> (</w:t>
      </w:r>
      <w:r>
        <w:rPr>
          <w:rFonts w:ascii="Arial" w:hAnsi="Arial" w:cs="Arial"/>
        </w:rPr>
        <w:t>ʹ</w:t>
      </w:r>
      <w:r>
        <w:rPr>
          <w:i/>
        </w:rPr>
        <w:t>Ala Mo</w:t>
      </w:r>
      <w:r>
        <w:rPr>
          <w:rFonts w:ascii="Arial" w:hAnsi="Arial" w:cs="Arial"/>
          <w:i/>
        </w:rPr>
        <w:t>ʹ</w:t>
      </w:r>
      <w:r w:rsidR="002601C2">
        <w:rPr>
          <w:i/>
        </w:rPr>
        <w:t>ui</w:t>
      </w:r>
      <w:r w:rsidR="002601C2" w:rsidRPr="00A119E8">
        <w:t xml:space="preserve">) is a four-year plan that </w:t>
      </w:r>
      <w:r w:rsidR="002601C2">
        <w:t>sets out the government’s strategic direction for Pacific health in New Zealand</w:t>
      </w:r>
      <w:r w:rsidR="002601C2" w:rsidRPr="00A119E8">
        <w:t xml:space="preserve">. The outcomes and actions in </w:t>
      </w:r>
      <w:r>
        <w:rPr>
          <w:rFonts w:ascii="Arial" w:hAnsi="Arial" w:cs="Arial"/>
          <w:i/>
        </w:rPr>
        <w:t>ʹ</w:t>
      </w:r>
      <w:r>
        <w:rPr>
          <w:i/>
        </w:rPr>
        <w:t>Ala Mo</w:t>
      </w:r>
      <w:r>
        <w:rPr>
          <w:rFonts w:ascii="Arial" w:hAnsi="Arial" w:cs="Arial"/>
          <w:i/>
        </w:rPr>
        <w:t>ʹ</w:t>
      </w:r>
      <w:r w:rsidR="002601C2">
        <w:rPr>
          <w:i/>
        </w:rPr>
        <w:t>ui</w:t>
      </w:r>
      <w:r w:rsidR="002601C2" w:rsidRPr="00A119E8">
        <w:t xml:space="preserve"> contribute to the Government’s long-term outcomes for health: all New Zealanders, including Pacific peoples, will lead healthier and more independent lives; high-quality health services will be delivered in a timely and accessible manner; and the future sustainability of the health and disability sector will be assured (Ministry of Health 2014).</w:t>
      </w:r>
    </w:p>
    <w:p w14:paraId="0F3C8039" w14:textId="77777777" w:rsidR="002601C2" w:rsidRDefault="002601C2" w:rsidP="00A4643F"/>
    <w:p w14:paraId="1F0FC1C8" w14:textId="3BF1D6CB" w:rsidR="002601C2" w:rsidRPr="00A119E8" w:rsidRDefault="002601C2" w:rsidP="00A4643F">
      <w:r w:rsidRPr="00A119E8">
        <w:t xml:space="preserve">The long term vision of </w:t>
      </w:r>
      <w:r w:rsidR="00AF4508">
        <w:rPr>
          <w:rFonts w:ascii="Arial" w:hAnsi="Arial" w:cs="Arial"/>
          <w:i/>
        </w:rPr>
        <w:t>ʹ</w:t>
      </w:r>
      <w:r w:rsidR="00AF4508">
        <w:rPr>
          <w:i/>
        </w:rPr>
        <w:t>Ala Mo</w:t>
      </w:r>
      <w:r w:rsidR="00AF4508">
        <w:rPr>
          <w:rFonts w:ascii="Arial" w:hAnsi="Arial" w:cs="Arial"/>
          <w:i/>
        </w:rPr>
        <w:t>ʹ</w:t>
      </w:r>
      <w:r>
        <w:rPr>
          <w:i/>
        </w:rPr>
        <w:t>ui</w:t>
      </w:r>
      <w:r w:rsidRPr="00A119E8">
        <w:t xml:space="preserve"> is:</w:t>
      </w:r>
    </w:p>
    <w:p w14:paraId="3A89DC8A" w14:textId="77777777" w:rsidR="002601C2" w:rsidRDefault="002601C2" w:rsidP="00A4643F">
      <w:pPr>
        <w:pStyle w:val="Quote"/>
      </w:pPr>
      <w:r w:rsidRPr="00E72F16">
        <w:t xml:space="preserve">Pacific </w:t>
      </w:r>
      <w:r>
        <w:t>’</w:t>
      </w:r>
      <w:r w:rsidRPr="00E72F16">
        <w:t>āiga, kāiga, magafaoa, kōpū tangata, vuvale and fāmili experience equitable health outcomes and lead independent lives.</w:t>
      </w:r>
    </w:p>
    <w:p w14:paraId="55DE6D87" w14:textId="77777777" w:rsidR="002601C2" w:rsidRDefault="002601C2" w:rsidP="00A4643F"/>
    <w:p w14:paraId="511CB440" w14:textId="77777777" w:rsidR="002601C2" w:rsidRDefault="002601C2" w:rsidP="00A4643F">
      <w:pPr>
        <w:pStyle w:val="Heading1"/>
      </w:pPr>
      <w:bookmarkStart w:id="4" w:name="_Toc503952519"/>
      <w:bookmarkStart w:id="5" w:name="_Toc531258236"/>
      <w:r>
        <w:lastRenderedPageBreak/>
        <w:t>Purpose statement</w:t>
      </w:r>
      <w:bookmarkEnd w:id="4"/>
      <w:bookmarkEnd w:id="5"/>
    </w:p>
    <w:p w14:paraId="553BDDC8" w14:textId="599C23B4" w:rsidR="002601C2" w:rsidRDefault="002601C2" w:rsidP="00A4643F">
      <w:r>
        <w:t xml:space="preserve">This report aims to monitor and track national and </w:t>
      </w:r>
      <w:r w:rsidR="00892C39">
        <w:t>regional</w:t>
      </w:r>
      <w:r>
        <w:t xml:space="preserve"> progress in relation to the 21 indicators set out in </w:t>
      </w:r>
      <w:r w:rsidR="00AF4508">
        <w:rPr>
          <w:rFonts w:ascii="Arial" w:hAnsi="Arial" w:cs="Arial"/>
          <w:i/>
        </w:rPr>
        <w:t>ʹ</w:t>
      </w:r>
      <w:r w:rsidR="00AF4508">
        <w:rPr>
          <w:i/>
        </w:rPr>
        <w:t>Ala Mo</w:t>
      </w:r>
      <w:r w:rsidR="00AF4508">
        <w:rPr>
          <w:rFonts w:ascii="Arial" w:hAnsi="Arial" w:cs="Arial"/>
          <w:i/>
        </w:rPr>
        <w:t>ʹ</w:t>
      </w:r>
      <w:r w:rsidRPr="00F17AF4">
        <w:rPr>
          <w:i/>
        </w:rPr>
        <w:t>ui</w:t>
      </w:r>
      <w:r>
        <w:t>. It tracks progress for the Pacific population both nationally and a</w:t>
      </w:r>
      <w:r w:rsidRPr="00A119E8">
        <w:t xml:space="preserve">cross </w:t>
      </w:r>
      <w:r>
        <w:t xml:space="preserve">the </w:t>
      </w:r>
      <w:r w:rsidRPr="00A119E8">
        <w:t xml:space="preserve">eight </w:t>
      </w:r>
      <w:r w:rsidR="00892C39">
        <w:t>district health boards (</w:t>
      </w:r>
      <w:r w:rsidRPr="00A119E8">
        <w:t>DHBs</w:t>
      </w:r>
      <w:r w:rsidR="00892C39">
        <w:t>)</w:t>
      </w:r>
      <w:r w:rsidRPr="00A119E8">
        <w:t xml:space="preserve"> where 90 percent of Pacific peoples reside</w:t>
      </w:r>
      <w:r w:rsidRPr="00A119E8">
        <w:rPr>
          <w:szCs w:val="18"/>
        </w:rPr>
        <w:t xml:space="preserve"> </w:t>
      </w:r>
      <w:r>
        <w:t xml:space="preserve">(the </w:t>
      </w:r>
      <w:r w:rsidRPr="00A119E8">
        <w:t>‘Pacific priority DHBs’</w:t>
      </w:r>
      <w:r>
        <w:t>). Those DHBs</w:t>
      </w:r>
      <w:r w:rsidRPr="00A119E8">
        <w:t xml:space="preserve"> are (in order of </w:t>
      </w:r>
      <w:r>
        <w:t>the</w:t>
      </w:r>
      <w:r w:rsidRPr="00A119E8">
        <w:t xml:space="preserve"> numbers of Pacific peoples</w:t>
      </w:r>
      <w:r>
        <w:t xml:space="preserve"> they serve, highest to lowest</w:t>
      </w:r>
      <w:r w:rsidRPr="00A119E8">
        <w:t>)</w:t>
      </w:r>
      <w:r>
        <w:t>:</w:t>
      </w:r>
    </w:p>
    <w:p w14:paraId="74B81606" w14:textId="77777777" w:rsidR="002F7222" w:rsidRDefault="002601C2" w:rsidP="00A4643F">
      <w:pPr>
        <w:pStyle w:val="Bullet"/>
      </w:pPr>
      <w:r w:rsidRPr="00A119E8">
        <w:t>Counties Manukau</w:t>
      </w:r>
    </w:p>
    <w:p w14:paraId="5531D240" w14:textId="77777777" w:rsidR="002601C2" w:rsidRDefault="002601C2" w:rsidP="00A4643F">
      <w:pPr>
        <w:pStyle w:val="Bullet"/>
      </w:pPr>
      <w:r w:rsidRPr="00A119E8">
        <w:t>Auckland</w:t>
      </w:r>
    </w:p>
    <w:p w14:paraId="735BB4A4" w14:textId="77777777" w:rsidR="002601C2" w:rsidRDefault="002601C2" w:rsidP="00A4643F">
      <w:pPr>
        <w:pStyle w:val="Bullet"/>
      </w:pPr>
      <w:r w:rsidRPr="00A119E8">
        <w:t>Waitemata</w:t>
      </w:r>
    </w:p>
    <w:p w14:paraId="202DFE27" w14:textId="77777777" w:rsidR="002601C2" w:rsidRDefault="002601C2" w:rsidP="00A4643F">
      <w:pPr>
        <w:pStyle w:val="Bullet"/>
      </w:pPr>
      <w:r w:rsidRPr="00A119E8">
        <w:t>Capital &amp; Coast</w:t>
      </w:r>
    </w:p>
    <w:p w14:paraId="1F7BDA56" w14:textId="77777777" w:rsidR="002601C2" w:rsidRDefault="002601C2" w:rsidP="00A4643F">
      <w:pPr>
        <w:pStyle w:val="Bullet"/>
      </w:pPr>
      <w:r w:rsidRPr="00A119E8">
        <w:t>Canterbury</w:t>
      </w:r>
    </w:p>
    <w:p w14:paraId="6D73E99C" w14:textId="77777777" w:rsidR="002601C2" w:rsidRDefault="002601C2" w:rsidP="00A4643F">
      <w:pPr>
        <w:pStyle w:val="Bullet"/>
      </w:pPr>
      <w:r w:rsidRPr="00A119E8">
        <w:t>Hutt Valley</w:t>
      </w:r>
    </w:p>
    <w:p w14:paraId="12D5F3BF" w14:textId="77777777" w:rsidR="002601C2" w:rsidRDefault="002601C2" w:rsidP="00A4643F">
      <w:pPr>
        <w:pStyle w:val="Bullet"/>
      </w:pPr>
      <w:r w:rsidRPr="00A119E8">
        <w:t>Waikato</w:t>
      </w:r>
    </w:p>
    <w:p w14:paraId="34F4936B" w14:textId="77777777" w:rsidR="002601C2" w:rsidRDefault="002601C2" w:rsidP="00A4643F">
      <w:pPr>
        <w:pStyle w:val="Bullet"/>
      </w:pPr>
      <w:r w:rsidRPr="00A119E8">
        <w:t>Hawke’s Bay</w:t>
      </w:r>
      <w:r>
        <w:t>.</w:t>
      </w:r>
    </w:p>
    <w:p w14:paraId="25C85015" w14:textId="77777777" w:rsidR="002601C2" w:rsidRPr="00F17AF4" w:rsidRDefault="002601C2" w:rsidP="00A4643F"/>
    <w:p w14:paraId="10B4F1CD" w14:textId="77777777" w:rsidR="002601C2" w:rsidRDefault="002601C2" w:rsidP="00A4643F">
      <w:r>
        <w:t xml:space="preserve">In this report, we set out progress for each indicator </w:t>
      </w:r>
      <w:r w:rsidRPr="00A119E8">
        <w:t>against set national targets</w:t>
      </w:r>
      <w:r>
        <w:t xml:space="preserve"> where possible. Where there is no national target for the indicator, we show the rates for the Pacific population compared to the total New Zealand population, to demonstrate differences over time. Note that we have compared the Pacific population indicators against the total population, which also includes the Pacific population, rather than comparing the Pacific population indicator with that of the non-Pacific population.</w:t>
      </w:r>
    </w:p>
    <w:p w14:paraId="08ACF37B" w14:textId="77777777" w:rsidR="00A4643F" w:rsidRDefault="00A4643F" w:rsidP="00A4643F"/>
    <w:p w14:paraId="6E057D63" w14:textId="77777777" w:rsidR="002601C2" w:rsidRDefault="002601C2" w:rsidP="00A4643F">
      <w:pPr>
        <w:pStyle w:val="Heading1"/>
      </w:pPr>
      <w:bookmarkStart w:id="6" w:name="_Toc503952520"/>
      <w:bookmarkStart w:id="7" w:name="_Toc531258237"/>
      <w:r>
        <w:lastRenderedPageBreak/>
        <w:t>Background</w:t>
      </w:r>
      <w:bookmarkEnd w:id="6"/>
      <w:bookmarkEnd w:id="7"/>
    </w:p>
    <w:p w14:paraId="63A838A6" w14:textId="5FAA9D91" w:rsidR="00950A83" w:rsidRDefault="00950A83" w:rsidP="00950A83">
      <w:r w:rsidRPr="00D77BAE">
        <w:t>Pacific</w:t>
      </w:r>
      <w:r>
        <w:t xml:space="preserve"> child health is an extremely important focus area for the New Zealand health system. </w:t>
      </w:r>
      <w:r w:rsidR="00AF4508">
        <w:rPr>
          <w:rFonts w:ascii="Arial" w:hAnsi="Arial" w:cs="Arial"/>
          <w:i/>
        </w:rPr>
        <w:t>ʹ</w:t>
      </w:r>
      <w:r>
        <w:rPr>
          <w:i/>
        </w:rPr>
        <w:t xml:space="preserve">Ala </w:t>
      </w:r>
      <w:r w:rsidR="00AF4508">
        <w:rPr>
          <w:i/>
        </w:rPr>
        <w:t>Mo</w:t>
      </w:r>
      <w:r w:rsidR="00AF4508">
        <w:rPr>
          <w:rFonts w:ascii="Arial" w:hAnsi="Arial" w:cs="Arial"/>
          <w:i/>
        </w:rPr>
        <w:t>ʹ</w:t>
      </w:r>
      <w:r w:rsidRPr="00C52732">
        <w:rPr>
          <w:i/>
        </w:rPr>
        <w:t>ui</w:t>
      </w:r>
      <w:r>
        <w:t xml:space="preserve"> acknowledges this by setting out the key action:</w:t>
      </w:r>
    </w:p>
    <w:p w14:paraId="4792118B" w14:textId="77777777" w:rsidR="00950A83" w:rsidRDefault="00950A83" w:rsidP="00950A83"/>
    <w:p w14:paraId="49B7E826" w14:textId="77777777" w:rsidR="00950A83" w:rsidRPr="00D979CC" w:rsidRDefault="00950A83" w:rsidP="00950A83">
      <w:pPr>
        <w:rPr>
          <w:b/>
        </w:rPr>
      </w:pPr>
      <w:r w:rsidRPr="00D979CC">
        <w:rPr>
          <w:b/>
        </w:rPr>
        <w:t xml:space="preserve">Universal maternity and child health services will engage in a more timely </w:t>
      </w:r>
      <w:r w:rsidRPr="00D979CC">
        <w:rPr>
          <w:rFonts w:eastAsia="Arial"/>
          <w:b/>
        </w:rPr>
        <w:t xml:space="preserve">manner </w:t>
      </w:r>
      <w:r w:rsidRPr="00D979CC">
        <w:rPr>
          <w:b/>
        </w:rPr>
        <w:t>with Pacific families.</w:t>
      </w:r>
    </w:p>
    <w:p w14:paraId="2F51CDCD" w14:textId="77777777" w:rsidR="00950A83" w:rsidRDefault="00950A83" w:rsidP="00950A83"/>
    <w:p w14:paraId="7050FCB3" w14:textId="2EDE898C" w:rsidR="00950A83" w:rsidRDefault="00950A83" w:rsidP="00950A83">
      <w:r>
        <w:t xml:space="preserve">Data on most child health indicators shows very good rates of enrolment with both general practices and the </w:t>
      </w:r>
      <w:r w:rsidR="00050D9F">
        <w:t>Community Oral Health Service (</w:t>
      </w:r>
      <w:r>
        <w:t>COHS</w:t>
      </w:r>
      <w:r w:rsidR="00050D9F">
        <w:t>)</w:t>
      </w:r>
      <w:r>
        <w:t>. Rates of immunisation coverage and B4SCs are also high.</w:t>
      </w:r>
    </w:p>
    <w:p w14:paraId="6DFB46F3" w14:textId="77777777" w:rsidR="00950A83" w:rsidRDefault="00950A83" w:rsidP="00950A83"/>
    <w:p w14:paraId="5BDDD615" w14:textId="0591B4DF" w:rsidR="00950A83" w:rsidRDefault="00950A83" w:rsidP="00950A83">
      <w:r>
        <w:t>Although we have made great progress towards improving Pacific child health outcomes, there are opportunities for improvement in the areas of oral health outcomes (</w:t>
      </w:r>
      <w:r w:rsidR="00050D9F">
        <w:t>decayed, missing and filled teeth (</w:t>
      </w:r>
      <w:r w:rsidRPr="00AF7164">
        <w:t>DMFT</w:t>
      </w:r>
      <w:r w:rsidR="00050D9F">
        <w:t>)</w:t>
      </w:r>
      <w:r>
        <w:t xml:space="preserve"> and children caries-free), childhood obesity and </w:t>
      </w:r>
      <w:r w:rsidR="00050D9F">
        <w:t>Well Child/Tamariki Ora (</w:t>
      </w:r>
      <w:r>
        <w:t>WCTO</w:t>
      </w:r>
      <w:r w:rsidR="00050D9F">
        <w:t>)</w:t>
      </w:r>
      <w:r>
        <w:t xml:space="preserve"> core contacts.</w:t>
      </w:r>
    </w:p>
    <w:p w14:paraId="686ABC91" w14:textId="77777777" w:rsidR="00950A83" w:rsidRDefault="00950A83" w:rsidP="002F7222"/>
    <w:p w14:paraId="61D0F7D1" w14:textId="5F355A58" w:rsidR="002601C2" w:rsidRDefault="002601C2" w:rsidP="002F7222">
      <w:r>
        <w:t>This report is part of a series of progress reports the Mi</w:t>
      </w:r>
      <w:r w:rsidR="00AF4508">
        <w:t xml:space="preserve">nistry of Health publishes for </w:t>
      </w:r>
      <w:r w:rsidR="00AF4508">
        <w:rPr>
          <w:rFonts w:ascii="Arial" w:hAnsi="Arial" w:cs="Arial"/>
        </w:rPr>
        <w:t>ʹ</w:t>
      </w:r>
      <w:r w:rsidRPr="003E4346">
        <w:rPr>
          <w:i/>
        </w:rPr>
        <w:t>Ala</w:t>
      </w:r>
      <w:r w:rsidR="00AF4508">
        <w:rPr>
          <w:i/>
        </w:rPr>
        <w:t xml:space="preserve"> Mo</w:t>
      </w:r>
      <w:r w:rsidR="00AF4508">
        <w:rPr>
          <w:rFonts w:ascii="Arial" w:hAnsi="Arial" w:cs="Arial"/>
          <w:i/>
        </w:rPr>
        <w:t>ʹ</w:t>
      </w:r>
      <w:r w:rsidRPr="003E4346">
        <w:rPr>
          <w:i/>
        </w:rPr>
        <w:t>ui</w:t>
      </w:r>
      <w:r>
        <w:t>, broken up into two theme-based reports, on child health and health care utilisation respectively.</w:t>
      </w:r>
    </w:p>
    <w:p w14:paraId="28BFF168" w14:textId="77777777" w:rsidR="002F7222" w:rsidRDefault="002F7222" w:rsidP="002F7222"/>
    <w:p w14:paraId="669CEC82" w14:textId="2140B6DA" w:rsidR="002601C2" w:rsidRDefault="002601C2" w:rsidP="002F7222">
      <w:r>
        <w:t xml:space="preserve">Together, these reports cover all </w:t>
      </w:r>
      <w:r w:rsidR="00AF4508">
        <w:rPr>
          <w:rFonts w:ascii="Arial" w:hAnsi="Arial" w:cs="Arial"/>
          <w:i/>
        </w:rPr>
        <w:t>ʹ</w:t>
      </w:r>
      <w:r w:rsidR="00AF4508">
        <w:rPr>
          <w:i/>
        </w:rPr>
        <w:t>Ala Mo</w:t>
      </w:r>
      <w:r w:rsidR="00AF4508">
        <w:rPr>
          <w:rFonts w:ascii="Arial" w:hAnsi="Arial" w:cs="Arial"/>
          <w:i/>
        </w:rPr>
        <w:t>ʹ</w:t>
      </w:r>
      <w:r w:rsidRPr="003E4346">
        <w:rPr>
          <w:i/>
        </w:rPr>
        <w:t>ui</w:t>
      </w:r>
      <w:r w:rsidRPr="000C7B06">
        <w:t xml:space="preserve"> </w:t>
      </w:r>
      <w:r>
        <w:t>indicators. The separation of data into the two themes will ensure people can easily see and assess connections in data across similar subject areas, and discuss what is happening in each.</w:t>
      </w:r>
    </w:p>
    <w:p w14:paraId="2D2A2D3D" w14:textId="77777777" w:rsidR="002601C2" w:rsidRDefault="002601C2" w:rsidP="002F7222"/>
    <w:p w14:paraId="46165A39" w14:textId="77777777" w:rsidR="002601C2" w:rsidRDefault="002601C2" w:rsidP="002F7222">
      <w:r>
        <w:t>This report covers the following child health indicators:</w:t>
      </w:r>
    </w:p>
    <w:p w14:paraId="6290071C" w14:textId="77777777" w:rsidR="002601C2" w:rsidRDefault="002601C2" w:rsidP="002F7222">
      <w:pPr>
        <w:pStyle w:val="Bullet"/>
      </w:pPr>
      <w:r>
        <w:t>newborn enrolment with general practice</w:t>
      </w:r>
    </w:p>
    <w:p w14:paraId="4A6DA52C" w14:textId="44E913B7" w:rsidR="002601C2" w:rsidRDefault="001B0165" w:rsidP="002F7222">
      <w:pPr>
        <w:pStyle w:val="Bullet"/>
      </w:pPr>
      <w:r>
        <w:t>Well Child / Tamariki Ora</w:t>
      </w:r>
      <w:r w:rsidR="002601C2">
        <w:t xml:space="preserve"> (WCTO) core contacts</w:t>
      </w:r>
    </w:p>
    <w:p w14:paraId="6B666751" w14:textId="77777777" w:rsidR="002601C2" w:rsidRDefault="002601C2" w:rsidP="002F7222">
      <w:pPr>
        <w:pStyle w:val="Bullet"/>
      </w:pPr>
      <w:r>
        <w:t>B4 School Checks (B4SCs)</w:t>
      </w:r>
    </w:p>
    <w:p w14:paraId="52968290" w14:textId="77777777" w:rsidR="002601C2" w:rsidRDefault="002601C2" w:rsidP="002F7222">
      <w:pPr>
        <w:pStyle w:val="Bullet"/>
      </w:pPr>
      <w:r>
        <w:t>children breastfed at three months</w:t>
      </w:r>
    </w:p>
    <w:p w14:paraId="731BBD21" w14:textId="77777777" w:rsidR="002601C2" w:rsidRDefault="002601C2" w:rsidP="002F7222">
      <w:pPr>
        <w:pStyle w:val="Bullet"/>
      </w:pPr>
      <w:r>
        <w:t>childhood obesity</w:t>
      </w:r>
    </w:p>
    <w:p w14:paraId="0A338DA2" w14:textId="77777777" w:rsidR="002601C2" w:rsidRDefault="002601C2" w:rsidP="002F7222">
      <w:pPr>
        <w:pStyle w:val="Bullet"/>
      </w:pPr>
      <w:r>
        <w:t>oral health</w:t>
      </w:r>
    </w:p>
    <w:p w14:paraId="76CD3007" w14:textId="77777777" w:rsidR="002601C2" w:rsidRDefault="002601C2" w:rsidP="002F7222">
      <w:pPr>
        <w:pStyle w:val="Bullet"/>
      </w:pPr>
      <w:r>
        <w:t>immunisations.</w:t>
      </w:r>
    </w:p>
    <w:p w14:paraId="38B874E1" w14:textId="77777777" w:rsidR="002601C2" w:rsidRDefault="002601C2" w:rsidP="002F7222"/>
    <w:p w14:paraId="1768AACA" w14:textId="77777777" w:rsidR="002601C2" w:rsidRDefault="002601C2" w:rsidP="002F7222">
      <w:pPr>
        <w:pStyle w:val="Heading1"/>
      </w:pPr>
      <w:bookmarkStart w:id="8" w:name="_Toc503952521"/>
      <w:bookmarkStart w:id="9" w:name="_Toc531258238"/>
      <w:r>
        <w:lastRenderedPageBreak/>
        <w:t>Notes about the data</w:t>
      </w:r>
      <w:bookmarkEnd w:id="8"/>
      <w:bookmarkEnd w:id="9"/>
    </w:p>
    <w:p w14:paraId="256CD310" w14:textId="77777777" w:rsidR="002601C2" w:rsidRPr="00DB1E8D" w:rsidRDefault="002601C2" w:rsidP="002F7222">
      <w:r w:rsidRPr="00DB1E8D">
        <w:t>This report draws on a range of information.</w:t>
      </w:r>
    </w:p>
    <w:p w14:paraId="5AE9D1D2" w14:textId="77777777" w:rsidR="002601C2" w:rsidRPr="00DB1E8D" w:rsidRDefault="002601C2" w:rsidP="002F7222"/>
    <w:p w14:paraId="57234A4B" w14:textId="77777777" w:rsidR="002601C2" w:rsidRPr="00DB1E8D" w:rsidRDefault="002601C2" w:rsidP="002F7222">
      <w:r w:rsidRPr="00DB1E8D">
        <w:t xml:space="preserve">Alongside each indicator, in a text box, we have noted the denominator (the base population) and the numerator, and the </w:t>
      </w:r>
      <w:r>
        <w:t xml:space="preserve">relevant information </w:t>
      </w:r>
      <w:r w:rsidRPr="00DB1E8D">
        <w:t xml:space="preserve">sources. Sources of data include </w:t>
      </w:r>
      <w:r>
        <w:t xml:space="preserve">WCTO </w:t>
      </w:r>
      <w:r w:rsidRPr="00DB1E8D">
        <w:t>and Community Or</w:t>
      </w:r>
      <w:r>
        <w:t>al Health Service (COHS) reporting,</w:t>
      </w:r>
      <w:r w:rsidRPr="00DB1E8D">
        <w:t xml:space="preserve"> the New Zealand Health Survey (NZHS), </w:t>
      </w:r>
      <w:r>
        <w:t xml:space="preserve">the </w:t>
      </w:r>
      <w:r w:rsidRPr="00DB1E8D">
        <w:t xml:space="preserve">Primary Health Organisation </w:t>
      </w:r>
      <w:r>
        <w:t>(PHO) enrolment collection,</w:t>
      </w:r>
      <w:r w:rsidRPr="00DB1E8D">
        <w:t xml:space="preserve"> the National Immunisation Register </w:t>
      </w:r>
      <w:r>
        <w:t xml:space="preserve">and </w:t>
      </w:r>
      <w:r w:rsidRPr="00DB1E8D">
        <w:t>Statistics New Zealand population proje</w:t>
      </w:r>
      <w:r>
        <w:t>ctions based on the 2013 Census</w:t>
      </w:r>
      <w:r w:rsidRPr="00DB1E8D">
        <w:t>.</w:t>
      </w:r>
    </w:p>
    <w:p w14:paraId="7FE5F363" w14:textId="77777777" w:rsidR="002601C2" w:rsidRPr="00DB1E8D" w:rsidRDefault="002601C2" w:rsidP="002F7222"/>
    <w:p w14:paraId="33B71C7E" w14:textId="77777777" w:rsidR="002601C2" w:rsidRDefault="002601C2" w:rsidP="002F7222">
      <w:r w:rsidRPr="00FD0DCF">
        <w:rPr>
          <w:b/>
        </w:rPr>
        <w:t>Table A1</w:t>
      </w:r>
      <w:r w:rsidRPr="00DB1E8D">
        <w:t xml:space="preserve"> show</w:t>
      </w:r>
      <w:r>
        <w:t>s</w:t>
      </w:r>
      <w:r w:rsidRPr="00DB1E8D">
        <w:t xml:space="preserve"> the total projected population of </w:t>
      </w:r>
      <w:r>
        <w:t>Pacific peoples for each of the eight</w:t>
      </w:r>
      <w:r w:rsidRPr="00DB1E8D">
        <w:t xml:space="preserve"> priority DHBs for </w:t>
      </w:r>
      <w:r>
        <w:t>the 2015/2016 financial year</w:t>
      </w:r>
      <w:r w:rsidRPr="00DB1E8D">
        <w:t xml:space="preserve"> (Statistics N</w:t>
      </w:r>
      <w:r>
        <w:t xml:space="preserve">ew </w:t>
      </w:r>
      <w:r w:rsidRPr="00DB1E8D">
        <w:t>Z</w:t>
      </w:r>
      <w:r>
        <w:t>ealand</w:t>
      </w:r>
      <w:r w:rsidR="002F7222">
        <w:t xml:space="preserve"> population projections).</w:t>
      </w:r>
    </w:p>
    <w:p w14:paraId="12CCED9C" w14:textId="77777777" w:rsidR="002601C2" w:rsidRDefault="002601C2" w:rsidP="00CF7E1B"/>
    <w:p w14:paraId="5AC4395C" w14:textId="77777777" w:rsidR="002F7222" w:rsidRDefault="002601C2" w:rsidP="00CF7E1B">
      <w:r w:rsidRPr="00DB1E8D">
        <w:t xml:space="preserve">It is important to remember that small sample sizes can contribute to trends </w:t>
      </w:r>
      <w:r>
        <w:t>apparent</w:t>
      </w:r>
      <w:r w:rsidRPr="00DB1E8D">
        <w:t xml:space="preserve"> in the </w:t>
      </w:r>
      <w:r>
        <w:t>DHB-level data</w:t>
      </w:r>
      <w:r w:rsidRPr="00DB1E8D">
        <w:t xml:space="preserve">. </w:t>
      </w:r>
      <w:r>
        <w:t xml:space="preserve">For this reason it is </w:t>
      </w:r>
      <w:r w:rsidRPr="00DB1E8D">
        <w:t>more useful to consider the overall trend over time rather than the change between two reporting periods.</w:t>
      </w:r>
    </w:p>
    <w:p w14:paraId="34D96766" w14:textId="77777777" w:rsidR="002601C2" w:rsidRDefault="002601C2" w:rsidP="00CF7E1B"/>
    <w:p w14:paraId="136079E4" w14:textId="77777777" w:rsidR="002601C2" w:rsidRDefault="002601C2" w:rsidP="00CF7E1B">
      <w:r w:rsidRPr="00DB1E8D">
        <w:t xml:space="preserve">Where </w:t>
      </w:r>
      <w:r>
        <w:t>an</w:t>
      </w:r>
      <w:r w:rsidRPr="00DB1E8D">
        <w:t xml:space="preserve"> indicator is measuring only one group within the population </w:t>
      </w:r>
      <w:r>
        <w:t xml:space="preserve">– </w:t>
      </w:r>
      <w:r w:rsidRPr="00DB1E8D">
        <w:t>for example</w:t>
      </w:r>
      <w:r>
        <w:t>,</w:t>
      </w:r>
      <w:r w:rsidRPr="00DB1E8D">
        <w:t xml:space="preserve"> Pacific childr</w:t>
      </w:r>
      <w:r>
        <w:t xml:space="preserve">en aged eight months – the number may be </w:t>
      </w:r>
      <w:r w:rsidRPr="00DB1E8D">
        <w:t xml:space="preserve">very small. </w:t>
      </w:r>
      <w:r>
        <w:t>This means</w:t>
      </w:r>
      <w:r w:rsidRPr="00DB1E8D">
        <w:t xml:space="preserve"> there is more variability in the data (the lines of the graph move up and down more sharply).</w:t>
      </w:r>
    </w:p>
    <w:p w14:paraId="7730DE64" w14:textId="77777777" w:rsidR="002601C2" w:rsidRDefault="002601C2" w:rsidP="00CF7E1B"/>
    <w:p w14:paraId="28D095DF" w14:textId="110C022C" w:rsidR="002F7222" w:rsidRDefault="002601C2" w:rsidP="00CF7E1B">
      <w:r w:rsidRPr="00DB1E8D">
        <w:t xml:space="preserve">For most indicators </w:t>
      </w:r>
      <w:r w:rsidR="007613EA">
        <w:t>recorded by</w:t>
      </w:r>
      <w:r w:rsidRPr="00DB1E8D">
        <w:t xml:space="preserve"> DHB</w:t>
      </w:r>
      <w:r w:rsidR="007613EA">
        <w:t>s</w:t>
      </w:r>
      <w:r w:rsidRPr="00DB1E8D">
        <w:t xml:space="preserve">, we have reported the number of people in relevant </w:t>
      </w:r>
      <w:r>
        <w:t>sub</w:t>
      </w:r>
      <w:r w:rsidRPr="00DB1E8D">
        <w:t>group</w:t>
      </w:r>
      <w:r>
        <w:t>s</w:t>
      </w:r>
      <w:r w:rsidRPr="00DB1E8D">
        <w:t xml:space="preserve"> (</w:t>
      </w:r>
      <w:r>
        <w:t>eg,</w:t>
      </w:r>
      <w:r w:rsidRPr="00DB1E8D">
        <w:t xml:space="preserve"> the number of Pacific children aged </w:t>
      </w:r>
      <w:r>
        <w:t>eight</w:t>
      </w:r>
      <w:r w:rsidRPr="00DB1E8D">
        <w:t xml:space="preserve"> months old</w:t>
      </w:r>
      <w:r>
        <w:t>). For some indicators, we were unable to report this b</w:t>
      </w:r>
      <w:r w:rsidR="00050D9F">
        <w:t>ecause the number was too small and</w:t>
      </w:r>
      <w:r>
        <w:t xml:space="preserve"> publishing this data could compromise the privacy of individuals.</w:t>
      </w:r>
    </w:p>
    <w:p w14:paraId="65124315" w14:textId="77777777" w:rsidR="002601C2" w:rsidRPr="00DB1E8D" w:rsidRDefault="002601C2" w:rsidP="00CF7E1B"/>
    <w:p w14:paraId="08A469E1" w14:textId="77777777" w:rsidR="002601C2" w:rsidRPr="00DB1E8D" w:rsidRDefault="002601C2" w:rsidP="00CF7E1B">
      <w:pPr>
        <w:rPr>
          <w:color w:val="000000" w:themeColor="text1"/>
        </w:rPr>
      </w:pPr>
      <w:r>
        <w:t>You can find m</w:t>
      </w:r>
      <w:r w:rsidRPr="00DB1E8D">
        <w:t xml:space="preserve">ore </w:t>
      </w:r>
      <w:r>
        <w:t xml:space="preserve">information </w:t>
      </w:r>
      <w:r w:rsidRPr="00DB1E8D">
        <w:t xml:space="preserve">about </w:t>
      </w:r>
      <w:r w:rsidR="007613EA">
        <w:t xml:space="preserve">the </w:t>
      </w:r>
      <w:r>
        <w:t xml:space="preserve">measurement of progress against </w:t>
      </w:r>
      <w:r w:rsidRPr="00DB1E8D">
        <w:t xml:space="preserve">the indicators on the Ministry of Health’s website. </w:t>
      </w:r>
      <w:r>
        <w:rPr>
          <w:color w:val="000000" w:themeColor="text1"/>
        </w:rPr>
        <w:t>See, specifically:</w:t>
      </w:r>
    </w:p>
    <w:p w14:paraId="267E89C6" w14:textId="50C06D76" w:rsidR="002601C2" w:rsidRPr="00DB1E8D" w:rsidRDefault="002601C2" w:rsidP="00D979CC">
      <w:pPr>
        <w:pStyle w:val="Bullet"/>
      </w:pPr>
      <w:r>
        <w:t xml:space="preserve">data on indicators from the </w:t>
      </w:r>
      <w:hyperlink r:id="rId18" w:history="1">
        <w:r w:rsidR="001B0165">
          <w:rPr>
            <w:color w:val="0000FF" w:themeColor="hyperlink"/>
            <w:u w:val="single"/>
          </w:rPr>
          <w:t>Well Child / Tamariki Ora</w:t>
        </w:r>
        <w:r w:rsidRPr="00DB1E8D">
          <w:rPr>
            <w:color w:val="0000FF" w:themeColor="hyperlink"/>
            <w:u w:val="single"/>
          </w:rPr>
          <w:t xml:space="preserve"> Quality Improvement Framework</w:t>
        </w:r>
      </w:hyperlink>
      <w:r w:rsidRPr="00DB1E8D">
        <w:t>, measur</w:t>
      </w:r>
      <w:r>
        <w:t>ing</w:t>
      </w:r>
      <w:r w:rsidRPr="00DB1E8D">
        <w:t xml:space="preserve"> infant </w:t>
      </w:r>
      <w:r>
        <w:t xml:space="preserve">general practice </w:t>
      </w:r>
      <w:r w:rsidRPr="00DB1E8D">
        <w:t>enrolment, WCTO core contacts, B4SC</w:t>
      </w:r>
      <w:r>
        <w:t>s</w:t>
      </w:r>
      <w:r w:rsidRPr="00DB1E8D">
        <w:t xml:space="preserve">, exclusive breastfeeding and referral of obese children to specialist services. </w:t>
      </w:r>
      <w:r>
        <w:t>The Ministry of Health reported this data until March 2016. After this date, it collated the data but did not publish it online</w:t>
      </w:r>
    </w:p>
    <w:p w14:paraId="5F782AC6" w14:textId="77777777" w:rsidR="002601C2" w:rsidRPr="00DB1E8D" w:rsidRDefault="002601C2" w:rsidP="00D979CC">
      <w:pPr>
        <w:pStyle w:val="Bullet"/>
      </w:pPr>
      <w:r>
        <w:t xml:space="preserve">data on </w:t>
      </w:r>
      <w:hyperlink r:id="rId19" w:history="1">
        <w:r w:rsidRPr="001C2543">
          <w:rPr>
            <w:color w:val="0000FF" w:themeColor="hyperlink"/>
            <w:u w:val="single"/>
          </w:rPr>
          <w:t>New Zealand Health Survey</w:t>
        </w:r>
      </w:hyperlink>
      <w:r w:rsidRPr="00DB1E8D">
        <w:t xml:space="preserve"> indicators, used to measure childhood obesity</w:t>
      </w:r>
    </w:p>
    <w:p w14:paraId="200DD076" w14:textId="77777777" w:rsidR="002601C2" w:rsidRPr="00DB1E8D" w:rsidRDefault="002601C2" w:rsidP="00D979CC">
      <w:pPr>
        <w:pStyle w:val="Bullet"/>
      </w:pPr>
      <w:r>
        <w:t xml:space="preserve">data from the </w:t>
      </w:r>
      <w:hyperlink r:id="rId20" w:history="1">
        <w:r w:rsidRPr="001C2543">
          <w:rPr>
            <w:color w:val="0000FF" w:themeColor="hyperlink"/>
            <w:u w:val="single"/>
          </w:rPr>
          <w:t>Community Oral Health Service</w:t>
        </w:r>
      </w:hyperlink>
      <w:r w:rsidRPr="00DB1E8D">
        <w:t>, measur</w:t>
      </w:r>
      <w:r>
        <w:t>ing</w:t>
      </w:r>
      <w:r w:rsidRPr="00DB1E8D">
        <w:t xml:space="preserve"> </w:t>
      </w:r>
      <w:r>
        <w:t xml:space="preserve">numbers of </w:t>
      </w:r>
      <w:r w:rsidRPr="00DB1E8D">
        <w:t>children caries-free and the mean number of decayed, missing and filled teeth</w:t>
      </w:r>
      <w:r>
        <w:t xml:space="preserve"> (DMFT) for children in school year eight</w:t>
      </w:r>
    </w:p>
    <w:p w14:paraId="4D03133C" w14:textId="77777777" w:rsidR="002601C2" w:rsidRPr="00DB1E8D" w:rsidRDefault="002601C2" w:rsidP="00D979CC">
      <w:pPr>
        <w:pStyle w:val="Bullet"/>
      </w:pPr>
      <w:r>
        <w:t xml:space="preserve">data from the </w:t>
      </w:r>
      <w:hyperlink r:id="rId21" w:history="1">
        <w:r w:rsidRPr="001C2543">
          <w:rPr>
            <w:color w:val="0000FF" w:themeColor="hyperlink"/>
            <w:u w:val="single"/>
          </w:rPr>
          <w:t>National Immunisation Register</w:t>
        </w:r>
      </w:hyperlink>
      <w:r w:rsidRPr="00DB1E8D">
        <w:t>, measur</w:t>
      </w:r>
      <w:r>
        <w:t>ing</w:t>
      </w:r>
      <w:r w:rsidRPr="00DB1E8D">
        <w:t xml:space="preserve"> infant immunisation coverage</w:t>
      </w:r>
      <w:r>
        <w:t>, and functioning as the baseline population for infant enrolment with general practitioners (GPs)</w:t>
      </w:r>
    </w:p>
    <w:p w14:paraId="0A05D2DF" w14:textId="77777777" w:rsidR="002601C2" w:rsidRPr="00DB1E8D" w:rsidRDefault="00894CB1" w:rsidP="00D979CC">
      <w:pPr>
        <w:pStyle w:val="Bullet"/>
      </w:pPr>
      <w:hyperlink r:id="rId22" w:history="1">
        <w:r w:rsidR="002601C2" w:rsidRPr="001C2543">
          <w:rPr>
            <w:color w:val="0000FF" w:themeColor="hyperlink"/>
            <w:u w:val="single"/>
          </w:rPr>
          <w:t>Statistics New Zealand population projections</w:t>
        </w:r>
      </w:hyperlink>
      <w:r w:rsidR="002601C2" w:rsidRPr="00DB1E8D">
        <w:t xml:space="preserve">, used as the baseline population for cervical smear testing, enrolment in the </w:t>
      </w:r>
      <w:r w:rsidR="002601C2">
        <w:t>COHS</w:t>
      </w:r>
      <w:r w:rsidR="002601C2" w:rsidRPr="00DB1E8D">
        <w:t xml:space="preserve">, </w:t>
      </w:r>
      <w:r w:rsidR="002601C2">
        <w:t>a</w:t>
      </w:r>
      <w:r w:rsidR="002601C2" w:rsidRPr="00DB1E8D">
        <w:t xml:space="preserve">mbulatory </w:t>
      </w:r>
      <w:r w:rsidR="002601C2">
        <w:t>s</w:t>
      </w:r>
      <w:r w:rsidR="002601C2" w:rsidRPr="00DB1E8D">
        <w:t xml:space="preserve">ensitive </w:t>
      </w:r>
      <w:r w:rsidR="002601C2">
        <w:t>h</w:t>
      </w:r>
      <w:r w:rsidR="002601C2" w:rsidRPr="00DB1E8D">
        <w:t>ospitalisation rates, accessing mental health and alcohol and drug services, and rheumatic fever hospitalisation rates.</w:t>
      </w:r>
    </w:p>
    <w:p w14:paraId="1C7761F9" w14:textId="77777777" w:rsidR="002601C2" w:rsidRPr="00373122" w:rsidRDefault="002601C2" w:rsidP="00D979CC">
      <w:bookmarkStart w:id="10" w:name="_Toc445801438"/>
      <w:bookmarkStart w:id="11" w:name="_Toc447527128"/>
      <w:bookmarkStart w:id="12" w:name="_Toc458524031"/>
    </w:p>
    <w:p w14:paraId="2AF64056" w14:textId="77777777" w:rsidR="002601C2" w:rsidRPr="00D979CC" w:rsidRDefault="002601C2" w:rsidP="00D979CC">
      <w:pPr>
        <w:pStyle w:val="Table"/>
      </w:pPr>
      <w:bookmarkStart w:id="13" w:name="_Toc531258261"/>
      <w:r w:rsidRPr="00A119E8">
        <w:lastRenderedPageBreak/>
        <w:t>Table A1: Projected Pacific peoples population for 2015/16</w:t>
      </w:r>
      <w:r>
        <w:t>,</w:t>
      </w:r>
      <w:r w:rsidRPr="00A119E8">
        <w:t xml:space="preserve"> by DHB</w:t>
      </w:r>
      <w:r>
        <w:t>,</w:t>
      </w:r>
      <w:r w:rsidRPr="00A119E8">
        <w:t xml:space="preserve"> based on the 2013 Census</w:t>
      </w:r>
      <w:bookmarkEnd w:id="10"/>
      <w:bookmarkEnd w:id="11"/>
      <w:bookmarkEnd w:id="12"/>
      <w:bookmarkEnd w:id="1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828"/>
        <w:gridCol w:w="2764"/>
        <w:gridCol w:w="2764"/>
      </w:tblGrid>
      <w:tr w:rsidR="002601C2" w:rsidRPr="00D979CC" w14:paraId="0FD8BFDF" w14:textId="77777777" w:rsidTr="00D979CC">
        <w:trPr>
          <w:cantSplit/>
        </w:trPr>
        <w:tc>
          <w:tcPr>
            <w:tcW w:w="3828" w:type="dxa"/>
            <w:tcBorders>
              <w:top w:val="single" w:sz="4" w:space="0" w:color="auto"/>
              <w:bottom w:val="single" w:sz="4" w:space="0" w:color="auto"/>
            </w:tcBorders>
            <w:shd w:val="clear" w:color="auto" w:fill="auto"/>
            <w:noWrap/>
            <w:hideMark/>
          </w:tcPr>
          <w:p w14:paraId="440EE388" w14:textId="77777777" w:rsidR="002601C2" w:rsidRPr="00D979CC" w:rsidRDefault="002601C2" w:rsidP="00D979CC">
            <w:pPr>
              <w:pStyle w:val="TableText"/>
              <w:keepNext/>
              <w:rPr>
                <w:b/>
              </w:rPr>
            </w:pPr>
            <w:r w:rsidRPr="00D979CC">
              <w:rPr>
                <w:b/>
              </w:rPr>
              <w:t>District health board</w:t>
            </w:r>
          </w:p>
        </w:tc>
        <w:tc>
          <w:tcPr>
            <w:tcW w:w="2764" w:type="dxa"/>
            <w:tcBorders>
              <w:top w:val="single" w:sz="4" w:space="0" w:color="auto"/>
              <w:bottom w:val="single" w:sz="4" w:space="0" w:color="auto"/>
            </w:tcBorders>
            <w:shd w:val="clear" w:color="auto" w:fill="auto"/>
            <w:noWrap/>
            <w:hideMark/>
          </w:tcPr>
          <w:p w14:paraId="0A3BAC68" w14:textId="77777777" w:rsidR="002601C2" w:rsidRPr="00D979CC" w:rsidRDefault="002601C2" w:rsidP="00502F74">
            <w:pPr>
              <w:pStyle w:val="TableText"/>
              <w:keepNext/>
              <w:jc w:val="center"/>
              <w:rPr>
                <w:b/>
              </w:rPr>
            </w:pPr>
            <w:r w:rsidRPr="00D979CC">
              <w:rPr>
                <w:b/>
              </w:rPr>
              <w:t>Pacific peoples</w:t>
            </w:r>
            <w:r w:rsidR="00502F74">
              <w:rPr>
                <w:b/>
              </w:rPr>
              <w:br/>
            </w:r>
            <w:r w:rsidRPr="00D979CC">
              <w:rPr>
                <w:b/>
              </w:rPr>
              <w:t>population</w:t>
            </w:r>
          </w:p>
        </w:tc>
        <w:tc>
          <w:tcPr>
            <w:tcW w:w="2764" w:type="dxa"/>
            <w:tcBorders>
              <w:top w:val="single" w:sz="4" w:space="0" w:color="auto"/>
              <w:bottom w:val="single" w:sz="4" w:space="0" w:color="auto"/>
            </w:tcBorders>
            <w:shd w:val="clear" w:color="auto" w:fill="auto"/>
            <w:noWrap/>
            <w:hideMark/>
          </w:tcPr>
          <w:p w14:paraId="2E51B6A6" w14:textId="77777777" w:rsidR="002601C2" w:rsidRPr="00D979CC" w:rsidRDefault="002601C2" w:rsidP="00D979CC">
            <w:pPr>
              <w:pStyle w:val="TableText"/>
              <w:keepNext/>
              <w:jc w:val="center"/>
              <w:rPr>
                <w:b/>
              </w:rPr>
            </w:pPr>
            <w:r w:rsidRPr="00D979CC">
              <w:rPr>
                <w:b/>
              </w:rPr>
              <w:t>Percentage of total Pacific peoples population</w:t>
            </w:r>
          </w:p>
        </w:tc>
      </w:tr>
      <w:tr w:rsidR="002601C2" w:rsidRPr="003952BC" w14:paraId="7AE31459" w14:textId="77777777" w:rsidTr="00D979CC">
        <w:trPr>
          <w:cantSplit/>
        </w:trPr>
        <w:tc>
          <w:tcPr>
            <w:tcW w:w="3828" w:type="dxa"/>
            <w:tcBorders>
              <w:top w:val="single" w:sz="4" w:space="0" w:color="auto"/>
              <w:bottom w:val="single" w:sz="4" w:space="0" w:color="A6A6A6"/>
            </w:tcBorders>
            <w:shd w:val="clear" w:color="auto" w:fill="auto"/>
            <w:noWrap/>
            <w:hideMark/>
          </w:tcPr>
          <w:p w14:paraId="09457F05" w14:textId="77777777" w:rsidR="002601C2" w:rsidRPr="003952BC" w:rsidRDefault="002601C2" w:rsidP="00D979CC">
            <w:pPr>
              <w:pStyle w:val="TableText"/>
              <w:rPr>
                <w:rFonts w:cs="Arial"/>
                <w:b/>
              </w:rPr>
            </w:pPr>
            <w:r w:rsidRPr="003952BC">
              <w:rPr>
                <w:rFonts w:cs="Arial"/>
                <w:b/>
              </w:rPr>
              <w:t>Counties Manukau</w:t>
            </w:r>
          </w:p>
        </w:tc>
        <w:tc>
          <w:tcPr>
            <w:tcW w:w="2764" w:type="dxa"/>
            <w:tcBorders>
              <w:top w:val="single" w:sz="4" w:space="0" w:color="auto"/>
              <w:bottom w:val="single" w:sz="4" w:space="0" w:color="A6A6A6"/>
            </w:tcBorders>
            <w:shd w:val="clear" w:color="auto" w:fill="auto"/>
            <w:noWrap/>
            <w:hideMark/>
          </w:tcPr>
          <w:p w14:paraId="4A268E59" w14:textId="77777777" w:rsidR="002601C2" w:rsidRPr="003952BC" w:rsidRDefault="002601C2" w:rsidP="00D979CC">
            <w:pPr>
              <w:pStyle w:val="TableText"/>
              <w:tabs>
                <w:tab w:val="decimal" w:pos="1785"/>
              </w:tabs>
              <w:rPr>
                <w:b/>
              </w:rPr>
            </w:pPr>
            <w:r w:rsidRPr="003952BC">
              <w:rPr>
                <w:b/>
              </w:rPr>
              <w:t>111,910</w:t>
            </w:r>
          </w:p>
        </w:tc>
        <w:tc>
          <w:tcPr>
            <w:tcW w:w="2764" w:type="dxa"/>
            <w:tcBorders>
              <w:top w:val="single" w:sz="4" w:space="0" w:color="auto"/>
              <w:bottom w:val="single" w:sz="4" w:space="0" w:color="A6A6A6"/>
            </w:tcBorders>
            <w:shd w:val="clear" w:color="auto" w:fill="auto"/>
            <w:noWrap/>
            <w:hideMark/>
          </w:tcPr>
          <w:p w14:paraId="442FDAA0" w14:textId="77777777" w:rsidR="002601C2" w:rsidRPr="003952BC" w:rsidRDefault="002601C2" w:rsidP="00D979CC">
            <w:pPr>
              <w:pStyle w:val="TableText"/>
              <w:tabs>
                <w:tab w:val="decimal" w:pos="1289"/>
              </w:tabs>
              <w:rPr>
                <w:b/>
              </w:rPr>
            </w:pPr>
            <w:r w:rsidRPr="003952BC">
              <w:rPr>
                <w:b/>
              </w:rPr>
              <w:t>37.4%</w:t>
            </w:r>
          </w:p>
        </w:tc>
      </w:tr>
      <w:tr w:rsidR="002601C2" w:rsidRPr="003952BC" w14:paraId="02A3C8DA" w14:textId="77777777" w:rsidTr="00D979CC">
        <w:trPr>
          <w:cantSplit/>
        </w:trPr>
        <w:tc>
          <w:tcPr>
            <w:tcW w:w="3828" w:type="dxa"/>
            <w:tcBorders>
              <w:top w:val="single" w:sz="4" w:space="0" w:color="A6A6A6"/>
              <w:bottom w:val="single" w:sz="4" w:space="0" w:color="A6A6A6"/>
            </w:tcBorders>
            <w:shd w:val="clear" w:color="auto" w:fill="auto"/>
            <w:noWrap/>
            <w:hideMark/>
          </w:tcPr>
          <w:p w14:paraId="74908D92" w14:textId="77777777" w:rsidR="002601C2" w:rsidRPr="003952BC" w:rsidRDefault="002601C2" w:rsidP="00D979CC">
            <w:pPr>
              <w:pStyle w:val="TableText"/>
              <w:rPr>
                <w:rFonts w:cs="Arial"/>
                <w:b/>
              </w:rPr>
            </w:pPr>
            <w:r w:rsidRPr="003952BC">
              <w:rPr>
                <w:rFonts w:cs="Arial"/>
                <w:b/>
              </w:rPr>
              <w:t>Auckland</w:t>
            </w:r>
          </w:p>
        </w:tc>
        <w:tc>
          <w:tcPr>
            <w:tcW w:w="2764" w:type="dxa"/>
            <w:tcBorders>
              <w:top w:val="single" w:sz="4" w:space="0" w:color="A6A6A6"/>
              <w:bottom w:val="single" w:sz="4" w:space="0" w:color="A6A6A6"/>
            </w:tcBorders>
            <w:shd w:val="clear" w:color="auto" w:fill="auto"/>
            <w:noWrap/>
            <w:hideMark/>
          </w:tcPr>
          <w:p w14:paraId="689401F6" w14:textId="77777777" w:rsidR="002601C2" w:rsidRPr="003952BC" w:rsidRDefault="002601C2" w:rsidP="00D979CC">
            <w:pPr>
              <w:pStyle w:val="TableText"/>
              <w:tabs>
                <w:tab w:val="decimal" w:pos="1785"/>
              </w:tabs>
              <w:rPr>
                <w:b/>
              </w:rPr>
            </w:pPr>
            <w:r w:rsidRPr="003952BC">
              <w:rPr>
                <w:b/>
              </w:rPr>
              <w:t>53,870</w:t>
            </w:r>
          </w:p>
        </w:tc>
        <w:tc>
          <w:tcPr>
            <w:tcW w:w="2764" w:type="dxa"/>
            <w:tcBorders>
              <w:top w:val="single" w:sz="4" w:space="0" w:color="A6A6A6"/>
              <w:bottom w:val="single" w:sz="4" w:space="0" w:color="A6A6A6"/>
            </w:tcBorders>
            <w:shd w:val="clear" w:color="auto" w:fill="auto"/>
            <w:noWrap/>
            <w:hideMark/>
          </w:tcPr>
          <w:p w14:paraId="111C382D" w14:textId="77777777" w:rsidR="002601C2" w:rsidRPr="003952BC" w:rsidRDefault="002601C2" w:rsidP="00D979CC">
            <w:pPr>
              <w:pStyle w:val="TableText"/>
              <w:tabs>
                <w:tab w:val="decimal" w:pos="1289"/>
              </w:tabs>
              <w:rPr>
                <w:b/>
              </w:rPr>
            </w:pPr>
            <w:r w:rsidRPr="003952BC">
              <w:rPr>
                <w:b/>
              </w:rPr>
              <w:t>18.0%</w:t>
            </w:r>
          </w:p>
        </w:tc>
      </w:tr>
      <w:tr w:rsidR="002601C2" w:rsidRPr="003952BC" w14:paraId="4767819C" w14:textId="77777777" w:rsidTr="00D979CC">
        <w:trPr>
          <w:cantSplit/>
        </w:trPr>
        <w:tc>
          <w:tcPr>
            <w:tcW w:w="3828" w:type="dxa"/>
            <w:tcBorders>
              <w:top w:val="single" w:sz="4" w:space="0" w:color="A6A6A6"/>
              <w:bottom w:val="single" w:sz="4" w:space="0" w:color="A6A6A6"/>
            </w:tcBorders>
            <w:shd w:val="clear" w:color="auto" w:fill="auto"/>
            <w:noWrap/>
            <w:hideMark/>
          </w:tcPr>
          <w:p w14:paraId="605D1701" w14:textId="77777777" w:rsidR="002601C2" w:rsidRPr="003952BC" w:rsidRDefault="002601C2" w:rsidP="00D979CC">
            <w:pPr>
              <w:pStyle w:val="TableText"/>
              <w:rPr>
                <w:rFonts w:cs="Arial"/>
                <w:b/>
              </w:rPr>
            </w:pPr>
            <w:r w:rsidRPr="003952BC">
              <w:rPr>
                <w:rFonts w:cs="Arial"/>
                <w:b/>
              </w:rPr>
              <w:t>Waitemata</w:t>
            </w:r>
          </w:p>
        </w:tc>
        <w:tc>
          <w:tcPr>
            <w:tcW w:w="2764" w:type="dxa"/>
            <w:tcBorders>
              <w:top w:val="single" w:sz="4" w:space="0" w:color="A6A6A6"/>
              <w:bottom w:val="single" w:sz="4" w:space="0" w:color="A6A6A6"/>
            </w:tcBorders>
            <w:shd w:val="clear" w:color="auto" w:fill="auto"/>
            <w:noWrap/>
            <w:hideMark/>
          </w:tcPr>
          <w:p w14:paraId="6E4869F7" w14:textId="77777777" w:rsidR="002601C2" w:rsidRPr="003952BC" w:rsidRDefault="002601C2" w:rsidP="00D979CC">
            <w:pPr>
              <w:pStyle w:val="TableText"/>
              <w:tabs>
                <w:tab w:val="decimal" w:pos="1785"/>
              </w:tabs>
              <w:rPr>
                <w:b/>
              </w:rPr>
            </w:pPr>
            <w:r w:rsidRPr="003952BC">
              <w:rPr>
                <w:b/>
              </w:rPr>
              <w:t>41,430</w:t>
            </w:r>
          </w:p>
        </w:tc>
        <w:tc>
          <w:tcPr>
            <w:tcW w:w="2764" w:type="dxa"/>
            <w:tcBorders>
              <w:top w:val="single" w:sz="4" w:space="0" w:color="A6A6A6"/>
              <w:bottom w:val="single" w:sz="4" w:space="0" w:color="A6A6A6"/>
            </w:tcBorders>
            <w:shd w:val="clear" w:color="auto" w:fill="auto"/>
            <w:noWrap/>
            <w:hideMark/>
          </w:tcPr>
          <w:p w14:paraId="6B160916" w14:textId="77777777" w:rsidR="002601C2" w:rsidRPr="003952BC" w:rsidRDefault="002601C2" w:rsidP="00D979CC">
            <w:pPr>
              <w:pStyle w:val="TableText"/>
              <w:tabs>
                <w:tab w:val="decimal" w:pos="1289"/>
              </w:tabs>
              <w:rPr>
                <w:b/>
              </w:rPr>
            </w:pPr>
            <w:r w:rsidRPr="003952BC">
              <w:rPr>
                <w:b/>
              </w:rPr>
              <w:t>13.8%</w:t>
            </w:r>
          </w:p>
        </w:tc>
      </w:tr>
      <w:tr w:rsidR="002601C2" w:rsidRPr="003952BC" w14:paraId="272A49F9" w14:textId="77777777" w:rsidTr="00D979CC">
        <w:trPr>
          <w:cantSplit/>
        </w:trPr>
        <w:tc>
          <w:tcPr>
            <w:tcW w:w="3828" w:type="dxa"/>
            <w:tcBorders>
              <w:top w:val="single" w:sz="4" w:space="0" w:color="A6A6A6"/>
              <w:bottom w:val="single" w:sz="4" w:space="0" w:color="A6A6A6"/>
            </w:tcBorders>
            <w:shd w:val="clear" w:color="auto" w:fill="auto"/>
            <w:noWrap/>
            <w:hideMark/>
          </w:tcPr>
          <w:p w14:paraId="68E417CF" w14:textId="77777777" w:rsidR="002601C2" w:rsidRPr="003952BC" w:rsidRDefault="002601C2" w:rsidP="00D979CC">
            <w:pPr>
              <w:pStyle w:val="TableText"/>
              <w:rPr>
                <w:rFonts w:cs="Arial"/>
                <w:b/>
              </w:rPr>
            </w:pPr>
            <w:r w:rsidRPr="003952BC">
              <w:rPr>
                <w:rFonts w:cs="Arial"/>
                <w:b/>
              </w:rPr>
              <w:t>Capital &amp; Coast</w:t>
            </w:r>
          </w:p>
        </w:tc>
        <w:tc>
          <w:tcPr>
            <w:tcW w:w="2764" w:type="dxa"/>
            <w:tcBorders>
              <w:top w:val="single" w:sz="4" w:space="0" w:color="A6A6A6"/>
              <w:bottom w:val="single" w:sz="4" w:space="0" w:color="A6A6A6"/>
            </w:tcBorders>
            <w:shd w:val="clear" w:color="auto" w:fill="auto"/>
            <w:noWrap/>
            <w:hideMark/>
          </w:tcPr>
          <w:p w14:paraId="11724DBF" w14:textId="77777777" w:rsidR="002601C2" w:rsidRPr="003952BC" w:rsidRDefault="002601C2" w:rsidP="00D979CC">
            <w:pPr>
              <w:pStyle w:val="TableText"/>
              <w:tabs>
                <w:tab w:val="decimal" w:pos="1785"/>
              </w:tabs>
              <w:rPr>
                <w:b/>
              </w:rPr>
            </w:pPr>
            <w:r w:rsidRPr="003952BC">
              <w:rPr>
                <w:b/>
              </w:rPr>
              <w:t>21,410</w:t>
            </w:r>
          </w:p>
        </w:tc>
        <w:tc>
          <w:tcPr>
            <w:tcW w:w="2764" w:type="dxa"/>
            <w:tcBorders>
              <w:top w:val="single" w:sz="4" w:space="0" w:color="A6A6A6"/>
              <w:bottom w:val="single" w:sz="4" w:space="0" w:color="A6A6A6"/>
            </w:tcBorders>
            <w:shd w:val="clear" w:color="auto" w:fill="auto"/>
            <w:noWrap/>
            <w:hideMark/>
          </w:tcPr>
          <w:p w14:paraId="691D614A" w14:textId="77777777" w:rsidR="002601C2" w:rsidRPr="003952BC" w:rsidRDefault="002601C2" w:rsidP="00D979CC">
            <w:pPr>
              <w:pStyle w:val="TableText"/>
              <w:tabs>
                <w:tab w:val="decimal" w:pos="1289"/>
              </w:tabs>
              <w:rPr>
                <w:b/>
              </w:rPr>
            </w:pPr>
            <w:r w:rsidRPr="003952BC">
              <w:rPr>
                <w:b/>
              </w:rPr>
              <w:t>7.2%</w:t>
            </w:r>
          </w:p>
        </w:tc>
      </w:tr>
      <w:tr w:rsidR="002601C2" w:rsidRPr="003952BC" w14:paraId="40A63BD8" w14:textId="77777777" w:rsidTr="00D979CC">
        <w:trPr>
          <w:cantSplit/>
        </w:trPr>
        <w:tc>
          <w:tcPr>
            <w:tcW w:w="3828" w:type="dxa"/>
            <w:tcBorders>
              <w:top w:val="single" w:sz="4" w:space="0" w:color="A6A6A6"/>
              <w:bottom w:val="single" w:sz="4" w:space="0" w:color="A6A6A6"/>
            </w:tcBorders>
            <w:shd w:val="clear" w:color="auto" w:fill="auto"/>
            <w:noWrap/>
            <w:hideMark/>
          </w:tcPr>
          <w:p w14:paraId="1C649320" w14:textId="77777777" w:rsidR="002601C2" w:rsidRPr="003952BC" w:rsidRDefault="002601C2" w:rsidP="00D979CC">
            <w:pPr>
              <w:pStyle w:val="TableText"/>
              <w:rPr>
                <w:rFonts w:cs="Arial"/>
                <w:b/>
              </w:rPr>
            </w:pPr>
            <w:r w:rsidRPr="003952BC">
              <w:rPr>
                <w:rFonts w:cs="Arial"/>
                <w:b/>
              </w:rPr>
              <w:t>Canterbury</w:t>
            </w:r>
          </w:p>
        </w:tc>
        <w:tc>
          <w:tcPr>
            <w:tcW w:w="2764" w:type="dxa"/>
            <w:tcBorders>
              <w:top w:val="single" w:sz="4" w:space="0" w:color="A6A6A6"/>
              <w:bottom w:val="single" w:sz="4" w:space="0" w:color="A6A6A6"/>
            </w:tcBorders>
            <w:shd w:val="clear" w:color="auto" w:fill="auto"/>
            <w:noWrap/>
            <w:hideMark/>
          </w:tcPr>
          <w:p w14:paraId="596CF8E8" w14:textId="77777777" w:rsidR="002601C2" w:rsidRPr="003952BC" w:rsidRDefault="002601C2" w:rsidP="00D979CC">
            <w:pPr>
              <w:pStyle w:val="TableText"/>
              <w:tabs>
                <w:tab w:val="decimal" w:pos="1785"/>
              </w:tabs>
              <w:rPr>
                <w:b/>
              </w:rPr>
            </w:pPr>
            <w:r w:rsidRPr="003952BC">
              <w:rPr>
                <w:b/>
              </w:rPr>
              <w:t>12,910</w:t>
            </w:r>
          </w:p>
        </w:tc>
        <w:tc>
          <w:tcPr>
            <w:tcW w:w="2764" w:type="dxa"/>
            <w:tcBorders>
              <w:top w:val="single" w:sz="4" w:space="0" w:color="A6A6A6"/>
              <w:bottom w:val="single" w:sz="4" w:space="0" w:color="A6A6A6"/>
            </w:tcBorders>
            <w:shd w:val="clear" w:color="auto" w:fill="auto"/>
            <w:noWrap/>
            <w:hideMark/>
          </w:tcPr>
          <w:p w14:paraId="4495C4A8" w14:textId="77777777" w:rsidR="002601C2" w:rsidRPr="003952BC" w:rsidRDefault="002601C2" w:rsidP="00D979CC">
            <w:pPr>
              <w:pStyle w:val="TableText"/>
              <w:tabs>
                <w:tab w:val="decimal" w:pos="1289"/>
              </w:tabs>
              <w:rPr>
                <w:b/>
              </w:rPr>
            </w:pPr>
            <w:r w:rsidRPr="003952BC">
              <w:rPr>
                <w:b/>
              </w:rPr>
              <w:t>4.3%</w:t>
            </w:r>
          </w:p>
        </w:tc>
      </w:tr>
      <w:tr w:rsidR="002601C2" w:rsidRPr="003952BC" w14:paraId="5345078D" w14:textId="77777777" w:rsidTr="00D979CC">
        <w:trPr>
          <w:cantSplit/>
        </w:trPr>
        <w:tc>
          <w:tcPr>
            <w:tcW w:w="3828" w:type="dxa"/>
            <w:tcBorders>
              <w:top w:val="single" w:sz="4" w:space="0" w:color="A6A6A6"/>
              <w:bottom w:val="single" w:sz="4" w:space="0" w:color="A6A6A6"/>
            </w:tcBorders>
            <w:shd w:val="clear" w:color="auto" w:fill="auto"/>
            <w:noWrap/>
            <w:hideMark/>
          </w:tcPr>
          <w:p w14:paraId="4452AD01" w14:textId="77777777" w:rsidR="002601C2" w:rsidRPr="003952BC" w:rsidRDefault="002601C2" w:rsidP="00D979CC">
            <w:pPr>
              <w:pStyle w:val="TableText"/>
              <w:rPr>
                <w:rFonts w:cs="Arial"/>
                <w:b/>
              </w:rPr>
            </w:pPr>
            <w:r w:rsidRPr="003952BC">
              <w:rPr>
                <w:rFonts w:cs="Arial"/>
                <w:b/>
              </w:rPr>
              <w:t>Hutt Valley</w:t>
            </w:r>
          </w:p>
        </w:tc>
        <w:tc>
          <w:tcPr>
            <w:tcW w:w="2764" w:type="dxa"/>
            <w:tcBorders>
              <w:top w:val="single" w:sz="4" w:space="0" w:color="A6A6A6"/>
              <w:bottom w:val="single" w:sz="4" w:space="0" w:color="A6A6A6"/>
            </w:tcBorders>
            <w:shd w:val="clear" w:color="auto" w:fill="auto"/>
            <w:noWrap/>
            <w:hideMark/>
          </w:tcPr>
          <w:p w14:paraId="32C3C98B" w14:textId="77777777" w:rsidR="002601C2" w:rsidRPr="003952BC" w:rsidRDefault="002601C2" w:rsidP="00D979CC">
            <w:pPr>
              <w:pStyle w:val="TableText"/>
              <w:tabs>
                <w:tab w:val="decimal" w:pos="1785"/>
              </w:tabs>
              <w:rPr>
                <w:b/>
              </w:rPr>
            </w:pPr>
            <w:r w:rsidRPr="003952BC">
              <w:rPr>
                <w:b/>
              </w:rPr>
              <w:t>11,420</w:t>
            </w:r>
          </w:p>
        </w:tc>
        <w:tc>
          <w:tcPr>
            <w:tcW w:w="2764" w:type="dxa"/>
            <w:tcBorders>
              <w:top w:val="single" w:sz="4" w:space="0" w:color="A6A6A6"/>
              <w:bottom w:val="single" w:sz="4" w:space="0" w:color="A6A6A6"/>
            </w:tcBorders>
            <w:shd w:val="clear" w:color="auto" w:fill="auto"/>
            <w:noWrap/>
            <w:hideMark/>
          </w:tcPr>
          <w:p w14:paraId="1C17AC98" w14:textId="77777777" w:rsidR="002601C2" w:rsidRPr="003952BC" w:rsidRDefault="002601C2" w:rsidP="00D979CC">
            <w:pPr>
              <w:pStyle w:val="TableText"/>
              <w:tabs>
                <w:tab w:val="decimal" w:pos="1289"/>
              </w:tabs>
              <w:rPr>
                <w:b/>
              </w:rPr>
            </w:pPr>
            <w:r w:rsidRPr="003952BC">
              <w:rPr>
                <w:b/>
              </w:rPr>
              <w:t>3.8%</w:t>
            </w:r>
          </w:p>
        </w:tc>
      </w:tr>
      <w:tr w:rsidR="002601C2" w:rsidRPr="003952BC" w14:paraId="0D809E0C" w14:textId="77777777" w:rsidTr="00D979CC">
        <w:trPr>
          <w:cantSplit/>
        </w:trPr>
        <w:tc>
          <w:tcPr>
            <w:tcW w:w="3828" w:type="dxa"/>
            <w:tcBorders>
              <w:top w:val="single" w:sz="4" w:space="0" w:color="A6A6A6"/>
              <w:bottom w:val="single" w:sz="4" w:space="0" w:color="A6A6A6"/>
            </w:tcBorders>
            <w:shd w:val="clear" w:color="auto" w:fill="auto"/>
            <w:noWrap/>
            <w:hideMark/>
          </w:tcPr>
          <w:p w14:paraId="1A3F9F3D" w14:textId="77777777" w:rsidR="002601C2" w:rsidRPr="003952BC" w:rsidRDefault="002601C2" w:rsidP="00D979CC">
            <w:pPr>
              <w:pStyle w:val="TableText"/>
              <w:rPr>
                <w:rFonts w:cs="Arial"/>
                <w:b/>
              </w:rPr>
            </w:pPr>
            <w:r w:rsidRPr="003952BC">
              <w:rPr>
                <w:rFonts w:cs="Arial"/>
                <w:b/>
              </w:rPr>
              <w:t>Waikato</w:t>
            </w:r>
          </w:p>
        </w:tc>
        <w:tc>
          <w:tcPr>
            <w:tcW w:w="2764" w:type="dxa"/>
            <w:tcBorders>
              <w:top w:val="single" w:sz="4" w:space="0" w:color="A6A6A6"/>
              <w:bottom w:val="single" w:sz="4" w:space="0" w:color="A6A6A6"/>
            </w:tcBorders>
            <w:shd w:val="clear" w:color="auto" w:fill="auto"/>
            <w:noWrap/>
            <w:hideMark/>
          </w:tcPr>
          <w:p w14:paraId="15CCBA09" w14:textId="77777777" w:rsidR="002601C2" w:rsidRPr="003952BC" w:rsidRDefault="002601C2" w:rsidP="00D979CC">
            <w:pPr>
              <w:pStyle w:val="TableText"/>
              <w:tabs>
                <w:tab w:val="decimal" w:pos="1785"/>
              </w:tabs>
              <w:rPr>
                <w:b/>
              </w:rPr>
            </w:pPr>
            <w:r w:rsidRPr="003952BC">
              <w:rPr>
                <w:b/>
              </w:rPr>
              <w:t>11,290</w:t>
            </w:r>
          </w:p>
        </w:tc>
        <w:tc>
          <w:tcPr>
            <w:tcW w:w="2764" w:type="dxa"/>
            <w:tcBorders>
              <w:top w:val="single" w:sz="4" w:space="0" w:color="A6A6A6"/>
              <w:bottom w:val="single" w:sz="4" w:space="0" w:color="A6A6A6"/>
            </w:tcBorders>
            <w:shd w:val="clear" w:color="auto" w:fill="auto"/>
            <w:noWrap/>
            <w:hideMark/>
          </w:tcPr>
          <w:p w14:paraId="6A099AB2" w14:textId="77777777" w:rsidR="002601C2" w:rsidRPr="003952BC" w:rsidRDefault="002601C2" w:rsidP="00D979CC">
            <w:pPr>
              <w:pStyle w:val="TableText"/>
              <w:tabs>
                <w:tab w:val="decimal" w:pos="1289"/>
              </w:tabs>
              <w:rPr>
                <w:b/>
              </w:rPr>
            </w:pPr>
            <w:r w:rsidRPr="003952BC">
              <w:rPr>
                <w:b/>
              </w:rPr>
              <w:t>3.8%</w:t>
            </w:r>
          </w:p>
        </w:tc>
      </w:tr>
      <w:tr w:rsidR="002601C2" w:rsidRPr="003952BC" w14:paraId="381812E2" w14:textId="77777777" w:rsidTr="00D979CC">
        <w:trPr>
          <w:cantSplit/>
        </w:trPr>
        <w:tc>
          <w:tcPr>
            <w:tcW w:w="3828" w:type="dxa"/>
            <w:tcBorders>
              <w:top w:val="single" w:sz="4" w:space="0" w:color="A6A6A6"/>
              <w:bottom w:val="single" w:sz="4" w:space="0" w:color="A6A6A6"/>
            </w:tcBorders>
            <w:shd w:val="clear" w:color="auto" w:fill="auto"/>
            <w:noWrap/>
            <w:hideMark/>
          </w:tcPr>
          <w:p w14:paraId="1A3BDDBF" w14:textId="77777777" w:rsidR="002601C2" w:rsidRPr="003952BC" w:rsidRDefault="002601C2" w:rsidP="00D979CC">
            <w:pPr>
              <w:pStyle w:val="TableText"/>
              <w:rPr>
                <w:rFonts w:cs="Arial"/>
                <w:b/>
              </w:rPr>
            </w:pPr>
            <w:r w:rsidRPr="003952BC">
              <w:rPr>
                <w:rFonts w:cs="Arial"/>
                <w:b/>
              </w:rPr>
              <w:t>Hawke’s Bay</w:t>
            </w:r>
          </w:p>
        </w:tc>
        <w:tc>
          <w:tcPr>
            <w:tcW w:w="2764" w:type="dxa"/>
            <w:tcBorders>
              <w:top w:val="single" w:sz="4" w:space="0" w:color="A6A6A6"/>
              <w:bottom w:val="single" w:sz="4" w:space="0" w:color="A6A6A6"/>
            </w:tcBorders>
            <w:shd w:val="clear" w:color="auto" w:fill="auto"/>
            <w:noWrap/>
            <w:hideMark/>
          </w:tcPr>
          <w:p w14:paraId="05B6A263" w14:textId="77777777" w:rsidR="002601C2" w:rsidRPr="003952BC" w:rsidRDefault="002601C2" w:rsidP="00D979CC">
            <w:pPr>
              <w:pStyle w:val="TableText"/>
              <w:tabs>
                <w:tab w:val="decimal" w:pos="1785"/>
              </w:tabs>
              <w:rPr>
                <w:b/>
              </w:rPr>
            </w:pPr>
            <w:r w:rsidRPr="003952BC">
              <w:rPr>
                <w:b/>
              </w:rPr>
              <w:t>6</w:t>
            </w:r>
            <w:r w:rsidR="00D979CC" w:rsidRPr="003952BC">
              <w:rPr>
                <w:b/>
              </w:rPr>
              <w:t>,</w:t>
            </w:r>
            <w:r w:rsidRPr="003952BC">
              <w:rPr>
                <w:b/>
              </w:rPr>
              <w:t>010</w:t>
            </w:r>
          </w:p>
        </w:tc>
        <w:tc>
          <w:tcPr>
            <w:tcW w:w="2764" w:type="dxa"/>
            <w:tcBorders>
              <w:top w:val="single" w:sz="4" w:space="0" w:color="A6A6A6"/>
              <w:bottom w:val="single" w:sz="4" w:space="0" w:color="A6A6A6"/>
            </w:tcBorders>
            <w:shd w:val="clear" w:color="auto" w:fill="auto"/>
            <w:noWrap/>
            <w:hideMark/>
          </w:tcPr>
          <w:p w14:paraId="4A8053B5" w14:textId="77777777" w:rsidR="002601C2" w:rsidRPr="003952BC" w:rsidRDefault="002601C2" w:rsidP="00D979CC">
            <w:pPr>
              <w:pStyle w:val="TableText"/>
              <w:tabs>
                <w:tab w:val="decimal" w:pos="1289"/>
              </w:tabs>
              <w:rPr>
                <w:b/>
              </w:rPr>
            </w:pPr>
            <w:r w:rsidRPr="003952BC">
              <w:rPr>
                <w:b/>
              </w:rPr>
              <w:t>2.0%</w:t>
            </w:r>
          </w:p>
        </w:tc>
      </w:tr>
      <w:tr w:rsidR="002601C2" w:rsidRPr="00A119E8" w14:paraId="032A1E45" w14:textId="77777777" w:rsidTr="00D979CC">
        <w:trPr>
          <w:cantSplit/>
        </w:trPr>
        <w:tc>
          <w:tcPr>
            <w:tcW w:w="3828" w:type="dxa"/>
            <w:tcBorders>
              <w:top w:val="single" w:sz="4" w:space="0" w:color="A6A6A6"/>
              <w:bottom w:val="single" w:sz="4" w:space="0" w:color="A6A6A6"/>
            </w:tcBorders>
            <w:shd w:val="clear" w:color="auto" w:fill="auto"/>
            <w:noWrap/>
            <w:hideMark/>
          </w:tcPr>
          <w:p w14:paraId="0E993090" w14:textId="77777777" w:rsidR="002601C2" w:rsidRPr="00A26C90" w:rsidRDefault="002601C2" w:rsidP="00D979CC">
            <w:pPr>
              <w:pStyle w:val="TableText"/>
              <w:rPr>
                <w:rFonts w:cs="Arial"/>
              </w:rPr>
            </w:pPr>
            <w:r w:rsidRPr="00A26C90">
              <w:rPr>
                <w:rFonts w:cs="Arial"/>
              </w:rPr>
              <w:t>Southern</w:t>
            </w:r>
          </w:p>
        </w:tc>
        <w:tc>
          <w:tcPr>
            <w:tcW w:w="2764" w:type="dxa"/>
            <w:tcBorders>
              <w:top w:val="single" w:sz="4" w:space="0" w:color="A6A6A6"/>
              <w:bottom w:val="single" w:sz="4" w:space="0" w:color="A6A6A6"/>
            </w:tcBorders>
            <w:shd w:val="clear" w:color="auto" w:fill="auto"/>
            <w:noWrap/>
            <w:hideMark/>
          </w:tcPr>
          <w:p w14:paraId="25E8AA3A" w14:textId="77777777" w:rsidR="002601C2" w:rsidRPr="00A26C90" w:rsidRDefault="002601C2" w:rsidP="00D979CC">
            <w:pPr>
              <w:pStyle w:val="TableText"/>
              <w:tabs>
                <w:tab w:val="decimal" w:pos="1785"/>
              </w:tabs>
            </w:pPr>
            <w:r w:rsidRPr="00A26C90">
              <w:t>6</w:t>
            </w:r>
            <w:r w:rsidR="00D979CC">
              <w:t>,</w:t>
            </w:r>
            <w:r w:rsidRPr="00A26C90">
              <w:t>000</w:t>
            </w:r>
          </w:p>
        </w:tc>
        <w:tc>
          <w:tcPr>
            <w:tcW w:w="2764" w:type="dxa"/>
            <w:tcBorders>
              <w:top w:val="single" w:sz="4" w:space="0" w:color="A6A6A6"/>
              <w:bottom w:val="single" w:sz="4" w:space="0" w:color="A6A6A6"/>
            </w:tcBorders>
            <w:shd w:val="clear" w:color="auto" w:fill="auto"/>
            <w:noWrap/>
            <w:hideMark/>
          </w:tcPr>
          <w:p w14:paraId="69D74976" w14:textId="77777777" w:rsidR="002601C2" w:rsidRPr="00A26C90" w:rsidRDefault="002601C2" w:rsidP="00D979CC">
            <w:pPr>
              <w:pStyle w:val="TableText"/>
              <w:tabs>
                <w:tab w:val="decimal" w:pos="1289"/>
              </w:tabs>
            </w:pPr>
            <w:r w:rsidRPr="00A26C90">
              <w:t>2.0%</w:t>
            </w:r>
          </w:p>
        </w:tc>
      </w:tr>
      <w:tr w:rsidR="002601C2" w:rsidRPr="00A119E8" w14:paraId="6699894E" w14:textId="77777777" w:rsidTr="00D979CC">
        <w:trPr>
          <w:cantSplit/>
        </w:trPr>
        <w:tc>
          <w:tcPr>
            <w:tcW w:w="3828" w:type="dxa"/>
            <w:tcBorders>
              <w:top w:val="single" w:sz="4" w:space="0" w:color="A6A6A6"/>
              <w:bottom w:val="single" w:sz="4" w:space="0" w:color="A6A6A6"/>
            </w:tcBorders>
            <w:shd w:val="clear" w:color="auto" w:fill="auto"/>
            <w:noWrap/>
            <w:hideMark/>
          </w:tcPr>
          <w:p w14:paraId="01D7EDD9" w14:textId="77777777" w:rsidR="002601C2" w:rsidRPr="00A26C90" w:rsidRDefault="002601C2" w:rsidP="00D979CC">
            <w:pPr>
              <w:pStyle w:val="TableText"/>
              <w:rPr>
                <w:rFonts w:cs="Arial"/>
              </w:rPr>
            </w:pPr>
            <w:r w:rsidRPr="00A26C90">
              <w:rPr>
                <w:rFonts w:cs="Arial"/>
              </w:rPr>
              <w:t>MidCentral</w:t>
            </w:r>
          </w:p>
        </w:tc>
        <w:tc>
          <w:tcPr>
            <w:tcW w:w="2764" w:type="dxa"/>
            <w:tcBorders>
              <w:top w:val="single" w:sz="4" w:space="0" w:color="A6A6A6"/>
              <w:bottom w:val="single" w:sz="4" w:space="0" w:color="A6A6A6"/>
            </w:tcBorders>
            <w:shd w:val="clear" w:color="auto" w:fill="auto"/>
            <w:noWrap/>
            <w:hideMark/>
          </w:tcPr>
          <w:p w14:paraId="53CC5AD3" w14:textId="77777777" w:rsidR="002601C2" w:rsidRPr="00A26C90" w:rsidRDefault="002601C2" w:rsidP="00D979CC">
            <w:pPr>
              <w:pStyle w:val="TableText"/>
              <w:tabs>
                <w:tab w:val="decimal" w:pos="1785"/>
              </w:tabs>
            </w:pPr>
            <w:r w:rsidRPr="00A26C90">
              <w:t>5</w:t>
            </w:r>
            <w:r w:rsidR="00D979CC">
              <w:t>,</w:t>
            </w:r>
            <w:r w:rsidRPr="00A26C90">
              <w:t>060</w:t>
            </w:r>
          </w:p>
        </w:tc>
        <w:tc>
          <w:tcPr>
            <w:tcW w:w="2764" w:type="dxa"/>
            <w:tcBorders>
              <w:top w:val="single" w:sz="4" w:space="0" w:color="A6A6A6"/>
              <w:bottom w:val="single" w:sz="4" w:space="0" w:color="A6A6A6"/>
            </w:tcBorders>
            <w:shd w:val="clear" w:color="auto" w:fill="auto"/>
            <w:noWrap/>
            <w:hideMark/>
          </w:tcPr>
          <w:p w14:paraId="61C53BF1" w14:textId="77777777" w:rsidR="002601C2" w:rsidRPr="00A26C90" w:rsidRDefault="002601C2" w:rsidP="00D979CC">
            <w:pPr>
              <w:pStyle w:val="TableText"/>
              <w:tabs>
                <w:tab w:val="decimal" w:pos="1289"/>
              </w:tabs>
            </w:pPr>
            <w:r w:rsidRPr="00A26C90">
              <w:t>1.7%</w:t>
            </w:r>
          </w:p>
        </w:tc>
      </w:tr>
      <w:tr w:rsidR="002601C2" w:rsidRPr="00A119E8" w14:paraId="0B0B2C4B" w14:textId="77777777" w:rsidTr="00D979CC">
        <w:trPr>
          <w:cantSplit/>
        </w:trPr>
        <w:tc>
          <w:tcPr>
            <w:tcW w:w="3828" w:type="dxa"/>
            <w:tcBorders>
              <w:top w:val="single" w:sz="4" w:space="0" w:color="A6A6A6"/>
              <w:bottom w:val="single" w:sz="4" w:space="0" w:color="A6A6A6"/>
            </w:tcBorders>
            <w:shd w:val="clear" w:color="auto" w:fill="auto"/>
            <w:noWrap/>
            <w:hideMark/>
          </w:tcPr>
          <w:p w14:paraId="2B355FBC" w14:textId="77777777" w:rsidR="002601C2" w:rsidRPr="00A26C90" w:rsidRDefault="002601C2" w:rsidP="00D979CC">
            <w:pPr>
              <w:pStyle w:val="TableText"/>
              <w:rPr>
                <w:rFonts w:cs="Arial"/>
              </w:rPr>
            </w:pPr>
            <w:r w:rsidRPr="00A26C90">
              <w:rPr>
                <w:rFonts w:cs="Arial"/>
              </w:rPr>
              <w:t>Bay of Plenty</w:t>
            </w:r>
          </w:p>
        </w:tc>
        <w:tc>
          <w:tcPr>
            <w:tcW w:w="2764" w:type="dxa"/>
            <w:tcBorders>
              <w:top w:val="single" w:sz="4" w:space="0" w:color="A6A6A6"/>
              <w:bottom w:val="single" w:sz="4" w:space="0" w:color="A6A6A6"/>
            </w:tcBorders>
            <w:shd w:val="clear" w:color="auto" w:fill="auto"/>
            <w:noWrap/>
            <w:hideMark/>
          </w:tcPr>
          <w:p w14:paraId="39A68670" w14:textId="77777777" w:rsidR="002601C2" w:rsidRPr="00A26C90" w:rsidRDefault="002601C2" w:rsidP="00D979CC">
            <w:pPr>
              <w:pStyle w:val="TableText"/>
              <w:tabs>
                <w:tab w:val="decimal" w:pos="1785"/>
              </w:tabs>
            </w:pPr>
            <w:r w:rsidRPr="00A26C90">
              <w:t>3</w:t>
            </w:r>
            <w:r w:rsidR="00D979CC">
              <w:t>,</w:t>
            </w:r>
            <w:r w:rsidRPr="00A26C90">
              <w:t>890</w:t>
            </w:r>
          </w:p>
        </w:tc>
        <w:tc>
          <w:tcPr>
            <w:tcW w:w="2764" w:type="dxa"/>
            <w:tcBorders>
              <w:top w:val="single" w:sz="4" w:space="0" w:color="A6A6A6"/>
              <w:bottom w:val="single" w:sz="4" w:space="0" w:color="A6A6A6"/>
            </w:tcBorders>
            <w:shd w:val="clear" w:color="auto" w:fill="auto"/>
            <w:noWrap/>
            <w:hideMark/>
          </w:tcPr>
          <w:p w14:paraId="44805A0B" w14:textId="77777777" w:rsidR="002601C2" w:rsidRPr="00A26C90" w:rsidRDefault="002601C2" w:rsidP="00D979CC">
            <w:pPr>
              <w:pStyle w:val="TableText"/>
              <w:tabs>
                <w:tab w:val="decimal" w:pos="1289"/>
              </w:tabs>
            </w:pPr>
            <w:r w:rsidRPr="00A26C90">
              <w:t>1.3%</w:t>
            </w:r>
          </w:p>
        </w:tc>
      </w:tr>
      <w:tr w:rsidR="002601C2" w:rsidRPr="00A119E8" w14:paraId="70C6D71A" w14:textId="77777777" w:rsidTr="00D979CC">
        <w:trPr>
          <w:cantSplit/>
        </w:trPr>
        <w:tc>
          <w:tcPr>
            <w:tcW w:w="3828" w:type="dxa"/>
            <w:tcBorders>
              <w:top w:val="single" w:sz="4" w:space="0" w:color="A6A6A6"/>
              <w:bottom w:val="single" w:sz="4" w:space="0" w:color="A6A6A6"/>
            </w:tcBorders>
            <w:shd w:val="clear" w:color="auto" w:fill="auto"/>
            <w:noWrap/>
            <w:hideMark/>
          </w:tcPr>
          <w:p w14:paraId="46AEF9FC" w14:textId="77777777" w:rsidR="002601C2" w:rsidRPr="00A26C90" w:rsidRDefault="002601C2" w:rsidP="00D979CC">
            <w:pPr>
              <w:pStyle w:val="TableText"/>
              <w:rPr>
                <w:rFonts w:cs="Arial"/>
              </w:rPr>
            </w:pPr>
            <w:r w:rsidRPr="00A26C90">
              <w:rPr>
                <w:rFonts w:cs="Arial"/>
              </w:rPr>
              <w:t>Northland</w:t>
            </w:r>
          </w:p>
        </w:tc>
        <w:tc>
          <w:tcPr>
            <w:tcW w:w="2764" w:type="dxa"/>
            <w:tcBorders>
              <w:top w:val="single" w:sz="4" w:space="0" w:color="A6A6A6"/>
              <w:bottom w:val="single" w:sz="4" w:space="0" w:color="A6A6A6"/>
            </w:tcBorders>
            <w:shd w:val="clear" w:color="auto" w:fill="auto"/>
            <w:noWrap/>
            <w:hideMark/>
          </w:tcPr>
          <w:p w14:paraId="41B90FFD" w14:textId="77777777" w:rsidR="002601C2" w:rsidRPr="00A26C90" w:rsidRDefault="002601C2" w:rsidP="00D979CC">
            <w:pPr>
              <w:pStyle w:val="TableText"/>
              <w:tabs>
                <w:tab w:val="decimal" w:pos="1785"/>
              </w:tabs>
            </w:pPr>
            <w:r w:rsidRPr="00A26C90">
              <w:t>3</w:t>
            </w:r>
            <w:r w:rsidR="00D979CC">
              <w:t>,</w:t>
            </w:r>
            <w:r w:rsidRPr="00A26C90">
              <w:t>300</w:t>
            </w:r>
          </w:p>
        </w:tc>
        <w:tc>
          <w:tcPr>
            <w:tcW w:w="2764" w:type="dxa"/>
            <w:tcBorders>
              <w:top w:val="single" w:sz="4" w:space="0" w:color="A6A6A6"/>
              <w:bottom w:val="single" w:sz="4" w:space="0" w:color="A6A6A6"/>
            </w:tcBorders>
            <w:shd w:val="clear" w:color="auto" w:fill="auto"/>
            <w:noWrap/>
            <w:hideMark/>
          </w:tcPr>
          <w:p w14:paraId="73A735C6" w14:textId="77777777" w:rsidR="002601C2" w:rsidRPr="00A26C90" w:rsidRDefault="002601C2" w:rsidP="00D979CC">
            <w:pPr>
              <w:pStyle w:val="TableText"/>
              <w:tabs>
                <w:tab w:val="decimal" w:pos="1289"/>
              </w:tabs>
            </w:pPr>
            <w:r w:rsidRPr="00A26C90">
              <w:t>1.1%</w:t>
            </w:r>
          </w:p>
        </w:tc>
      </w:tr>
      <w:tr w:rsidR="002601C2" w:rsidRPr="00A119E8" w14:paraId="763FF910" w14:textId="77777777" w:rsidTr="00D979CC">
        <w:trPr>
          <w:cantSplit/>
        </w:trPr>
        <w:tc>
          <w:tcPr>
            <w:tcW w:w="3828" w:type="dxa"/>
            <w:tcBorders>
              <w:top w:val="single" w:sz="4" w:space="0" w:color="A6A6A6"/>
              <w:bottom w:val="single" w:sz="4" w:space="0" w:color="A6A6A6"/>
            </w:tcBorders>
            <w:shd w:val="clear" w:color="auto" w:fill="auto"/>
            <w:noWrap/>
            <w:hideMark/>
          </w:tcPr>
          <w:p w14:paraId="1736E91F" w14:textId="77777777" w:rsidR="002601C2" w:rsidRPr="00A26C90" w:rsidRDefault="002601C2" w:rsidP="00D979CC">
            <w:pPr>
              <w:pStyle w:val="TableText"/>
              <w:rPr>
                <w:rFonts w:cs="Arial"/>
              </w:rPr>
            </w:pPr>
            <w:r w:rsidRPr="00A26C90">
              <w:rPr>
                <w:rFonts w:cs="Arial"/>
              </w:rPr>
              <w:t>Lakes</w:t>
            </w:r>
          </w:p>
        </w:tc>
        <w:tc>
          <w:tcPr>
            <w:tcW w:w="2764" w:type="dxa"/>
            <w:tcBorders>
              <w:top w:val="single" w:sz="4" w:space="0" w:color="A6A6A6"/>
              <w:bottom w:val="single" w:sz="4" w:space="0" w:color="A6A6A6"/>
            </w:tcBorders>
            <w:shd w:val="clear" w:color="auto" w:fill="auto"/>
            <w:noWrap/>
            <w:hideMark/>
          </w:tcPr>
          <w:p w14:paraId="309A1AA9" w14:textId="77777777" w:rsidR="002601C2" w:rsidRPr="00A26C90" w:rsidRDefault="002601C2" w:rsidP="00D979CC">
            <w:pPr>
              <w:pStyle w:val="TableText"/>
              <w:tabs>
                <w:tab w:val="decimal" w:pos="1785"/>
              </w:tabs>
            </w:pPr>
            <w:r w:rsidRPr="00A26C90">
              <w:t>2</w:t>
            </w:r>
            <w:r w:rsidR="00D979CC">
              <w:t>,</w:t>
            </w:r>
            <w:r w:rsidRPr="00A26C90">
              <w:t>480</w:t>
            </w:r>
          </w:p>
        </w:tc>
        <w:tc>
          <w:tcPr>
            <w:tcW w:w="2764" w:type="dxa"/>
            <w:tcBorders>
              <w:top w:val="single" w:sz="4" w:space="0" w:color="A6A6A6"/>
              <w:bottom w:val="single" w:sz="4" w:space="0" w:color="A6A6A6"/>
            </w:tcBorders>
            <w:shd w:val="clear" w:color="auto" w:fill="auto"/>
            <w:noWrap/>
            <w:hideMark/>
          </w:tcPr>
          <w:p w14:paraId="22FD9B6A" w14:textId="77777777" w:rsidR="002601C2" w:rsidRPr="00A26C90" w:rsidRDefault="002601C2" w:rsidP="00D979CC">
            <w:pPr>
              <w:pStyle w:val="TableText"/>
              <w:tabs>
                <w:tab w:val="decimal" w:pos="1289"/>
              </w:tabs>
            </w:pPr>
            <w:r w:rsidRPr="00A26C90">
              <w:t>0.8%</w:t>
            </w:r>
          </w:p>
        </w:tc>
      </w:tr>
      <w:tr w:rsidR="002601C2" w:rsidRPr="00A119E8" w14:paraId="6A0DEF1A" w14:textId="77777777" w:rsidTr="00D979CC">
        <w:trPr>
          <w:cantSplit/>
        </w:trPr>
        <w:tc>
          <w:tcPr>
            <w:tcW w:w="3828" w:type="dxa"/>
            <w:tcBorders>
              <w:top w:val="single" w:sz="4" w:space="0" w:color="A6A6A6"/>
              <w:bottom w:val="single" w:sz="4" w:space="0" w:color="A6A6A6"/>
            </w:tcBorders>
            <w:shd w:val="clear" w:color="auto" w:fill="auto"/>
            <w:noWrap/>
            <w:hideMark/>
          </w:tcPr>
          <w:p w14:paraId="0F42C690" w14:textId="77777777" w:rsidR="002601C2" w:rsidRPr="00A26C90" w:rsidRDefault="002601C2" w:rsidP="00D979CC">
            <w:pPr>
              <w:pStyle w:val="TableText"/>
              <w:rPr>
                <w:rFonts w:cs="Arial"/>
              </w:rPr>
            </w:pPr>
            <w:r w:rsidRPr="00A26C90">
              <w:rPr>
                <w:rFonts w:cs="Arial"/>
              </w:rPr>
              <w:t>Nelson Marlborough</w:t>
            </w:r>
          </w:p>
        </w:tc>
        <w:tc>
          <w:tcPr>
            <w:tcW w:w="2764" w:type="dxa"/>
            <w:tcBorders>
              <w:top w:val="single" w:sz="4" w:space="0" w:color="A6A6A6"/>
              <w:bottom w:val="single" w:sz="4" w:space="0" w:color="A6A6A6"/>
            </w:tcBorders>
            <w:shd w:val="clear" w:color="auto" w:fill="auto"/>
            <w:noWrap/>
            <w:hideMark/>
          </w:tcPr>
          <w:p w14:paraId="0FC83D96" w14:textId="77777777" w:rsidR="002601C2" w:rsidRPr="00A26C90" w:rsidRDefault="002601C2" w:rsidP="00D979CC">
            <w:pPr>
              <w:pStyle w:val="TableText"/>
              <w:tabs>
                <w:tab w:val="decimal" w:pos="1785"/>
              </w:tabs>
            </w:pPr>
            <w:r w:rsidRPr="00A26C90">
              <w:t>2</w:t>
            </w:r>
            <w:r w:rsidR="00D979CC">
              <w:t>,</w:t>
            </w:r>
            <w:r w:rsidRPr="00A26C90">
              <w:t>330</w:t>
            </w:r>
          </w:p>
        </w:tc>
        <w:tc>
          <w:tcPr>
            <w:tcW w:w="2764" w:type="dxa"/>
            <w:tcBorders>
              <w:top w:val="single" w:sz="4" w:space="0" w:color="A6A6A6"/>
              <w:bottom w:val="single" w:sz="4" w:space="0" w:color="A6A6A6"/>
            </w:tcBorders>
            <w:shd w:val="clear" w:color="auto" w:fill="auto"/>
            <w:noWrap/>
            <w:hideMark/>
          </w:tcPr>
          <w:p w14:paraId="0FEF4A9C" w14:textId="77777777" w:rsidR="002601C2" w:rsidRPr="00A26C90" w:rsidRDefault="002601C2" w:rsidP="00D979CC">
            <w:pPr>
              <w:pStyle w:val="TableText"/>
              <w:tabs>
                <w:tab w:val="decimal" w:pos="1289"/>
              </w:tabs>
            </w:pPr>
            <w:r w:rsidRPr="00A26C90">
              <w:t>0.8%</w:t>
            </w:r>
          </w:p>
        </w:tc>
      </w:tr>
      <w:tr w:rsidR="002601C2" w:rsidRPr="00A119E8" w14:paraId="4C747909" w14:textId="77777777" w:rsidTr="00D979CC">
        <w:trPr>
          <w:cantSplit/>
        </w:trPr>
        <w:tc>
          <w:tcPr>
            <w:tcW w:w="3828" w:type="dxa"/>
            <w:tcBorders>
              <w:top w:val="single" w:sz="4" w:space="0" w:color="A6A6A6"/>
              <w:bottom w:val="single" w:sz="4" w:space="0" w:color="A6A6A6"/>
            </w:tcBorders>
            <w:shd w:val="clear" w:color="auto" w:fill="auto"/>
            <w:noWrap/>
            <w:hideMark/>
          </w:tcPr>
          <w:p w14:paraId="339AADA2" w14:textId="77777777" w:rsidR="002601C2" w:rsidRPr="00A26C90" w:rsidRDefault="002601C2" w:rsidP="00D979CC">
            <w:pPr>
              <w:pStyle w:val="TableText"/>
              <w:rPr>
                <w:rFonts w:cs="Arial"/>
              </w:rPr>
            </w:pPr>
            <w:r w:rsidRPr="00A26C90">
              <w:rPr>
                <w:rFonts w:cs="Arial"/>
              </w:rPr>
              <w:t>Taranaki</w:t>
            </w:r>
          </w:p>
        </w:tc>
        <w:tc>
          <w:tcPr>
            <w:tcW w:w="2764" w:type="dxa"/>
            <w:tcBorders>
              <w:top w:val="single" w:sz="4" w:space="0" w:color="A6A6A6"/>
              <w:bottom w:val="single" w:sz="4" w:space="0" w:color="A6A6A6"/>
            </w:tcBorders>
            <w:shd w:val="clear" w:color="auto" w:fill="auto"/>
            <w:noWrap/>
            <w:hideMark/>
          </w:tcPr>
          <w:p w14:paraId="5003FCFD" w14:textId="77777777" w:rsidR="002601C2" w:rsidRPr="00A26C90" w:rsidRDefault="002601C2" w:rsidP="00D979CC">
            <w:pPr>
              <w:pStyle w:val="TableText"/>
              <w:tabs>
                <w:tab w:val="decimal" w:pos="1785"/>
              </w:tabs>
            </w:pPr>
            <w:r w:rsidRPr="00A26C90">
              <w:t>1</w:t>
            </w:r>
            <w:r w:rsidR="00D979CC">
              <w:t>,</w:t>
            </w:r>
            <w:r w:rsidRPr="00A26C90">
              <w:t>535</w:t>
            </w:r>
          </w:p>
        </w:tc>
        <w:tc>
          <w:tcPr>
            <w:tcW w:w="2764" w:type="dxa"/>
            <w:tcBorders>
              <w:top w:val="single" w:sz="4" w:space="0" w:color="A6A6A6"/>
              <w:bottom w:val="single" w:sz="4" w:space="0" w:color="A6A6A6"/>
            </w:tcBorders>
            <w:shd w:val="clear" w:color="auto" w:fill="auto"/>
            <w:noWrap/>
            <w:hideMark/>
          </w:tcPr>
          <w:p w14:paraId="440D4748" w14:textId="77777777" w:rsidR="002601C2" w:rsidRPr="00A26C90" w:rsidRDefault="002601C2" w:rsidP="00D979CC">
            <w:pPr>
              <w:pStyle w:val="TableText"/>
              <w:tabs>
                <w:tab w:val="decimal" w:pos="1289"/>
              </w:tabs>
            </w:pPr>
            <w:r w:rsidRPr="00A26C90">
              <w:t>0.5%</w:t>
            </w:r>
          </w:p>
        </w:tc>
      </w:tr>
      <w:tr w:rsidR="002601C2" w:rsidRPr="00A119E8" w14:paraId="239C4154" w14:textId="77777777" w:rsidTr="00D979CC">
        <w:trPr>
          <w:cantSplit/>
        </w:trPr>
        <w:tc>
          <w:tcPr>
            <w:tcW w:w="3828" w:type="dxa"/>
            <w:tcBorders>
              <w:top w:val="single" w:sz="4" w:space="0" w:color="A6A6A6"/>
              <w:bottom w:val="single" w:sz="4" w:space="0" w:color="A6A6A6"/>
            </w:tcBorders>
            <w:shd w:val="clear" w:color="auto" w:fill="auto"/>
            <w:noWrap/>
            <w:hideMark/>
          </w:tcPr>
          <w:p w14:paraId="2B542CFB" w14:textId="77777777" w:rsidR="002601C2" w:rsidRPr="00A26C90" w:rsidRDefault="002601C2" w:rsidP="00D979CC">
            <w:pPr>
              <w:pStyle w:val="TableText"/>
              <w:rPr>
                <w:rFonts w:cs="Arial"/>
              </w:rPr>
            </w:pPr>
            <w:r w:rsidRPr="00A26C90">
              <w:rPr>
                <w:rFonts w:cs="Arial"/>
              </w:rPr>
              <w:t>Whanganui</w:t>
            </w:r>
          </w:p>
        </w:tc>
        <w:tc>
          <w:tcPr>
            <w:tcW w:w="2764" w:type="dxa"/>
            <w:tcBorders>
              <w:top w:val="single" w:sz="4" w:space="0" w:color="A6A6A6"/>
              <w:bottom w:val="single" w:sz="4" w:space="0" w:color="A6A6A6"/>
            </w:tcBorders>
            <w:shd w:val="clear" w:color="auto" w:fill="auto"/>
            <w:noWrap/>
            <w:hideMark/>
          </w:tcPr>
          <w:p w14:paraId="574E6370" w14:textId="77777777" w:rsidR="002601C2" w:rsidRPr="00A26C90" w:rsidRDefault="002601C2" w:rsidP="00D979CC">
            <w:pPr>
              <w:pStyle w:val="TableText"/>
              <w:tabs>
                <w:tab w:val="decimal" w:pos="1785"/>
              </w:tabs>
            </w:pPr>
            <w:r w:rsidRPr="00A26C90">
              <w:t>1</w:t>
            </w:r>
            <w:r w:rsidR="00D979CC">
              <w:t>,</w:t>
            </w:r>
            <w:r w:rsidRPr="00A26C90">
              <w:t>330</w:t>
            </w:r>
          </w:p>
        </w:tc>
        <w:tc>
          <w:tcPr>
            <w:tcW w:w="2764" w:type="dxa"/>
            <w:tcBorders>
              <w:top w:val="single" w:sz="4" w:space="0" w:color="A6A6A6"/>
              <w:bottom w:val="single" w:sz="4" w:space="0" w:color="A6A6A6"/>
            </w:tcBorders>
            <w:shd w:val="clear" w:color="auto" w:fill="auto"/>
            <w:noWrap/>
            <w:hideMark/>
          </w:tcPr>
          <w:p w14:paraId="754999C0" w14:textId="77777777" w:rsidR="002601C2" w:rsidRPr="00A26C90" w:rsidRDefault="002601C2" w:rsidP="00D979CC">
            <w:pPr>
              <w:pStyle w:val="TableText"/>
              <w:tabs>
                <w:tab w:val="decimal" w:pos="1289"/>
              </w:tabs>
            </w:pPr>
            <w:r w:rsidRPr="00A26C90">
              <w:t>0.4%</w:t>
            </w:r>
          </w:p>
        </w:tc>
      </w:tr>
      <w:tr w:rsidR="002601C2" w:rsidRPr="00A119E8" w14:paraId="7C7F53E7" w14:textId="77777777" w:rsidTr="00D979CC">
        <w:trPr>
          <w:cantSplit/>
        </w:trPr>
        <w:tc>
          <w:tcPr>
            <w:tcW w:w="3828" w:type="dxa"/>
            <w:tcBorders>
              <w:top w:val="single" w:sz="4" w:space="0" w:color="A6A6A6"/>
              <w:bottom w:val="single" w:sz="4" w:space="0" w:color="A6A6A6"/>
            </w:tcBorders>
            <w:shd w:val="clear" w:color="auto" w:fill="auto"/>
            <w:noWrap/>
            <w:hideMark/>
          </w:tcPr>
          <w:p w14:paraId="3C83009E" w14:textId="77777777" w:rsidR="002601C2" w:rsidRPr="00A26C90" w:rsidRDefault="002601C2" w:rsidP="00D979CC">
            <w:pPr>
              <w:pStyle w:val="TableText"/>
              <w:rPr>
                <w:rFonts w:cs="Arial"/>
              </w:rPr>
            </w:pPr>
            <w:r w:rsidRPr="00A26C90">
              <w:rPr>
                <w:rFonts w:cs="Arial"/>
              </w:rPr>
              <w:t>Tairāwhiti</w:t>
            </w:r>
          </w:p>
        </w:tc>
        <w:tc>
          <w:tcPr>
            <w:tcW w:w="2764" w:type="dxa"/>
            <w:tcBorders>
              <w:top w:val="single" w:sz="4" w:space="0" w:color="A6A6A6"/>
              <w:bottom w:val="single" w:sz="4" w:space="0" w:color="A6A6A6"/>
            </w:tcBorders>
            <w:shd w:val="clear" w:color="auto" w:fill="auto"/>
            <w:noWrap/>
            <w:hideMark/>
          </w:tcPr>
          <w:p w14:paraId="08BB83B8" w14:textId="77777777" w:rsidR="002601C2" w:rsidRPr="00A26C90" w:rsidRDefault="002601C2" w:rsidP="00D979CC">
            <w:pPr>
              <w:pStyle w:val="TableText"/>
              <w:tabs>
                <w:tab w:val="decimal" w:pos="1785"/>
              </w:tabs>
            </w:pPr>
            <w:r w:rsidRPr="00A26C90">
              <w:t>1</w:t>
            </w:r>
            <w:r w:rsidR="00D979CC">
              <w:t>,</w:t>
            </w:r>
            <w:r w:rsidRPr="00A26C90">
              <w:t>185</w:t>
            </w:r>
          </w:p>
        </w:tc>
        <w:tc>
          <w:tcPr>
            <w:tcW w:w="2764" w:type="dxa"/>
            <w:tcBorders>
              <w:top w:val="single" w:sz="4" w:space="0" w:color="A6A6A6"/>
              <w:bottom w:val="single" w:sz="4" w:space="0" w:color="A6A6A6"/>
            </w:tcBorders>
            <w:shd w:val="clear" w:color="auto" w:fill="auto"/>
            <w:noWrap/>
            <w:hideMark/>
          </w:tcPr>
          <w:p w14:paraId="1CB8E6EA" w14:textId="77777777" w:rsidR="002601C2" w:rsidRPr="00A26C90" w:rsidRDefault="002601C2" w:rsidP="00D979CC">
            <w:pPr>
              <w:pStyle w:val="TableText"/>
              <w:tabs>
                <w:tab w:val="decimal" w:pos="1289"/>
              </w:tabs>
            </w:pPr>
            <w:r w:rsidRPr="00A26C90">
              <w:t>0.4%</w:t>
            </w:r>
          </w:p>
        </w:tc>
      </w:tr>
      <w:tr w:rsidR="002601C2" w:rsidRPr="00A119E8" w14:paraId="182CEFD6" w14:textId="77777777" w:rsidTr="00D979CC">
        <w:trPr>
          <w:cantSplit/>
        </w:trPr>
        <w:tc>
          <w:tcPr>
            <w:tcW w:w="3828" w:type="dxa"/>
            <w:tcBorders>
              <w:top w:val="single" w:sz="4" w:space="0" w:color="A6A6A6"/>
              <w:bottom w:val="single" w:sz="4" w:space="0" w:color="A6A6A6"/>
            </w:tcBorders>
            <w:shd w:val="clear" w:color="auto" w:fill="auto"/>
            <w:noWrap/>
            <w:hideMark/>
          </w:tcPr>
          <w:p w14:paraId="3BC2CE43" w14:textId="77777777" w:rsidR="002601C2" w:rsidRPr="00A26C90" w:rsidRDefault="002601C2" w:rsidP="00D979CC">
            <w:pPr>
              <w:pStyle w:val="TableText"/>
              <w:rPr>
                <w:rFonts w:cs="Arial"/>
              </w:rPr>
            </w:pPr>
            <w:r w:rsidRPr="00A26C90">
              <w:rPr>
                <w:rFonts w:cs="Arial"/>
              </w:rPr>
              <w:t>Wairarapa</w:t>
            </w:r>
          </w:p>
        </w:tc>
        <w:tc>
          <w:tcPr>
            <w:tcW w:w="2764" w:type="dxa"/>
            <w:tcBorders>
              <w:top w:val="single" w:sz="4" w:space="0" w:color="A6A6A6"/>
              <w:bottom w:val="single" w:sz="4" w:space="0" w:color="A6A6A6"/>
            </w:tcBorders>
            <w:shd w:val="clear" w:color="auto" w:fill="auto"/>
            <w:noWrap/>
            <w:hideMark/>
          </w:tcPr>
          <w:p w14:paraId="3B6FB83B" w14:textId="77777777" w:rsidR="002601C2" w:rsidRPr="00A26C90" w:rsidRDefault="002601C2" w:rsidP="00D979CC">
            <w:pPr>
              <w:pStyle w:val="TableText"/>
              <w:tabs>
                <w:tab w:val="decimal" w:pos="1785"/>
              </w:tabs>
            </w:pPr>
            <w:r w:rsidRPr="00A26C90">
              <w:t>875</w:t>
            </w:r>
          </w:p>
        </w:tc>
        <w:tc>
          <w:tcPr>
            <w:tcW w:w="2764" w:type="dxa"/>
            <w:tcBorders>
              <w:top w:val="single" w:sz="4" w:space="0" w:color="A6A6A6"/>
              <w:bottom w:val="single" w:sz="4" w:space="0" w:color="A6A6A6"/>
            </w:tcBorders>
            <w:shd w:val="clear" w:color="auto" w:fill="auto"/>
            <w:noWrap/>
            <w:hideMark/>
          </w:tcPr>
          <w:p w14:paraId="47FB8BBF" w14:textId="77777777" w:rsidR="002601C2" w:rsidRPr="00A26C90" w:rsidRDefault="002601C2" w:rsidP="00D979CC">
            <w:pPr>
              <w:pStyle w:val="TableText"/>
              <w:tabs>
                <w:tab w:val="decimal" w:pos="1289"/>
              </w:tabs>
            </w:pPr>
            <w:r w:rsidRPr="00A26C90">
              <w:t>0.3%</w:t>
            </w:r>
          </w:p>
        </w:tc>
      </w:tr>
      <w:tr w:rsidR="002601C2" w:rsidRPr="00A119E8" w14:paraId="22CC12B9" w14:textId="77777777" w:rsidTr="00D979CC">
        <w:trPr>
          <w:cantSplit/>
        </w:trPr>
        <w:tc>
          <w:tcPr>
            <w:tcW w:w="3828" w:type="dxa"/>
            <w:tcBorders>
              <w:top w:val="single" w:sz="4" w:space="0" w:color="A6A6A6"/>
              <w:bottom w:val="single" w:sz="4" w:space="0" w:color="A6A6A6"/>
            </w:tcBorders>
            <w:shd w:val="clear" w:color="auto" w:fill="auto"/>
            <w:noWrap/>
            <w:hideMark/>
          </w:tcPr>
          <w:p w14:paraId="0EF9A93B" w14:textId="77777777" w:rsidR="002601C2" w:rsidRPr="00A26C90" w:rsidRDefault="002601C2" w:rsidP="00D979CC">
            <w:pPr>
              <w:pStyle w:val="TableText"/>
              <w:rPr>
                <w:rFonts w:cs="Arial"/>
              </w:rPr>
            </w:pPr>
            <w:r w:rsidRPr="00A26C90">
              <w:rPr>
                <w:rFonts w:cs="Arial"/>
              </w:rPr>
              <w:t>South Canterbury</w:t>
            </w:r>
          </w:p>
        </w:tc>
        <w:tc>
          <w:tcPr>
            <w:tcW w:w="2764" w:type="dxa"/>
            <w:tcBorders>
              <w:top w:val="single" w:sz="4" w:space="0" w:color="A6A6A6"/>
              <w:bottom w:val="single" w:sz="4" w:space="0" w:color="A6A6A6"/>
            </w:tcBorders>
            <w:shd w:val="clear" w:color="auto" w:fill="auto"/>
            <w:noWrap/>
            <w:hideMark/>
          </w:tcPr>
          <w:p w14:paraId="1ADDF0A9" w14:textId="77777777" w:rsidR="002601C2" w:rsidRPr="00A26C90" w:rsidRDefault="002601C2" w:rsidP="00D979CC">
            <w:pPr>
              <w:pStyle w:val="TableText"/>
              <w:tabs>
                <w:tab w:val="decimal" w:pos="1785"/>
              </w:tabs>
            </w:pPr>
            <w:r w:rsidRPr="00A26C90">
              <w:t>590</w:t>
            </w:r>
          </w:p>
        </w:tc>
        <w:tc>
          <w:tcPr>
            <w:tcW w:w="2764" w:type="dxa"/>
            <w:tcBorders>
              <w:top w:val="single" w:sz="4" w:space="0" w:color="A6A6A6"/>
              <w:bottom w:val="single" w:sz="4" w:space="0" w:color="A6A6A6"/>
            </w:tcBorders>
            <w:shd w:val="clear" w:color="auto" w:fill="auto"/>
            <w:noWrap/>
            <w:hideMark/>
          </w:tcPr>
          <w:p w14:paraId="4F664E06" w14:textId="77777777" w:rsidR="002601C2" w:rsidRPr="00A26C90" w:rsidRDefault="002601C2" w:rsidP="00D979CC">
            <w:pPr>
              <w:pStyle w:val="TableText"/>
              <w:tabs>
                <w:tab w:val="decimal" w:pos="1289"/>
              </w:tabs>
            </w:pPr>
            <w:r w:rsidRPr="00A26C90">
              <w:t>0.2%</w:t>
            </w:r>
          </w:p>
        </w:tc>
      </w:tr>
      <w:tr w:rsidR="002601C2" w:rsidRPr="00A119E8" w14:paraId="3D49478B" w14:textId="77777777" w:rsidTr="00D979CC">
        <w:trPr>
          <w:cantSplit/>
        </w:trPr>
        <w:tc>
          <w:tcPr>
            <w:tcW w:w="3828" w:type="dxa"/>
            <w:tcBorders>
              <w:top w:val="single" w:sz="4" w:space="0" w:color="A6A6A6"/>
              <w:bottom w:val="single" w:sz="4" w:space="0" w:color="auto"/>
            </w:tcBorders>
            <w:shd w:val="clear" w:color="auto" w:fill="auto"/>
            <w:noWrap/>
            <w:hideMark/>
          </w:tcPr>
          <w:p w14:paraId="09F7152F" w14:textId="77777777" w:rsidR="002601C2" w:rsidRPr="00A26C90" w:rsidRDefault="002601C2" w:rsidP="00D979CC">
            <w:pPr>
              <w:pStyle w:val="TableText"/>
              <w:rPr>
                <w:rFonts w:cs="Arial"/>
              </w:rPr>
            </w:pPr>
            <w:r w:rsidRPr="00A26C90">
              <w:rPr>
                <w:rFonts w:cs="Arial"/>
              </w:rPr>
              <w:t>West Coast</w:t>
            </w:r>
          </w:p>
        </w:tc>
        <w:tc>
          <w:tcPr>
            <w:tcW w:w="2764" w:type="dxa"/>
            <w:tcBorders>
              <w:top w:val="single" w:sz="4" w:space="0" w:color="A6A6A6"/>
              <w:bottom w:val="single" w:sz="4" w:space="0" w:color="auto"/>
            </w:tcBorders>
            <w:shd w:val="clear" w:color="auto" w:fill="auto"/>
            <w:noWrap/>
            <w:hideMark/>
          </w:tcPr>
          <w:p w14:paraId="66F4549C" w14:textId="77777777" w:rsidR="002601C2" w:rsidRPr="00A26C90" w:rsidRDefault="002601C2" w:rsidP="00D979CC">
            <w:pPr>
              <w:pStyle w:val="TableText"/>
              <w:tabs>
                <w:tab w:val="decimal" w:pos="1785"/>
              </w:tabs>
            </w:pPr>
            <w:r w:rsidRPr="00A26C90">
              <w:t>365</w:t>
            </w:r>
          </w:p>
        </w:tc>
        <w:tc>
          <w:tcPr>
            <w:tcW w:w="2764" w:type="dxa"/>
            <w:tcBorders>
              <w:top w:val="single" w:sz="4" w:space="0" w:color="A6A6A6"/>
              <w:bottom w:val="single" w:sz="4" w:space="0" w:color="auto"/>
            </w:tcBorders>
            <w:shd w:val="clear" w:color="auto" w:fill="auto"/>
            <w:noWrap/>
            <w:hideMark/>
          </w:tcPr>
          <w:p w14:paraId="465EC8C7" w14:textId="77777777" w:rsidR="002601C2" w:rsidRPr="00A26C90" w:rsidRDefault="002601C2" w:rsidP="00D979CC">
            <w:pPr>
              <w:pStyle w:val="TableText"/>
              <w:tabs>
                <w:tab w:val="decimal" w:pos="1289"/>
              </w:tabs>
            </w:pPr>
            <w:r w:rsidRPr="00A26C90">
              <w:t>0.1%</w:t>
            </w:r>
          </w:p>
        </w:tc>
      </w:tr>
      <w:tr w:rsidR="002601C2" w:rsidRPr="00D979CC" w14:paraId="15BE5678" w14:textId="77777777" w:rsidTr="00D979CC">
        <w:trPr>
          <w:cantSplit/>
        </w:trPr>
        <w:tc>
          <w:tcPr>
            <w:tcW w:w="3828" w:type="dxa"/>
            <w:tcBorders>
              <w:top w:val="single" w:sz="4" w:space="0" w:color="auto"/>
            </w:tcBorders>
            <w:shd w:val="clear" w:color="auto" w:fill="auto"/>
            <w:noWrap/>
            <w:hideMark/>
          </w:tcPr>
          <w:p w14:paraId="3F4A83C0" w14:textId="77777777" w:rsidR="002601C2" w:rsidRPr="00D979CC" w:rsidRDefault="002601C2" w:rsidP="00D979CC">
            <w:pPr>
              <w:pStyle w:val="TableText"/>
              <w:rPr>
                <w:rFonts w:cs="Arial"/>
                <w:b/>
              </w:rPr>
            </w:pPr>
            <w:r w:rsidRPr="00D979CC">
              <w:rPr>
                <w:rFonts w:cs="Arial"/>
                <w:b/>
              </w:rPr>
              <w:t>Total</w:t>
            </w:r>
          </w:p>
        </w:tc>
        <w:tc>
          <w:tcPr>
            <w:tcW w:w="2764" w:type="dxa"/>
            <w:tcBorders>
              <w:top w:val="single" w:sz="4" w:space="0" w:color="auto"/>
            </w:tcBorders>
            <w:shd w:val="clear" w:color="auto" w:fill="auto"/>
            <w:noWrap/>
            <w:hideMark/>
          </w:tcPr>
          <w:p w14:paraId="28AD37F1" w14:textId="77777777" w:rsidR="002601C2" w:rsidRPr="00D979CC" w:rsidRDefault="002601C2" w:rsidP="00D979CC">
            <w:pPr>
              <w:pStyle w:val="TableText"/>
              <w:tabs>
                <w:tab w:val="decimal" w:pos="1785"/>
              </w:tabs>
              <w:rPr>
                <w:b/>
              </w:rPr>
            </w:pPr>
            <w:r w:rsidRPr="00D979CC">
              <w:rPr>
                <w:b/>
              </w:rPr>
              <w:t>299,190</w:t>
            </w:r>
          </w:p>
        </w:tc>
        <w:tc>
          <w:tcPr>
            <w:tcW w:w="2764" w:type="dxa"/>
            <w:tcBorders>
              <w:top w:val="single" w:sz="4" w:space="0" w:color="auto"/>
            </w:tcBorders>
            <w:shd w:val="clear" w:color="auto" w:fill="auto"/>
            <w:noWrap/>
            <w:hideMark/>
          </w:tcPr>
          <w:p w14:paraId="1847CE34" w14:textId="77777777" w:rsidR="002601C2" w:rsidRPr="00D979CC" w:rsidRDefault="002601C2" w:rsidP="00D979CC">
            <w:pPr>
              <w:pStyle w:val="TableText"/>
              <w:tabs>
                <w:tab w:val="decimal" w:pos="1289"/>
              </w:tabs>
              <w:rPr>
                <w:b/>
              </w:rPr>
            </w:pPr>
            <w:r w:rsidRPr="00D979CC">
              <w:rPr>
                <w:b/>
              </w:rPr>
              <w:t>100%</w:t>
            </w:r>
          </w:p>
        </w:tc>
      </w:tr>
    </w:tbl>
    <w:p w14:paraId="4207E833" w14:textId="77777777" w:rsidR="002601C2" w:rsidRDefault="002601C2" w:rsidP="00D979CC">
      <w:pPr>
        <w:pStyle w:val="Note"/>
        <w:ind w:right="0"/>
      </w:pPr>
      <w:r w:rsidRPr="00AB4E6F">
        <w:t>Note: Percentages have been rounded</w:t>
      </w:r>
      <w:r>
        <w:t xml:space="preserve"> to one decimal place</w:t>
      </w:r>
      <w:r w:rsidRPr="00AB4E6F">
        <w:t>. The eight priority DHBs are in bold.</w:t>
      </w:r>
    </w:p>
    <w:p w14:paraId="4463C59E" w14:textId="77777777" w:rsidR="00D979CC" w:rsidRPr="00D979CC" w:rsidRDefault="00D979CC" w:rsidP="00D979CC"/>
    <w:p w14:paraId="10A96755" w14:textId="77777777" w:rsidR="002601C2" w:rsidRDefault="002601C2" w:rsidP="00D979CC">
      <w:pPr>
        <w:pStyle w:val="Heading1"/>
      </w:pPr>
      <w:bookmarkStart w:id="14" w:name="_Toc503952523"/>
      <w:bookmarkStart w:id="15" w:name="_Toc504249851"/>
      <w:bookmarkStart w:id="16" w:name="_Toc531258239"/>
      <w:r>
        <w:lastRenderedPageBreak/>
        <w:t>National-level progress</w:t>
      </w:r>
      <w:bookmarkEnd w:id="14"/>
      <w:bookmarkEnd w:id="15"/>
      <w:bookmarkEnd w:id="16"/>
    </w:p>
    <w:p w14:paraId="4DEDEBC3" w14:textId="0B4B4515" w:rsidR="002F7222" w:rsidRDefault="002601C2" w:rsidP="00D979CC">
      <w:r w:rsidRPr="00A119E8">
        <w:t xml:space="preserve">At a national level, </w:t>
      </w:r>
      <w:r>
        <w:t>there has been significant progress against three</w:t>
      </w:r>
      <w:r w:rsidRPr="00A119E8">
        <w:t xml:space="preserve"> of the</w:t>
      </w:r>
      <w:r>
        <w:t xml:space="preserve"> </w:t>
      </w:r>
      <w:r w:rsidR="00AF4508">
        <w:rPr>
          <w:rFonts w:ascii="Arial" w:hAnsi="Arial" w:cs="Arial"/>
          <w:i/>
        </w:rPr>
        <w:t>ʹ</w:t>
      </w:r>
      <w:r w:rsidR="00AF4508">
        <w:rPr>
          <w:i/>
        </w:rPr>
        <w:t>Ala Mo</w:t>
      </w:r>
      <w:r w:rsidR="00AF4508">
        <w:rPr>
          <w:rFonts w:ascii="Arial" w:hAnsi="Arial" w:cs="Arial"/>
          <w:i/>
        </w:rPr>
        <w:t>ʹ</w:t>
      </w:r>
      <w:r w:rsidRPr="00426322">
        <w:rPr>
          <w:i/>
        </w:rPr>
        <w:t>ui</w:t>
      </w:r>
      <w:r w:rsidRPr="00A119E8">
        <w:t xml:space="preserve"> </w:t>
      </w:r>
      <w:r>
        <w:t>child health</w:t>
      </w:r>
      <w:r w:rsidRPr="00A119E8">
        <w:t xml:space="preserve"> indicators (</w:t>
      </w:r>
      <w:r>
        <w:t xml:space="preserve">see </w:t>
      </w:r>
      <w:r w:rsidRPr="00A119E8">
        <w:t>Table 1).</w:t>
      </w:r>
    </w:p>
    <w:p w14:paraId="3B7A8769" w14:textId="77777777" w:rsidR="002601C2" w:rsidRDefault="002601C2" w:rsidP="00D979CC"/>
    <w:p w14:paraId="4BE8963E" w14:textId="05696FA5" w:rsidR="00E02D44" w:rsidRPr="00D95C27" w:rsidRDefault="00E02D44" w:rsidP="00E02D44">
      <w:pPr>
        <w:pStyle w:val="Number"/>
        <w:ind w:left="0" w:firstLine="0"/>
        <w:rPr>
          <w:b/>
          <w:sz w:val="20"/>
        </w:rPr>
      </w:pPr>
      <w:bookmarkStart w:id="17" w:name="_Toc445801428"/>
      <w:bookmarkStart w:id="18" w:name="_Toc447527118"/>
      <w:bookmarkStart w:id="19" w:name="_Toc458524021"/>
      <w:r w:rsidRPr="00D95C27">
        <w:rPr>
          <w:b/>
          <w:sz w:val="20"/>
        </w:rPr>
        <w:t xml:space="preserve">Table 1: </w:t>
      </w:r>
      <w:bookmarkEnd w:id="17"/>
      <w:bookmarkEnd w:id="18"/>
      <w:bookmarkEnd w:id="19"/>
      <w:r w:rsidR="00AF4508">
        <w:rPr>
          <w:rFonts w:ascii="Arial" w:hAnsi="Arial" w:cs="Arial"/>
          <w:b/>
          <w:i/>
          <w:sz w:val="20"/>
        </w:rPr>
        <w:t>ʹ</w:t>
      </w:r>
      <w:r w:rsidR="00AF4508">
        <w:rPr>
          <w:b/>
          <w:i/>
          <w:sz w:val="20"/>
        </w:rPr>
        <w:t>Ala Mo</w:t>
      </w:r>
      <w:r w:rsidR="00AF4508">
        <w:rPr>
          <w:rFonts w:ascii="Arial" w:hAnsi="Arial" w:cs="Arial"/>
          <w:b/>
          <w:i/>
          <w:sz w:val="20"/>
        </w:rPr>
        <w:t>ʹ</w:t>
      </w:r>
      <w:r w:rsidRPr="006C4697">
        <w:rPr>
          <w:b/>
          <w:i/>
          <w:sz w:val="20"/>
        </w:rPr>
        <w:t xml:space="preserve">ui </w:t>
      </w:r>
      <w:r w:rsidRPr="006C4697">
        <w:rPr>
          <w:b/>
          <w:sz w:val="20"/>
        </w:rPr>
        <w:t xml:space="preserve">indicators </w:t>
      </w:r>
      <w:r>
        <w:rPr>
          <w:b/>
          <w:sz w:val="20"/>
        </w:rPr>
        <w:t>which suggest positive results</w:t>
      </w:r>
      <w:r w:rsidRPr="006C4697">
        <w:rPr>
          <w:b/>
          <w:sz w:val="20"/>
        </w:rPr>
        <w:t xml:space="preserve"> for Pacific peoples </w:t>
      </w:r>
      <w:r>
        <w:rPr>
          <w:b/>
          <w:sz w:val="20"/>
        </w:rPr>
        <w:t>as compared to</w:t>
      </w:r>
      <w:r w:rsidRPr="006C4697">
        <w:rPr>
          <w:b/>
          <w:sz w:val="20"/>
        </w:rPr>
        <w:t xml:space="preserve"> the total New Zealand population, as at 31 March 2017</w:t>
      </w:r>
    </w:p>
    <w:tbl>
      <w:tblPr>
        <w:tblW w:w="9299"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6606"/>
        <w:gridCol w:w="1346"/>
        <w:gridCol w:w="1347"/>
      </w:tblGrid>
      <w:tr w:rsidR="00E02D44" w:rsidRPr="00F92901" w14:paraId="3B6A7E67" w14:textId="77777777" w:rsidTr="005C6822">
        <w:trPr>
          <w:cantSplit/>
        </w:trPr>
        <w:tc>
          <w:tcPr>
            <w:tcW w:w="6606" w:type="dxa"/>
            <w:tcBorders>
              <w:top w:val="single" w:sz="4" w:space="0" w:color="auto"/>
              <w:bottom w:val="single" w:sz="4" w:space="0" w:color="auto"/>
            </w:tcBorders>
            <w:shd w:val="clear" w:color="auto" w:fill="auto"/>
          </w:tcPr>
          <w:p w14:paraId="34D8A1FD" w14:textId="77777777" w:rsidR="00E02D44" w:rsidRPr="00AD51A9" w:rsidRDefault="00E02D44" w:rsidP="005C6822">
            <w:pPr>
              <w:pStyle w:val="TableText"/>
              <w:rPr>
                <w:b/>
                <w:szCs w:val="18"/>
                <w:lang w:eastAsia="en-NZ"/>
              </w:rPr>
            </w:pPr>
            <w:r w:rsidRPr="00AD51A9">
              <w:rPr>
                <w:b/>
                <w:szCs w:val="18"/>
                <w:lang w:eastAsia="en-NZ"/>
              </w:rPr>
              <w:t>Indicator</w:t>
            </w:r>
          </w:p>
        </w:tc>
        <w:tc>
          <w:tcPr>
            <w:tcW w:w="1346" w:type="dxa"/>
            <w:tcBorders>
              <w:top w:val="single" w:sz="4" w:space="0" w:color="auto"/>
              <w:bottom w:val="single" w:sz="4" w:space="0" w:color="auto"/>
            </w:tcBorders>
            <w:shd w:val="clear" w:color="auto" w:fill="auto"/>
          </w:tcPr>
          <w:p w14:paraId="75CB3C1A" w14:textId="77777777" w:rsidR="00E02D44" w:rsidRPr="00AD51A9" w:rsidRDefault="00E02D44" w:rsidP="005C6822">
            <w:pPr>
              <w:pStyle w:val="TableText"/>
              <w:jc w:val="center"/>
              <w:rPr>
                <w:b/>
                <w:szCs w:val="18"/>
                <w:lang w:eastAsia="en-NZ"/>
              </w:rPr>
            </w:pPr>
            <w:r w:rsidRPr="00AD51A9">
              <w:rPr>
                <w:b/>
                <w:szCs w:val="18"/>
                <w:lang w:eastAsia="en-NZ"/>
              </w:rPr>
              <w:t>Pacific peoples</w:t>
            </w:r>
          </w:p>
        </w:tc>
        <w:tc>
          <w:tcPr>
            <w:tcW w:w="1347" w:type="dxa"/>
            <w:tcBorders>
              <w:top w:val="single" w:sz="4" w:space="0" w:color="auto"/>
              <w:bottom w:val="single" w:sz="4" w:space="0" w:color="auto"/>
            </w:tcBorders>
            <w:shd w:val="clear" w:color="auto" w:fill="auto"/>
          </w:tcPr>
          <w:p w14:paraId="10CD9F71" w14:textId="77777777" w:rsidR="00E02D44" w:rsidRPr="00AD51A9" w:rsidRDefault="00E02D44" w:rsidP="005C6822">
            <w:pPr>
              <w:pStyle w:val="TableText"/>
              <w:jc w:val="center"/>
              <w:rPr>
                <w:b/>
                <w:szCs w:val="18"/>
                <w:lang w:eastAsia="en-NZ"/>
              </w:rPr>
            </w:pPr>
            <w:r w:rsidRPr="00AD51A9">
              <w:rPr>
                <w:b/>
                <w:szCs w:val="18"/>
                <w:lang w:eastAsia="en-NZ"/>
              </w:rPr>
              <w:t>Total New Zealand</w:t>
            </w:r>
          </w:p>
        </w:tc>
      </w:tr>
      <w:tr w:rsidR="00E02D44" w:rsidRPr="00F92901" w14:paraId="2604B15E" w14:textId="77777777" w:rsidTr="005C6822">
        <w:trPr>
          <w:cantSplit/>
        </w:trPr>
        <w:tc>
          <w:tcPr>
            <w:tcW w:w="6606" w:type="dxa"/>
            <w:tcBorders>
              <w:top w:val="single" w:sz="4" w:space="0" w:color="auto"/>
              <w:bottom w:val="single" w:sz="4" w:space="0" w:color="A6A6A6"/>
            </w:tcBorders>
            <w:shd w:val="clear" w:color="auto" w:fill="auto"/>
            <w:vAlign w:val="center"/>
          </w:tcPr>
          <w:p w14:paraId="7F8012C6" w14:textId="77777777" w:rsidR="00E02D44" w:rsidRPr="00E02D44" w:rsidRDefault="00E02D44" w:rsidP="005C6822">
            <w:pPr>
              <w:pStyle w:val="TableText"/>
              <w:ind w:right="-57"/>
              <w:rPr>
                <w:rFonts w:ascii="Georgia" w:hAnsi="Georgia"/>
                <w:szCs w:val="18"/>
                <w:lang w:eastAsia="en-NZ"/>
              </w:rPr>
            </w:pPr>
            <w:r w:rsidRPr="00E02D44">
              <w:rPr>
                <w:rFonts w:ascii="Georgia" w:hAnsi="Georgia"/>
                <w:szCs w:val="18"/>
                <w:lang w:eastAsia="en-NZ"/>
              </w:rPr>
              <w:t>Percentage of Pacific infants who are enrolled with a general practice by three months of age</w:t>
            </w:r>
          </w:p>
        </w:tc>
        <w:tc>
          <w:tcPr>
            <w:tcW w:w="1346" w:type="dxa"/>
            <w:tcBorders>
              <w:top w:val="single" w:sz="4" w:space="0" w:color="auto"/>
              <w:bottom w:val="single" w:sz="4" w:space="0" w:color="A6A6A6"/>
            </w:tcBorders>
            <w:shd w:val="clear" w:color="auto" w:fill="auto"/>
            <w:vAlign w:val="center"/>
          </w:tcPr>
          <w:p w14:paraId="6F5D4291" w14:textId="77777777" w:rsidR="00E02D44" w:rsidRPr="00E02D44" w:rsidRDefault="00E02D44" w:rsidP="005C6822">
            <w:pPr>
              <w:pStyle w:val="TableText"/>
              <w:jc w:val="center"/>
              <w:rPr>
                <w:rFonts w:ascii="Georgia" w:hAnsi="Georgia"/>
                <w:szCs w:val="18"/>
                <w:lang w:eastAsia="en-NZ"/>
              </w:rPr>
            </w:pPr>
            <w:r w:rsidRPr="00E02D44">
              <w:rPr>
                <w:rFonts w:ascii="Georgia" w:hAnsi="Georgia"/>
                <w:szCs w:val="18"/>
                <w:lang w:eastAsia="en-NZ"/>
              </w:rPr>
              <w:t>69.0%</w:t>
            </w:r>
          </w:p>
        </w:tc>
        <w:tc>
          <w:tcPr>
            <w:tcW w:w="1347" w:type="dxa"/>
            <w:tcBorders>
              <w:top w:val="single" w:sz="4" w:space="0" w:color="auto"/>
              <w:bottom w:val="single" w:sz="4" w:space="0" w:color="A6A6A6"/>
            </w:tcBorders>
            <w:shd w:val="clear" w:color="auto" w:fill="auto"/>
            <w:vAlign w:val="center"/>
          </w:tcPr>
          <w:p w14:paraId="67CFB2A1" w14:textId="77777777" w:rsidR="00E02D44" w:rsidRPr="00E02D44" w:rsidRDefault="00E02D44" w:rsidP="005C6822">
            <w:pPr>
              <w:pStyle w:val="TableText"/>
              <w:jc w:val="center"/>
              <w:rPr>
                <w:rFonts w:ascii="Georgia" w:hAnsi="Georgia"/>
                <w:szCs w:val="18"/>
                <w:lang w:eastAsia="en-NZ"/>
              </w:rPr>
            </w:pPr>
            <w:r w:rsidRPr="00E02D44">
              <w:rPr>
                <w:rFonts w:ascii="Georgia" w:hAnsi="Georgia"/>
                <w:szCs w:val="18"/>
                <w:lang w:eastAsia="en-NZ"/>
              </w:rPr>
              <w:t>66.1%</w:t>
            </w:r>
          </w:p>
        </w:tc>
      </w:tr>
      <w:tr w:rsidR="00E02D44" w:rsidRPr="00F92901" w14:paraId="1E0EA57C" w14:textId="77777777" w:rsidTr="005C6822">
        <w:trPr>
          <w:cantSplit/>
        </w:trPr>
        <w:tc>
          <w:tcPr>
            <w:tcW w:w="6606" w:type="dxa"/>
            <w:tcBorders>
              <w:top w:val="single" w:sz="4" w:space="0" w:color="A6A6A6"/>
              <w:bottom w:val="single" w:sz="4" w:space="0" w:color="A6A6A6"/>
            </w:tcBorders>
            <w:shd w:val="clear" w:color="auto" w:fill="auto"/>
            <w:vAlign w:val="center"/>
          </w:tcPr>
          <w:p w14:paraId="1D1525B0" w14:textId="77777777" w:rsidR="00E02D44" w:rsidRPr="00E02D44" w:rsidRDefault="00E02D44" w:rsidP="005C6822">
            <w:pPr>
              <w:pStyle w:val="TableText"/>
              <w:ind w:right="-57"/>
              <w:rPr>
                <w:rFonts w:ascii="Georgia" w:hAnsi="Georgia"/>
                <w:szCs w:val="18"/>
                <w:lang w:eastAsia="en-NZ"/>
              </w:rPr>
            </w:pPr>
            <w:r w:rsidRPr="00E02D44">
              <w:rPr>
                <w:rFonts w:ascii="Georgia" w:hAnsi="Georgia"/>
                <w:szCs w:val="18"/>
              </w:rPr>
              <w:t>Percentage of children with body mass index (BMI) &gt;98</w:t>
            </w:r>
            <w:r w:rsidRPr="00E02D44">
              <w:rPr>
                <w:rFonts w:ascii="Georgia" w:hAnsi="Georgia"/>
                <w:szCs w:val="18"/>
                <w:vertAlign w:val="superscript"/>
              </w:rPr>
              <w:t>th</w:t>
            </w:r>
            <w:r w:rsidRPr="00E02D44">
              <w:rPr>
                <w:rFonts w:ascii="Georgia" w:hAnsi="Georgia"/>
                <w:szCs w:val="18"/>
              </w:rPr>
              <w:t xml:space="preserve"> percentile referred to a GP or specialist services</w:t>
            </w:r>
          </w:p>
        </w:tc>
        <w:tc>
          <w:tcPr>
            <w:tcW w:w="1346" w:type="dxa"/>
            <w:tcBorders>
              <w:top w:val="single" w:sz="4" w:space="0" w:color="A6A6A6"/>
              <w:bottom w:val="single" w:sz="4" w:space="0" w:color="A6A6A6"/>
            </w:tcBorders>
            <w:shd w:val="clear" w:color="auto" w:fill="auto"/>
            <w:vAlign w:val="center"/>
          </w:tcPr>
          <w:p w14:paraId="4F538FCD" w14:textId="77777777" w:rsidR="00E02D44" w:rsidRPr="00E02D44" w:rsidRDefault="00E02D44" w:rsidP="005C6822">
            <w:pPr>
              <w:pStyle w:val="TableText"/>
              <w:jc w:val="center"/>
              <w:rPr>
                <w:rFonts w:ascii="Georgia" w:hAnsi="Georgia"/>
                <w:szCs w:val="18"/>
                <w:lang w:eastAsia="en-NZ"/>
              </w:rPr>
            </w:pPr>
            <w:r w:rsidRPr="00E02D44">
              <w:rPr>
                <w:rFonts w:ascii="Georgia" w:hAnsi="Georgia"/>
                <w:szCs w:val="18"/>
                <w:lang w:eastAsia="en-NZ"/>
              </w:rPr>
              <w:t>93.0%</w:t>
            </w:r>
          </w:p>
        </w:tc>
        <w:tc>
          <w:tcPr>
            <w:tcW w:w="1347" w:type="dxa"/>
            <w:tcBorders>
              <w:top w:val="single" w:sz="4" w:space="0" w:color="A6A6A6"/>
              <w:bottom w:val="single" w:sz="4" w:space="0" w:color="A6A6A6"/>
            </w:tcBorders>
            <w:shd w:val="clear" w:color="auto" w:fill="auto"/>
            <w:vAlign w:val="center"/>
          </w:tcPr>
          <w:p w14:paraId="53C09485" w14:textId="77777777" w:rsidR="00E02D44" w:rsidRPr="00E02D44" w:rsidRDefault="00E02D44" w:rsidP="005C6822">
            <w:pPr>
              <w:pStyle w:val="TableText"/>
              <w:jc w:val="center"/>
              <w:rPr>
                <w:rFonts w:ascii="Georgia" w:hAnsi="Georgia"/>
                <w:szCs w:val="18"/>
                <w:lang w:eastAsia="en-NZ"/>
              </w:rPr>
            </w:pPr>
            <w:r w:rsidRPr="00E02D44">
              <w:rPr>
                <w:rFonts w:ascii="Georgia" w:hAnsi="Georgia"/>
                <w:szCs w:val="18"/>
                <w:lang w:eastAsia="en-NZ"/>
              </w:rPr>
              <w:t>86.0%</w:t>
            </w:r>
          </w:p>
        </w:tc>
      </w:tr>
      <w:tr w:rsidR="00E02D44" w:rsidRPr="00F92901" w14:paraId="1DF52E14" w14:textId="77777777" w:rsidTr="005C6822">
        <w:trPr>
          <w:cantSplit/>
        </w:trPr>
        <w:tc>
          <w:tcPr>
            <w:tcW w:w="6606" w:type="dxa"/>
            <w:tcBorders>
              <w:top w:val="single" w:sz="4" w:space="0" w:color="A6A6A6"/>
              <w:bottom w:val="single" w:sz="4" w:space="0" w:color="A6A6A6"/>
            </w:tcBorders>
            <w:shd w:val="clear" w:color="auto" w:fill="auto"/>
            <w:vAlign w:val="center"/>
          </w:tcPr>
          <w:p w14:paraId="32EF407E" w14:textId="77777777" w:rsidR="00E02D44" w:rsidRPr="00E02D44" w:rsidRDefault="00E02D44" w:rsidP="005C6822">
            <w:pPr>
              <w:pStyle w:val="TableText"/>
              <w:rPr>
                <w:rFonts w:ascii="Georgia" w:hAnsi="Georgia"/>
                <w:szCs w:val="18"/>
                <w:lang w:eastAsia="en-NZ"/>
              </w:rPr>
            </w:pPr>
            <w:r w:rsidRPr="00E02D44">
              <w:rPr>
                <w:rFonts w:ascii="Georgia" w:hAnsi="Georgia"/>
                <w:szCs w:val="18"/>
              </w:rPr>
              <w:t>Immunisation coverage (percentage) at eight months of age (three</w:t>
            </w:r>
            <w:r w:rsidRPr="00E02D44">
              <w:rPr>
                <w:rFonts w:ascii="Georgia" w:hAnsi="Georgia"/>
                <w:szCs w:val="18"/>
              </w:rPr>
              <w:noBreakHyphen/>
              <w:t>month reporting)</w:t>
            </w:r>
          </w:p>
        </w:tc>
        <w:tc>
          <w:tcPr>
            <w:tcW w:w="1346" w:type="dxa"/>
            <w:tcBorders>
              <w:top w:val="single" w:sz="4" w:space="0" w:color="A6A6A6"/>
              <w:bottom w:val="single" w:sz="4" w:space="0" w:color="A6A6A6"/>
            </w:tcBorders>
            <w:shd w:val="clear" w:color="auto" w:fill="auto"/>
            <w:vAlign w:val="center"/>
          </w:tcPr>
          <w:p w14:paraId="1F89EF54" w14:textId="77777777" w:rsidR="00E02D44" w:rsidRPr="00E02D44" w:rsidRDefault="00E02D44" w:rsidP="005C6822">
            <w:pPr>
              <w:pStyle w:val="TableText"/>
              <w:jc w:val="center"/>
              <w:rPr>
                <w:rFonts w:ascii="Georgia" w:hAnsi="Georgia"/>
                <w:szCs w:val="18"/>
                <w:lang w:eastAsia="en-NZ"/>
              </w:rPr>
            </w:pPr>
            <w:r w:rsidRPr="00E02D44">
              <w:rPr>
                <w:rFonts w:ascii="Georgia" w:hAnsi="Georgia"/>
                <w:szCs w:val="18"/>
                <w:lang w:eastAsia="en-NZ"/>
              </w:rPr>
              <w:t>94.5%</w:t>
            </w:r>
          </w:p>
        </w:tc>
        <w:tc>
          <w:tcPr>
            <w:tcW w:w="1347" w:type="dxa"/>
            <w:tcBorders>
              <w:top w:val="single" w:sz="4" w:space="0" w:color="A6A6A6"/>
              <w:bottom w:val="single" w:sz="4" w:space="0" w:color="A6A6A6"/>
            </w:tcBorders>
            <w:shd w:val="clear" w:color="auto" w:fill="auto"/>
            <w:vAlign w:val="center"/>
          </w:tcPr>
          <w:p w14:paraId="09AF1CEC" w14:textId="77777777" w:rsidR="00E02D44" w:rsidRPr="00E02D44" w:rsidRDefault="00E02D44" w:rsidP="005C6822">
            <w:pPr>
              <w:pStyle w:val="TableText"/>
              <w:jc w:val="center"/>
              <w:rPr>
                <w:rFonts w:ascii="Georgia" w:hAnsi="Georgia"/>
                <w:szCs w:val="18"/>
                <w:lang w:eastAsia="en-NZ"/>
              </w:rPr>
            </w:pPr>
            <w:r w:rsidRPr="00E02D44">
              <w:rPr>
                <w:rFonts w:ascii="Georgia" w:hAnsi="Georgia"/>
                <w:szCs w:val="18"/>
                <w:lang w:eastAsia="en-NZ"/>
              </w:rPr>
              <w:t>92.3%</w:t>
            </w:r>
          </w:p>
        </w:tc>
      </w:tr>
    </w:tbl>
    <w:p w14:paraId="73E65F38" w14:textId="77777777" w:rsidR="002601C2" w:rsidRDefault="002601C2" w:rsidP="00805AF5"/>
    <w:p w14:paraId="67DFD45D" w14:textId="77777777" w:rsidR="002F7222" w:rsidRDefault="002601C2" w:rsidP="00805AF5">
      <w:r>
        <w:t>The two indicators listed in Table 2 show where performance for the total Pacific peoples population has come close to achieving parity (within 5 percent) with the total New Zealand population.</w:t>
      </w:r>
    </w:p>
    <w:p w14:paraId="10E2D8B7" w14:textId="77777777" w:rsidR="002601C2" w:rsidRDefault="002601C2" w:rsidP="00805AF5"/>
    <w:p w14:paraId="7DA43977" w14:textId="11BBF670" w:rsidR="00E02D44" w:rsidRPr="00EE55C9" w:rsidRDefault="00E02D44" w:rsidP="00E02D44">
      <w:pPr>
        <w:pStyle w:val="Number"/>
        <w:ind w:left="0" w:firstLine="0"/>
        <w:rPr>
          <w:b/>
          <w:sz w:val="20"/>
        </w:rPr>
      </w:pPr>
      <w:r w:rsidRPr="00EE55C9">
        <w:rPr>
          <w:b/>
          <w:sz w:val="20"/>
        </w:rPr>
        <w:t xml:space="preserve">Table 2: </w:t>
      </w:r>
      <w:r w:rsidR="00AF4508">
        <w:rPr>
          <w:rFonts w:ascii="Arial" w:hAnsi="Arial" w:cs="Arial"/>
          <w:b/>
          <w:i/>
          <w:sz w:val="20"/>
        </w:rPr>
        <w:t>ʹ</w:t>
      </w:r>
      <w:r w:rsidR="00AF4508">
        <w:rPr>
          <w:b/>
          <w:i/>
          <w:sz w:val="20"/>
        </w:rPr>
        <w:t>Ala Mo</w:t>
      </w:r>
      <w:r w:rsidR="00AF4508">
        <w:rPr>
          <w:rFonts w:ascii="Arial" w:hAnsi="Arial" w:cs="Arial"/>
          <w:b/>
          <w:i/>
          <w:sz w:val="20"/>
        </w:rPr>
        <w:t>ʹ</w:t>
      </w:r>
      <w:r w:rsidRPr="006C4697">
        <w:rPr>
          <w:b/>
          <w:i/>
          <w:sz w:val="20"/>
        </w:rPr>
        <w:t xml:space="preserve">ui </w:t>
      </w:r>
      <w:r w:rsidRPr="006C4697">
        <w:rPr>
          <w:b/>
          <w:sz w:val="20"/>
        </w:rPr>
        <w:t xml:space="preserve">indicators </w:t>
      </w:r>
      <w:r>
        <w:rPr>
          <w:b/>
          <w:sz w:val="20"/>
        </w:rPr>
        <w:t>which suggest</w:t>
      </w:r>
      <w:r w:rsidRPr="006C4697">
        <w:rPr>
          <w:b/>
          <w:sz w:val="20"/>
        </w:rPr>
        <w:t xml:space="preserve"> Pacific peoples </w:t>
      </w:r>
      <w:r>
        <w:rPr>
          <w:b/>
          <w:sz w:val="20"/>
        </w:rPr>
        <w:t>are</w:t>
      </w:r>
      <w:r w:rsidRPr="006C4697">
        <w:rPr>
          <w:b/>
          <w:sz w:val="20"/>
        </w:rPr>
        <w:t xml:space="preserve"> close to achieving parity (within five percent) with the total New Zealand population</w:t>
      </w:r>
      <w:r>
        <w:rPr>
          <w:b/>
          <w:sz w:val="20"/>
        </w:rPr>
        <w:t>,</w:t>
      </w:r>
      <w:r w:rsidRPr="006C4697">
        <w:rPr>
          <w:b/>
          <w:sz w:val="20"/>
        </w:rPr>
        <w:t xml:space="preserve"> as at 31 March 2017</w:t>
      </w:r>
    </w:p>
    <w:tbl>
      <w:tblPr>
        <w:tblW w:w="9724"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6464"/>
        <w:gridCol w:w="1446"/>
        <w:gridCol w:w="1814"/>
      </w:tblGrid>
      <w:tr w:rsidR="00E02D44" w:rsidRPr="009B000C" w14:paraId="5F284914" w14:textId="77777777" w:rsidTr="005C6822">
        <w:trPr>
          <w:cantSplit/>
        </w:trPr>
        <w:tc>
          <w:tcPr>
            <w:tcW w:w="6464" w:type="dxa"/>
            <w:tcBorders>
              <w:top w:val="single" w:sz="4" w:space="0" w:color="auto"/>
              <w:bottom w:val="single" w:sz="4" w:space="0" w:color="auto"/>
            </w:tcBorders>
            <w:shd w:val="clear" w:color="auto" w:fill="auto"/>
          </w:tcPr>
          <w:p w14:paraId="203D7920" w14:textId="77777777" w:rsidR="00E02D44" w:rsidRPr="009B000C" w:rsidRDefault="00E02D44" w:rsidP="005C6822">
            <w:pPr>
              <w:spacing w:before="40" w:after="40"/>
              <w:ind w:right="142"/>
              <w:rPr>
                <w:b/>
                <w:sz w:val="18"/>
                <w:szCs w:val="18"/>
                <w:lang w:eastAsia="en-NZ"/>
              </w:rPr>
            </w:pPr>
            <w:r w:rsidRPr="009B000C">
              <w:rPr>
                <w:b/>
                <w:sz w:val="18"/>
                <w:szCs w:val="18"/>
                <w:lang w:eastAsia="en-NZ"/>
              </w:rPr>
              <w:t>Indicator</w:t>
            </w:r>
          </w:p>
        </w:tc>
        <w:tc>
          <w:tcPr>
            <w:tcW w:w="1446" w:type="dxa"/>
            <w:tcBorders>
              <w:top w:val="single" w:sz="4" w:space="0" w:color="auto"/>
              <w:bottom w:val="single" w:sz="4" w:space="0" w:color="auto"/>
            </w:tcBorders>
            <w:shd w:val="clear" w:color="auto" w:fill="auto"/>
          </w:tcPr>
          <w:p w14:paraId="715C93DE" w14:textId="77777777" w:rsidR="00E02D44" w:rsidRPr="009B000C" w:rsidRDefault="00E02D44" w:rsidP="005C6822">
            <w:pPr>
              <w:spacing w:before="40" w:after="40"/>
              <w:jc w:val="center"/>
              <w:rPr>
                <w:b/>
                <w:sz w:val="18"/>
                <w:szCs w:val="18"/>
                <w:lang w:eastAsia="en-NZ"/>
              </w:rPr>
            </w:pPr>
            <w:r w:rsidRPr="009B000C">
              <w:rPr>
                <w:b/>
                <w:sz w:val="18"/>
                <w:szCs w:val="18"/>
                <w:lang w:eastAsia="en-NZ"/>
              </w:rPr>
              <w:t>Pacific peoples</w:t>
            </w:r>
          </w:p>
        </w:tc>
        <w:tc>
          <w:tcPr>
            <w:tcW w:w="1814" w:type="dxa"/>
            <w:tcBorders>
              <w:top w:val="single" w:sz="4" w:space="0" w:color="auto"/>
              <w:bottom w:val="single" w:sz="4" w:space="0" w:color="auto"/>
            </w:tcBorders>
            <w:shd w:val="clear" w:color="auto" w:fill="auto"/>
          </w:tcPr>
          <w:p w14:paraId="07A1A449" w14:textId="77777777" w:rsidR="00E02D44" w:rsidRPr="009B000C" w:rsidRDefault="00E02D44" w:rsidP="005C6822">
            <w:pPr>
              <w:spacing w:before="40" w:after="40"/>
              <w:jc w:val="center"/>
              <w:rPr>
                <w:b/>
                <w:sz w:val="18"/>
                <w:szCs w:val="18"/>
                <w:lang w:eastAsia="en-NZ"/>
              </w:rPr>
            </w:pPr>
            <w:r>
              <w:rPr>
                <w:b/>
                <w:sz w:val="18"/>
                <w:szCs w:val="18"/>
                <w:lang w:eastAsia="en-NZ"/>
              </w:rPr>
              <w:t>Total New Zealand</w:t>
            </w:r>
          </w:p>
        </w:tc>
      </w:tr>
      <w:tr w:rsidR="00E02D44" w:rsidRPr="009B000C" w14:paraId="4D516F03" w14:textId="77777777" w:rsidTr="005C6822">
        <w:trPr>
          <w:cantSplit/>
        </w:trPr>
        <w:tc>
          <w:tcPr>
            <w:tcW w:w="6464" w:type="dxa"/>
            <w:tcBorders>
              <w:top w:val="single" w:sz="4" w:space="0" w:color="auto"/>
              <w:bottom w:val="single" w:sz="4" w:space="0" w:color="A6A6A6"/>
            </w:tcBorders>
            <w:shd w:val="clear" w:color="auto" w:fill="auto"/>
            <w:vAlign w:val="center"/>
          </w:tcPr>
          <w:p w14:paraId="278865D3" w14:textId="77777777" w:rsidR="00E02D44" w:rsidRPr="009B000C" w:rsidRDefault="00E02D44" w:rsidP="005C6822">
            <w:pPr>
              <w:spacing w:before="60" w:after="60"/>
              <w:ind w:right="142"/>
              <w:rPr>
                <w:sz w:val="18"/>
                <w:szCs w:val="18"/>
                <w:lang w:eastAsia="en-NZ"/>
              </w:rPr>
            </w:pPr>
            <w:r w:rsidRPr="009B000C">
              <w:rPr>
                <w:sz w:val="18"/>
                <w:szCs w:val="18"/>
                <w:lang w:eastAsia="en-NZ"/>
              </w:rPr>
              <w:t>Percentage of four year old children who received a B4SC</w:t>
            </w:r>
          </w:p>
        </w:tc>
        <w:tc>
          <w:tcPr>
            <w:tcW w:w="1446" w:type="dxa"/>
            <w:tcBorders>
              <w:top w:val="single" w:sz="4" w:space="0" w:color="auto"/>
              <w:bottom w:val="single" w:sz="4" w:space="0" w:color="A6A6A6"/>
            </w:tcBorders>
            <w:shd w:val="clear" w:color="auto" w:fill="auto"/>
            <w:vAlign w:val="center"/>
          </w:tcPr>
          <w:p w14:paraId="36B71629" w14:textId="77777777" w:rsidR="00E02D44" w:rsidRPr="009B000C" w:rsidRDefault="00E02D44" w:rsidP="005C6822">
            <w:pPr>
              <w:spacing w:before="60" w:after="60"/>
              <w:jc w:val="center"/>
              <w:rPr>
                <w:sz w:val="18"/>
                <w:szCs w:val="18"/>
                <w:lang w:eastAsia="en-NZ"/>
              </w:rPr>
            </w:pPr>
            <w:r>
              <w:rPr>
                <w:sz w:val="18"/>
                <w:szCs w:val="18"/>
                <w:lang w:eastAsia="en-NZ"/>
              </w:rPr>
              <w:t>89%</w:t>
            </w:r>
          </w:p>
        </w:tc>
        <w:tc>
          <w:tcPr>
            <w:tcW w:w="1814" w:type="dxa"/>
            <w:tcBorders>
              <w:top w:val="single" w:sz="4" w:space="0" w:color="auto"/>
              <w:bottom w:val="single" w:sz="4" w:space="0" w:color="A6A6A6"/>
            </w:tcBorders>
            <w:shd w:val="clear" w:color="auto" w:fill="auto"/>
            <w:vAlign w:val="center"/>
          </w:tcPr>
          <w:p w14:paraId="28D9F9D0" w14:textId="77777777" w:rsidR="00E02D44" w:rsidRPr="009B000C" w:rsidRDefault="00E02D44" w:rsidP="005C6822">
            <w:pPr>
              <w:spacing w:before="60" w:after="60"/>
              <w:jc w:val="center"/>
              <w:rPr>
                <w:sz w:val="18"/>
                <w:szCs w:val="18"/>
                <w:lang w:eastAsia="en-NZ"/>
              </w:rPr>
            </w:pPr>
            <w:r>
              <w:rPr>
                <w:sz w:val="18"/>
                <w:szCs w:val="18"/>
                <w:lang w:eastAsia="en-NZ"/>
              </w:rPr>
              <w:t>92%</w:t>
            </w:r>
          </w:p>
        </w:tc>
      </w:tr>
      <w:tr w:rsidR="00E02D44" w:rsidRPr="009B000C" w14:paraId="40F8CDB3" w14:textId="77777777" w:rsidTr="005C6822">
        <w:trPr>
          <w:cantSplit/>
        </w:trPr>
        <w:tc>
          <w:tcPr>
            <w:tcW w:w="6464" w:type="dxa"/>
            <w:tcBorders>
              <w:top w:val="single" w:sz="4" w:space="0" w:color="A6A6A6"/>
              <w:bottom w:val="single" w:sz="4" w:space="0" w:color="A6A6A6"/>
            </w:tcBorders>
            <w:shd w:val="clear" w:color="auto" w:fill="auto"/>
            <w:vAlign w:val="center"/>
          </w:tcPr>
          <w:p w14:paraId="481CA6BF" w14:textId="3C771FBD" w:rsidR="00E02D44" w:rsidRPr="009B000C" w:rsidRDefault="00E02D44" w:rsidP="00520C10">
            <w:pPr>
              <w:spacing w:before="60" w:after="60"/>
              <w:ind w:right="142"/>
              <w:rPr>
                <w:color w:val="000000"/>
                <w:sz w:val="18"/>
                <w:szCs w:val="18"/>
                <w:lang w:eastAsia="en-NZ"/>
              </w:rPr>
            </w:pPr>
            <w:r w:rsidRPr="009B000C">
              <w:rPr>
                <w:color w:val="000000"/>
                <w:sz w:val="18"/>
                <w:szCs w:val="18"/>
                <w:lang w:eastAsia="en-NZ"/>
              </w:rPr>
              <w:t xml:space="preserve">Percentage of children under five years of age enrolled in the </w:t>
            </w:r>
            <w:r w:rsidR="00520C10">
              <w:rPr>
                <w:color w:val="000000"/>
                <w:sz w:val="18"/>
                <w:szCs w:val="18"/>
                <w:lang w:eastAsia="en-NZ"/>
              </w:rPr>
              <w:t>COHS</w:t>
            </w:r>
          </w:p>
        </w:tc>
        <w:tc>
          <w:tcPr>
            <w:tcW w:w="1446" w:type="dxa"/>
            <w:tcBorders>
              <w:top w:val="single" w:sz="4" w:space="0" w:color="A6A6A6"/>
              <w:bottom w:val="single" w:sz="4" w:space="0" w:color="A6A6A6"/>
            </w:tcBorders>
            <w:shd w:val="clear" w:color="auto" w:fill="auto"/>
            <w:vAlign w:val="center"/>
          </w:tcPr>
          <w:p w14:paraId="0E35D35E" w14:textId="77777777" w:rsidR="00E02D44" w:rsidRPr="009B000C" w:rsidRDefault="00E02D44" w:rsidP="005C6822">
            <w:pPr>
              <w:spacing w:before="60" w:after="60"/>
              <w:jc w:val="center"/>
              <w:rPr>
                <w:color w:val="000000"/>
                <w:sz w:val="18"/>
                <w:szCs w:val="18"/>
                <w:lang w:eastAsia="en-NZ"/>
              </w:rPr>
            </w:pPr>
            <w:r>
              <w:rPr>
                <w:color w:val="000000"/>
                <w:sz w:val="18"/>
                <w:szCs w:val="18"/>
                <w:lang w:eastAsia="en-NZ"/>
              </w:rPr>
              <w:t>76%</w:t>
            </w:r>
          </w:p>
        </w:tc>
        <w:tc>
          <w:tcPr>
            <w:tcW w:w="1814" w:type="dxa"/>
            <w:tcBorders>
              <w:top w:val="single" w:sz="4" w:space="0" w:color="A6A6A6"/>
              <w:bottom w:val="single" w:sz="4" w:space="0" w:color="A6A6A6"/>
            </w:tcBorders>
            <w:shd w:val="clear" w:color="auto" w:fill="auto"/>
            <w:vAlign w:val="center"/>
          </w:tcPr>
          <w:p w14:paraId="41FA78CB" w14:textId="77777777" w:rsidR="00E02D44" w:rsidRPr="009B000C" w:rsidRDefault="00E02D44" w:rsidP="005C6822">
            <w:pPr>
              <w:spacing w:before="60" w:after="60"/>
              <w:jc w:val="center"/>
              <w:rPr>
                <w:color w:val="000000"/>
                <w:sz w:val="18"/>
                <w:szCs w:val="18"/>
                <w:lang w:eastAsia="en-NZ"/>
              </w:rPr>
            </w:pPr>
            <w:r>
              <w:rPr>
                <w:color w:val="000000"/>
                <w:sz w:val="18"/>
                <w:szCs w:val="18"/>
                <w:lang w:eastAsia="en-NZ"/>
              </w:rPr>
              <w:t>80%</w:t>
            </w:r>
          </w:p>
        </w:tc>
      </w:tr>
    </w:tbl>
    <w:p w14:paraId="3098307A" w14:textId="77777777" w:rsidR="002601C2" w:rsidRDefault="002601C2" w:rsidP="00805AF5"/>
    <w:p w14:paraId="62CCF512" w14:textId="68CDA6CF" w:rsidR="002601C2" w:rsidRDefault="005E0D50" w:rsidP="00805AF5">
      <w:r w:rsidRPr="00EE55C9">
        <w:t xml:space="preserve">The remaining </w:t>
      </w:r>
      <w:r>
        <w:t>five child health indicators show poorer health outcomes for the Pacific population in comparison to the total New Zealand population.</w:t>
      </w:r>
    </w:p>
    <w:p w14:paraId="77FAB494" w14:textId="77777777" w:rsidR="005E0D50" w:rsidRDefault="005E0D50" w:rsidP="00805AF5"/>
    <w:p w14:paraId="27FF4BB0" w14:textId="08607AC3" w:rsidR="00E02D44" w:rsidRPr="00EE55C9" w:rsidRDefault="00E02D44" w:rsidP="00E02D44">
      <w:pPr>
        <w:keepNext/>
        <w:spacing w:before="120" w:after="120"/>
        <w:rPr>
          <w:rFonts w:cs="Arial"/>
          <w:b/>
          <w:sz w:val="20"/>
        </w:rPr>
      </w:pPr>
      <w:bookmarkStart w:id="20" w:name="_Toc445801429"/>
      <w:bookmarkStart w:id="21" w:name="_Toc447527119"/>
      <w:bookmarkStart w:id="22" w:name="_Toc458524022"/>
      <w:r w:rsidRPr="00EE55C9">
        <w:rPr>
          <w:rFonts w:cs="Arial"/>
          <w:b/>
          <w:sz w:val="20"/>
        </w:rPr>
        <w:t xml:space="preserve">Table 3: </w:t>
      </w:r>
      <w:r w:rsidR="00AF4508">
        <w:rPr>
          <w:rFonts w:ascii="Arial" w:hAnsi="Arial" w:cs="Arial"/>
          <w:b/>
          <w:i/>
          <w:sz w:val="20"/>
        </w:rPr>
        <w:t>ʹ</w:t>
      </w:r>
      <w:r w:rsidR="00AF4508">
        <w:rPr>
          <w:rFonts w:cs="Arial"/>
          <w:b/>
          <w:i/>
          <w:sz w:val="20"/>
        </w:rPr>
        <w:t>Ala Mo</w:t>
      </w:r>
      <w:r w:rsidR="00AF4508">
        <w:rPr>
          <w:rFonts w:ascii="Arial" w:hAnsi="Arial" w:cs="Arial"/>
          <w:b/>
          <w:i/>
          <w:sz w:val="20"/>
        </w:rPr>
        <w:t>ʹ</w:t>
      </w:r>
      <w:r w:rsidRPr="00EE55C9">
        <w:rPr>
          <w:rFonts w:cs="Arial"/>
          <w:b/>
          <w:i/>
          <w:sz w:val="20"/>
        </w:rPr>
        <w:t>ui</w:t>
      </w:r>
      <w:r w:rsidRPr="00EE55C9">
        <w:rPr>
          <w:rFonts w:cs="Arial"/>
          <w:b/>
          <w:sz w:val="20"/>
        </w:rPr>
        <w:t xml:space="preserve"> indicators </w:t>
      </w:r>
      <w:r>
        <w:rPr>
          <w:rFonts w:cs="Arial"/>
          <w:b/>
          <w:sz w:val="20"/>
        </w:rPr>
        <w:t xml:space="preserve">which suggest </w:t>
      </w:r>
      <w:r w:rsidR="00520C10">
        <w:rPr>
          <w:rFonts w:cs="Arial"/>
          <w:b/>
          <w:sz w:val="20"/>
        </w:rPr>
        <w:t>poorer</w:t>
      </w:r>
      <w:r w:rsidRPr="00EE55C9">
        <w:rPr>
          <w:rFonts w:cs="Arial"/>
          <w:b/>
          <w:sz w:val="20"/>
        </w:rPr>
        <w:t xml:space="preserve"> </w:t>
      </w:r>
      <w:r>
        <w:rPr>
          <w:rFonts w:cs="Arial"/>
          <w:b/>
          <w:sz w:val="20"/>
        </w:rPr>
        <w:t xml:space="preserve">outcomes for </w:t>
      </w:r>
      <w:r w:rsidRPr="00EE55C9">
        <w:rPr>
          <w:rFonts w:cs="Arial"/>
          <w:b/>
          <w:sz w:val="20"/>
        </w:rPr>
        <w:t xml:space="preserve">Pacific peoples </w:t>
      </w:r>
      <w:r>
        <w:rPr>
          <w:rFonts w:cs="Arial"/>
          <w:b/>
          <w:sz w:val="20"/>
        </w:rPr>
        <w:t>compared to</w:t>
      </w:r>
      <w:r w:rsidRPr="00EE55C9">
        <w:rPr>
          <w:rFonts w:cs="Arial"/>
          <w:b/>
          <w:sz w:val="20"/>
        </w:rPr>
        <w:t xml:space="preserve"> the total New Zealand population</w:t>
      </w:r>
      <w:r>
        <w:rPr>
          <w:rFonts w:cs="Arial"/>
          <w:b/>
          <w:sz w:val="20"/>
        </w:rPr>
        <w:t>,</w:t>
      </w:r>
      <w:r w:rsidRPr="00EE55C9">
        <w:rPr>
          <w:rFonts w:cs="Arial"/>
          <w:b/>
          <w:sz w:val="20"/>
        </w:rPr>
        <w:t xml:space="preserve"> as at 31 March 201</w:t>
      </w:r>
      <w:bookmarkEnd w:id="20"/>
      <w:bookmarkEnd w:id="21"/>
      <w:bookmarkEnd w:id="22"/>
      <w:r w:rsidRPr="00EE55C9">
        <w:rPr>
          <w:rFonts w:cs="Arial"/>
          <w:b/>
          <w:sz w:val="20"/>
        </w:rPr>
        <w:t>7</w:t>
      </w:r>
    </w:p>
    <w:tbl>
      <w:tblPr>
        <w:tblW w:w="9724"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6464"/>
        <w:gridCol w:w="1446"/>
        <w:gridCol w:w="1814"/>
      </w:tblGrid>
      <w:tr w:rsidR="00E02D44" w:rsidRPr="00EE55C9" w14:paraId="58FA81B7" w14:textId="77777777" w:rsidTr="005C6822">
        <w:trPr>
          <w:cantSplit/>
        </w:trPr>
        <w:tc>
          <w:tcPr>
            <w:tcW w:w="6464" w:type="dxa"/>
            <w:tcBorders>
              <w:top w:val="single" w:sz="4" w:space="0" w:color="auto"/>
              <w:bottom w:val="single" w:sz="4" w:space="0" w:color="auto"/>
            </w:tcBorders>
            <w:shd w:val="clear" w:color="auto" w:fill="auto"/>
          </w:tcPr>
          <w:p w14:paraId="0807799B" w14:textId="77777777" w:rsidR="00E02D44" w:rsidRPr="00EE55C9" w:rsidRDefault="00E02D44" w:rsidP="005C6822">
            <w:pPr>
              <w:spacing w:before="40" w:after="40"/>
              <w:ind w:right="142"/>
              <w:rPr>
                <w:b/>
                <w:sz w:val="18"/>
                <w:szCs w:val="18"/>
                <w:lang w:eastAsia="en-NZ"/>
              </w:rPr>
            </w:pPr>
            <w:r w:rsidRPr="00EE55C9">
              <w:rPr>
                <w:b/>
                <w:sz w:val="18"/>
                <w:szCs w:val="18"/>
                <w:lang w:eastAsia="en-NZ"/>
              </w:rPr>
              <w:t>Indicator</w:t>
            </w:r>
          </w:p>
        </w:tc>
        <w:tc>
          <w:tcPr>
            <w:tcW w:w="1446" w:type="dxa"/>
            <w:tcBorders>
              <w:top w:val="single" w:sz="4" w:space="0" w:color="auto"/>
              <w:bottom w:val="single" w:sz="4" w:space="0" w:color="auto"/>
            </w:tcBorders>
            <w:shd w:val="clear" w:color="auto" w:fill="auto"/>
          </w:tcPr>
          <w:p w14:paraId="21D0DA8B" w14:textId="77777777" w:rsidR="00E02D44" w:rsidRPr="00EE55C9" w:rsidRDefault="00E02D44" w:rsidP="005C6822">
            <w:pPr>
              <w:spacing w:before="40" w:after="40"/>
              <w:jc w:val="center"/>
              <w:rPr>
                <w:b/>
                <w:sz w:val="18"/>
                <w:szCs w:val="18"/>
                <w:lang w:eastAsia="en-NZ"/>
              </w:rPr>
            </w:pPr>
            <w:r w:rsidRPr="00EE55C9">
              <w:rPr>
                <w:b/>
                <w:sz w:val="18"/>
                <w:szCs w:val="18"/>
                <w:lang w:eastAsia="en-NZ"/>
              </w:rPr>
              <w:t>Pacific peoples</w:t>
            </w:r>
          </w:p>
        </w:tc>
        <w:tc>
          <w:tcPr>
            <w:tcW w:w="1814" w:type="dxa"/>
            <w:tcBorders>
              <w:top w:val="single" w:sz="4" w:space="0" w:color="auto"/>
              <w:bottom w:val="single" w:sz="4" w:space="0" w:color="auto"/>
            </w:tcBorders>
            <w:shd w:val="clear" w:color="auto" w:fill="auto"/>
          </w:tcPr>
          <w:p w14:paraId="645CD8EA" w14:textId="77777777" w:rsidR="00E02D44" w:rsidRPr="00EE55C9" w:rsidRDefault="00E02D44" w:rsidP="005C6822">
            <w:pPr>
              <w:spacing w:before="40" w:after="40"/>
              <w:jc w:val="center"/>
              <w:rPr>
                <w:b/>
                <w:sz w:val="18"/>
                <w:szCs w:val="18"/>
                <w:lang w:eastAsia="en-NZ"/>
              </w:rPr>
            </w:pPr>
            <w:r w:rsidRPr="00EE55C9">
              <w:rPr>
                <w:b/>
                <w:sz w:val="18"/>
                <w:szCs w:val="18"/>
                <w:lang w:eastAsia="en-NZ"/>
              </w:rPr>
              <w:t>Total New Zealand</w:t>
            </w:r>
          </w:p>
        </w:tc>
      </w:tr>
      <w:tr w:rsidR="00E02D44" w:rsidRPr="00EE55C9" w14:paraId="4CFEECE2" w14:textId="77777777" w:rsidTr="005C6822">
        <w:trPr>
          <w:cantSplit/>
        </w:trPr>
        <w:tc>
          <w:tcPr>
            <w:tcW w:w="6464" w:type="dxa"/>
            <w:tcBorders>
              <w:top w:val="single" w:sz="4" w:space="0" w:color="auto"/>
              <w:bottom w:val="single" w:sz="4" w:space="0" w:color="A6A6A6"/>
            </w:tcBorders>
            <w:shd w:val="clear" w:color="auto" w:fill="auto"/>
            <w:vAlign w:val="center"/>
          </w:tcPr>
          <w:p w14:paraId="1D4F3B39" w14:textId="77777777" w:rsidR="00E02D44" w:rsidRPr="00EE55C9" w:rsidRDefault="00E02D44" w:rsidP="005C6822">
            <w:pPr>
              <w:spacing w:before="60" w:after="60"/>
              <w:ind w:right="142"/>
              <w:rPr>
                <w:sz w:val="18"/>
                <w:szCs w:val="18"/>
                <w:lang w:eastAsia="en-NZ"/>
              </w:rPr>
            </w:pPr>
            <w:r w:rsidRPr="00EE55C9">
              <w:rPr>
                <w:sz w:val="18"/>
                <w:szCs w:val="18"/>
                <w:lang w:eastAsia="en-NZ"/>
              </w:rPr>
              <w:t>Percentage of infants who received all WCTO core contacts in their first year of life</w:t>
            </w:r>
          </w:p>
        </w:tc>
        <w:tc>
          <w:tcPr>
            <w:tcW w:w="1446" w:type="dxa"/>
            <w:tcBorders>
              <w:top w:val="single" w:sz="4" w:space="0" w:color="auto"/>
              <w:bottom w:val="single" w:sz="4" w:space="0" w:color="A6A6A6"/>
            </w:tcBorders>
            <w:shd w:val="clear" w:color="auto" w:fill="auto"/>
            <w:vAlign w:val="center"/>
          </w:tcPr>
          <w:p w14:paraId="039FC936" w14:textId="77777777" w:rsidR="00E02D44" w:rsidRPr="00EE55C9" w:rsidRDefault="00E02D44" w:rsidP="005C6822">
            <w:pPr>
              <w:spacing w:before="60" w:after="60"/>
              <w:jc w:val="center"/>
              <w:rPr>
                <w:sz w:val="18"/>
                <w:szCs w:val="18"/>
                <w:lang w:eastAsia="en-NZ"/>
              </w:rPr>
            </w:pPr>
            <w:r w:rsidRPr="00EE55C9">
              <w:rPr>
                <w:sz w:val="18"/>
                <w:szCs w:val="18"/>
                <w:lang w:eastAsia="en-NZ"/>
              </w:rPr>
              <w:t>67%</w:t>
            </w:r>
          </w:p>
        </w:tc>
        <w:tc>
          <w:tcPr>
            <w:tcW w:w="1814" w:type="dxa"/>
            <w:tcBorders>
              <w:top w:val="single" w:sz="4" w:space="0" w:color="auto"/>
              <w:bottom w:val="single" w:sz="4" w:space="0" w:color="A6A6A6"/>
            </w:tcBorders>
            <w:shd w:val="clear" w:color="auto" w:fill="auto"/>
            <w:vAlign w:val="center"/>
          </w:tcPr>
          <w:p w14:paraId="23F6C561" w14:textId="77777777" w:rsidR="00E02D44" w:rsidRPr="00EE55C9" w:rsidRDefault="00E02D44" w:rsidP="005C6822">
            <w:pPr>
              <w:spacing w:before="60" w:after="60"/>
              <w:jc w:val="center"/>
              <w:rPr>
                <w:sz w:val="18"/>
                <w:szCs w:val="18"/>
                <w:lang w:eastAsia="en-NZ"/>
              </w:rPr>
            </w:pPr>
            <w:r w:rsidRPr="00EE55C9">
              <w:rPr>
                <w:sz w:val="18"/>
                <w:szCs w:val="18"/>
                <w:lang w:eastAsia="en-NZ"/>
              </w:rPr>
              <w:t>77%</w:t>
            </w:r>
          </w:p>
        </w:tc>
      </w:tr>
      <w:tr w:rsidR="00E02D44" w:rsidRPr="00EE55C9" w14:paraId="00DFBB7A" w14:textId="77777777" w:rsidTr="005C6822">
        <w:trPr>
          <w:cantSplit/>
        </w:trPr>
        <w:tc>
          <w:tcPr>
            <w:tcW w:w="6464" w:type="dxa"/>
            <w:tcBorders>
              <w:top w:val="single" w:sz="4" w:space="0" w:color="A6A6A6"/>
              <w:bottom w:val="single" w:sz="4" w:space="0" w:color="A6A6A6"/>
            </w:tcBorders>
            <w:shd w:val="clear" w:color="auto" w:fill="auto"/>
            <w:vAlign w:val="center"/>
          </w:tcPr>
          <w:p w14:paraId="6AD2815A" w14:textId="77777777" w:rsidR="00E02D44" w:rsidRPr="00EE55C9" w:rsidRDefault="00E02D44" w:rsidP="005C6822">
            <w:pPr>
              <w:spacing w:before="60" w:after="60"/>
              <w:ind w:right="142"/>
              <w:rPr>
                <w:sz w:val="18"/>
                <w:szCs w:val="18"/>
                <w:lang w:eastAsia="en-NZ"/>
              </w:rPr>
            </w:pPr>
            <w:r w:rsidRPr="00EE55C9">
              <w:rPr>
                <w:sz w:val="18"/>
                <w:szCs w:val="18"/>
              </w:rPr>
              <w:t>Percentage of infants exclusively or fully breastfed at three months of age</w:t>
            </w:r>
          </w:p>
        </w:tc>
        <w:tc>
          <w:tcPr>
            <w:tcW w:w="1446" w:type="dxa"/>
            <w:tcBorders>
              <w:top w:val="single" w:sz="4" w:space="0" w:color="A6A6A6"/>
              <w:bottom w:val="single" w:sz="4" w:space="0" w:color="A6A6A6"/>
            </w:tcBorders>
            <w:shd w:val="clear" w:color="auto" w:fill="auto"/>
            <w:vAlign w:val="center"/>
          </w:tcPr>
          <w:p w14:paraId="28B93F13" w14:textId="77777777" w:rsidR="00E02D44" w:rsidRPr="00EE55C9" w:rsidRDefault="00E02D44" w:rsidP="005C6822">
            <w:pPr>
              <w:spacing w:before="60" w:after="60"/>
              <w:jc w:val="center"/>
              <w:rPr>
                <w:sz w:val="18"/>
                <w:szCs w:val="18"/>
                <w:lang w:eastAsia="en-NZ"/>
              </w:rPr>
            </w:pPr>
            <w:r w:rsidRPr="00EE55C9">
              <w:rPr>
                <w:sz w:val="18"/>
                <w:szCs w:val="18"/>
                <w:lang w:eastAsia="en-NZ"/>
              </w:rPr>
              <w:t>46%</w:t>
            </w:r>
          </w:p>
        </w:tc>
        <w:tc>
          <w:tcPr>
            <w:tcW w:w="1814" w:type="dxa"/>
            <w:tcBorders>
              <w:top w:val="single" w:sz="4" w:space="0" w:color="A6A6A6"/>
              <w:bottom w:val="single" w:sz="4" w:space="0" w:color="A6A6A6"/>
            </w:tcBorders>
            <w:shd w:val="clear" w:color="auto" w:fill="auto"/>
            <w:vAlign w:val="center"/>
          </w:tcPr>
          <w:p w14:paraId="65B58C99" w14:textId="77777777" w:rsidR="00E02D44" w:rsidRPr="00EE55C9" w:rsidRDefault="00E02D44" w:rsidP="005C6822">
            <w:pPr>
              <w:spacing w:before="60" w:after="60"/>
              <w:jc w:val="center"/>
              <w:rPr>
                <w:sz w:val="18"/>
                <w:szCs w:val="18"/>
                <w:lang w:eastAsia="en-NZ"/>
              </w:rPr>
            </w:pPr>
            <w:r w:rsidRPr="00EE55C9">
              <w:rPr>
                <w:sz w:val="18"/>
                <w:szCs w:val="18"/>
                <w:lang w:eastAsia="en-NZ"/>
              </w:rPr>
              <w:t>56%</w:t>
            </w:r>
          </w:p>
        </w:tc>
      </w:tr>
      <w:tr w:rsidR="00E02D44" w:rsidRPr="00EE55C9" w14:paraId="66907793" w14:textId="77777777" w:rsidTr="005C6822">
        <w:trPr>
          <w:cantSplit/>
        </w:trPr>
        <w:tc>
          <w:tcPr>
            <w:tcW w:w="6464" w:type="dxa"/>
            <w:tcBorders>
              <w:top w:val="single" w:sz="4" w:space="0" w:color="A6A6A6"/>
              <w:bottom w:val="single" w:sz="4" w:space="0" w:color="A6A6A6"/>
            </w:tcBorders>
            <w:shd w:val="clear" w:color="auto" w:fill="auto"/>
            <w:vAlign w:val="center"/>
          </w:tcPr>
          <w:p w14:paraId="2227EE65" w14:textId="77777777" w:rsidR="00E02D44" w:rsidRPr="00EE55C9" w:rsidRDefault="00E02D44" w:rsidP="005C6822">
            <w:pPr>
              <w:spacing w:before="60" w:after="60"/>
              <w:ind w:right="142"/>
              <w:rPr>
                <w:sz w:val="18"/>
                <w:szCs w:val="18"/>
                <w:lang w:eastAsia="en-NZ"/>
              </w:rPr>
            </w:pPr>
            <w:r w:rsidRPr="00EE55C9">
              <w:rPr>
                <w:color w:val="000000"/>
                <w:sz w:val="18"/>
                <w:szCs w:val="18"/>
                <w:lang w:eastAsia="en-NZ"/>
              </w:rPr>
              <w:t>Percentage of children aged 2 to 14 years interviewed in the New Zealand Health Survey who were obese (BMI &gt;/= Cole cut-offs)</w:t>
            </w:r>
          </w:p>
        </w:tc>
        <w:tc>
          <w:tcPr>
            <w:tcW w:w="1446" w:type="dxa"/>
            <w:tcBorders>
              <w:top w:val="single" w:sz="4" w:space="0" w:color="A6A6A6"/>
              <w:bottom w:val="single" w:sz="4" w:space="0" w:color="A6A6A6"/>
            </w:tcBorders>
            <w:shd w:val="clear" w:color="auto" w:fill="auto"/>
            <w:vAlign w:val="center"/>
          </w:tcPr>
          <w:p w14:paraId="70F15F92" w14:textId="77777777" w:rsidR="00E02D44" w:rsidRPr="00EE55C9" w:rsidRDefault="00E02D44" w:rsidP="005C6822">
            <w:pPr>
              <w:spacing w:before="60" w:after="60"/>
              <w:jc w:val="center"/>
              <w:rPr>
                <w:sz w:val="18"/>
                <w:szCs w:val="18"/>
                <w:lang w:eastAsia="en-NZ"/>
              </w:rPr>
            </w:pPr>
            <w:r w:rsidRPr="00EE55C9">
              <w:rPr>
                <w:color w:val="000000"/>
                <w:sz w:val="18"/>
                <w:szCs w:val="18"/>
                <w:lang w:eastAsia="en-NZ"/>
              </w:rPr>
              <w:t>30%</w:t>
            </w:r>
          </w:p>
        </w:tc>
        <w:tc>
          <w:tcPr>
            <w:tcW w:w="1814" w:type="dxa"/>
            <w:tcBorders>
              <w:top w:val="single" w:sz="4" w:space="0" w:color="A6A6A6"/>
              <w:bottom w:val="single" w:sz="4" w:space="0" w:color="A6A6A6"/>
            </w:tcBorders>
            <w:shd w:val="clear" w:color="auto" w:fill="auto"/>
            <w:vAlign w:val="center"/>
          </w:tcPr>
          <w:p w14:paraId="76EC694C" w14:textId="77777777" w:rsidR="00E02D44" w:rsidRPr="00EE55C9" w:rsidRDefault="00E02D44" w:rsidP="005C6822">
            <w:pPr>
              <w:spacing w:before="60" w:after="60"/>
              <w:jc w:val="center"/>
              <w:rPr>
                <w:sz w:val="18"/>
                <w:szCs w:val="18"/>
                <w:lang w:eastAsia="en-NZ"/>
              </w:rPr>
            </w:pPr>
            <w:r w:rsidRPr="00EE55C9">
              <w:rPr>
                <w:color w:val="000000"/>
                <w:sz w:val="18"/>
                <w:szCs w:val="18"/>
                <w:lang w:eastAsia="en-NZ"/>
              </w:rPr>
              <w:t>11%</w:t>
            </w:r>
          </w:p>
        </w:tc>
      </w:tr>
      <w:tr w:rsidR="00E02D44" w:rsidRPr="00EE55C9" w14:paraId="142A81D9" w14:textId="77777777" w:rsidTr="005C6822">
        <w:trPr>
          <w:cantSplit/>
        </w:trPr>
        <w:tc>
          <w:tcPr>
            <w:tcW w:w="6464" w:type="dxa"/>
            <w:tcBorders>
              <w:top w:val="single" w:sz="4" w:space="0" w:color="A6A6A6"/>
              <w:bottom w:val="single" w:sz="4" w:space="0" w:color="A6A6A6"/>
            </w:tcBorders>
            <w:shd w:val="clear" w:color="auto" w:fill="auto"/>
            <w:vAlign w:val="center"/>
          </w:tcPr>
          <w:p w14:paraId="4F48430E" w14:textId="77777777" w:rsidR="00E02D44" w:rsidRPr="00EE55C9" w:rsidRDefault="00E02D44" w:rsidP="005C6822">
            <w:pPr>
              <w:spacing w:before="60" w:after="60"/>
              <w:ind w:right="142"/>
              <w:rPr>
                <w:color w:val="000000"/>
                <w:sz w:val="18"/>
                <w:szCs w:val="18"/>
                <w:lang w:eastAsia="en-NZ"/>
              </w:rPr>
            </w:pPr>
            <w:r w:rsidRPr="00EE55C9">
              <w:rPr>
                <w:sz w:val="18"/>
                <w:szCs w:val="18"/>
                <w:lang w:eastAsia="en-NZ"/>
              </w:rPr>
              <w:t>Percentage of children caries-free at age five</w:t>
            </w:r>
          </w:p>
        </w:tc>
        <w:tc>
          <w:tcPr>
            <w:tcW w:w="1446" w:type="dxa"/>
            <w:tcBorders>
              <w:top w:val="single" w:sz="4" w:space="0" w:color="A6A6A6"/>
              <w:bottom w:val="single" w:sz="4" w:space="0" w:color="A6A6A6"/>
            </w:tcBorders>
            <w:shd w:val="clear" w:color="auto" w:fill="auto"/>
            <w:vAlign w:val="center"/>
          </w:tcPr>
          <w:p w14:paraId="22414535" w14:textId="77777777" w:rsidR="00E02D44" w:rsidRPr="00EE55C9" w:rsidRDefault="00E02D44" w:rsidP="005C6822">
            <w:pPr>
              <w:spacing w:before="60" w:after="60"/>
              <w:jc w:val="center"/>
              <w:rPr>
                <w:color w:val="000000"/>
                <w:sz w:val="18"/>
                <w:szCs w:val="18"/>
                <w:lang w:eastAsia="en-NZ"/>
              </w:rPr>
            </w:pPr>
            <w:r w:rsidRPr="00EE55C9">
              <w:rPr>
                <w:sz w:val="18"/>
                <w:szCs w:val="18"/>
                <w:lang w:eastAsia="en-NZ"/>
              </w:rPr>
              <w:t>33%</w:t>
            </w:r>
          </w:p>
        </w:tc>
        <w:tc>
          <w:tcPr>
            <w:tcW w:w="1814" w:type="dxa"/>
            <w:tcBorders>
              <w:top w:val="single" w:sz="4" w:space="0" w:color="A6A6A6"/>
              <w:bottom w:val="single" w:sz="4" w:space="0" w:color="A6A6A6"/>
            </w:tcBorders>
            <w:shd w:val="clear" w:color="auto" w:fill="auto"/>
            <w:vAlign w:val="center"/>
          </w:tcPr>
          <w:p w14:paraId="3D08C2EB" w14:textId="77777777" w:rsidR="00E02D44" w:rsidRPr="00EE55C9" w:rsidRDefault="00E02D44" w:rsidP="005C6822">
            <w:pPr>
              <w:spacing w:before="60" w:after="60"/>
              <w:jc w:val="center"/>
              <w:rPr>
                <w:color w:val="000000"/>
                <w:sz w:val="18"/>
                <w:szCs w:val="18"/>
                <w:lang w:eastAsia="en-NZ"/>
              </w:rPr>
            </w:pPr>
            <w:r w:rsidRPr="00EE55C9">
              <w:rPr>
                <w:sz w:val="18"/>
                <w:szCs w:val="18"/>
                <w:lang w:eastAsia="en-NZ"/>
              </w:rPr>
              <w:t>60%</w:t>
            </w:r>
          </w:p>
        </w:tc>
      </w:tr>
      <w:tr w:rsidR="00E02D44" w:rsidRPr="00EE55C9" w14:paraId="0A4986AA" w14:textId="77777777" w:rsidTr="005C6822">
        <w:trPr>
          <w:cantSplit/>
        </w:trPr>
        <w:tc>
          <w:tcPr>
            <w:tcW w:w="6464" w:type="dxa"/>
            <w:tcBorders>
              <w:top w:val="single" w:sz="4" w:space="0" w:color="A6A6A6"/>
              <w:bottom w:val="single" w:sz="4" w:space="0" w:color="A6A6A6"/>
            </w:tcBorders>
            <w:shd w:val="clear" w:color="auto" w:fill="auto"/>
            <w:vAlign w:val="center"/>
          </w:tcPr>
          <w:p w14:paraId="3DC41875" w14:textId="77777777" w:rsidR="00E02D44" w:rsidRPr="00EE55C9" w:rsidRDefault="00E02D44" w:rsidP="005C6822">
            <w:pPr>
              <w:spacing w:before="60" w:after="60"/>
              <w:ind w:right="142"/>
              <w:rPr>
                <w:color w:val="000000"/>
                <w:sz w:val="18"/>
                <w:szCs w:val="18"/>
                <w:lang w:eastAsia="en-NZ"/>
              </w:rPr>
            </w:pPr>
            <w:r w:rsidRPr="00EE55C9">
              <w:rPr>
                <w:sz w:val="18"/>
                <w:szCs w:val="18"/>
              </w:rPr>
              <w:t>Mean number of decayed, missing or filled teeth (DMFT) per child in school year eight</w:t>
            </w:r>
          </w:p>
        </w:tc>
        <w:tc>
          <w:tcPr>
            <w:tcW w:w="1446" w:type="dxa"/>
            <w:tcBorders>
              <w:top w:val="single" w:sz="4" w:space="0" w:color="A6A6A6"/>
              <w:bottom w:val="single" w:sz="4" w:space="0" w:color="A6A6A6"/>
            </w:tcBorders>
            <w:shd w:val="clear" w:color="auto" w:fill="auto"/>
            <w:vAlign w:val="center"/>
          </w:tcPr>
          <w:p w14:paraId="26EB03F1" w14:textId="77777777" w:rsidR="00E02D44" w:rsidRPr="00EE55C9" w:rsidRDefault="00E02D44" w:rsidP="005C6822">
            <w:pPr>
              <w:spacing w:before="60" w:after="60"/>
              <w:jc w:val="center"/>
              <w:rPr>
                <w:color w:val="000000"/>
                <w:sz w:val="18"/>
                <w:szCs w:val="18"/>
                <w:lang w:eastAsia="en-NZ"/>
              </w:rPr>
            </w:pPr>
            <w:r w:rsidRPr="00EE55C9">
              <w:rPr>
                <w:sz w:val="18"/>
                <w:szCs w:val="18"/>
                <w:lang w:eastAsia="en-NZ"/>
              </w:rPr>
              <w:t>1.39</w:t>
            </w:r>
          </w:p>
        </w:tc>
        <w:tc>
          <w:tcPr>
            <w:tcW w:w="1814" w:type="dxa"/>
            <w:tcBorders>
              <w:top w:val="single" w:sz="4" w:space="0" w:color="A6A6A6"/>
              <w:bottom w:val="single" w:sz="4" w:space="0" w:color="A6A6A6"/>
            </w:tcBorders>
            <w:shd w:val="clear" w:color="auto" w:fill="auto"/>
            <w:vAlign w:val="center"/>
          </w:tcPr>
          <w:p w14:paraId="2102FA50" w14:textId="77777777" w:rsidR="00E02D44" w:rsidRPr="00EE55C9" w:rsidRDefault="00E02D44" w:rsidP="005C6822">
            <w:pPr>
              <w:spacing w:before="60" w:after="60"/>
              <w:jc w:val="center"/>
              <w:rPr>
                <w:color w:val="000000"/>
                <w:sz w:val="18"/>
                <w:szCs w:val="18"/>
                <w:lang w:eastAsia="en-NZ"/>
              </w:rPr>
            </w:pPr>
            <w:r w:rsidRPr="00EE55C9">
              <w:rPr>
                <w:sz w:val="18"/>
                <w:szCs w:val="18"/>
                <w:lang w:eastAsia="en-NZ"/>
              </w:rPr>
              <w:t>0.90</w:t>
            </w:r>
          </w:p>
        </w:tc>
      </w:tr>
    </w:tbl>
    <w:p w14:paraId="3563B132" w14:textId="77777777" w:rsidR="002601C2" w:rsidRDefault="002601C2" w:rsidP="00805AF5"/>
    <w:p w14:paraId="4C919378" w14:textId="77777777" w:rsidR="002F7222" w:rsidRDefault="002601C2" w:rsidP="00805AF5">
      <w:pPr>
        <w:keepNext/>
      </w:pPr>
      <w:r>
        <w:lastRenderedPageBreak/>
        <w:t>It is important to note that, although these indicators show disparity between Pacific peoples and the total New Zealand population, there are still signs of improvement. For example, rates against two particular indicators have shown consistent improvement over time, as follows.</w:t>
      </w:r>
    </w:p>
    <w:p w14:paraId="07D3474D" w14:textId="77777777" w:rsidR="002601C2" w:rsidRDefault="002601C2" w:rsidP="00805AF5">
      <w:pPr>
        <w:pStyle w:val="Bullet"/>
        <w:keepNext/>
      </w:pPr>
      <w:r>
        <w:t>The p</w:t>
      </w:r>
      <w:r w:rsidRPr="00764939">
        <w:t xml:space="preserve">ercentage of </w:t>
      </w:r>
      <w:r>
        <w:t xml:space="preserve">Pacific </w:t>
      </w:r>
      <w:r w:rsidRPr="00764939">
        <w:t>infants who received all WCTO core contacts in their first year of life</w:t>
      </w:r>
      <w:r>
        <w:t xml:space="preserve"> has shown continual improvement; it rose from 53 percent in June 2015 to 67 percent in June 2016.</w:t>
      </w:r>
    </w:p>
    <w:p w14:paraId="4F630D3E" w14:textId="77777777" w:rsidR="002601C2" w:rsidRDefault="002601C2" w:rsidP="00805AF5">
      <w:pPr>
        <w:pStyle w:val="Bullet"/>
      </w:pPr>
      <w:r>
        <w:t>The m</w:t>
      </w:r>
      <w:r w:rsidRPr="00830654">
        <w:t xml:space="preserve">ean number of </w:t>
      </w:r>
      <w:r>
        <w:t>DMFT</w:t>
      </w:r>
      <w:r w:rsidRPr="00830654">
        <w:t xml:space="preserve"> per </w:t>
      </w:r>
      <w:r>
        <w:t xml:space="preserve">Pacific </w:t>
      </w:r>
      <w:r w:rsidRPr="00830654">
        <w:t>child in school year eight</w:t>
      </w:r>
      <w:r>
        <w:t xml:space="preserve"> has gradually decreased; for example, from 1.85 in 2011 to 1.39 in 2015.</w:t>
      </w:r>
    </w:p>
    <w:p w14:paraId="25FFED2D" w14:textId="77777777" w:rsidR="002601C2" w:rsidRDefault="002601C2" w:rsidP="00805AF5"/>
    <w:p w14:paraId="663A8F2B" w14:textId="77777777" w:rsidR="002601C2" w:rsidRPr="00206E32" w:rsidRDefault="002601C2" w:rsidP="00805AF5">
      <w:pPr>
        <w:pStyle w:val="Heading1"/>
      </w:pPr>
      <w:bookmarkStart w:id="23" w:name="_Toc503952524"/>
      <w:bookmarkStart w:id="24" w:name="_Toc504249852"/>
      <w:bookmarkStart w:id="25" w:name="_Toc531258240"/>
      <w:r w:rsidRPr="00754E8C">
        <w:lastRenderedPageBreak/>
        <w:t>Newborn</w:t>
      </w:r>
      <w:r>
        <w:t xml:space="preserve"> e</w:t>
      </w:r>
      <w:r w:rsidRPr="00754E8C">
        <w:t>nrolment</w:t>
      </w:r>
      <w:r>
        <w:t xml:space="preserve"> with general practice</w:t>
      </w:r>
      <w:bookmarkEnd w:id="23"/>
      <w:bookmarkEnd w:id="24"/>
      <w:bookmarkEnd w:id="25"/>
    </w:p>
    <w:p w14:paraId="6F934AD2" w14:textId="0E698FD9" w:rsidR="002F7222" w:rsidRDefault="002601C2" w:rsidP="00805AF5">
      <w:r w:rsidRPr="002F7222">
        <w:t xml:space="preserve">Nationally, the rate of Pacific newborn enrolment with a general practice is consistent with that of the total New Zealand population (see Figure 1). This is a promising indicator of equitable </w:t>
      </w:r>
      <w:r w:rsidR="009B6CE8">
        <w:t>enrolment rates</w:t>
      </w:r>
      <w:r w:rsidRPr="002F7222">
        <w:t>.</w:t>
      </w:r>
    </w:p>
    <w:p w14:paraId="00AA5134" w14:textId="77777777" w:rsidR="00805AF5" w:rsidRPr="002F7222" w:rsidRDefault="00805AF5" w:rsidP="00805AF5"/>
    <w:p w14:paraId="20F9F58F" w14:textId="77777777" w:rsidR="002F7222" w:rsidRPr="002F7222" w:rsidRDefault="002601C2" w:rsidP="00805AF5">
      <w:r w:rsidRPr="002F7222">
        <w:t>It is important to note that the Ministry of Health is continuing to work on addressing health service enrolment rates for the most vulnerable children and families, who require a complex and integrated cross-agency approach.</w:t>
      </w:r>
    </w:p>
    <w:p w14:paraId="304E353C" w14:textId="77777777" w:rsidR="002601C2" w:rsidRDefault="002601C2" w:rsidP="00805AF5"/>
    <w:p w14:paraId="435D0C4F" w14:textId="77777777" w:rsidR="00805AF5" w:rsidRPr="002F7222" w:rsidRDefault="00805AF5" w:rsidP="00805AF5">
      <w:pPr>
        <w:pStyle w:val="Heading2"/>
      </w:pPr>
      <w:bookmarkStart w:id="26" w:name="_Toc504249853"/>
      <w:bookmarkStart w:id="27" w:name="_Toc531258241"/>
      <w:r w:rsidRPr="007660C8">
        <w:rPr>
          <w:lang w:eastAsia="en-NZ"/>
        </w:rPr>
        <w:t>Increased percentage of Pacific newborn infants who are enrolled with a general practice</w:t>
      </w:r>
      <w:bookmarkEnd w:id="26"/>
      <w:bookmarkEnd w:id="27"/>
    </w:p>
    <w:p w14:paraId="63AE1C29" w14:textId="77777777" w:rsidR="002601C2" w:rsidRPr="00A119E8" w:rsidRDefault="002601C2" w:rsidP="007B7560">
      <w:r w:rsidRPr="007A28AF">
        <w:rPr>
          <w:b/>
        </w:rPr>
        <w:t>Performance:</w:t>
      </w:r>
      <w:r>
        <w:t xml:space="preserve"> The target was set at</w:t>
      </w:r>
      <w:r w:rsidRPr="00A119E8">
        <w:t xml:space="preserve"> 98 percent</w:t>
      </w:r>
      <w:r>
        <w:t xml:space="preserve">, </w:t>
      </w:r>
      <w:r w:rsidRPr="00A119E8">
        <w:t>to be achieved by June 2016.</w:t>
      </w:r>
      <w:r>
        <w:t xml:space="preserve"> The previous target was 88 percent, to be achieved by December 2014.</w:t>
      </w:r>
    </w:p>
    <w:p w14:paraId="297B30CE" w14:textId="77777777" w:rsidR="002601C2" w:rsidRPr="00A119E8" w:rsidRDefault="002601C2" w:rsidP="007B7560"/>
    <w:p w14:paraId="760C157E" w14:textId="77777777" w:rsidR="002601C2" w:rsidRDefault="002601C2" w:rsidP="007B7560">
      <w:pPr>
        <w:pStyle w:val="Figure"/>
      </w:pPr>
      <w:bookmarkStart w:id="28" w:name="_Toc428368061"/>
      <w:bookmarkStart w:id="29" w:name="_Toc428370439"/>
      <w:bookmarkStart w:id="30" w:name="_Toc445801445"/>
      <w:bookmarkStart w:id="31" w:name="_Toc447527143"/>
      <w:bookmarkStart w:id="32" w:name="_Toc458409425"/>
      <w:bookmarkStart w:id="33" w:name="_Toc504249882"/>
      <w:bookmarkStart w:id="34" w:name="_Toc531258277"/>
      <w:r w:rsidRPr="00A119E8">
        <w:t xml:space="preserve">Figure </w:t>
      </w:r>
      <w:r>
        <w:t>1</w:t>
      </w:r>
      <w:r w:rsidRPr="00A119E8">
        <w:t>: Percentage of</w:t>
      </w:r>
      <w:r>
        <w:t xml:space="preserve"> newborn</w:t>
      </w:r>
      <w:r w:rsidRPr="00A119E8">
        <w:t xml:space="preserve"> infants enr</w:t>
      </w:r>
      <w:r>
        <w:t xml:space="preserve">olled with a general practice, Pacific peoples </w:t>
      </w:r>
      <w:r w:rsidRPr="00A119E8">
        <w:t xml:space="preserve">and total </w:t>
      </w:r>
      <w:r>
        <w:t xml:space="preserve">New Zealand population, </w:t>
      </w:r>
      <w:bookmarkEnd w:id="28"/>
      <w:bookmarkEnd w:id="29"/>
      <w:bookmarkEnd w:id="30"/>
      <w:bookmarkEnd w:id="31"/>
      <w:bookmarkEnd w:id="32"/>
      <w:r>
        <w:t>March 2014–March 2017</w:t>
      </w:r>
      <w:bookmarkEnd w:id="33"/>
      <w:bookmarkEnd w:id="34"/>
    </w:p>
    <w:p w14:paraId="48A167A0" w14:textId="77777777" w:rsidR="002601C2" w:rsidRPr="0030714D" w:rsidRDefault="002601C2" w:rsidP="002601C2">
      <w:r>
        <w:rPr>
          <w:noProof/>
          <w:lang w:eastAsia="ja-JP"/>
        </w:rPr>
        <w:drawing>
          <wp:inline distT="0" distB="0" distL="0" distR="0" wp14:anchorId="49C553EF" wp14:editId="69E43825">
            <wp:extent cx="4680065" cy="3067396"/>
            <wp:effectExtent l="0" t="0" r="6350" b="0"/>
            <wp:docPr id="84" name="Chart 84" descr="graph showing target and Pacific and total New Zealand enrolment rates" title="Figure 1: Percentage of newborn infants enrolled with a general practice, Pacific peoples and total New Zealand population,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1151D8" w14:textId="77777777" w:rsidR="002601C2" w:rsidRDefault="002601C2" w:rsidP="007B7560">
      <w:pPr>
        <w:pStyle w:val="Source"/>
        <w:rPr>
          <w:noProof/>
          <w:lang w:eastAsia="en-NZ"/>
        </w:rPr>
      </w:pPr>
      <w:r w:rsidRPr="00C7672C">
        <w:rPr>
          <w:noProof/>
          <w:lang w:eastAsia="en-NZ"/>
        </w:rPr>
        <w:t xml:space="preserve">Source: </w:t>
      </w:r>
      <w:r>
        <w:rPr>
          <w:noProof/>
          <w:lang w:eastAsia="en-NZ"/>
        </w:rPr>
        <w:t>PHO enrolment register (numerator)</w:t>
      </w:r>
      <w:r w:rsidRPr="00C7672C">
        <w:rPr>
          <w:noProof/>
          <w:lang w:eastAsia="en-NZ"/>
        </w:rPr>
        <w:t xml:space="preserve"> and the</w:t>
      </w:r>
      <w:r>
        <w:rPr>
          <w:noProof/>
          <w:lang w:eastAsia="en-NZ"/>
        </w:rPr>
        <w:t xml:space="preserve"> National Immunisation Register (denominator)</w:t>
      </w:r>
    </w:p>
    <w:p w14:paraId="7A7DBACF" w14:textId="77777777" w:rsidR="00274E1B" w:rsidRPr="00274E1B" w:rsidRDefault="00274E1B" w:rsidP="00274E1B">
      <w:pPr>
        <w:rPr>
          <w:lang w:eastAsia="en-NZ"/>
        </w:rPr>
      </w:pPr>
    </w:p>
    <w:p w14:paraId="44749468" w14:textId="77777777" w:rsidR="002601C2" w:rsidRDefault="002601C2" w:rsidP="002601C2">
      <w:pPr>
        <w:pStyle w:val="Figure"/>
      </w:pPr>
      <w:bookmarkStart w:id="35" w:name="_Toc428368062"/>
      <w:bookmarkStart w:id="36" w:name="_Toc428370440"/>
      <w:bookmarkStart w:id="37" w:name="_Toc428878518"/>
      <w:bookmarkStart w:id="38" w:name="_Toc445801446"/>
      <w:bookmarkStart w:id="39" w:name="_Toc447527144"/>
      <w:bookmarkStart w:id="40" w:name="_Toc458409426"/>
      <w:bookmarkStart w:id="41" w:name="_Toc504249883"/>
      <w:bookmarkStart w:id="42" w:name="_Toc531258278"/>
      <w:r w:rsidRPr="00A119E8">
        <w:lastRenderedPageBreak/>
        <w:t xml:space="preserve">Figure </w:t>
      </w:r>
      <w:r>
        <w:t>2A</w:t>
      </w:r>
      <w:r w:rsidRPr="00A119E8">
        <w:t>: Percentage of</w:t>
      </w:r>
      <w:r>
        <w:t xml:space="preserve"> Pacific newborn</w:t>
      </w:r>
      <w:r w:rsidRPr="00A119E8">
        <w:t xml:space="preserve"> infants enrolled with a general practice, </w:t>
      </w:r>
      <w:r>
        <w:t>Auckland region</w:t>
      </w:r>
      <w:r w:rsidRPr="00A119E8">
        <w:t xml:space="preserve"> DHBs</w:t>
      </w:r>
      <w:bookmarkEnd w:id="35"/>
      <w:bookmarkEnd w:id="36"/>
      <w:bookmarkEnd w:id="37"/>
      <w:bookmarkEnd w:id="38"/>
      <w:bookmarkEnd w:id="39"/>
      <w:bookmarkEnd w:id="40"/>
      <w:r>
        <w:t>, March 2014–March 2017</w:t>
      </w:r>
      <w:bookmarkEnd w:id="41"/>
      <w:bookmarkEnd w:id="42"/>
    </w:p>
    <w:p w14:paraId="476E2156" w14:textId="77777777" w:rsidR="002601C2" w:rsidRDefault="002601C2" w:rsidP="002601C2">
      <w:pPr>
        <w:rPr>
          <w:noProof/>
          <w:lang w:eastAsia="en-NZ"/>
        </w:rPr>
      </w:pPr>
      <w:r>
        <w:rPr>
          <w:noProof/>
          <w:lang w:eastAsia="ja-JP"/>
        </w:rPr>
        <w:drawing>
          <wp:inline distT="0" distB="0" distL="0" distR="0" wp14:anchorId="39EF5355" wp14:editId="523A785D">
            <wp:extent cx="4663440" cy="2801390"/>
            <wp:effectExtent l="0" t="0" r="3810" b="0"/>
            <wp:docPr id="4" name="Chart 4" descr="graph showing Pcific newborn enrolments with Auckland, Counties Manukau, and Waitemata GPs" title="Figure 2A: Percentage of Pacific newborn infants enrolled with a general practice, Auckland region DHBs,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01CBFD" w14:textId="77777777" w:rsidR="002601C2" w:rsidRDefault="002601C2" w:rsidP="00274E1B">
      <w:pPr>
        <w:pStyle w:val="Source"/>
        <w:rPr>
          <w:noProof/>
          <w:lang w:eastAsia="en-NZ"/>
        </w:rPr>
      </w:pPr>
      <w:r w:rsidRPr="00C7672C">
        <w:rPr>
          <w:noProof/>
          <w:lang w:eastAsia="en-NZ"/>
        </w:rPr>
        <w:t>Source: DHB reporting and the National Immunisation Register</w:t>
      </w:r>
    </w:p>
    <w:p w14:paraId="4AFB8A64" w14:textId="77777777" w:rsidR="00D24A11" w:rsidRDefault="00D24A11" w:rsidP="00274E1B"/>
    <w:p w14:paraId="2EF9043B" w14:textId="77777777" w:rsidR="002601C2" w:rsidRDefault="002601C2" w:rsidP="002601C2">
      <w:pPr>
        <w:pStyle w:val="Figure"/>
      </w:pPr>
      <w:bookmarkStart w:id="43" w:name="_Toc504249884"/>
      <w:bookmarkStart w:id="44" w:name="_Toc531258279"/>
      <w:r w:rsidRPr="00A119E8">
        <w:t xml:space="preserve">Figure </w:t>
      </w:r>
      <w:r>
        <w:t>2B</w:t>
      </w:r>
      <w:r w:rsidRPr="00A119E8">
        <w:t xml:space="preserve">: Percentage of newborn infants enrolled with a general practice, Pacific peoples, </w:t>
      </w:r>
      <w:r>
        <w:t>priority</w:t>
      </w:r>
      <w:r w:rsidRPr="00A119E8">
        <w:t xml:space="preserve"> DHBs</w:t>
      </w:r>
      <w:r>
        <w:t xml:space="preserve"> outside the Auckland region</w:t>
      </w:r>
      <w:r w:rsidRPr="00A119E8">
        <w:t xml:space="preserve">, </w:t>
      </w:r>
      <w:r>
        <w:t>March 2014–March 2017</w:t>
      </w:r>
      <w:bookmarkEnd w:id="43"/>
      <w:bookmarkEnd w:id="44"/>
    </w:p>
    <w:p w14:paraId="22242679" w14:textId="77777777" w:rsidR="002601C2" w:rsidRDefault="002601C2" w:rsidP="002601C2">
      <w:pPr>
        <w:rPr>
          <w:noProof/>
          <w:lang w:eastAsia="en-NZ"/>
        </w:rPr>
      </w:pPr>
      <w:r>
        <w:rPr>
          <w:noProof/>
          <w:lang w:eastAsia="ja-JP"/>
        </w:rPr>
        <w:drawing>
          <wp:inline distT="0" distB="0" distL="0" distR="0" wp14:anchorId="560FF9BE" wp14:editId="3DECE3BC">
            <wp:extent cx="4663440" cy="2693323"/>
            <wp:effectExtent l="0" t="0" r="22860" b="0"/>
            <wp:docPr id="87" name="Chart 87" title="Figure 2B: Percentage of newborn infants enrolled with a general practice, Pacific peoples, priority DHBs outside the Auckland region,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E4BE08" w14:textId="77777777" w:rsidR="002601C2" w:rsidRDefault="002601C2" w:rsidP="00A12BF6">
      <w:pPr>
        <w:pStyle w:val="Source"/>
        <w:rPr>
          <w:noProof/>
          <w:lang w:eastAsia="en-NZ"/>
        </w:rPr>
      </w:pPr>
      <w:r w:rsidRPr="00C7672C">
        <w:rPr>
          <w:noProof/>
          <w:lang w:eastAsia="en-NZ"/>
        </w:rPr>
        <w:t>Source: DHB reporting and the National Immunisation Register</w:t>
      </w:r>
    </w:p>
    <w:p w14:paraId="655B1D15" w14:textId="77777777" w:rsidR="00A12BF6" w:rsidRPr="00A12BF6" w:rsidRDefault="00A12BF6" w:rsidP="00A12BF6">
      <w:pPr>
        <w:rPr>
          <w:lang w:eastAsia="en-NZ"/>
        </w:rPr>
      </w:pPr>
    </w:p>
    <w:p w14:paraId="7377A935" w14:textId="77777777" w:rsidR="004207D7" w:rsidRDefault="004207D7" w:rsidP="00A82FDC">
      <w:pPr>
        <w:pStyle w:val="Note"/>
        <w:keepNext/>
        <w:ind w:right="0"/>
      </w:pPr>
      <w:r w:rsidRPr="00546CFB">
        <w:lastRenderedPageBreak/>
        <w:t>Notes</w:t>
      </w:r>
    </w:p>
    <w:p w14:paraId="50A35CC0" w14:textId="77777777" w:rsidR="004207D7" w:rsidRPr="001E5813" w:rsidRDefault="004207D7" w:rsidP="00A82FDC">
      <w:pPr>
        <w:pStyle w:val="Note"/>
        <w:keepNext/>
        <w:ind w:right="0"/>
        <w:rPr>
          <w:b/>
        </w:rPr>
      </w:pPr>
      <w:r w:rsidRPr="001E5813">
        <w:rPr>
          <w:b/>
        </w:rPr>
        <w:t>Figures 1, 2A and 2B:</w:t>
      </w:r>
    </w:p>
    <w:p w14:paraId="262A0D64" w14:textId="77777777" w:rsidR="004207D7" w:rsidRDefault="004207D7" w:rsidP="00A82FDC">
      <w:pPr>
        <w:pStyle w:val="Note"/>
        <w:keepNext/>
        <w:ind w:left="0" w:right="0" w:firstLine="0"/>
      </w:pPr>
      <w:r w:rsidRPr="00546CFB">
        <w:t>Timeframes: the data reflect</w:t>
      </w:r>
      <w:r>
        <w:t>s</w:t>
      </w:r>
      <w:r w:rsidRPr="00546CFB">
        <w:t xml:space="preserve"> a quarter</w:t>
      </w:r>
      <w:r>
        <w:t xml:space="preserve"> (three months)</w:t>
      </w:r>
      <w:r w:rsidRPr="00546CFB">
        <w:t xml:space="preserve">. The dates on the graph </w:t>
      </w:r>
      <w:r>
        <w:t xml:space="preserve">indicate </w:t>
      </w:r>
      <w:r w:rsidRPr="00546CFB">
        <w:t xml:space="preserve">when the data </w:t>
      </w:r>
      <w:r>
        <w:t>was</w:t>
      </w:r>
      <w:r w:rsidRPr="00546CFB">
        <w:t xml:space="preserve"> reported under the </w:t>
      </w:r>
      <w:r>
        <w:t>WCTO</w:t>
      </w:r>
      <w:r w:rsidRPr="00546CFB">
        <w:t xml:space="preserve">. </w:t>
      </w:r>
      <w:r>
        <w:t>For the most recent data, ‘</w:t>
      </w:r>
      <w:r w:rsidRPr="00546CFB">
        <w:t>Mar</w:t>
      </w:r>
      <w:r w:rsidR="00A82FDC">
        <w:t>ch 20</w:t>
      </w:r>
      <w:r w:rsidRPr="00546CFB">
        <w:t>17</w:t>
      </w:r>
      <w:r>
        <w:t>’</w:t>
      </w:r>
      <w:r w:rsidRPr="00546CFB">
        <w:t xml:space="preserve"> relates to the period 20 August</w:t>
      </w:r>
      <w:r>
        <w:t>–</w:t>
      </w:r>
      <w:r w:rsidRPr="00546CFB">
        <w:t>19 November 2016.</w:t>
      </w:r>
    </w:p>
    <w:p w14:paraId="36506E6D" w14:textId="77777777" w:rsidR="004207D7" w:rsidRDefault="004207D7" w:rsidP="00A82FDC">
      <w:pPr>
        <w:pStyle w:val="Note"/>
        <w:keepNext/>
        <w:ind w:left="0" w:right="0" w:firstLine="0"/>
      </w:pPr>
      <w:r>
        <w:t>Numerator: the number of children enrolled with a PHO and born during the relevant reporting period. Source: PHO enrolment register</w:t>
      </w:r>
      <w:r w:rsidR="00D2229A">
        <w:t>.</w:t>
      </w:r>
    </w:p>
    <w:p w14:paraId="46A90ECF" w14:textId="77777777" w:rsidR="004207D7" w:rsidRDefault="004207D7" w:rsidP="00A82FDC">
      <w:pPr>
        <w:pStyle w:val="Note"/>
        <w:keepNext/>
        <w:ind w:left="0" w:right="0" w:firstLine="0"/>
      </w:pPr>
      <w:r>
        <w:t>Denominator: the total number of children eligible for enrolment born during the relevant reporting period, for each population (total New Zealand, total Pacific peoples, and Pacific peoples by DHB). Source: the National Immunisation Register</w:t>
      </w:r>
      <w:r w:rsidR="00D2229A">
        <w:t>.</w:t>
      </w:r>
    </w:p>
    <w:p w14:paraId="5EA9F26A" w14:textId="77777777" w:rsidR="004207D7" w:rsidRDefault="004207D7" w:rsidP="00A82FDC">
      <w:pPr>
        <w:pStyle w:val="Note"/>
        <w:keepNext/>
        <w:ind w:left="0" w:right="0" w:firstLine="0"/>
      </w:pPr>
      <w:r>
        <w:t>The denominator includes all children born in the reporting period, even children who are only days old. This can reduce the percentage of babies recorded as enrolled within the reporting time period, as children are usually not enrolled in a practice until they are a few weeks old, and it takes a few weeks for enrolment data to be processed.</w:t>
      </w:r>
    </w:p>
    <w:p w14:paraId="38C5B6D5" w14:textId="77777777" w:rsidR="004207D7" w:rsidRDefault="004207D7" w:rsidP="001E5813">
      <w:pPr>
        <w:pStyle w:val="Note"/>
        <w:ind w:left="0" w:right="0" w:firstLine="0"/>
      </w:pPr>
      <w:r>
        <w:t>Enrolment data shows a seasonal effect. Decreases in March (and subsequent increases in September) reflect the Christmas period, during which providers have two weeks fewer to process enrolments.</w:t>
      </w:r>
    </w:p>
    <w:p w14:paraId="1403D98E" w14:textId="77777777" w:rsidR="004207D7" w:rsidRPr="003F2EE9" w:rsidRDefault="004207D7" w:rsidP="001E5813">
      <w:pPr>
        <w:pStyle w:val="Note"/>
        <w:ind w:left="0" w:right="0" w:firstLine="0"/>
      </w:pPr>
      <w:r>
        <w:t>The high level of variability in the DHB data, especially for those DHBs outside of the Auckland region, is largely due to the small infant Pacific population in each DHB (see Table 4).</w:t>
      </w:r>
    </w:p>
    <w:p w14:paraId="72BDDDB2" w14:textId="77777777" w:rsidR="004207D7" w:rsidRPr="001E5813" w:rsidRDefault="004207D7" w:rsidP="001E5813">
      <w:pPr>
        <w:pStyle w:val="Note"/>
        <w:ind w:right="0"/>
        <w:rPr>
          <w:b/>
        </w:rPr>
      </w:pPr>
      <w:r w:rsidRPr="001E5813">
        <w:rPr>
          <w:b/>
        </w:rPr>
        <w:t>Figure 2B:</w:t>
      </w:r>
    </w:p>
    <w:p w14:paraId="78EEEFF2" w14:textId="77777777" w:rsidR="004207D7" w:rsidRDefault="004207D7" w:rsidP="001E5813">
      <w:pPr>
        <w:pStyle w:val="Note"/>
        <w:ind w:left="0" w:right="0" w:firstLine="0"/>
      </w:pPr>
      <w:r>
        <w:t>For the September 2015 report, there were not enough Pacific children born in Hawke’s Bay to report against this indicator.</w:t>
      </w:r>
    </w:p>
    <w:p w14:paraId="0178018B" w14:textId="77777777" w:rsidR="002601C2" w:rsidRDefault="002601C2" w:rsidP="001E5813">
      <w:pPr>
        <w:rPr>
          <w:noProof/>
          <w:lang w:eastAsia="en-NZ"/>
        </w:rPr>
      </w:pPr>
    </w:p>
    <w:p w14:paraId="73DFD0E3" w14:textId="77777777" w:rsidR="002601C2" w:rsidRDefault="002601C2" w:rsidP="001E5813">
      <w:pPr>
        <w:pStyle w:val="Table"/>
      </w:pPr>
      <w:bookmarkStart w:id="45" w:name="_Toc504249877"/>
      <w:bookmarkStart w:id="46" w:name="_Toc531258262"/>
      <w:r>
        <w:t>Table 4</w:t>
      </w:r>
      <w:r w:rsidRPr="00A119E8">
        <w:t xml:space="preserve">: </w:t>
      </w:r>
      <w:r>
        <w:t xml:space="preserve">Number and percentage of newborn infants enrolled in a general practice, Pacific peoples, priority </w:t>
      </w:r>
      <w:r w:rsidRPr="00A119E8">
        <w:t>DHBs</w:t>
      </w:r>
      <w:r>
        <w:t>, 20 August–19 November 2016</w:t>
      </w:r>
      <w:bookmarkEnd w:id="45"/>
      <w:bookmarkEnd w:id="46"/>
    </w:p>
    <w:tbl>
      <w:tblPr>
        <w:tblW w:w="0" w:type="auto"/>
        <w:tblInd w:w="57" w:type="dxa"/>
        <w:tblLayout w:type="fixed"/>
        <w:tblCellMar>
          <w:left w:w="57" w:type="dxa"/>
          <w:right w:w="57" w:type="dxa"/>
        </w:tblCellMar>
        <w:tblLook w:val="04A0" w:firstRow="1" w:lastRow="0" w:firstColumn="1" w:lastColumn="0" w:noHBand="0" w:noVBand="1"/>
      </w:tblPr>
      <w:tblGrid>
        <w:gridCol w:w="1701"/>
        <w:gridCol w:w="1838"/>
        <w:gridCol w:w="1939"/>
        <w:gridCol w:w="1939"/>
        <w:gridCol w:w="1939"/>
      </w:tblGrid>
      <w:tr w:rsidR="002601C2" w:rsidRPr="000C05FB" w14:paraId="6E7229EF" w14:textId="77777777" w:rsidTr="001E5813">
        <w:trPr>
          <w:cantSplit/>
        </w:trPr>
        <w:tc>
          <w:tcPr>
            <w:tcW w:w="1701" w:type="dxa"/>
            <w:tcBorders>
              <w:top w:val="single" w:sz="4" w:space="0" w:color="auto"/>
              <w:bottom w:val="single" w:sz="4" w:space="0" w:color="auto"/>
            </w:tcBorders>
            <w:shd w:val="clear" w:color="auto" w:fill="auto"/>
            <w:hideMark/>
          </w:tcPr>
          <w:p w14:paraId="6C5D98C9" w14:textId="77777777" w:rsidR="002601C2" w:rsidRPr="000C05FB" w:rsidRDefault="002601C2" w:rsidP="001E5813">
            <w:pPr>
              <w:pStyle w:val="TableText"/>
            </w:pPr>
          </w:p>
        </w:tc>
        <w:tc>
          <w:tcPr>
            <w:tcW w:w="1838" w:type="dxa"/>
            <w:tcBorders>
              <w:top w:val="single" w:sz="4" w:space="0" w:color="auto"/>
              <w:bottom w:val="single" w:sz="4" w:space="0" w:color="auto"/>
            </w:tcBorders>
            <w:shd w:val="clear" w:color="auto" w:fill="auto"/>
            <w:hideMark/>
          </w:tcPr>
          <w:p w14:paraId="5DBB5A38" w14:textId="77777777" w:rsidR="002601C2" w:rsidRPr="005E185B" w:rsidRDefault="002601C2" w:rsidP="001E5813">
            <w:pPr>
              <w:pStyle w:val="TableText"/>
              <w:rPr>
                <w:b/>
              </w:rPr>
            </w:pPr>
            <w:r w:rsidRPr="005E185B">
              <w:rPr>
                <w:rFonts w:cs="Arial"/>
                <w:b/>
                <w:color w:val="000000"/>
              </w:rPr>
              <w:t>Region</w:t>
            </w:r>
          </w:p>
        </w:tc>
        <w:tc>
          <w:tcPr>
            <w:tcW w:w="1939" w:type="dxa"/>
            <w:tcBorders>
              <w:top w:val="single" w:sz="4" w:space="0" w:color="auto"/>
              <w:bottom w:val="single" w:sz="4" w:space="0" w:color="auto"/>
            </w:tcBorders>
            <w:shd w:val="clear" w:color="auto" w:fill="auto"/>
            <w:hideMark/>
          </w:tcPr>
          <w:p w14:paraId="7780F247" w14:textId="77777777" w:rsidR="002601C2" w:rsidRPr="005E185B" w:rsidRDefault="002601C2" w:rsidP="001E5813">
            <w:pPr>
              <w:pStyle w:val="TableText"/>
              <w:jc w:val="center"/>
              <w:rPr>
                <w:b/>
              </w:rPr>
            </w:pPr>
            <w:r w:rsidRPr="005E185B">
              <w:rPr>
                <w:rFonts w:cs="Arial"/>
                <w:b/>
                <w:color w:val="000000"/>
              </w:rPr>
              <w:t>Number enrolled (count)</w:t>
            </w:r>
          </w:p>
        </w:tc>
        <w:tc>
          <w:tcPr>
            <w:tcW w:w="1939" w:type="dxa"/>
            <w:tcBorders>
              <w:top w:val="single" w:sz="4" w:space="0" w:color="auto"/>
              <w:bottom w:val="single" w:sz="4" w:space="0" w:color="auto"/>
            </w:tcBorders>
            <w:shd w:val="clear" w:color="auto" w:fill="auto"/>
            <w:hideMark/>
          </w:tcPr>
          <w:p w14:paraId="28DB8920" w14:textId="77777777" w:rsidR="002601C2" w:rsidRPr="005E185B" w:rsidRDefault="002601C2" w:rsidP="001E5813">
            <w:pPr>
              <w:pStyle w:val="TableText"/>
              <w:jc w:val="center"/>
              <w:rPr>
                <w:b/>
              </w:rPr>
            </w:pPr>
            <w:r w:rsidRPr="005E185B">
              <w:rPr>
                <w:rFonts w:cs="Arial"/>
                <w:b/>
                <w:color w:val="000000"/>
              </w:rPr>
              <w:t>Number of children (count)</w:t>
            </w:r>
          </w:p>
        </w:tc>
        <w:tc>
          <w:tcPr>
            <w:tcW w:w="1939" w:type="dxa"/>
            <w:tcBorders>
              <w:top w:val="single" w:sz="4" w:space="0" w:color="auto"/>
              <w:bottom w:val="single" w:sz="4" w:space="0" w:color="auto"/>
            </w:tcBorders>
            <w:shd w:val="clear" w:color="auto" w:fill="auto"/>
            <w:hideMark/>
          </w:tcPr>
          <w:p w14:paraId="092869DE" w14:textId="77777777" w:rsidR="002601C2" w:rsidRPr="005E185B" w:rsidRDefault="002601C2" w:rsidP="001E5813">
            <w:pPr>
              <w:pStyle w:val="TableText"/>
              <w:jc w:val="center"/>
              <w:rPr>
                <w:b/>
              </w:rPr>
            </w:pPr>
            <w:r w:rsidRPr="005E185B">
              <w:rPr>
                <w:rFonts w:cs="Arial"/>
                <w:b/>
                <w:color w:val="000000"/>
              </w:rPr>
              <w:t>Percentage</w:t>
            </w:r>
            <w:r w:rsidR="001E5813">
              <w:rPr>
                <w:rFonts w:cs="Arial"/>
                <w:b/>
                <w:color w:val="000000"/>
              </w:rPr>
              <w:br/>
            </w:r>
            <w:r w:rsidRPr="005E185B">
              <w:rPr>
                <w:rFonts w:cs="Arial"/>
                <w:b/>
                <w:color w:val="000000"/>
              </w:rPr>
              <w:t>enrolled</w:t>
            </w:r>
          </w:p>
        </w:tc>
      </w:tr>
      <w:tr w:rsidR="002601C2" w:rsidRPr="000C05FB" w14:paraId="0BBF1228" w14:textId="77777777" w:rsidTr="001E5813">
        <w:trPr>
          <w:cantSplit/>
        </w:trPr>
        <w:tc>
          <w:tcPr>
            <w:tcW w:w="1701" w:type="dxa"/>
            <w:vMerge w:val="restart"/>
            <w:tcBorders>
              <w:top w:val="single" w:sz="4" w:space="0" w:color="auto"/>
              <w:bottom w:val="single" w:sz="4" w:space="0" w:color="auto"/>
            </w:tcBorders>
            <w:shd w:val="clear" w:color="auto" w:fill="auto"/>
            <w:hideMark/>
          </w:tcPr>
          <w:p w14:paraId="2CBFB02F" w14:textId="77777777" w:rsidR="002601C2" w:rsidRPr="000C05FB" w:rsidRDefault="002601C2" w:rsidP="001E5813">
            <w:pPr>
              <w:pStyle w:val="TableText"/>
            </w:pPr>
            <w:r w:rsidRPr="000C05FB">
              <w:t>Auckland region</w:t>
            </w:r>
          </w:p>
        </w:tc>
        <w:tc>
          <w:tcPr>
            <w:tcW w:w="1838" w:type="dxa"/>
            <w:tcBorders>
              <w:top w:val="single" w:sz="4" w:space="0" w:color="auto"/>
              <w:bottom w:val="single" w:sz="4" w:space="0" w:color="9BBB59" w:themeColor="accent3"/>
            </w:tcBorders>
            <w:shd w:val="clear" w:color="auto" w:fill="auto"/>
            <w:hideMark/>
          </w:tcPr>
          <w:p w14:paraId="50D6C660" w14:textId="77777777" w:rsidR="002601C2" w:rsidRPr="005E185B" w:rsidRDefault="002601C2" w:rsidP="001E5813">
            <w:pPr>
              <w:pStyle w:val="TableText"/>
            </w:pPr>
            <w:r w:rsidRPr="005E185B">
              <w:rPr>
                <w:rFonts w:cs="Arial"/>
                <w:color w:val="000000"/>
              </w:rPr>
              <w:t>Counties Manukau</w:t>
            </w:r>
          </w:p>
        </w:tc>
        <w:tc>
          <w:tcPr>
            <w:tcW w:w="1939" w:type="dxa"/>
            <w:tcBorders>
              <w:top w:val="single" w:sz="4" w:space="0" w:color="auto"/>
              <w:bottom w:val="single" w:sz="4" w:space="0" w:color="9BBB59" w:themeColor="accent3"/>
            </w:tcBorders>
            <w:shd w:val="clear" w:color="auto" w:fill="auto"/>
            <w:hideMark/>
          </w:tcPr>
          <w:p w14:paraId="5A853FC4" w14:textId="77777777" w:rsidR="002601C2" w:rsidRPr="005E185B" w:rsidRDefault="002601C2" w:rsidP="001E5813">
            <w:pPr>
              <w:pStyle w:val="TableText"/>
              <w:tabs>
                <w:tab w:val="decimal" w:pos="1025"/>
              </w:tabs>
            </w:pPr>
            <w:r w:rsidRPr="005E185B">
              <w:rPr>
                <w:rFonts w:cs="Arial"/>
                <w:color w:val="000000"/>
              </w:rPr>
              <w:t>395</w:t>
            </w:r>
          </w:p>
        </w:tc>
        <w:tc>
          <w:tcPr>
            <w:tcW w:w="1939" w:type="dxa"/>
            <w:tcBorders>
              <w:top w:val="single" w:sz="4" w:space="0" w:color="auto"/>
              <w:bottom w:val="single" w:sz="4" w:space="0" w:color="9BBB59" w:themeColor="accent3"/>
            </w:tcBorders>
            <w:shd w:val="clear" w:color="auto" w:fill="auto"/>
            <w:hideMark/>
          </w:tcPr>
          <w:p w14:paraId="44EC3BD0" w14:textId="77777777" w:rsidR="002601C2" w:rsidRPr="005E185B" w:rsidRDefault="002601C2" w:rsidP="001E5813">
            <w:pPr>
              <w:pStyle w:val="TableText"/>
              <w:tabs>
                <w:tab w:val="decimal" w:pos="1025"/>
              </w:tabs>
            </w:pPr>
            <w:r w:rsidRPr="005E185B">
              <w:rPr>
                <w:rFonts w:cs="Arial"/>
                <w:color w:val="000000"/>
              </w:rPr>
              <w:t>570</w:t>
            </w:r>
          </w:p>
        </w:tc>
        <w:tc>
          <w:tcPr>
            <w:tcW w:w="1939" w:type="dxa"/>
            <w:tcBorders>
              <w:top w:val="single" w:sz="4" w:space="0" w:color="auto"/>
              <w:bottom w:val="single" w:sz="4" w:space="0" w:color="9BBB59" w:themeColor="accent3"/>
            </w:tcBorders>
            <w:shd w:val="clear" w:color="auto" w:fill="auto"/>
            <w:noWrap/>
            <w:hideMark/>
          </w:tcPr>
          <w:p w14:paraId="35BF6CD6" w14:textId="77777777" w:rsidR="002601C2" w:rsidRPr="005E185B" w:rsidRDefault="002601C2" w:rsidP="001E5813">
            <w:pPr>
              <w:pStyle w:val="TableText"/>
              <w:jc w:val="center"/>
            </w:pPr>
            <w:r w:rsidRPr="005E185B">
              <w:rPr>
                <w:rFonts w:cs="Arial"/>
                <w:color w:val="000000"/>
              </w:rPr>
              <w:t>69%</w:t>
            </w:r>
          </w:p>
        </w:tc>
      </w:tr>
      <w:tr w:rsidR="002601C2" w:rsidRPr="000C05FB" w14:paraId="496E1D8D" w14:textId="77777777" w:rsidTr="001E5813">
        <w:trPr>
          <w:cantSplit/>
        </w:trPr>
        <w:tc>
          <w:tcPr>
            <w:tcW w:w="1701" w:type="dxa"/>
            <w:vMerge/>
            <w:tcBorders>
              <w:top w:val="single" w:sz="4" w:space="0" w:color="auto"/>
              <w:bottom w:val="single" w:sz="4" w:space="0" w:color="auto"/>
            </w:tcBorders>
            <w:hideMark/>
          </w:tcPr>
          <w:p w14:paraId="3C2835CA" w14:textId="77777777" w:rsidR="002601C2" w:rsidRPr="000C05FB" w:rsidRDefault="002601C2" w:rsidP="001E5813">
            <w:pPr>
              <w:pStyle w:val="TableText"/>
            </w:pPr>
          </w:p>
        </w:tc>
        <w:tc>
          <w:tcPr>
            <w:tcW w:w="1838" w:type="dxa"/>
            <w:tcBorders>
              <w:top w:val="single" w:sz="4" w:space="0" w:color="9BBB59" w:themeColor="accent3"/>
              <w:bottom w:val="single" w:sz="4" w:space="0" w:color="9BBB59" w:themeColor="accent3"/>
            </w:tcBorders>
            <w:shd w:val="clear" w:color="auto" w:fill="auto"/>
            <w:hideMark/>
          </w:tcPr>
          <w:p w14:paraId="6DA45521" w14:textId="77777777" w:rsidR="002601C2" w:rsidRPr="005E185B" w:rsidRDefault="002601C2" w:rsidP="001E5813">
            <w:pPr>
              <w:pStyle w:val="TableText"/>
            </w:pPr>
            <w:r w:rsidRPr="005E185B">
              <w:rPr>
                <w:rFonts w:cs="Arial"/>
                <w:color w:val="000000"/>
              </w:rPr>
              <w:t>Auckland</w:t>
            </w:r>
          </w:p>
        </w:tc>
        <w:tc>
          <w:tcPr>
            <w:tcW w:w="1939" w:type="dxa"/>
            <w:tcBorders>
              <w:top w:val="single" w:sz="4" w:space="0" w:color="9BBB59" w:themeColor="accent3"/>
              <w:bottom w:val="single" w:sz="4" w:space="0" w:color="9BBB59" w:themeColor="accent3"/>
            </w:tcBorders>
            <w:shd w:val="clear" w:color="auto" w:fill="auto"/>
            <w:hideMark/>
          </w:tcPr>
          <w:p w14:paraId="5462CF85" w14:textId="77777777" w:rsidR="002601C2" w:rsidRPr="005E185B" w:rsidRDefault="002601C2" w:rsidP="001E5813">
            <w:pPr>
              <w:pStyle w:val="TableText"/>
              <w:tabs>
                <w:tab w:val="decimal" w:pos="1025"/>
              </w:tabs>
            </w:pPr>
            <w:r w:rsidRPr="005E185B">
              <w:rPr>
                <w:rFonts w:cs="Arial"/>
                <w:color w:val="000000"/>
              </w:rPr>
              <w:t>142</w:t>
            </w:r>
          </w:p>
        </w:tc>
        <w:tc>
          <w:tcPr>
            <w:tcW w:w="1939" w:type="dxa"/>
            <w:tcBorders>
              <w:top w:val="single" w:sz="4" w:space="0" w:color="9BBB59" w:themeColor="accent3"/>
              <w:bottom w:val="single" w:sz="4" w:space="0" w:color="9BBB59" w:themeColor="accent3"/>
            </w:tcBorders>
            <w:shd w:val="clear" w:color="auto" w:fill="auto"/>
            <w:hideMark/>
          </w:tcPr>
          <w:p w14:paraId="6DBFF6F5" w14:textId="77777777" w:rsidR="002601C2" w:rsidRPr="005E185B" w:rsidRDefault="002601C2" w:rsidP="001E5813">
            <w:pPr>
              <w:pStyle w:val="TableText"/>
              <w:tabs>
                <w:tab w:val="decimal" w:pos="1025"/>
              </w:tabs>
            </w:pPr>
            <w:r w:rsidRPr="005E185B">
              <w:rPr>
                <w:rFonts w:cs="Arial"/>
                <w:color w:val="000000"/>
              </w:rPr>
              <w:t>219</w:t>
            </w:r>
          </w:p>
        </w:tc>
        <w:tc>
          <w:tcPr>
            <w:tcW w:w="1939" w:type="dxa"/>
            <w:tcBorders>
              <w:top w:val="single" w:sz="4" w:space="0" w:color="9BBB59" w:themeColor="accent3"/>
              <w:bottom w:val="single" w:sz="4" w:space="0" w:color="9BBB59" w:themeColor="accent3"/>
            </w:tcBorders>
            <w:shd w:val="clear" w:color="auto" w:fill="auto"/>
            <w:noWrap/>
            <w:hideMark/>
          </w:tcPr>
          <w:p w14:paraId="78720671" w14:textId="77777777" w:rsidR="002601C2" w:rsidRPr="005E185B" w:rsidRDefault="002601C2" w:rsidP="001E5813">
            <w:pPr>
              <w:pStyle w:val="TableText"/>
              <w:jc w:val="center"/>
            </w:pPr>
            <w:r w:rsidRPr="005E185B">
              <w:rPr>
                <w:rFonts w:cs="Arial"/>
                <w:color w:val="000000"/>
              </w:rPr>
              <w:t>65%</w:t>
            </w:r>
          </w:p>
        </w:tc>
      </w:tr>
      <w:tr w:rsidR="002601C2" w:rsidRPr="000C05FB" w14:paraId="02D6F71F" w14:textId="77777777" w:rsidTr="001E5813">
        <w:trPr>
          <w:cantSplit/>
        </w:trPr>
        <w:tc>
          <w:tcPr>
            <w:tcW w:w="1701" w:type="dxa"/>
            <w:vMerge/>
            <w:tcBorders>
              <w:top w:val="single" w:sz="4" w:space="0" w:color="auto"/>
              <w:bottom w:val="single" w:sz="4" w:space="0" w:color="auto"/>
            </w:tcBorders>
            <w:hideMark/>
          </w:tcPr>
          <w:p w14:paraId="207097D8" w14:textId="77777777" w:rsidR="002601C2" w:rsidRPr="000C05FB" w:rsidRDefault="002601C2" w:rsidP="001E5813">
            <w:pPr>
              <w:pStyle w:val="TableText"/>
            </w:pPr>
          </w:p>
        </w:tc>
        <w:tc>
          <w:tcPr>
            <w:tcW w:w="1838" w:type="dxa"/>
            <w:tcBorders>
              <w:top w:val="single" w:sz="4" w:space="0" w:color="9BBB59" w:themeColor="accent3"/>
              <w:bottom w:val="single" w:sz="4" w:space="0" w:color="auto"/>
            </w:tcBorders>
            <w:shd w:val="clear" w:color="auto" w:fill="auto"/>
            <w:hideMark/>
          </w:tcPr>
          <w:p w14:paraId="1A7E0958" w14:textId="77777777" w:rsidR="002601C2" w:rsidRPr="005E185B" w:rsidRDefault="002601C2" w:rsidP="001E5813">
            <w:pPr>
              <w:pStyle w:val="TableText"/>
            </w:pPr>
            <w:r w:rsidRPr="005E185B">
              <w:rPr>
                <w:rFonts w:cs="Arial"/>
                <w:color w:val="000000"/>
              </w:rPr>
              <w:t>Waitemata</w:t>
            </w:r>
          </w:p>
        </w:tc>
        <w:tc>
          <w:tcPr>
            <w:tcW w:w="1939" w:type="dxa"/>
            <w:tcBorders>
              <w:top w:val="single" w:sz="4" w:space="0" w:color="9BBB59" w:themeColor="accent3"/>
              <w:bottom w:val="single" w:sz="4" w:space="0" w:color="auto"/>
            </w:tcBorders>
            <w:shd w:val="clear" w:color="auto" w:fill="auto"/>
            <w:hideMark/>
          </w:tcPr>
          <w:p w14:paraId="70394092" w14:textId="77777777" w:rsidR="002601C2" w:rsidRPr="005E185B" w:rsidRDefault="002601C2" w:rsidP="001E5813">
            <w:pPr>
              <w:pStyle w:val="TableText"/>
              <w:tabs>
                <w:tab w:val="decimal" w:pos="1025"/>
              </w:tabs>
            </w:pPr>
            <w:r w:rsidRPr="005E185B">
              <w:rPr>
                <w:rFonts w:cs="Arial"/>
                <w:color w:val="000000"/>
              </w:rPr>
              <w:t>96</w:t>
            </w:r>
          </w:p>
        </w:tc>
        <w:tc>
          <w:tcPr>
            <w:tcW w:w="1939" w:type="dxa"/>
            <w:tcBorders>
              <w:top w:val="single" w:sz="4" w:space="0" w:color="9BBB59" w:themeColor="accent3"/>
              <w:bottom w:val="single" w:sz="4" w:space="0" w:color="auto"/>
            </w:tcBorders>
            <w:shd w:val="clear" w:color="auto" w:fill="auto"/>
            <w:hideMark/>
          </w:tcPr>
          <w:p w14:paraId="5F6F0571" w14:textId="77777777" w:rsidR="002601C2" w:rsidRPr="005E185B" w:rsidRDefault="002601C2" w:rsidP="001E5813">
            <w:pPr>
              <w:pStyle w:val="TableText"/>
              <w:tabs>
                <w:tab w:val="decimal" w:pos="1025"/>
              </w:tabs>
            </w:pPr>
            <w:r w:rsidRPr="005E185B">
              <w:rPr>
                <w:rFonts w:cs="Arial"/>
                <w:color w:val="000000"/>
              </w:rPr>
              <w:t>154</w:t>
            </w:r>
          </w:p>
        </w:tc>
        <w:tc>
          <w:tcPr>
            <w:tcW w:w="1939" w:type="dxa"/>
            <w:tcBorders>
              <w:top w:val="single" w:sz="4" w:space="0" w:color="9BBB59" w:themeColor="accent3"/>
              <w:bottom w:val="single" w:sz="4" w:space="0" w:color="auto"/>
            </w:tcBorders>
            <w:shd w:val="clear" w:color="auto" w:fill="auto"/>
            <w:noWrap/>
            <w:hideMark/>
          </w:tcPr>
          <w:p w14:paraId="4130A92D" w14:textId="77777777" w:rsidR="002601C2" w:rsidRPr="005E185B" w:rsidRDefault="002601C2" w:rsidP="001E5813">
            <w:pPr>
              <w:pStyle w:val="TableText"/>
              <w:jc w:val="center"/>
            </w:pPr>
            <w:r w:rsidRPr="005E185B">
              <w:rPr>
                <w:rFonts w:cs="Arial"/>
                <w:color w:val="000000"/>
              </w:rPr>
              <w:t>62%</w:t>
            </w:r>
          </w:p>
        </w:tc>
      </w:tr>
      <w:tr w:rsidR="002601C2" w:rsidRPr="000C05FB" w14:paraId="73A831EF" w14:textId="77777777" w:rsidTr="001E5813">
        <w:trPr>
          <w:cantSplit/>
        </w:trPr>
        <w:tc>
          <w:tcPr>
            <w:tcW w:w="1701" w:type="dxa"/>
            <w:vMerge w:val="restart"/>
            <w:tcBorders>
              <w:top w:val="single" w:sz="4" w:space="0" w:color="auto"/>
              <w:bottom w:val="single" w:sz="4" w:space="0" w:color="auto"/>
            </w:tcBorders>
            <w:shd w:val="clear" w:color="auto" w:fill="auto"/>
            <w:hideMark/>
          </w:tcPr>
          <w:p w14:paraId="0BD31697" w14:textId="77777777" w:rsidR="002601C2" w:rsidRPr="000C05FB" w:rsidRDefault="002601C2" w:rsidP="001E5813">
            <w:pPr>
              <w:pStyle w:val="TableText"/>
            </w:pPr>
            <w:r w:rsidRPr="000C05FB">
              <w:t>Rest of New</w:t>
            </w:r>
            <w:r w:rsidR="001E5813">
              <w:t> </w:t>
            </w:r>
            <w:r w:rsidRPr="000C05FB">
              <w:t>Zealand</w:t>
            </w:r>
          </w:p>
        </w:tc>
        <w:tc>
          <w:tcPr>
            <w:tcW w:w="1838" w:type="dxa"/>
            <w:tcBorders>
              <w:top w:val="single" w:sz="4" w:space="0" w:color="auto"/>
              <w:bottom w:val="single" w:sz="4" w:space="0" w:color="9BBB59" w:themeColor="accent3"/>
            </w:tcBorders>
            <w:shd w:val="clear" w:color="auto" w:fill="auto"/>
            <w:hideMark/>
          </w:tcPr>
          <w:p w14:paraId="3C16466C" w14:textId="77777777" w:rsidR="002601C2" w:rsidRPr="005E185B" w:rsidRDefault="002601C2" w:rsidP="001E5813">
            <w:pPr>
              <w:pStyle w:val="TableText"/>
            </w:pPr>
            <w:r w:rsidRPr="005E185B">
              <w:rPr>
                <w:rFonts w:cs="Arial"/>
                <w:color w:val="000000"/>
              </w:rPr>
              <w:t>Capital &amp; Coast</w:t>
            </w:r>
          </w:p>
        </w:tc>
        <w:tc>
          <w:tcPr>
            <w:tcW w:w="1939" w:type="dxa"/>
            <w:tcBorders>
              <w:top w:val="single" w:sz="4" w:space="0" w:color="auto"/>
              <w:bottom w:val="single" w:sz="4" w:space="0" w:color="9BBB59" w:themeColor="accent3"/>
            </w:tcBorders>
            <w:shd w:val="clear" w:color="auto" w:fill="auto"/>
            <w:hideMark/>
          </w:tcPr>
          <w:p w14:paraId="3D98641C" w14:textId="77777777" w:rsidR="002601C2" w:rsidRPr="005E185B" w:rsidRDefault="002601C2" w:rsidP="001E5813">
            <w:pPr>
              <w:pStyle w:val="TableText"/>
              <w:tabs>
                <w:tab w:val="decimal" w:pos="1025"/>
              </w:tabs>
            </w:pPr>
            <w:r w:rsidRPr="005E185B">
              <w:rPr>
                <w:rFonts w:cs="Arial"/>
                <w:color w:val="000000"/>
              </w:rPr>
              <w:t>57</w:t>
            </w:r>
          </w:p>
        </w:tc>
        <w:tc>
          <w:tcPr>
            <w:tcW w:w="1939" w:type="dxa"/>
            <w:tcBorders>
              <w:top w:val="single" w:sz="4" w:space="0" w:color="auto"/>
              <w:bottom w:val="single" w:sz="4" w:space="0" w:color="9BBB59" w:themeColor="accent3"/>
            </w:tcBorders>
            <w:shd w:val="clear" w:color="auto" w:fill="auto"/>
            <w:hideMark/>
          </w:tcPr>
          <w:p w14:paraId="1A454A49" w14:textId="77777777" w:rsidR="002601C2" w:rsidRPr="005E185B" w:rsidRDefault="002601C2" w:rsidP="001E5813">
            <w:pPr>
              <w:pStyle w:val="TableText"/>
              <w:tabs>
                <w:tab w:val="decimal" w:pos="1025"/>
              </w:tabs>
            </w:pPr>
            <w:r w:rsidRPr="005E185B">
              <w:rPr>
                <w:rFonts w:cs="Arial"/>
                <w:color w:val="000000"/>
              </w:rPr>
              <w:t>83</w:t>
            </w:r>
          </w:p>
        </w:tc>
        <w:tc>
          <w:tcPr>
            <w:tcW w:w="1939" w:type="dxa"/>
            <w:tcBorders>
              <w:top w:val="single" w:sz="4" w:space="0" w:color="auto"/>
              <w:bottom w:val="single" w:sz="4" w:space="0" w:color="9BBB59" w:themeColor="accent3"/>
            </w:tcBorders>
            <w:shd w:val="clear" w:color="auto" w:fill="auto"/>
            <w:noWrap/>
            <w:hideMark/>
          </w:tcPr>
          <w:p w14:paraId="6F3F8A43" w14:textId="77777777" w:rsidR="002601C2" w:rsidRPr="005E185B" w:rsidRDefault="002601C2" w:rsidP="001E5813">
            <w:pPr>
              <w:pStyle w:val="TableText"/>
              <w:jc w:val="center"/>
            </w:pPr>
            <w:r w:rsidRPr="005E185B">
              <w:rPr>
                <w:rFonts w:cs="Arial"/>
                <w:color w:val="000000"/>
              </w:rPr>
              <w:t>69%</w:t>
            </w:r>
          </w:p>
        </w:tc>
      </w:tr>
      <w:tr w:rsidR="002601C2" w:rsidRPr="000C05FB" w14:paraId="70847737" w14:textId="77777777" w:rsidTr="001E5813">
        <w:trPr>
          <w:cantSplit/>
        </w:trPr>
        <w:tc>
          <w:tcPr>
            <w:tcW w:w="1701" w:type="dxa"/>
            <w:vMerge/>
            <w:tcBorders>
              <w:top w:val="single" w:sz="4" w:space="0" w:color="auto"/>
              <w:bottom w:val="single" w:sz="4" w:space="0" w:color="auto"/>
            </w:tcBorders>
            <w:hideMark/>
          </w:tcPr>
          <w:p w14:paraId="169098EF" w14:textId="77777777" w:rsidR="002601C2" w:rsidRPr="000C05FB" w:rsidRDefault="002601C2" w:rsidP="001E5813">
            <w:pPr>
              <w:pStyle w:val="TableText"/>
            </w:pPr>
          </w:p>
        </w:tc>
        <w:tc>
          <w:tcPr>
            <w:tcW w:w="1838" w:type="dxa"/>
            <w:tcBorders>
              <w:top w:val="single" w:sz="4" w:space="0" w:color="9BBB59" w:themeColor="accent3"/>
              <w:bottom w:val="single" w:sz="4" w:space="0" w:color="9BBB59" w:themeColor="accent3"/>
            </w:tcBorders>
            <w:shd w:val="clear" w:color="auto" w:fill="auto"/>
            <w:hideMark/>
          </w:tcPr>
          <w:p w14:paraId="4447CD15" w14:textId="77777777" w:rsidR="002601C2" w:rsidRPr="005E185B" w:rsidRDefault="002601C2" w:rsidP="001E5813">
            <w:pPr>
              <w:pStyle w:val="TableText"/>
            </w:pPr>
            <w:r w:rsidRPr="005E185B">
              <w:rPr>
                <w:rFonts w:cs="Arial"/>
                <w:color w:val="000000"/>
              </w:rPr>
              <w:t>Canterbury</w:t>
            </w:r>
          </w:p>
        </w:tc>
        <w:tc>
          <w:tcPr>
            <w:tcW w:w="1939" w:type="dxa"/>
            <w:tcBorders>
              <w:top w:val="single" w:sz="4" w:space="0" w:color="9BBB59" w:themeColor="accent3"/>
              <w:bottom w:val="single" w:sz="4" w:space="0" w:color="9BBB59" w:themeColor="accent3"/>
            </w:tcBorders>
            <w:shd w:val="clear" w:color="auto" w:fill="auto"/>
            <w:hideMark/>
          </w:tcPr>
          <w:p w14:paraId="11938AAE" w14:textId="77777777" w:rsidR="002601C2" w:rsidRPr="005E185B" w:rsidRDefault="002601C2" w:rsidP="001E5813">
            <w:pPr>
              <w:pStyle w:val="TableText"/>
              <w:tabs>
                <w:tab w:val="decimal" w:pos="1025"/>
              </w:tabs>
            </w:pPr>
            <w:r w:rsidRPr="005E185B">
              <w:rPr>
                <w:rFonts w:cs="Arial"/>
                <w:color w:val="000000"/>
              </w:rPr>
              <w:t>59</w:t>
            </w:r>
          </w:p>
        </w:tc>
        <w:tc>
          <w:tcPr>
            <w:tcW w:w="1939" w:type="dxa"/>
            <w:tcBorders>
              <w:top w:val="single" w:sz="4" w:space="0" w:color="9BBB59" w:themeColor="accent3"/>
              <w:bottom w:val="single" w:sz="4" w:space="0" w:color="9BBB59" w:themeColor="accent3"/>
            </w:tcBorders>
            <w:shd w:val="clear" w:color="auto" w:fill="auto"/>
            <w:hideMark/>
          </w:tcPr>
          <w:p w14:paraId="643BE5D6" w14:textId="77777777" w:rsidR="002601C2" w:rsidRPr="005E185B" w:rsidRDefault="002601C2" w:rsidP="001E5813">
            <w:pPr>
              <w:pStyle w:val="TableText"/>
              <w:tabs>
                <w:tab w:val="decimal" w:pos="1025"/>
              </w:tabs>
            </w:pPr>
            <w:r w:rsidRPr="005E185B">
              <w:rPr>
                <w:rFonts w:cs="Arial"/>
                <w:color w:val="000000"/>
              </w:rPr>
              <w:t>76</w:t>
            </w:r>
          </w:p>
        </w:tc>
        <w:tc>
          <w:tcPr>
            <w:tcW w:w="1939" w:type="dxa"/>
            <w:tcBorders>
              <w:top w:val="single" w:sz="4" w:space="0" w:color="9BBB59" w:themeColor="accent3"/>
              <w:bottom w:val="single" w:sz="4" w:space="0" w:color="9BBB59" w:themeColor="accent3"/>
            </w:tcBorders>
            <w:shd w:val="clear" w:color="auto" w:fill="auto"/>
            <w:noWrap/>
            <w:hideMark/>
          </w:tcPr>
          <w:p w14:paraId="68ED3E86" w14:textId="77777777" w:rsidR="002601C2" w:rsidRPr="005E185B" w:rsidRDefault="002601C2" w:rsidP="001E5813">
            <w:pPr>
              <w:pStyle w:val="TableText"/>
              <w:jc w:val="center"/>
            </w:pPr>
            <w:r w:rsidRPr="005E185B">
              <w:rPr>
                <w:rFonts w:cs="Arial"/>
                <w:color w:val="000000"/>
              </w:rPr>
              <w:t>78%</w:t>
            </w:r>
          </w:p>
        </w:tc>
      </w:tr>
      <w:tr w:rsidR="002601C2" w:rsidRPr="000C05FB" w14:paraId="2C26A5D5" w14:textId="77777777" w:rsidTr="001E5813">
        <w:trPr>
          <w:cantSplit/>
        </w:trPr>
        <w:tc>
          <w:tcPr>
            <w:tcW w:w="1701" w:type="dxa"/>
            <w:vMerge/>
            <w:tcBorders>
              <w:top w:val="single" w:sz="4" w:space="0" w:color="auto"/>
              <w:bottom w:val="single" w:sz="4" w:space="0" w:color="auto"/>
            </w:tcBorders>
            <w:hideMark/>
          </w:tcPr>
          <w:p w14:paraId="24DE5F56" w14:textId="77777777" w:rsidR="002601C2" w:rsidRPr="000C05FB" w:rsidRDefault="002601C2" w:rsidP="001E5813">
            <w:pPr>
              <w:pStyle w:val="TableText"/>
            </w:pPr>
          </w:p>
        </w:tc>
        <w:tc>
          <w:tcPr>
            <w:tcW w:w="1838" w:type="dxa"/>
            <w:tcBorders>
              <w:top w:val="single" w:sz="4" w:space="0" w:color="9BBB59" w:themeColor="accent3"/>
              <w:bottom w:val="single" w:sz="4" w:space="0" w:color="9BBB59" w:themeColor="accent3"/>
            </w:tcBorders>
            <w:shd w:val="clear" w:color="auto" w:fill="auto"/>
            <w:hideMark/>
          </w:tcPr>
          <w:p w14:paraId="01FC1E84" w14:textId="77777777" w:rsidR="002601C2" w:rsidRPr="005E185B" w:rsidRDefault="002601C2" w:rsidP="001E5813">
            <w:pPr>
              <w:pStyle w:val="TableText"/>
            </w:pPr>
            <w:r w:rsidRPr="005E185B">
              <w:rPr>
                <w:rFonts w:cs="Arial"/>
                <w:color w:val="000000"/>
              </w:rPr>
              <w:t>Hutt Valley</w:t>
            </w:r>
          </w:p>
        </w:tc>
        <w:tc>
          <w:tcPr>
            <w:tcW w:w="1939" w:type="dxa"/>
            <w:tcBorders>
              <w:top w:val="single" w:sz="4" w:space="0" w:color="9BBB59" w:themeColor="accent3"/>
              <w:bottom w:val="single" w:sz="4" w:space="0" w:color="9BBB59" w:themeColor="accent3"/>
            </w:tcBorders>
            <w:shd w:val="clear" w:color="auto" w:fill="auto"/>
            <w:hideMark/>
          </w:tcPr>
          <w:p w14:paraId="402B713D" w14:textId="77777777" w:rsidR="002601C2" w:rsidRPr="005E185B" w:rsidRDefault="002601C2" w:rsidP="001E5813">
            <w:pPr>
              <w:pStyle w:val="TableText"/>
              <w:tabs>
                <w:tab w:val="decimal" w:pos="1025"/>
              </w:tabs>
            </w:pPr>
            <w:r w:rsidRPr="005E185B">
              <w:rPr>
                <w:rFonts w:cs="Arial"/>
                <w:color w:val="000000"/>
              </w:rPr>
              <w:t>48</w:t>
            </w:r>
          </w:p>
        </w:tc>
        <w:tc>
          <w:tcPr>
            <w:tcW w:w="1939" w:type="dxa"/>
            <w:tcBorders>
              <w:top w:val="single" w:sz="4" w:space="0" w:color="9BBB59" w:themeColor="accent3"/>
              <w:bottom w:val="single" w:sz="4" w:space="0" w:color="9BBB59" w:themeColor="accent3"/>
            </w:tcBorders>
            <w:shd w:val="clear" w:color="auto" w:fill="auto"/>
            <w:hideMark/>
          </w:tcPr>
          <w:p w14:paraId="5DA40F59" w14:textId="77777777" w:rsidR="002601C2" w:rsidRPr="005E185B" w:rsidRDefault="002601C2" w:rsidP="001E5813">
            <w:pPr>
              <w:pStyle w:val="TableText"/>
              <w:tabs>
                <w:tab w:val="decimal" w:pos="1025"/>
              </w:tabs>
            </w:pPr>
            <w:r w:rsidRPr="005E185B">
              <w:rPr>
                <w:rFonts w:cs="Arial"/>
                <w:color w:val="000000"/>
              </w:rPr>
              <w:t>51</w:t>
            </w:r>
          </w:p>
        </w:tc>
        <w:tc>
          <w:tcPr>
            <w:tcW w:w="1939" w:type="dxa"/>
            <w:tcBorders>
              <w:top w:val="single" w:sz="4" w:space="0" w:color="9BBB59" w:themeColor="accent3"/>
              <w:bottom w:val="single" w:sz="4" w:space="0" w:color="9BBB59" w:themeColor="accent3"/>
            </w:tcBorders>
            <w:shd w:val="clear" w:color="auto" w:fill="auto"/>
            <w:noWrap/>
            <w:hideMark/>
          </w:tcPr>
          <w:p w14:paraId="79EDA02C" w14:textId="77777777" w:rsidR="002601C2" w:rsidRPr="005E185B" w:rsidRDefault="002601C2" w:rsidP="001E5813">
            <w:pPr>
              <w:pStyle w:val="TableText"/>
              <w:jc w:val="center"/>
            </w:pPr>
            <w:r w:rsidRPr="005E185B">
              <w:rPr>
                <w:rFonts w:cs="Arial"/>
                <w:color w:val="000000"/>
              </w:rPr>
              <w:t>94%</w:t>
            </w:r>
          </w:p>
        </w:tc>
      </w:tr>
      <w:tr w:rsidR="002601C2" w:rsidRPr="000C05FB" w14:paraId="2822A4E8" w14:textId="77777777" w:rsidTr="001E5813">
        <w:trPr>
          <w:cantSplit/>
        </w:trPr>
        <w:tc>
          <w:tcPr>
            <w:tcW w:w="1701" w:type="dxa"/>
            <w:vMerge/>
            <w:tcBorders>
              <w:top w:val="single" w:sz="4" w:space="0" w:color="auto"/>
              <w:bottom w:val="single" w:sz="4" w:space="0" w:color="auto"/>
            </w:tcBorders>
            <w:hideMark/>
          </w:tcPr>
          <w:p w14:paraId="61B49AF1" w14:textId="77777777" w:rsidR="002601C2" w:rsidRPr="000C05FB" w:rsidRDefault="002601C2" w:rsidP="001E5813">
            <w:pPr>
              <w:pStyle w:val="TableText"/>
            </w:pPr>
          </w:p>
        </w:tc>
        <w:tc>
          <w:tcPr>
            <w:tcW w:w="1838" w:type="dxa"/>
            <w:tcBorders>
              <w:top w:val="single" w:sz="4" w:space="0" w:color="9BBB59" w:themeColor="accent3"/>
              <w:bottom w:val="single" w:sz="4" w:space="0" w:color="9BBB59" w:themeColor="accent3"/>
            </w:tcBorders>
            <w:shd w:val="clear" w:color="auto" w:fill="auto"/>
            <w:hideMark/>
          </w:tcPr>
          <w:p w14:paraId="68A90317" w14:textId="77777777" w:rsidR="002601C2" w:rsidRPr="005E185B" w:rsidRDefault="002601C2" w:rsidP="001E5813">
            <w:pPr>
              <w:pStyle w:val="TableText"/>
            </w:pPr>
            <w:r w:rsidRPr="005E185B">
              <w:rPr>
                <w:rFonts w:cs="Arial"/>
                <w:color w:val="000000"/>
              </w:rPr>
              <w:t>Hawke</w:t>
            </w:r>
            <w:r>
              <w:rPr>
                <w:rFonts w:cs="Arial"/>
                <w:color w:val="000000"/>
              </w:rPr>
              <w:t>’</w:t>
            </w:r>
            <w:r w:rsidRPr="005E185B">
              <w:rPr>
                <w:rFonts w:cs="Arial"/>
                <w:color w:val="000000"/>
              </w:rPr>
              <w:t>s Bay</w:t>
            </w:r>
          </w:p>
        </w:tc>
        <w:tc>
          <w:tcPr>
            <w:tcW w:w="1939" w:type="dxa"/>
            <w:tcBorders>
              <w:top w:val="single" w:sz="4" w:space="0" w:color="9BBB59" w:themeColor="accent3"/>
              <w:bottom w:val="single" w:sz="4" w:space="0" w:color="9BBB59" w:themeColor="accent3"/>
            </w:tcBorders>
            <w:shd w:val="clear" w:color="auto" w:fill="auto"/>
            <w:hideMark/>
          </w:tcPr>
          <w:p w14:paraId="36E866A4" w14:textId="77777777" w:rsidR="002601C2" w:rsidRPr="005E185B" w:rsidRDefault="002601C2" w:rsidP="001E5813">
            <w:pPr>
              <w:pStyle w:val="TableText"/>
              <w:tabs>
                <w:tab w:val="decimal" w:pos="1025"/>
              </w:tabs>
            </w:pPr>
            <w:r w:rsidRPr="005E185B">
              <w:rPr>
                <w:rFonts w:cs="Arial"/>
                <w:color w:val="000000"/>
              </w:rPr>
              <w:t>21</w:t>
            </w:r>
          </w:p>
        </w:tc>
        <w:tc>
          <w:tcPr>
            <w:tcW w:w="1939" w:type="dxa"/>
            <w:tcBorders>
              <w:top w:val="single" w:sz="4" w:space="0" w:color="9BBB59" w:themeColor="accent3"/>
              <w:bottom w:val="single" w:sz="4" w:space="0" w:color="9BBB59" w:themeColor="accent3"/>
            </w:tcBorders>
            <w:shd w:val="clear" w:color="auto" w:fill="auto"/>
            <w:hideMark/>
          </w:tcPr>
          <w:p w14:paraId="0CB680E4" w14:textId="77777777" w:rsidR="002601C2" w:rsidRPr="005E185B" w:rsidRDefault="002601C2" w:rsidP="001E5813">
            <w:pPr>
              <w:pStyle w:val="TableText"/>
              <w:tabs>
                <w:tab w:val="decimal" w:pos="1025"/>
              </w:tabs>
            </w:pPr>
            <w:r w:rsidRPr="005E185B">
              <w:rPr>
                <w:rFonts w:cs="Arial"/>
                <w:color w:val="000000"/>
              </w:rPr>
              <w:t>23</w:t>
            </w:r>
          </w:p>
        </w:tc>
        <w:tc>
          <w:tcPr>
            <w:tcW w:w="1939" w:type="dxa"/>
            <w:tcBorders>
              <w:top w:val="single" w:sz="4" w:space="0" w:color="9BBB59" w:themeColor="accent3"/>
              <w:bottom w:val="single" w:sz="4" w:space="0" w:color="9BBB59" w:themeColor="accent3"/>
            </w:tcBorders>
            <w:shd w:val="clear" w:color="auto" w:fill="auto"/>
            <w:noWrap/>
            <w:hideMark/>
          </w:tcPr>
          <w:p w14:paraId="507B601A" w14:textId="77777777" w:rsidR="002601C2" w:rsidRPr="005E185B" w:rsidRDefault="002601C2" w:rsidP="001E5813">
            <w:pPr>
              <w:pStyle w:val="TableText"/>
              <w:jc w:val="center"/>
            </w:pPr>
            <w:r w:rsidRPr="005E185B">
              <w:rPr>
                <w:rFonts w:cs="Arial"/>
                <w:color w:val="000000"/>
              </w:rPr>
              <w:t>91%</w:t>
            </w:r>
          </w:p>
        </w:tc>
      </w:tr>
      <w:tr w:rsidR="002601C2" w:rsidRPr="000C05FB" w14:paraId="22E79BDA" w14:textId="77777777" w:rsidTr="001E5813">
        <w:trPr>
          <w:cantSplit/>
        </w:trPr>
        <w:tc>
          <w:tcPr>
            <w:tcW w:w="1701" w:type="dxa"/>
            <w:vMerge/>
            <w:tcBorders>
              <w:top w:val="single" w:sz="4" w:space="0" w:color="auto"/>
              <w:bottom w:val="single" w:sz="4" w:space="0" w:color="000000"/>
            </w:tcBorders>
            <w:hideMark/>
          </w:tcPr>
          <w:p w14:paraId="541D1B7E" w14:textId="77777777" w:rsidR="002601C2" w:rsidRPr="000C05FB" w:rsidRDefault="002601C2" w:rsidP="001E5813">
            <w:pPr>
              <w:pStyle w:val="TableText"/>
            </w:pPr>
          </w:p>
        </w:tc>
        <w:tc>
          <w:tcPr>
            <w:tcW w:w="1838" w:type="dxa"/>
            <w:tcBorders>
              <w:top w:val="single" w:sz="4" w:space="0" w:color="9BBB59" w:themeColor="accent3"/>
              <w:bottom w:val="single" w:sz="4" w:space="0" w:color="auto"/>
            </w:tcBorders>
            <w:shd w:val="clear" w:color="auto" w:fill="auto"/>
            <w:hideMark/>
          </w:tcPr>
          <w:p w14:paraId="7BB487FD" w14:textId="77777777" w:rsidR="002601C2" w:rsidRPr="005E185B" w:rsidRDefault="001E5813" w:rsidP="001E5813">
            <w:pPr>
              <w:pStyle w:val="TableText"/>
            </w:pPr>
            <w:r>
              <w:rPr>
                <w:rFonts w:cs="Arial"/>
                <w:color w:val="000000"/>
              </w:rPr>
              <w:t>Waikato</w:t>
            </w:r>
          </w:p>
        </w:tc>
        <w:tc>
          <w:tcPr>
            <w:tcW w:w="1939" w:type="dxa"/>
            <w:tcBorders>
              <w:top w:val="single" w:sz="4" w:space="0" w:color="9BBB59" w:themeColor="accent3"/>
              <w:bottom w:val="single" w:sz="4" w:space="0" w:color="auto"/>
            </w:tcBorders>
            <w:shd w:val="clear" w:color="auto" w:fill="auto"/>
            <w:hideMark/>
          </w:tcPr>
          <w:p w14:paraId="57D1DF3B" w14:textId="77777777" w:rsidR="002601C2" w:rsidRPr="005E185B" w:rsidRDefault="002601C2" w:rsidP="001E5813">
            <w:pPr>
              <w:pStyle w:val="TableText"/>
              <w:tabs>
                <w:tab w:val="decimal" w:pos="1025"/>
              </w:tabs>
            </w:pPr>
            <w:r w:rsidRPr="005E185B">
              <w:rPr>
                <w:rFonts w:cs="Arial"/>
                <w:color w:val="000000"/>
              </w:rPr>
              <w:t>29</w:t>
            </w:r>
          </w:p>
        </w:tc>
        <w:tc>
          <w:tcPr>
            <w:tcW w:w="1939" w:type="dxa"/>
            <w:tcBorders>
              <w:top w:val="single" w:sz="4" w:space="0" w:color="9BBB59" w:themeColor="accent3"/>
              <w:bottom w:val="single" w:sz="4" w:space="0" w:color="auto"/>
            </w:tcBorders>
            <w:shd w:val="clear" w:color="auto" w:fill="auto"/>
            <w:hideMark/>
          </w:tcPr>
          <w:p w14:paraId="296DD10C" w14:textId="77777777" w:rsidR="002601C2" w:rsidRPr="005E185B" w:rsidRDefault="002601C2" w:rsidP="001E5813">
            <w:pPr>
              <w:pStyle w:val="TableText"/>
              <w:tabs>
                <w:tab w:val="decimal" w:pos="1025"/>
              </w:tabs>
            </w:pPr>
            <w:r w:rsidRPr="005E185B">
              <w:rPr>
                <w:rFonts w:cs="Arial"/>
                <w:color w:val="000000"/>
              </w:rPr>
              <w:t>52</w:t>
            </w:r>
          </w:p>
        </w:tc>
        <w:tc>
          <w:tcPr>
            <w:tcW w:w="1939" w:type="dxa"/>
            <w:tcBorders>
              <w:top w:val="single" w:sz="4" w:space="0" w:color="9BBB59" w:themeColor="accent3"/>
              <w:bottom w:val="single" w:sz="4" w:space="0" w:color="auto"/>
            </w:tcBorders>
            <w:shd w:val="clear" w:color="auto" w:fill="auto"/>
            <w:noWrap/>
            <w:hideMark/>
          </w:tcPr>
          <w:p w14:paraId="74F98170" w14:textId="77777777" w:rsidR="002601C2" w:rsidRPr="005E185B" w:rsidRDefault="002601C2" w:rsidP="001E5813">
            <w:pPr>
              <w:pStyle w:val="TableText"/>
              <w:jc w:val="center"/>
            </w:pPr>
            <w:r w:rsidRPr="005E185B">
              <w:rPr>
                <w:rFonts w:cs="Arial"/>
                <w:color w:val="000000"/>
              </w:rPr>
              <w:t>56%</w:t>
            </w:r>
          </w:p>
        </w:tc>
      </w:tr>
    </w:tbl>
    <w:p w14:paraId="2A52BEE8" w14:textId="77777777" w:rsidR="002601C2" w:rsidRDefault="002601C2" w:rsidP="001E5813"/>
    <w:p w14:paraId="43729369" w14:textId="4703D9AD" w:rsidR="002601C2" w:rsidRPr="001E5813" w:rsidRDefault="001B0165" w:rsidP="001E5813">
      <w:pPr>
        <w:pStyle w:val="Heading1"/>
      </w:pPr>
      <w:bookmarkStart w:id="47" w:name="_Toc503952525"/>
      <w:bookmarkStart w:id="48" w:name="_Toc504249854"/>
      <w:bookmarkStart w:id="49" w:name="_Toc531258242"/>
      <w:r>
        <w:lastRenderedPageBreak/>
        <w:t>Well Child / Tamariki Ora</w:t>
      </w:r>
      <w:r w:rsidR="002601C2">
        <w:t xml:space="preserve"> core contacts</w:t>
      </w:r>
      <w:bookmarkEnd w:id="47"/>
      <w:bookmarkEnd w:id="48"/>
      <w:bookmarkEnd w:id="49"/>
    </w:p>
    <w:p w14:paraId="1D8E07C7" w14:textId="591F58E1" w:rsidR="002601C2" w:rsidRDefault="00520C10" w:rsidP="001E5813">
      <w:r>
        <w:t>WCTO</w:t>
      </w:r>
      <w:r w:rsidR="002601C2" w:rsidRPr="00DC4C78">
        <w:t xml:space="preserve"> is a free health service offered to all New Zealand children from birth to five years. Its aim is to support families and whānau to maximise their child</w:t>
      </w:r>
      <w:r w:rsidR="002601C2">
        <w:t>’</w:t>
      </w:r>
      <w:r w:rsidR="002601C2" w:rsidRPr="00DC4C78">
        <w:t>s developmental potential and health status, thereby establishing a strong foundation for healthy development.</w:t>
      </w:r>
    </w:p>
    <w:p w14:paraId="6CCD0E98" w14:textId="77777777" w:rsidR="002601C2" w:rsidRDefault="002601C2" w:rsidP="001E5813"/>
    <w:p w14:paraId="11B5CAFE" w14:textId="77777777" w:rsidR="002601C2" w:rsidRDefault="002601C2" w:rsidP="001E5813">
      <w:r>
        <w:t xml:space="preserve">As Figure 3 below shows, </w:t>
      </w:r>
      <w:r w:rsidRPr="00C006E8">
        <w:t xml:space="preserve">rates of WCTO core contacts </w:t>
      </w:r>
      <w:r>
        <w:t>among Pacific peoples consistently</w:t>
      </w:r>
      <w:r w:rsidRPr="00C006E8">
        <w:t xml:space="preserve"> </w:t>
      </w:r>
      <w:r>
        <w:t>rose from June 2015 to June 2016. There are still inequities; 67 percent of Pacific infants received all</w:t>
      </w:r>
      <w:r w:rsidRPr="00AB418D">
        <w:t xml:space="preserve"> five WCTO core contacts in their first year of life</w:t>
      </w:r>
      <w:r>
        <w:t xml:space="preserve"> in January to June 2016, compared to 77</w:t>
      </w:r>
      <w:r w:rsidR="001E5813">
        <w:t> </w:t>
      </w:r>
      <w:r>
        <w:t>percent for the total New Zealand population in the same period.</w:t>
      </w:r>
    </w:p>
    <w:p w14:paraId="063929CD" w14:textId="77777777" w:rsidR="002601C2" w:rsidRPr="003F58C3" w:rsidRDefault="002601C2" w:rsidP="001E5813"/>
    <w:p w14:paraId="5A054170" w14:textId="77777777" w:rsidR="002601C2" w:rsidRPr="00FB78C9" w:rsidRDefault="001E5813" w:rsidP="001E5813">
      <w:pPr>
        <w:pStyle w:val="Heading2"/>
      </w:pPr>
      <w:bookmarkStart w:id="50" w:name="_Toc504249855"/>
      <w:bookmarkStart w:id="51" w:name="_Toc531258243"/>
      <w:r w:rsidRPr="00C2789F">
        <w:rPr>
          <w:lang w:eastAsia="en-NZ"/>
        </w:rPr>
        <w:t>Increased p</w:t>
      </w:r>
      <w:r>
        <w:rPr>
          <w:lang w:eastAsia="en-NZ"/>
        </w:rPr>
        <w:t>ercentage of Pacific infants who</w:t>
      </w:r>
      <w:r w:rsidRPr="00C2789F">
        <w:rPr>
          <w:lang w:eastAsia="en-NZ"/>
        </w:rPr>
        <w:t xml:space="preserve"> r</w:t>
      </w:r>
      <w:r>
        <w:rPr>
          <w:lang w:eastAsia="en-NZ"/>
        </w:rPr>
        <w:t>eceive all five WCTO core cont</w:t>
      </w:r>
      <w:r w:rsidRPr="00C2789F">
        <w:rPr>
          <w:lang w:eastAsia="en-NZ"/>
        </w:rPr>
        <w:t>acts in their first year of life</w:t>
      </w:r>
      <w:bookmarkEnd w:id="50"/>
      <w:bookmarkEnd w:id="51"/>
    </w:p>
    <w:p w14:paraId="16AC46B9" w14:textId="77777777" w:rsidR="002601C2" w:rsidRPr="00A119E8" w:rsidRDefault="002601C2" w:rsidP="001E5813">
      <w:r w:rsidRPr="007A28AF">
        <w:rPr>
          <w:b/>
        </w:rPr>
        <w:t>Performance:</w:t>
      </w:r>
      <w:r>
        <w:t xml:space="preserve"> The target was set at 95</w:t>
      </w:r>
      <w:r w:rsidRPr="00A119E8">
        <w:t xml:space="preserve"> percent</w:t>
      </w:r>
      <w:r>
        <w:t xml:space="preserve">, </w:t>
      </w:r>
      <w:r w:rsidRPr="00A119E8">
        <w:t>to be achieved by June 2016.</w:t>
      </w:r>
    </w:p>
    <w:p w14:paraId="6A21E34C" w14:textId="77777777" w:rsidR="002601C2" w:rsidRDefault="002601C2" w:rsidP="001E5813"/>
    <w:p w14:paraId="3119CE60" w14:textId="40DCD74A" w:rsidR="002601C2" w:rsidRDefault="002601C2" w:rsidP="001E5813">
      <w:pPr>
        <w:pStyle w:val="Figure"/>
        <w:rPr>
          <w:noProof/>
          <w:lang w:eastAsia="en-NZ"/>
        </w:rPr>
      </w:pPr>
      <w:bookmarkStart w:id="52" w:name="_Toc428368063"/>
      <w:bookmarkStart w:id="53" w:name="_Toc428370441"/>
      <w:bookmarkStart w:id="54" w:name="_Toc428878519"/>
      <w:bookmarkStart w:id="55" w:name="_Toc445801447"/>
      <w:bookmarkStart w:id="56" w:name="_Toc447527145"/>
      <w:bookmarkStart w:id="57" w:name="_Toc458409427"/>
      <w:bookmarkStart w:id="58" w:name="_Toc504249885"/>
      <w:bookmarkStart w:id="59" w:name="_Toc531258280"/>
      <w:r w:rsidRPr="00A119E8">
        <w:t xml:space="preserve">Figure </w:t>
      </w:r>
      <w:r>
        <w:t>3</w:t>
      </w:r>
      <w:r w:rsidRPr="00A119E8">
        <w:t xml:space="preserve">: Percentage of infants who received all </w:t>
      </w:r>
      <w:r w:rsidR="001B0165">
        <w:t>Well Child / Tamariki Ora</w:t>
      </w:r>
      <w:r>
        <w:t xml:space="preserve"> </w:t>
      </w:r>
      <w:r w:rsidRPr="00A119E8">
        <w:t xml:space="preserve">core contacts in their first year of life, Pacific </w:t>
      </w:r>
      <w:r>
        <w:t>peoples</w:t>
      </w:r>
      <w:r w:rsidRPr="00A119E8">
        <w:t xml:space="preserve"> and total </w:t>
      </w:r>
      <w:r>
        <w:t>New Zealand population</w:t>
      </w:r>
      <w:r w:rsidRPr="00A119E8">
        <w:t xml:space="preserve">, </w:t>
      </w:r>
      <w:bookmarkEnd w:id="52"/>
      <w:bookmarkEnd w:id="53"/>
      <w:bookmarkEnd w:id="54"/>
      <w:bookmarkEnd w:id="55"/>
      <w:bookmarkEnd w:id="56"/>
      <w:bookmarkEnd w:id="57"/>
      <w:r>
        <w:t>June</w:t>
      </w:r>
      <w:r w:rsidRPr="00A119E8">
        <w:t xml:space="preserve"> 2013</w:t>
      </w:r>
      <w:r>
        <w:t>–June 2016</w:t>
      </w:r>
      <w:bookmarkEnd w:id="58"/>
      <w:bookmarkEnd w:id="59"/>
    </w:p>
    <w:p w14:paraId="460F04B4" w14:textId="77777777" w:rsidR="00A82FDC" w:rsidRPr="00A82FDC" w:rsidRDefault="00A82FDC" w:rsidP="00A82FDC">
      <w:pPr>
        <w:rPr>
          <w:lang w:eastAsia="en-NZ"/>
        </w:rPr>
      </w:pPr>
      <w:r>
        <w:rPr>
          <w:noProof/>
          <w:lang w:eastAsia="ja-JP"/>
        </w:rPr>
        <w:drawing>
          <wp:inline distT="0" distB="0" distL="0" distR="0" wp14:anchorId="43E98AD9" wp14:editId="718081B8">
            <wp:extent cx="4680066" cy="2651760"/>
            <wp:effectExtent l="0" t="0" r="25400" b="0"/>
            <wp:docPr id="88" name="Chart 88" title="Figure 3: Percentage of infants who received all Well Child Tamariki Ora core contacts in their first year of life, Pacific peoples and total New Zealand population, June 2013–June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344056" w14:textId="77777777" w:rsidR="002601C2" w:rsidRDefault="002601C2" w:rsidP="001E5813">
      <w:pPr>
        <w:pStyle w:val="Source"/>
        <w:rPr>
          <w:noProof/>
          <w:lang w:eastAsia="en-NZ"/>
        </w:rPr>
      </w:pPr>
      <w:r w:rsidRPr="00C46D32">
        <w:rPr>
          <w:noProof/>
          <w:lang w:eastAsia="en-NZ"/>
        </w:rPr>
        <w:t>Source: WCTO provider reporting</w:t>
      </w:r>
    </w:p>
    <w:p w14:paraId="74950000" w14:textId="77777777" w:rsidR="001E5813" w:rsidRPr="001E5813" w:rsidRDefault="001E5813" w:rsidP="001E5813">
      <w:pPr>
        <w:rPr>
          <w:lang w:eastAsia="en-NZ"/>
        </w:rPr>
      </w:pPr>
    </w:p>
    <w:p w14:paraId="132DFB43" w14:textId="59AAA6EC" w:rsidR="00A82FDC" w:rsidRDefault="002601C2" w:rsidP="001E5813">
      <w:pPr>
        <w:pStyle w:val="Figure"/>
      </w:pPr>
      <w:bookmarkStart w:id="60" w:name="_Toc428368064"/>
      <w:bookmarkStart w:id="61" w:name="_Toc428370442"/>
      <w:bookmarkStart w:id="62" w:name="_Toc445801448"/>
      <w:bookmarkStart w:id="63" w:name="_Toc447527146"/>
      <w:bookmarkStart w:id="64" w:name="_Toc458409428"/>
      <w:bookmarkStart w:id="65" w:name="_Toc531258281"/>
      <w:r w:rsidRPr="00A119E8">
        <w:lastRenderedPageBreak/>
        <w:t xml:space="preserve">Figure </w:t>
      </w:r>
      <w:r>
        <w:t>4A</w:t>
      </w:r>
      <w:r w:rsidRPr="00A119E8">
        <w:t xml:space="preserve">: Percentage of infants who received all </w:t>
      </w:r>
      <w:r w:rsidR="001B0165">
        <w:t>Well Child / Tamariki Ora</w:t>
      </w:r>
      <w:r>
        <w:t xml:space="preserve"> </w:t>
      </w:r>
      <w:r w:rsidRPr="00A119E8">
        <w:t xml:space="preserve">core contacts in their first year of life, Pacific peoples, </w:t>
      </w:r>
      <w:r>
        <w:t>Auckland region</w:t>
      </w:r>
      <w:r w:rsidRPr="00A119E8">
        <w:t xml:space="preserve"> DHBs, </w:t>
      </w:r>
      <w:bookmarkEnd w:id="60"/>
      <w:bookmarkEnd w:id="61"/>
      <w:bookmarkEnd w:id="62"/>
      <w:bookmarkEnd w:id="63"/>
      <w:bookmarkEnd w:id="64"/>
      <w:r>
        <w:t>January</w:t>
      </w:r>
      <w:r w:rsidRPr="00A119E8">
        <w:t xml:space="preserve"> 2013</w:t>
      </w:r>
      <w:r>
        <w:t>–December 2016</w:t>
      </w:r>
      <w:bookmarkEnd w:id="65"/>
    </w:p>
    <w:p w14:paraId="660CE52C" w14:textId="77777777" w:rsidR="002601C2" w:rsidRPr="00A82FDC" w:rsidRDefault="002601C2" w:rsidP="00A82FDC">
      <w:r>
        <w:rPr>
          <w:noProof/>
          <w:lang w:eastAsia="ja-JP"/>
        </w:rPr>
        <w:drawing>
          <wp:inline distT="0" distB="0" distL="0" distR="0" wp14:anchorId="69FD5658" wp14:editId="36E65A64">
            <wp:extent cx="4671752" cy="2593571"/>
            <wp:effectExtent l="0" t="0" r="14605" b="0"/>
            <wp:docPr id="89" name="Chart 89" title="Figure 4A: Percentage of infants who received all Well Child Tamariki Ora core contacts in their first year of life, Pacific peoples, Auckland region DHBs, January 2013–Decemb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7C0ACCB" w14:textId="77777777" w:rsidR="002601C2" w:rsidRDefault="002601C2" w:rsidP="001E5813">
      <w:pPr>
        <w:pStyle w:val="Source"/>
        <w:rPr>
          <w:noProof/>
          <w:lang w:eastAsia="en-NZ"/>
        </w:rPr>
      </w:pPr>
      <w:r w:rsidRPr="00C46D32">
        <w:rPr>
          <w:noProof/>
          <w:lang w:eastAsia="en-NZ"/>
        </w:rPr>
        <w:t>Source: WCTO provider reporting</w:t>
      </w:r>
    </w:p>
    <w:p w14:paraId="55B1991F" w14:textId="77777777" w:rsidR="002601C2" w:rsidRDefault="002601C2" w:rsidP="001E5813">
      <w:pPr>
        <w:rPr>
          <w:noProof/>
          <w:lang w:eastAsia="en-NZ"/>
        </w:rPr>
      </w:pPr>
    </w:p>
    <w:p w14:paraId="194C2F01" w14:textId="6E0AF250" w:rsidR="002601C2" w:rsidRDefault="002601C2" w:rsidP="001E5813">
      <w:pPr>
        <w:pStyle w:val="Figure"/>
      </w:pPr>
      <w:bookmarkStart w:id="66" w:name="_Toc531258282"/>
      <w:r w:rsidRPr="00A119E8">
        <w:t xml:space="preserve">Figure </w:t>
      </w:r>
      <w:r>
        <w:t>4B</w:t>
      </w:r>
      <w:r w:rsidRPr="00A119E8">
        <w:t xml:space="preserve">: Percentage of infants who received all </w:t>
      </w:r>
      <w:r w:rsidR="001B0165">
        <w:t>Well Child / Tamariki Ora</w:t>
      </w:r>
      <w:r>
        <w:t xml:space="preserve"> </w:t>
      </w:r>
      <w:r w:rsidRPr="00A119E8">
        <w:t xml:space="preserve">core contacts in their first year of life, Pacific peoples, </w:t>
      </w:r>
      <w:r>
        <w:t>priority</w:t>
      </w:r>
      <w:r w:rsidRPr="00A119E8">
        <w:t xml:space="preserve"> DHBs</w:t>
      </w:r>
      <w:r>
        <w:t xml:space="preserve"> outside the Auckland region</w:t>
      </w:r>
      <w:r w:rsidRPr="00A119E8">
        <w:t xml:space="preserve">, </w:t>
      </w:r>
      <w:r>
        <w:t>January</w:t>
      </w:r>
      <w:r w:rsidRPr="00A119E8">
        <w:t xml:space="preserve"> 2013</w:t>
      </w:r>
      <w:r>
        <w:t>–December 2016</w:t>
      </w:r>
      <w:bookmarkEnd w:id="66"/>
    </w:p>
    <w:p w14:paraId="1AB3ECB1" w14:textId="77777777" w:rsidR="003C3862" w:rsidRDefault="002601C2" w:rsidP="003C3862">
      <w:pPr>
        <w:rPr>
          <w:noProof/>
          <w:lang w:eastAsia="en-NZ"/>
        </w:rPr>
      </w:pPr>
      <w:r>
        <w:rPr>
          <w:noProof/>
          <w:lang w:eastAsia="ja-JP"/>
        </w:rPr>
        <w:drawing>
          <wp:inline distT="0" distB="0" distL="0" distR="0" wp14:anchorId="3E2681CC" wp14:editId="664E5649">
            <wp:extent cx="4671752" cy="2618509"/>
            <wp:effectExtent l="0" t="0" r="14605" b="0"/>
            <wp:docPr id="90" name="Chart 90" title="Figure 4B: Percentage of infants who received all Well Child Tamariki Ora core contacts in their first year of life, Pacific peoples, priority DHBs outside the Auckland region, January 2013–Decemb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38C060A" w14:textId="77777777" w:rsidR="002601C2" w:rsidRDefault="002601C2" w:rsidP="003C3862">
      <w:pPr>
        <w:pStyle w:val="Source"/>
        <w:rPr>
          <w:noProof/>
          <w:lang w:eastAsia="en-NZ"/>
        </w:rPr>
      </w:pPr>
      <w:r w:rsidRPr="00C46D32">
        <w:rPr>
          <w:noProof/>
          <w:lang w:eastAsia="en-NZ"/>
        </w:rPr>
        <w:t>Source: WCTO provider reporting</w:t>
      </w:r>
    </w:p>
    <w:p w14:paraId="2DD068E7" w14:textId="77777777" w:rsidR="001E5813" w:rsidRDefault="001E5813" w:rsidP="001E5813">
      <w:pPr>
        <w:rPr>
          <w:lang w:eastAsia="en-NZ"/>
        </w:rPr>
      </w:pPr>
    </w:p>
    <w:p w14:paraId="2F553365" w14:textId="77777777" w:rsidR="001E5813" w:rsidRDefault="001E5813" w:rsidP="003C3862">
      <w:pPr>
        <w:pStyle w:val="Note"/>
        <w:keepNext/>
        <w:ind w:right="0"/>
      </w:pPr>
      <w:r>
        <w:lastRenderedPageBreak/>
        <w:t>Notes</w:t>
      </w:r>
    </w:p>
    <w:p w14:paraId="72A17C7C" w14:textId="77777777" w:rsidR="001E5813" w:rsidRPr="001E5813" w:rsidRDefault="001E5813" w:rsidP="003C3862">
      <w:pPr>
        <w:pStyle w:val="Note"/>
        <w:keepNext/>
        <w:ind w:right="0"/>
        <w:rPr>
          <w:b/>
        </w:rPr>
      </w:pPr>
      <w:r w:rsidRPr="001E5813">
        <w:rPr>
          <w:b/>
        </w:rPr>
        <w:t>Figures 3, 4A and 4B:</w:t>
      </w:r>
    </w:p>
    <w:p w14:paraId="3831963C" w14:textId="77777777" w:rsidR="001E5813" w:rsidRDefault="001E5813" w:rsidP="003C3862">
      <w:pPr>
        <w:pStyle w:val="Note"/>
        <w:keepNext/>
        <w:ind w:left="0" w:right="0" w:firstLine="0"/>
      </w:pPr>
      <w:r w:rsidRPr="00546CFB">
        <w:t>Timeframes: the data reflect</w:t>
      </w:r>
      <w:r>
        <w:t>s</w:t>
      </w:r>
      <w:r w:rsidRPr="00546CFB">
        <w:t xml:space="preserve"> </w:t>
      </w:r>
      <w:r>
        <w:t>six month periods (1 January-30 June; 1 July – 31 December).</w:t>
      </w:r>
      <w:r w:rsidRPr="00546CFB">
        <w:t xml:space="preserve"> For </w:t>
      </w:r>
      <w:r>
        <w:t>the latest report</w:t>
      </w:r>
      <w:r w:rsidRPr="00546CFB">
        <w:t xml:space="preserve">, </w:t>
      </w:r>
      <w:r>
        <w:t>‘Jun</w:t>
      </w:r>
      <w:r w:rsidR="003C3862">
        <w:t>e 20</w:t>
      </w:r>
      <w:r w:rsidRPr="00546CFB">
        <w:t>1</w:t>
      </w:r>
      <w:r>
        <w:t>6’</w:t>
      </w:r>
      <w:r w:rsidRPr="00546CFB">
        <w:t xml:space="preserve"> relates to the period </w:t>
      </w:r>
      <w:r>
        <w:t>1 January–30 June 2016</w:t>
      </w:r>
      <w:r w:rsidRPr="00546CFB">
        <w:t>.</w:t>
      </w:r>
    </w:p>
    <w:p w14:paraId="615D58EE" w14:textId="77777777" w:rsidR="001E5813" w:rsidRPr="003F58C3" w:rsidRDefault="001E5813" w:rsidP="003C3862">
      <w:pPr>
        <w:pStyle w:val="Note"/>
        <w:keepNext/>
        <w:ind w:left="0" w:right="0" w:firstLine="0"/>
      </w:pPr>
      <w:r>
        <w:t xml:space="preserve">Numerator: the </w:t>
      </w:r>
      <w:r w:rsidRPr="00C86921">
        <w:t xml:space="preserve">number of infants </w:t>
      </w:r>
      <w:r w:rsidRPr="003F58C3">
        <w:t xml:space="preserve">where contact was made by six weeks of age </w:t>
      </w:r>
      <w:r w:rsidRPr="00C86921">
        <w:t>who rec</w:t>
      </w:r>
      <w:r>
        <w:t>eived all five WCTO core contacts. Source:</w:t>
      </w:r>
      <w:r w:rsidRPr="00C86921">
        <w:t xml:space="preserve"> </w:t>
      </w:r>
      <w:r w:rsidRPr="003F58C3">
        <w:t>WCTO provider reporting</w:t>
      </w:r>
      <w:r w:rsidR="00D2229A">
        <w:t>.</w:t>
      </w:r>
    </w:p>
    <w:p w14:paraId="55299A32" w14:textId="77777777" w:rsidR="001E5813" w:rsidRDefault="001E5813" w:rsidP="003C3862">
      <w:pPr>
        <w:pStyle w:val="Note"/>
        <w:keepNext/>
        <w:ind w:left="0" w:right="0" w:firstLine="0"/>
      </w:pPr>
      <w:r w:rsidRPr="003F58C3">
        <w:t xml:space="preserve">Denominator: </w:t>
      </w:r>
      <w:r>
        <w:t xml:space="preserve">the </w:t>
      </w:r>
      <w:r w:rsidRPr="003F58C3">
        <w:t xml:space="preserve">number of infants where contact was made by six weeks of age who </w:t>
      </w:r>
      <w:r w:rsidRPr="00C86921">
        <w:t>reached the age band for core contact 6 (13 months, 4 weeks, 1 day</w:t>
      </w:r>
      <w:r>
        <w:t>) during the reporting period. Source:</w:t>
      </w:r>
      <w:r w:rsidRPr="00C86921">
        <w:t xml:space="preserve"> </w:t>
      </w:r>
      <w:r>
        <w:t>WCTO provider reporting</w:t>
      </w:r>
      <w:r w:rsidR="00D2229A">
        <w:t>.</w:t>
      </w:r>
    </w:p>
    <w:p w14:paraId="380D540B" w14:textId="77777777" w:rsidR="001E5813" w:rsidRDefault="001E5813" w:rsidP="003C3862">
      <w:pPr>
        <w:pStyle w:val="Note"/>
        <w:keepNext/>
        <w:ind w:left="0" w:right="0" w:firstLine="0"/>
      </w:pPr>
      <w:r w:rsidRPr="00A955E9">
        <w:t>Prior to June 2015</w:t>
      </w:r>
      <w:r>
        <w:t>,</w:t>
      </w:r>
      <w:r w:rsidRPr="00A955E9">
        <w:t xml:space="preserve"> the data for this indicator was sourced from Plunket alone. </w:t>
      </w:r>
      <w:r>
        <w:t xml:space="preserve">From June </w:t>
      </w:r>
      <w:r w:rsidRPr="00C86921">
        <w:t>2015</w:t>
      </w:r>
      <w:r>
        <w:t xml:space="preserve"> onwards</w:t>
      </w:r>
      <w:r w:rsidRPr="00C86921">
        <w:t xml:space="preserve">, </w:t>
      </w:r>
      <w:r>
        <w:t xml:space="preserve">it was sourced from all </w:t>
      </w:r>
      <w:r w:rsidRPr="00C86921">
        <w:t>WCTO</w:t>
      </w:r>
      <w:r>
        <w:t xml:space="preserve"> providers. </w:t>
      </w:r>
      <w:r w:rsidRPr="00C86921">
        <w:t>This means re</w:t>
      </w:r>
      <w:r>
        <w:t>sults for this indicator</w:t>
      </w:r>
      <w:r w:rsidRPr="00C86921">
        <w:t xml:space="preserve"> </w:t>
      </w:r>
      <w:r>
        <w:t xml:space="preserve">from June 2015 onwards </w:t>
      </w:r>
      <w:r w:rsidRPr="00C86921">
        <w:t>are not directly comparable with results from earlier periods.</w:t>
      </w:r>
    </w:p>
    <w:p w14:paraId="725E08B4" w14:textId="77777777" w:rsidR="001E5813" w:rsidRDefault="001E5813" w:rsidP="003C3862">
      <w:pPr>
        <w:pStyle w:val="Note"/>
        <w:keepNext/>
        <w:ind w:left="0" w:right="0" w:firstLine="0"/>
      </w:pPr>
      <w:r>
        <w:t>The Ministry of Health only receives data with percentages, so we are unable to provide a table of data showing the raw count of numerator and denominator for the most recent reporting period.</w:t>
      </w:r>
    </w:p>
    <w:p w14:paraId="1C80D203" w14:textId="77777777" w:rsidR="001E5813" w:rsidRPr="001E5813" w:rsidRDefault="001E5813" w:rsidP="001E5813">
      <w:pPr>
        <w:pStyle w:val="Note"/>
        <w:ind w:right="0"/>
        <w:rPr>
          <w:b/>
        </w:rPr>
      </w:pPr>
      <w:r w:rsidRPr="001E5813">
        <w:rPr>
          <w:b/>
        </w:rPr>
        <w:t>Figures 4A and 4B:</w:t>
      </w:r>
    </w:p>
    <w:p w14:paraId="150570DE" w14:textId="77777777" w:rsidR="001E5813" w:rsidRDefault="001E5813" w:rsidP="001E5813">
      <w:pPr>
        <w:pStyle w:val="Note"/>
        <w:ind w:left="0" w:right="0" w:firstLine="0"/>
      </w:pPr>
      <w:r w:rsidRPr="00C46D32">
        <w:t xml:space="preserve">Hawke’s Bay DHB had fewer than 20 children in </w:t>
      </w:r>
      <w:r>
        <w:t>the relevant</w:t>
      </w:r>
      <w:r w:rsidRPr="00C46D32">
        <w:t xml:space="preserve"> population in September 2014</w:t>
      </w:r>
      <w:r>
        <w:t>; we cannot publish numbers for a population this small</w:t>
      </w:r>
      <w:r w:rsidRPr="00C46D32">
        <w:t>.</w:t>
      </w:r>
    </w:p>
    <w:p w14:paraId="0CC7BBD5" w14:textId="77777777" w:rsidR="001E5813" w:rsidRPr="00F334E5" w:rsidRDefault="001E5813" w:rsidP="001E5813">
      <w:pPr>
        <w:pStyle w:val="Note"/>
        <w:ind w:left="0" w:right="0" w:firstLine="0"/>
      </w:pPr>
      <w:r>
        <w:t>The high level of variability in the DHB data, especially for those DHBs outside of the Auckland region, is largely due to the small infant Pacific population in each DHB.</w:t>
      </w:r>
    </w:p>
    <w:p w14:paraId="657DA348" w14:textId="77777777" w:rsidR="001E5813" w:rsidRPr="001E5813" w:rsidRDefault="001E5813" w:rsidP="001E5813">
      <w:pPr>
        <w:rPr>
          <w:lang w:eastAsia="en-NZ"/>
        </w:rPr>
      </w:pPr>
    </w:p>
    <w:p w14:paraId="1FEDF73F" w14:textId="77777777" w:rsidR="002601C2" w:rsidRPr="001E5813" w:rsidRDefault="002601C2" w:rsidP="001E5813">
      <w:pPr>
        <w:pStyle w:val="Heading1"/>
      </w:pPr>
      <w:bookmarkStart w:id="67" w:name="_Toc503952526"/>
      <w:bookmarkStart w:id="68" w:name="_Toc531258244"/>
      <w:r>
        <w:lastRenderedPageBreak/>
        <w:t>B4 School Checks</w:t>
      </w:r>
      <w:bookmarkEnd w:id="67"/>
      <w:bookmarkEnd w:id="68"/>
    </w:p>
    <w:p w14:paraId="0732E98E" w14:textId="77777777" w:rsidR="002601C2" w:rsidRDefault="002601C2" w:rsidP="001E5813">
      <w:r w:rsidRPr="00166FFE">
        <w:t xml:space="preserve">The purpose of the </w:t>
      </w:r>
      <w:r>
        <w:t>B4SC</w:t>
      </w:r>
      <w:r w:rsidRPr="00166FFE">
        <w:t xml:space="preserve"> is to promote health and wellbeing in </w:t>
      </w:r>
      <w:r>
        <w:t>four</w:t>
      </w:r>
      <w:r w:rsidRPr="00166FFE">
        <w:t xml:space="preserve">-year-olds, and to identify health, developmental or behavioural problems that may have a negative impact on </w:t>
      </w:r>
      <w:r>
        <w:t xml:space="preserve">children’s </w:t>
      </w:r>
      <w:r w:rsidRPr="00166FFE">
        <w:t>ability to learn and take part at school.</w:t>
      </w:r>
      <w:r>
        <w:t xml:space="preserve"> The B4SC </w:t>
      </w:r>
      <w:r w:rsidRPr="00166FFE">
        <w:t xml:space="preserve">is the 12th </w:t>
      </w:r>
      <w:r>
        <w:t xml:space="preserve">WCTO </w:t>
      </w:r>
      <w:r w:rsidRPr="00166FFE">
        <w:t>core contact.</w:t>
      </w:r>
    </w:p>
    <w:p w14:paraId="4736B2DE" w14:textId="77777777" w:rsidR="002601C2" w:rsidRDefault="002601C2" w:rsidP="001E5813"/>
    <w:p w14:paraId="1878D707" w14:textId="1957B786" w:rsidR="002601C2" w:rsidRDefault="002601C2" w:rsidP="001E5813">
      <w:pPr>
        <w:rPr>
          <w:rFonts w:ascii="Times New Roman" w:hAnsi="Times New Roman"/>
          <w:lang w:eastAsia="en-NZ"/>
        </w:rPr>
      </w:pPr>
      <w:r w:rsidRPr="004C1ABC">
        <w:rPr>
          <w:szCs w:val="22"/>
        </w:rPr>
        <w:t>It is important to note</w:t>
      </w:r>
      <w:r w:rsidRPr="004C1ABC">
        <w:rPr>
          <w:lang w:eastAsia="en-NZ"/>
        </w:rPr>
        <w:t xml:space="preserve"> that</w:t>
      </w:r>
      <w:r>
        <w:rPr>
          <w:lang w:eastAsia="en-NZ"/>
        </w:rPr>
        <w:t xml:space="preserve">, in contrast to </w:t>
      </w:r>
      <w:r w:rsidRPr="00D54B06">
        <w:rPr>
          <w:lang w:eastAsia="en-NZ"/>
        </w:rPr>
        <w:t xml:space="preserve">previous </w:t>
      </w:r>
      <w:r w:rsidR="00AF4508">
        <w:rPr>
          <w:rFonts w:ascii="Arial" w:hAnsi="Arial" w:cs="Arial"/>
          <w:i/>
          <w:lang w:eastAsia="en-NZ"/>
        </w:rPr>
        <w:t>ʹ</w:t>
      </w:r>
      <w:r w:rsidR="00AF4508">
        <w:rPr>
          <w:i/>
          <w:lang w:eastAsia="en-NZ"/>
        </w:rPr>
        <w:t>Ala Mo</w:t>
      </w:r>
      <w:r w:rsidR="00AF4508">
        <w:rPr>
          <w:rFonts w:ascii="Arial" w:hAnsi="Arial" w:cs="Arial"/>
          <w:i/>
          <w:lang w:eastAsia="en-NZ"/>
        </w:rPr>
        <w:t>ʹ</w:t>
      </w:r>
      <w:r w:rsidRPr="00D54B06">
        <w:rPr>
          <w:i/>
          <w:lang w:eastAsia="en-NZ"/>
        </w:rPr>
        <w:t xml:space="preserve">ui </w:t>
      </w:r>
      <w:r w:rsidRPr="00D54B06">
        <w:rPr>
          <w:lang w:eastAsia="en-NZ"/>
        </w:rPr>
        <w:t>reports</w:t>
      </w:r>
      <w:r>
        <w:rPr>
          <w:lang w:eastAsia="en-NZ"/>
        </w:rPr>
        <w:t>,</w:t>
      </w:r>
      <w:r>
        <w:rPr>
          <w:sz w:val="20"/>
          <w:szCs w:val="22"/>
        </w:rPr>
        <w:t xml:space="preserve"> </w:t>
      </w:r>
      <w:r w:rsidRPr="00D54B06">
        <w:rPr>
          <w:lang w:eastAsia="en-NZ"/>
        </w:rPr>
        <w:t xml:space="preserve">the data for </w:t>
      </w:r>
      <w:r>
        <w:rPr>
          <w:lang w:eastAsia="en-NZ"/>
        </w:rPr>
        <w:t xml:space="preserve">the </w:t>
      </w:r>
      <w:r w:rsidRPr="00D54B06">
        <w:rPr>
          <w:lang w:eastAsia="en-NZ"/>
        </w:rPr>
        <w:t xml:space="preserve">B4SC </w:t>
      </w:r>
      <w:r>
        <w:rPr>
          <w:lang w:eastAsia="en-NZ"/>
        </w:rPr>
        <w:t xml:space="preserve">is now </w:t>
      </w:r>
      <w:r w:rsidRPr="00D54B06">
        <w:rPr>
          <w:lang w:eastAsia="en-NZ"/>
        </w:rPr>
        <w:t xml:space="preserve">displayed by financial year. This </w:t>
      </w:r>
      <w:r w:rsidRPr="00B86421">
        <w:rPr>
          <w:lang w:eastAsia="en-NZ"/>
        </w:rPr>
        <w:t>make</w:t>
      </w:r>
      <w:r>
        <w:rPr>
          <w:lang w:eastAsia="en-NZ"/>
        </w:rPr>
        <w:t>s</w:t>
      </w:r>
      <w:r w:rsidRPr="00B86421">
        <w:rPr>
          <w:lang w:eastAsia="en-NZ"/>
        </w:rPr>
        <w:t xml:space="preserve"> </w:t>
      </w:r>
      <w:r w:rsidR="00AF4508">
        <w:rPr>
          <w:rFonts w:ascii="Arial" w:hAnsi="Arial" w:cs="Arial"/>
          <w:i/>
          <w:lang w:eastAsia="en-NZ"/>
        </w:rPr>
        <w:t>ʹ</w:t>
      </w:r>
      <w:r w:rsidRPr="00B86421">
        <w:rPr>
          <w:i/>
          <w:lang w:eastAsia="en-NZ"/>
        </w:rPr>
        <w:t>Ala Mo</w:t>
      </w:r>
      <w:r w:rsidR="00AF4508">
        <w:rPr>
          <w:rFonts w:ascii="Arial" w:hAnsi="Arial" w:cs="Arial"/>
          <w:i/>
          <w:lang w:eastAsia="en-NZ"/>
        </w:rPr>
        <w:t>ʹ</w:t>
      </w:r>
      <w:r w:rsidRPr="00B86421">
        <w:rPr>
          <w:i/>
          <w:lang w:eastAsia="en-NZ"/>
        </w:rPr>
        <w:t>ui</w:t>
      </w:r>
      <w:r w:rsidRPr="00B86421">
        <w:rPr>
          <w:lang w:eastAsia="en-NZ"/>
        </w:rPr>
        <w:t xml:space="preserve"> reporting consistent </w:t>
      </w:r>
      <w:r>
        <w:rPr>
          <w:lang w:eastAsia="en-NZ"/>
        </w:rPr>
        <w:t>with existing B4SC reporting</w:t>
      </w:r>
      <w:r w:rsidRPr="00B86421">
        <w:rPr>
          <w:lang w:eastAsia="en-NZ"/>
        </w:rPr>
        <w:t>, and more accurately reflect</w:t>
      </w:r>
      <w:r>
        <w:rPr>
          <w:lang w:eastAsia="en-NZ"/>
        </w:rPr>
        <w:t>s yearly</w:t>
      </w:r>
      <w:r w:rsidRPr="00B86421">
        <w:rPr>
          <w:lang w:eastAsia="en-NZ"/>
        </w:rPr>
        <w:t xml:space="preserve"> coverage</w:t>
      </w:r>
      <w:r>
        <w:rPr>
          <w:lang w:eastAsia="en-NZ"/>
        </w:rPr>
        <w:t>.</w:t>
      </w:r>
    </w:p>
    <w:p w14:paraId="6EDDDBFE" w14:textId="77777777" w:rsidR="002601C2" w:rsidRPr="00C32489" w:rsidRDefault="002601C2" w:rsidP="001E5813"/>
    <w:p w14:paraId="504D7ECE" w14:textId="77777777" w:rsidR="002601C2" w:rsidRDefault="002601C2" w:rsidP="001E5813">
      <w:r>
        <w:t>As Figure 5 shows, B4SC coverage for the Pacific peoples population has gradually improved since the 2012/13 financial year. In most recent years, the percentage of Pacific four-year-olds who receive a B4SC has come very close to the 90 percent target; coverage was 88 percent in the 2014/15 financial year and 89 percent in the 2015/16 financial year.</w:t>
      </w:r>
    </w:p>
    <w:p w14:paraId="48069574" w14:textId="77777777" w:rsidR="002601C2" w:rsidRPr="00C32489" w:rsidRDefault="002601C2" w:rsidP="001E5813">
      <w:pPr>
        <w:rPr>
          <w:lang w:eastAsia="en-NZ"/>
        </w:rPr>
      </w:pPr>
    </w:p>
    <w:p w14:paraId="3FA05D34" w14:textId="77777777" w:rsidR="002601C2" w:rsidRDefault="002601C2" w:rsidP="001E5813">
      <w:r>
        <w:t>This data is counted cumulatively by financial year. Because at the time of writing this report the 2016/17 year was still in progress, we cannot report against this year. As of May 2017, 82</w:t>
      </w:r>
      <w:r w:rsidR="001E5813">
        <w:t> </w:t>
      </w:r>
      <w:r>
        <w:t>percent of eligible Pacific four-year-olds had received their B4SC check, which is the same proportion who had received their check in May 2016. It is very likely the high level of Pacific peoples B4SC coverage will have continued through to the end of June 2017.</w:t>
      </w:r>
    </w:p>
    <w:p w14:paraId="06247A79" w14:textId="77777777" w:rsidR="002601C2" w:rsidRDefault="002601C2" w:rsidP="001E5813"/>
    <w:p w14:paraId="407B1A9F" w14:textId="77777777" w:rsidR="001E5813" w:rsidRDefault="001E5813" w:rsidP="001E5813">
      <w:pPr>
        <w:pStyle w:val="Heading2"/>
      </w:pPr>
      <w:bookmarkStart w:id="69" w:name="_Toc504249857"/>
      <w:bookmarkStart w:id="70" w:name="_Toc531258245"/>
      <w:r w:rsidRPr="00406561">
        <w:rPr>
          <w:lang w:eastAsia="en-NZ"/>
        </w:rPr>
        <w:t>Increased percentage of Pacific children who receive</w:t>
      </w:r>
      <w:r>
        <w:rPr>
          <w:lang w:eastAsia="en-NZ"/>
        </w:rPr>
        <w:t xml:space="preserve"> a</w:t>
      </w:r>
      <w:r w:rsidRPr="00406561">
        <w:rPr>
          <w:lang w:eastAsia="en-NZ"/>
        </w:rPr>
        <w:t xml:space="preserve"> B4SC</w:t>
      </w:r>
      <w:bookmarkEnd w:id="69"/>
      <w:bookmarkEnd w:id="70"/>
    </w:p>
    <w:p w14:paraId="4DB9151C" w14:textId="77777777" w:rsidR="002601C2" w:rsidRDefault="002601C2" w:rsidP="002601C2">
      <w:pPr>
        <w:rPr>
          <w:sz w:val="2"/>
          <w:szCs w:val="2"/>
        </w:rPr>
      </w:pPr>
    </w:p>
    <w:p w14:paraId="506BBAB9" w14:textId="77777777" w:rsidR="002601C2" w:rsidRDefault="001E5813" w:rsidP="001E5813">
      <w:r>
        <w:rPr>
          <w:b/>
        </w:rPr>
        <w:t>P</w:t>
      </w:r>
      <w:r w:rsidR="002601C2" w:rsidRPr="007A28AF">
        <w:rPr>
          <w:b/>
        </w:rPr>
        <w:t>erformance:</w:t>
      </w:r>
      <w:r w:rsidR="002601C2">
        <w:t xml:space="preserve"> </w:t>
      </w:r>
      <w:r w:rsidR="002601C2" w:rsidRPr="00A119E8">
        <w:t>The target was set at 90 percent</w:t>
      </w:r>
      <w:r w:rsidR="002601C2">
        <w:t>,</w:t>
      </w:r>
      <w:r w:rsidR="002601C2" w:rsidRPr="00A119E8">
        <w:t xml:space="preserve"> to be achieved by June 2016.</w:t>
      </w:r>
    </w:p>
    <w:p w14:paraId="4FE72618" w14:textId="77777777" w:rsidR="002601C2" w:rsidRPr="00A119E8" w:rsidRDefault="002601C2" w:rsidP="001E5813"/>
    <w:p w14:paraId="71AD4D38" w14:textId="77777777" w:rsidR="002601C2" w:rsidRPr="00A119E8" w:rsidRDefault="002601C2" w:rsidP="001E5813">
      <w:pPr>
        <w:pStyle w:val="Figure"/>
      </w:pPr>
      <w:bookmarkStart w:id="71" w:name="_Toc428368065"/>
      <w:bookmarkStart w:id="72" w:name="_Toc428370443"/>
      <w:bookmarkStart w:id="73" w:name="_Toc445801449"/>
      <w:bookmarkStart w:id="74" w:name="_Toc447527147"/>
      <w:bookmarkStart w:id="75" w:name="_Toc458409429"/>
      <w:bookmarkStart w:id="76" w:name="_Toc504249888"/>
      <w:bookmarkStart w:id="77" w:name="_Toc531258283"/>
      <w:r w:rsidRPr="00A119E8">
        <w:t xml:space="preserve">Figure </w:t>
      </w:r>
      <w:r>
        <w:t>5</w:t>
      </w:r>
      <w:r w:rsidRPr="00A119E8">
        <w:t xml:space="preserve">: Percentage of </w:t>
      </w:r>
      <w:r>
        <w:t>four-year-old children</w:t>
      </w:r>
      <w:r w:rsidRPr="00A119E8">
        <w:t xml:space="preserve"> who received a B4</w:t>
      </w:r>
      <w:r>
        <w:t xml:space="preserve"> </w:t>
      </w:r>
      <w:r w:rsidRPr="00A119E8">
        <w:t>S</w:t>
      </w:r>
      <w:r>
        <w:t xml:space="preserve">chool </w:t>
      </w:r>
      <w:r w:rsidRPr="00A119E8">
        <w:t>C</w:t>
      </w:r>
      <w:r>
        <w:t>heck</w:t>
      </w:r>
      <w:r w:rsidRPr="00A119E8">
        <w:t xml:space="preserve">, </w:t>
      </w:r>
      <w:r>
        <w:t>Pacific peoples</w:t>
      </w:r>
      <w:r w:rsidRPr="00A119E8">
        <w:t xml:space="preserve"> and total </w:t>
      </w:r>
      <w:r>
        <w:t>New Zealand population</w:t>
      </w:r>
      <w:r w:rsidRPr="00A119E8">
        <w:t xml:space="preserve">, </w:t>
      </w:r>
      <w:bookmarkEnd w:id="71"/>
      <w:bookmarkEnd w:id="72"/>
      <w:bookmarkEnd w:id="73"/>
      <w:bookmarkEnd w:id="74"/>
      <w:bookmarkEnd w:id="75"/>
      <w:r>
        <w:t>July 2012–June 2016</w:t>
      </w:r>
      <w:bookmarkEnd w:id="76"/>
      <w:bookmarkEnd w:id="77"/>
    </w:p>
    <w:p w14:paraId="207849C4" w14:textId="77777777" w:rsidR="002601C2" w:rsidRDefault="00CA6969" w:rsidP="001E5813">
      <w:r>
        <w:rPr>
          <w:noProof/>
          <w:lang w:eastAsia="ja-JP"/>
        </w:rPr>
        <w:drawing>
          <wp:inline distT="0" distB="0" distL="0" distR="0" wp14:anchorId="66510CED" wp14:editId="4E69DB34">
            <wp:extent cx="4680065" cy="2668385"/>
            <wp:effectExtent l="0" t="0" r="6350" b="0"/>
            <wp:docPr id="12" name="Chart 12" title="Figure 5: Percentage of four-year-old children who received a B4 School Check, Pacific peoples and total New Zealand population, July 2012–June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1B2B7C0" w14:textId="77777777" w:rsidR="00946619" w:rsidRPr="00401B34" w:rsidRDefault="00946619" w:rsidP="00946619">
      <w:pPr>
        <w:pStyle w:val="Source"/>
        <w:rPr>
          <w:noProof/>
          <w:lang w:eastAsia="en-NZ"/>
        </w:rPr>
      </w:pPr>
      <w:r w:rsidRPr="00401B34">
        <w:rPr>
          <w:noProof/>
          <w:lang w:eastAsia="en-NZ"/>
        </w:rPr>
        <w:t>Source: DHB reporting on B4SC</w:t>
      </w:r>
      <w:r>
        <w:rPr>
          <w:noProof/>
          <w:lang w:eastAsia="en-NZ"/>
        </w:rPr>
        <w:t>s</w:t>
      </w:r>
    </w:p>
    <w:p w14:paraId="00400889" w14:textId="77777777" w:rsidR="00946619" w:rsidRDefault="00946619" w:rsidP="001E5813"/>
    <w:p w14:paraId="339423B2" w14:textId="77777777" w:rsidR="002601C2" w:rsidRDefault="002601C2" w:rsidP="001E5813">
      <w:pPr>
        <w:pStyle w:val="Figure"/>
      </w:pPr>
      <w:bookmarkStart w:id="78" w:name="_Toc428368066"/>
      <w:bookmarkStart w:id="79" w:name="_Toc428370444"/>
      <w:bookmarkStart w:id="80" w:name="_Toc445801450"/>
      <w:bookmarkStart w:id="81" w:name="_Toc447527148"/>
      <w:bookmarkStart w:id="82" w:name="_Toc458409430"/>
      <w:bookmarkStart w:id="83" w:name="_Toc531258284"/>
      <w:r w:rsidRPr="00A119E8">
        <w:lastRenderedPageBreak/>
        <w:t xml:space="preserve">Figure </w:t>
      </w:r>
      <w:r>
        <w:t>6A</w:t>
      </w:r>
      <w:r w:rsidRPr="00A119E8">
        <w:t>: Percentage of four-year-olds who recei</w:t>
      </w:r>
      <w:r>
        <w:t>ved a B4 School Check, Pacific peoples, Auckland region</w:t>
      </w:r>
      <w:r w:rsidRPr="00A119E8">
        <w:t xml:space="preserve"> DHBs, </w:t>
      </w:r>
      <w:bookmarkEnd w:id="78"/>
      <w:bookmarkEnd w:id="79"/>
      <w:bookmarkEnd w:id="80"/>
      <w:bookmarkEnd w:id="81"/>
      <w:bookmarkEnd w:id="82"/>
      <w:r>
        <w:t>July 2012–June 2016</w:t>
      </w:r>
      <w:bookmarkEnd w:id="83"/>
    </w:p>
    <w:p w14:paraId="552A38C8" w14:textId="77777777" w:rsidR="00E73A58" w:rsidRDefault="002601C2" w:rsidP="00E73A58">
      <w:pPr>
        <w:rPr>
          <w:noProof/>
          <w:lang w:eastAsia="en-NZ"/>
        </w:rPr>
      </w:pPr>
      <w:r>
        <w:rPr>
          <w:noProof/>
          <w:lang w:eastAsia="ja-JP"/>
        </w:rPr>
        <w:drawing>
          <wp:inline distT="0" distB="0" distL="0" distR="0" wp14:anchorId="4E0B4470" wp14:editId="214D61C5">
            <wp:extent cx="4671753" cy="2601884"/>
            <wp:effectExtent l="0" t="0" r="0" b="8255"/>
            <wp:docPr id="13" name="Chart 13" title="Figure 6A: Percentage of four-year-olds who received a B4 School Check, Pacific peoples, Auckland region DHBs, July 2012–June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FD14611" w14:textId="77777777" w:rsidR="002601C2" w:rsidRDefault="002601C2" w:rsidP="00E73A58">
      <w:pPr>
        <w:pStyle w:val="Source"/>
        <w:rPr>
          <w:noProof/>
          <w:lang w:eastAsia="en-NZ"/>
        </w:rPr>
      </w:pPr>
      <w:r w:rsidRPr="00401B34">
        <w:rPr>
          <w:noProof/>
          <w:lang w:eastAsia="en-NZ"/>
        </w:rPr>
        <w:t>Source: DHB reporting on B4SC</w:t>
      </w:r>
      <w:r>
        <w:rPr>
          <w:noProof/>
          <w:lang w:eastAsia="en-NZ"/>
        </w:rPr>
        <w:t>s</w:t>
      </w:r>
    </w:p>
    <w:p w14:paraId="2A79EC38" w14:textId="77777777" w:rsidR="002601C2" w:rsidRPr="00401B34" w:rsidRDefault="002601C2" w:rsidP="001E5813">
      <w:pPr>
        <w:rPr>
          <w:noProof/>
          <w:lang w:eastAsia="en-NZ"/>
        </w:rPr>
      </w:pPr>
    </w:p>
    <w:p w14:paraId="2267E55B" w14:textId="77777777" w:rsidR="002601C2" w:rsidRDefault="002601C2" w:rsidP="001E5813">
      <w:pPr>
        <w:pStyle w:val="Figure"/>
      </w:pPr>
      <w:bookmarkStart w:id="84" w:name="_Toc531258285"/>
      <w:r w:rsidRPr="00A119E8">
        <w:t xml:space="preserve">Figure </w:t>
      </w:r>
      <w:r>
        <w:t>6B</w:t>
      </w:r>
      <w:r w:rsidRPr="00A119E8">
        <w:t>: Percentage of four-year-olds who recei</w:t>
      </w:r>
      <w:r>
        <w:t>ved a B4 School Check, Pacific peoples, priority</w:t>
      </w:r>
      <w:r w:rsidRPr="00A119E8">
        <w:t xml:space="preserve"> DHBs</w:t>
      </w:r>
      <w:r>
        <w:t xml:space="preserve"> outside the Auckland region</w:t>
      </w:r>
      <w:r w:rsidRPr="00A119E8">
        <w:t xml:space="preserve">, </w:t>
      </w:r>
      <w:r>
        <w:t>July 2012–June 2016</w:t>
      </w:r>
      <w:bookmarkEnd w:id="84"/>
    </w:p>
    <w:p w14:paraId="06D692B4" w14:textId="77777777" w:rsidR="00E73A58" w:rsidRDefault="002601C2" w:rsidP="00E73A58">
      <w:pPr>
        <w:rPr>
          <w:noProof/>
          <w:lang w:eastAsia="en-NZ"/>
        </w:rPr>
      </w:pPr>
      <w:r>
        <w:rPr>
          <w:noProof/>
          <w:lang w:eastAsia="ja-JP"/>
        </w:rPr>
        <w:drawing>
          <wp:inline distT="0" distB="0" distL="0" distR="0" wp14:anchorId="30AC7751" wp14:editId="636A3378">
            <wp:extent cx="4671753" cy="2676698"/>
            <wp:effectExtent l="0" t="0" r="0" b="0"/>
            <wp:docPr id="14" name="Chart 14" title="Figure 6B: Percentage of four-year-olds who received a B4 School Check, Pacific peoples, priority DHBs outside the Auckland region, July 2012–June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0C6B12B" w14:textId="77777777" w:rsidR="002601C2" w:rsidRPr="00401B34" w:rsidRDefault="002601C2" w:rsidP="00E73A58">
      <w:pPr>
        <w:pStyle w:val="Source"/>
        <w:rPr>
          <w:noProof/>
          <w:lang w:eastAsia="en-NZ"/>
        </w:rPr>
      </w:pPr>
      <w:r w:rsidRPr="00401B34">
        <w:rPr>
          <w:noProof/>
          <w:lang w:eastAsia="en-NZ"/>
        </w:rPr>
        <w:t>Source: DHB reporting on B4SC</w:t>
      </w:r>
      <w:r>
        <w:rPr>
          <w:noProof/>
          <w:lang w:eastAsia="en-NZ"/>
        </w:rPr>
        <w:t>s</w:t>
      </w:r>
    </w:p>
    <w:p w14:paraId="1187BE27" w14:textId="77777777" w:rsidR="002601C2" w:rsidRDefault="002601C2" w:rsidP="001E5813">
      <w:pPr>
        <w:rPr>
          <w:noProof/>
          <w:lang w:eastAsia="en-NZ"/>
        </w:rPr>
      </w:pPr>
    </w:p>
    <w:p w14:paraId="1F9697A4" w14:textId="77777777" w:rsidR="001E5813" w:rsidRDefault="001E5813" w:rsidP="001E5813">
      <w:pPr>
        <w:pStyle w:val="Note"/>
        <w:ind w:left="0" w:right="0" w:firstLine="0"/>
      </w:pPr>
      <w:r w:rsidRPr="00546CFB">
        <w:t>Notes</w:t>
      </w:r>
    </w:p>
    <w:p w14:paraId="6F442E44" w14:textId="77777777" w:rsidR="001E5813" w:rsidRPr="001E5813" w:rsidRDefault="001E5813" w:rsidP="001E5813">
      <w:pPr>
        <w:pStyle w:val="Note"/>
        <w:ind w:left="0" w:right="0" w:firstLine="0"/>
        <w:rPr>
          <w:b/>
        </w:rPr>
      </w:pPr>
      <w:r w:rsidRPr="001E5813">
        <w:rPr>
          <w:b/>
        </w:rPr>
        <w:t>Figures 5, 6A and 6B:</w:t>
      </w:r>
    </w:p>
    <w:p w14:paraId="25AFCFAE" w14:textId="77777777" w:rsidR="001E5813" w:rsidRDefault="001E5813" w:rsidP="001E5813">
      <w:pPr>
        <w:pStyle w:val="Note"/>
        <w:ind w:left="0" w:right="0" w:firstLine="0"/>
      </w:pPr>
      <w:r w:rsidRPr="00546CFB">
        <w:t>Timeframes: the data reflect</w:t>
      </w:r>
      <w:r>
        <w:t>s</w:t>
      </w:r>
      <w:r w:rsidRPr="00546CFB">
        <w:t xml:space="preserve"> </w:t>
      </w:r>
      <w:r>
        <w:t>financial years (12 months). For the 2015/16 data, the financial year was 1 July 2015–31 June 2016.</w:t>
      </w:r>
    </w:p>
    <w:p w14:paraId="64BF0C1E" w14:textId="77777777" w:rsidR="001E5813" w:rsidRPr="00BB1625" w:rsidRDefault="001E5813" w:rsidP="001E5813">
      <w:pPr>
        <w:pStyle w:val="Note"/>
        <w:ind w:left="0" w:right="0" w:firstLine="0"/>
      </w:pPr>
      <w:r w:rsidRPr="00BB1625">
        <w:t xml:space="preserve">Numerator: </w:t>
      </w:r>
      <w:r>
        <w:t xml:space="preserve">the </w:t>
      </w:r>
      <w:r w:rsidRPr="00BB1625">
        <w:t>number of four</w:t>
      </w:r>
      <w:r>
        <w:t>-</w:t>
      </w:r>
      <w:r w:rsidRPr="00BB1625">
        <w:t>year</w:t>
      </w:r>
      <w:r>
        <w:t>-</w:t>
      </w:r>
      <w:r w:rsidRPr="00BB1625">
        <w:t>old children enrolled in a PHO who received a B4SC during the reporting period. Source: DHB reporting</w:t>
      </w:r>
      <w:r>
        <w:t>.</w:t>
      </w:r>
    </w:p>
    <w:p w14:paraId="1040C6CC" w14:textId="77777777" w:rsidR="001E5813" w:rsidRDefault="001E5813" w:rsidP="001E5813">
      <w:pPr>
        <w:pStyle w:val="Note"/>
        <w:ind w:left="0" w:right="0" w:firstLine="0"/>
      </w:pPr>
      <w:r w:rsidRPr="00BB1625">
        <w:t xml:space="preserve">Denominator: </w:t>
      </w:r>
      <w:r>
        <w:t xml:space="preserve">the </w:t>
      </w:r>
      <w:r w:rsidRPr="00BB1625">
        <w:t xml:space="preserve">number of children who had a </w:t>
      </w:r>
      <w:r>
        <w:t xml:space="preserve">fourth </w:t>
      </w:r>
      <w:r w:rsidRPr="00BB1625">
        <w:t xml:space="preserve">birthday during the reporting period and were enrolled in a PHO. </w:t>
      </w:r>
      <w:r>
        <w:t xml:space="preserve">This includes all children who turned four years old in the relevant financial year, even those who were four years and one day old. This may add variability to the data, as the children </w:t>
      </w:r>
      <w:r w:rsidR="00532B24">
        <w:t xml:space="preserve">who </w:t>
      </w:r>
      <w:r>
        <w:t xml:space="preserve">recently turned four were likely to have their B4SC in the subsequent financial year. </w:t>
      </w:r>
      <w:r w:rsidR="00E73A58">
        <w:t>Source: DHB reporting</w:t>
      </w:r>
      <w:r w:rsidR="00D514C1">
        <w:t>.</w:t>
      </w:r>
    </w:p>
    <w:p w14:paraId="2017492B" w14:textId="77777777" w:rsidR="001E5813" w:rsidRPr="00F334E5" w:rsidRDefault="001E5813" w:rsidP="001E5813">
      <w:pPr>
        <w:pStyle w:val="Note"/>
        <w:ind w:left="0" w:right="0" w:firstLine="0"/>
      </w:pPr>
      <w:r>
        <w:t>The high level of variability in the DHB data, especially for those DHBs outside of the Auckland region, is largely due to the small number of four-year-old Pacific children in each DHB.</w:t>
      </w:r>
    </w:p>
    <w:p w14:paraId="385EADEB" w14:textId="77777777" w:rsidR="001E5813" w:rsidRDefault="001E5813" w:rsidP="001E5813">
      <w:pPr>
        <w:rPr>
          <w:noProof/>
          <w:lang w:eastAsia="en-NZ"/>
        </w:rPr>
      </w:pPr>
    </w:p>
    <w:p w14:paraId="2342EC29" w14:textId="77777777" w:rsidR="002F7222" w:rsidRPr="001E5813" w:rsidRDefault="002601C2" w:rsidP="001E5813">
      <w:pPr>
        <w:pStyle w:val="Heading1"/>
      </w:pPr>
      <w:bookmarkStart w:id="85" w:name="_Toc503952527"/>
      <w:bookmarkStart w:id="86" w:name="_Toc504249858"/>
      <w:bookmarkStart w:id="87" w:name="_Toc531258246"/>
      <w:r>
        <w:lastRenderedPageBreak/>
        <w:t>Children breastfed at three months of age</w:t>
      </w:r>
      <w:bookmarkEnd w:id="85"/>
      <w:bookmarkEnd w:id="86"/>
      <w:bookmarkEnd w:id="87"/>
    </w:p>
    <w:p w14:paraId="596AA7ED" w14:textId="77777777" w:rsidR="002F7222" w:rsidRDefault="002601C2" w:rsidP="001E5813">
      <w:r>
        <w:t>Figure 7 below shows the national percentage of Pacific children exclusively or fully breastfed at 2.5–4 months of age. The rates for this indicator were consistent between June 2013 and the most recent report (December 2016). Rates for the total New Zealand population were consistently higher than those for the Pacific peoples population.</w:t>
      </w:r>
    </w:p>
    <w:p w14:paraId="6BB9106D" w14:textId="77777777" w:rsidR="002601C2" w:rsidRDefault="002601C2" w:rsidP="001E5813"/>
    <w:p w14:paraId="35B823ED" w14:textId="77777777" w:rsidR="001E5813" w:rsidRDefault="001E5813" w:rsidP="001E5813">
      <w:pPr>
        <w:pStyle w:val="Heading2"/>
      </w:pPr>
      <w:bookmarkStart w:id="88" w:name="_Toc504249859"/>
      <w:bookmarkStart w:id="89" w:name="_Toc531258247"/>
      <w:r w:rsidRPr="007E3539">
        <w:rPr>
          <w:lang w:eastAsia="en-NZ"/>
        </w:rPr>
        <w:t>Increased percentage of Pacific infants who are exclusively or fully breastfed at three months of age</w:t>
      </w:r>
      <w:bookmarkEnd w:id="88"/>
      <w:bookmarkEnd w:id="89"/>
    </w:p>
    <w:p w14:paraId="74471E86" w14:textId="77777777" w:rsidR="002601C2" w:rsidRPr="00A119E8" w:rsidRDefault="002601C2" w:rsidP="001E5813">
      <w:r w:rsidRPr="007A28AF">
        <w:rPr>
          <w:b/>
        </w:rPr>
        <w:t>Performance:</w:t>
      </w:r>
      <w:r>
        <w:t xml:space="preserve"> The target was set at 60</w:t>
      </w:r>
      <w:r w:rsidRPr="00A119E8">
        <w:t xml:space="preserve"> percent</w:t>
      </w:r>
      <w:r>
        <w:t xml:space="preserve">, </w:t>
      </w:r>
      <w:r w:rsidRPr="00A119E8">
        <w:t>to be achieved by June 2016.</w:t>
      </w:r>
    </w:p>
    <w:p w14:paraId="676AFC4E" w14:textId="77777777" w:rsidR="002601C2" w:rsidRPr="00A119E8" w:rsidRDefault="002601C2" w:rsidP="001E5813"/>
    <w:p w14:paraId="0E5E1F78" w14:textId="77777777" w:rsidR="002601C2" w:rsidRDefault="002601C2" w:rsidP="001E5813">
      <w:pPr>
        <w:pStyle w:val="Figure"/>
      </w:pPr>
      <w:bookmarkStart w:id="90" w:name="_Toc428368067"/>
      <w:bookmarkStart w:id="91" w:name="_Toc428370445"/>
      <w:bookmarkStart w:id="92" w:name="_Toc445801451"/>
      <w:bookmarkStart w:id="93" w:name="_Toc447527149"/>
      <w:bookmarkStart w:id="94" w:name="_Toc458409431"/>
      <w:bookmarkStart w:id="95" w:name="_Toc504249891"/>
      <w:bookmarkStart w:id="96" w:name="_Toc531258286"/>
      <w:r w:rsidRPr="00A119E8">
        <w:t xml:space="preserve">Figure </w:t>
      </w:r>
      <w:r>
        <w:t>7</w:t>
      </w:r>
      <w:r w:rsidRPr="00A119E8">
        <w:t xml:space="preserve">: Percentage of infants exclusively or fully breastfed </w:t>
      </w:r>
      <w:r>
        <w:t>at 2.5–4 months of age</w:t>
      </w:r>
      <w:r w:rsidRPr="00A119E8">
        <w:t xml:space="preserve">, Pacific </w:t>
      </w:r>
      <w:r>
        <w:t>peoples</w:t>
      </w:r>
      <w:r w:rsidRPr="00A119E8">
        <w:t xml:space="preserve"> and total </w:t>
      </w:r>
      <w:r>
        <w:t>New Zealand population</w:t>
      </w:r>
      <w:r w:rsidRPr="00A119E8">
        <w:t xml:space="preserve">, </w:t>
      </w:r>
      <w:bookmarkEnd w:id="90"/>
      <w:bookmarkEnd w:id="91"/>
      <w:bookmarkEnd w:id="92"/>
      <w:bookmarkEnd w:id="93"/>
      <w:bookmarkEnd w:id="94"/>
      <w:r>
        <w:t>June</w:t>
      </w:r>
      <w:r w:rsidRPr="00A119E8">
        <w:t xml:space="preserve"> 2013</w:t>
      </w:r>
      <w:r>
        <w:t>–December 2016</w:t>
      </w:r>
      <w:bookmarkEnd w:id="95"/>
      <w:bookmarkEnd w:id="96"/>
    </w:p>
    <w:p w14:paraId="4BE9FDFC" w14:textId="77777777" w:rsidR="002601C2" w:rsidRDefault="002601C2" w:rsidP="002601C2">
      <w:r>
        <w:rPr>
          <w:noProof/>
          <w:lang w:eastAsia="ja-JP"/>
        </w:rPr>
        <w:drawing>
          <wp:inline distT="0" distB="0" distL="0" distR="0" wp14:anchorId="7C4562A6" wp14:editId="0CE67544">
            <wp:extent cx="4671752" cy="2626821"/>
            <wp:effectExtent l="0" t="0" r="14605" b="2540"/>
            <wp:docPr id="95" name="Chart 95" title="Figure 7: Percentage of infants exclusively or fully breastfed at 2.5–4 months of age, Pacific peoples and total New Zealand population, June 2013–Decemb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AC179A5" w14:textId="77777777" w:rsidR="002601C2" w:rsidRPr="002B67DC" w:rsidRDefault="002601C2" w:rsidP="001E5813">
      <w:pPr>
        <w:pStyle w:val="Source"/>
      </w:pPr>
      <w:r w:rsidRPr="002B67DC">
        <w:t>Source: WCTO provider reporting</w:t>
      </w:r>
    </w:p>
    <w:p w14:paraId="1B64ABA0" w14:textId="77777777" w:rsidR="002601C2" w:rsidRPr="00A119E8" w:rsidRDefault="002601C2" w:rsidP="001E5813"/>
    <w:p w14:paraId="0018D632" w14:textId="77777777" w:rsidR="002601C2" w:rsidRDefault="002601C2" w:rsidP="001E5813">
      <w:pPr>
        <w:pStyle w:val="Figure"/>
      </w:pPr>
      <w:bookmarkStart w:id="97" w:name="_Toc428368068"/>
      <w:bookmarkStart w:id="98" w:name="_Toc428370446"/>
      <w:bookmarkStart w:id="99" w:name="_Toc445801452"/>
      <w:bookmarkStart w:id="100" w:name="_Toc447527150"/>
      <w:bookmarkStart w:id="101" w:name="_Toc458409432"/>
      <w:bookmarkStart w:id="102" w:name="_Toc504249892"/>
      <w:bookmarkStart w:id="103" w:name="_Toc531258287"/>
      <w:r w:rsidRPr="00A119E8">
        <w:lastRenderedPageBreak/>
        <w:t xml:space="preserve">Figure </w:t>
      </w:r>
      <w:r>
        <w:t>8A</w:t>
      </w:r>
      <w:r w:rsidRPr="00A119E8">
        <w:t xml:space="preserve">: Percentage of infants exclusively or fully breastfed at </w:t>
      </w:r>
      <w:r>
        <w:t>2.5–4 months of age</w:t>
      </w:r>
      <w:r w:rsidRPr="00A119E8">
        <w:t xml:space="preserve">, Pacific peoples, </w:t>
      </w:r>
      <w:r>
        <w:t>Auckland region</w:t>
      </w:r>
      <w:r w:rsidRPr="00A119E8">
        <w:t xml:space="preserve"> DHBs,</w:t>
      </w:r>
      <w:r>
        <w:t xml:space="preserve"> January</w:t>
      </w:r>
      <w:r w:rsidRPr="00A119E8">
        <w:t xml:space="preserve"> 2013</w:t>
      </w:r>
      <w:bookmarkEnd w:id="97"/>
      <w:bookmarkEnd w:id="98"/>
      <w:bookmarkEnd w:id="99"/>
      <w:bookmarkEnd w:id="100"/>
      <w:bookmarkEnd w:id="101"/>
      <w:r>
        <w:t>–December 2016</w:t>
      </w:r>
      <w:bookmarkEnd w:id="102"/>
      <w:bookmarkEnd w:id="103"/>
    </w:p>
    <w:p w14:paraId="53DDF110" w14:textId="77777777" w:rsidR="00722F16" w:rsidRDefault="002601C2" w:rsidP="00722F16">
      <w:r>
        <w:rPr>
          <w:noProof/>
          <w:lang w:eastAsia="ja-JP"/>
        </w:rPr>
        <w:drawing>
          <wp:inline distT="0" distB="0" distL="0" distR="0" wp14:anchorId="002D6808" wp14:editId="68FCA277">
            <wp:extent cx="4680066" cy="2643448"/>
            <wp:effectExtent l="0" t="0" r="25400" b="5080"/>
            <wp:docPr id="192" name="Chart 192" title="Figure 8A: Percentage of infants exclusively or fully breastfed at 2.5–4 months of age, Pacific peoples, Auckland region DHBs, January 2013–Decemb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475D5CC" w14:textId="77777777" w:rsidR="002601C2" w:rsidRPr="002B67DC" w:rsidRDefault="002601C2" w:rsidP="00722F16">
      <w:pPr>
        <w:pStyle w:val="Source"/>
      </w:pPr>
      <w:r w:rsidRPr="002B67DC">
        <w:t>Source: WCTO provider reporting</w:t>
      </w:r>
    </w:p>
    <w:p w14:paraId="3797B233" w14:textId="77777777" w:rsidR="002601C2" w:rsidRDefault="002601C2" w:rsidP="001E5813">
      <w:pPr>
        <w:rPr>
          <w:noProof/>
          <w:lang w:eastAsia="en-NZ"/>
        </w:rPr>
      </w:pPr>
    </w:p>
    <w:p w14:paraId="519C261E" w14:textId="77777777" w:rsidR="002F7222" w:rsidRDefault="002601C2" w:rsidP="001E5813">
      <w:pPr>
        <w:pStyle w:val="Figure"/>
        <w:rPr>
          <w:noProof/>
          <w:lang w:eastAsia="en-NZ"/>
        </w:rPr>
      </w:pPr>
      <w:bookmarkStart w:id="104" w:name="_Toc504249893"/>
      <w:bookmarkStart w:id="105" w:name="_Toc531258288"/>
      <w:r w:rsidRPr="00A119E8">
        <w:t xml:space="preserve">Figure </w:t>
      </w:r>
      <w:r>
        <w:t>8B</w:t>
      </w:r>
      <w:r w:rsidRPr="00A119E8">
        <w:t xml:space="preserve">: Percentage of infants exclusively or fully breastfed at </w:t>
      </w:r>
      <w:r>
        <w:t>2.5–4</w:t>
      </w:r>
      <w:r w:rsidRPr="00A119E8">
        <w:t xml:space="preserve"> months</w:t>
      </w:r>
      <w:r>
        <w:t xml:space="preserve"> of age</w:t>
      </w:r>
      <w:r w:rsidRPr="00A119E8">
        <w:t xml:space="preserve">, Pacific peoples, </w:t>
      </w:r>
      <w:r>
        <w:t>priority</w:t>
      </w:r>
      <w:r w:rsidRPr="00A119E8">
        <w:t xml:space="preserve"> DHBs</w:t>
      </w:r>
      <w:r>
        <w:t xml:space="preserve"> outside the Auckland region</w:t>
      </w:r>
      <w:r w:rsidRPr="00A119E8">
        <w:t xml:space="preserve">, </w:t>
      </w:r>
      <w:r>
        <w:t>January</w:t>
      </w:r>
      <w:r w:rsidRPr="00A119E8">
        <w:t xml:space="preserve"> 2013</w:t>
      </w:r>
      <w:r>
        <w:t>–December 2016</w:t>
      </w:r>
      <w:bookmarkEnd w:id="104"/>
      <w:bookmarkEnd w:id="105"/>
    </w:p>
    <w:p w14:paraId="6E6F33B3" w14:textId="77777777" w:rsidR="007C3DDC" w:rsidRDefault="002601C2" w:rsidP="007C3DDC">
      <w:r>
        <w:rPr>
          <w:noProof/>
          <w:lang w:eastAsia="ja-JP"/>
        </w:rPr>
        <w:drawing>
          <wp:inline distT="0" distB="0" distL="0" distR="0" wp14:anchorId="3EF1ABD7" wp14:editId="585A1B97">
            <wp:extent cx="4680066" cy="2610197"/>
            <wp:effectExtent l="0" t="0" r="25400" b="0"/>
            <wp:docPr id="200" name="Chart 200" title="Figure 8B: Percentage of infants exclusively or fully breastfed at 2.5–4 months of age, Pacific peoples, priority DHBs outside the Auckland region, January 2013–Decemb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B1F3BF6" w14:textId="77777777" w:rsidR="002601C2" w:rsidRDefault="002601C2" w:rsidP="007C3DDC">
      <w:pPr>
        <w:pStyle w:val="Source"/>
      </w:pPr>
      <w:r w:rsidRPr="00212EE9">
        <w:t>Source: WCTO provider reporting</w:t>
      </w:r>
    </w:p>
    <w:p w14:paraId="384C0F6E" w14:textId="77777777" w:rsidR="002601C2" w:rsidRDefault="002601C2" w:rsidP="001E5813"/>
    <w:p w14:paraId="58F8B83D" w14:textId="77777777" w:rsidR="001E5813" w:rsidRDefault="001E5813" w:rsidP="007C3DDC">
      <w:pPr>
        <w:pStyle w:val="Note"/>
        <w:keepNext/>
        <w:ind w:left="0" w:right="0" w:firstLine="0"/>
      </w:pPr>
      <w:r>
        <w:lastRenderedPageBreak/>
        <w:t>Notes</w:t>
      </w:r>
    </w:p>
    <w:p w14:paraId="58C0EEB9" w14:textId="77777777" w:rsidR="001E5813" w:rsidRPr="001E5813" w:rsidRDefault="001E5813" w:rsidP="007C3DDC">
      <w:pPr>
        <w:pStyle w:val="Note"/>
        <w:keepNext/>
        <w:ind w:left="0" w:right="0" w:firstLine="0"/>
        <w:rPr>
          <w:b/>
        </w:rPr>
      </w:pPr>
      <w:r w:rsidRPr="001E5813">
        <w:rPr>
          <w:b/>
        </w:rPr>
        <w:t>Figures 7, 8A, and 8B:</w:t>
      </w:r>
    </w:p>
    <w:p w14:paraId="7C9324FE" w14:textId="77777777" w:rsidR="001E5813" w:rsidRDefault="001E5813" w:rsidP="007C3DDC">
      <w:pPr>
        <w:pStyle w:val="Note"/>
        <w:keepNext/>
        <w:ind w:left="0" w:right="0" w:firstLine="0"/>
      </w:pPr>
      <w:r w:rsidRPr="00546CFB">
        <w:t>Timeframes: the data reflect</w:t>
      </w:r>
      <w:r>
        <w:t>s</w:t>
      </w:r>
      <w:r w:rsidRPr="00546CFB">
        <w:t xml:space="preserve"> </w:t>
      </w:r>
      <w:r>
        <w:t>six-month periods (1 January–30 June; 1 July–31 December).</w:t>
      </w:r>
      <w:r w:rsidRPr="00546CFB">
        <w:t xml:space="preserve"> </w:t>
      </w:r>
      <w:r>
        <w:t>For the latest</w:t>
      </w:r>
      <w:r w:rsidRPr="00546CFB">
        <w:t xml:space="preserve"> </w:t>
      </w:r>
      <w:r>
        <w:t>report</w:t>
      </w:r>
      <w:r w:rsidRPr="00546CFB">
        <w:t xml:space="preserve">, </w:t>
      </w:r>
      <w:r>
        <w:t>‘December 20</w:t>
      </w:r>
      <w:r w:rsidRPr="00546CFB">
        <w:t>1</w:t>
      </w:r>
      <w:r>
        <w:t>6’</w:t>
      </w:r>
      <w:r w:rsidRPr="00546CFB">
        <w:t xml:space="preserve"> relates to the period </w:t>
      </w:r>
      <w:r>
        <w:t>1 July to 31 December 2016</w:t>
      </w:r>
      <w:r w:rsidRPr="00546CFB">
        <w:t>.</w:t>
      </w:r>
    </w:p>
    <w:p w14:paraId="33FF12CB" w14:textId="77777777" w:rsidR="001E5813" w:rsidRPr="001E5813" w:rsidRDefault="001E5813" w:rsidP="007C3DDC">
      <w:pPr>
        <w:pStyle w:val="Note"/>
        <w:keepNext/>
        <w:ind w:left="0" w:right="0" w:firstLine="0"/>
      </w:pPr>
      <w:r>
        <w:t xml:space="preserve">Numerator: the </w:t>
      </w:r>
      <w:r w:rsidRPr="00C86921">
        <w:t xml:space="preserve">number of </w:t>
      </w:r>
      <w:r>
        <w:t>children who were exclusively breastfed who were between 70 and 111 days</w:t>
      </w:r>
      <w:r w:rsidR="007C3DDC">
        <w:br/>
      </w:r>
      <w:r>
        <w:t xml:space="preserve">(2.5–4 months) of age at the time of the WCTO check. </w:t>
      </w:r>
      <w:r w:rsidR="007C3DDC">
        <w:t>Source: WCTO provider reporting</w:t>
      </w:r>
      <w:r w:rsidR="00D514C1">
        <w:t>.</w:t>
      </w:r>
    </w:p>
    <w:p w14:paraId="5B80CC96" w14:textId="77777777" w:rsidR="001E5813" w:rsidRDefault="001E5813" w:rsidP="007C3DDC">
      <w:pPr>
        <w:pStyle w:val="Note"/>
        <w:keepNext/>
        <w:ind w:left="0" w:right="0" w:firstLine="0"/>
      </w:pPr>
      <w:r>
        <w:t xml:space="preserve">Denominator: the </w:t>
      </w:r>
      <w:r w:rsidRPr="00C86921">
        <w:t xml:space="preserve">number of </w:t>
      </w:r>
      <w:r>
        <w:t>children who were between 70 and 111 days (2.5–4 months) of age at the time of the WCTO check. Source: WCTO provider reporting</w:t>
      </w:r>
      <w:r w:rsidR="00D514C1">
        <w:t>.</w:t>
      </w:r>
    </w:p>
    <w:p w14:paraId="77358456" w14:textId="77777777" w:rsidR="001E5813" w:rsidRDefault="001E5813" w:rsidP="007C3DDC">
      <w:pPr>
        <w:pStyle w:val="Note"/>
        <w:keepNext/>
        <w:ind w:left="0" w:right="0" w:firstLine="0"/>
      </w:pPr>
      <w:r>
        <w:t>Prior to</w:t>
      </w:r>
      <w:r w:rsidRPr="00D70373">
        <w:t xml:space="preserve"> </w:t>
      </w:r>
      <w:r>
        <w:t>June</w:t>
      </w:r>
      <w:r w:rsidRPr="00D70373">
        <w:t xml:space="preserve"> 2015, the data for this indicator includes </w:t>
      </w:r>
      <w:r w:rsidRPr="00A955E9">
        <w:t>was sourced from Plunket alone</w:t>
      </w:r>
      <w:r>
        <w:t>.</w:t>
      </w:r>
      <w:r w:rsidRPr="00D70373">
        <w:t xml:space="preserve"> </w:t>
      </w:r>
      <w:r>
        <w:t xml:space="preserve">From June </w:t>
      </w:r>
      <w:r w:rsidRPr="00C86921">
        <w:t>2015</w:t>
      </w:r>
      <w:r>
        <w:t xml:space="preserve"> onwards</w:t>
      </w:r>
      <w:r w:rsidRPr="00C86921">
        <w:t xml:space="preserve">, </w:t>
      </w:r>
      <w:r>
        <w:t xml:space="preserve">it was sourced </w:t>
      </w:r>
      <w:r w:rsidRPr="00D70373">
        <w:t xml:space="preserve">from all WCTO providers. </w:t>
      </w:r>
      <w:r w:rsidRPr="00C86921">
        <w:t>This means re</w:t>
      </w:r>
      <w:r>
        <w:t>sults for this indicator</w:t>
      </w:r>
      <w:r w:rsidRPr="00C86921">
        <w:t xml:space="preserve"> </w:t>
      </w:r>
      <w:r>
        <w:t xml:space="preserve">from June 2015 onwards </w:t>
      </w:r>
      <w:r w:rsidRPr="00C86921">
        <w:t>are not directly comparable with results from earlier periods.</w:t>
      </w:r>
    </w:p>
    <w:p w14:paraId="5B22BC05" w14:textId="77777777" w:rsidR="001E5813" w:rsidRDefault="001E5813" w:rsidP="007C3DDC">
      <w:pPr>
        <w:pStyle w:val="Note"/>
        <w:keepNext/>
        <w:ind w:left="0" w:right="0" w:firstLine="0"/>
      </w:pPr>
      <w:r>
        <w:t>The Ministry of Health only receives data with percentages, so we are unable to provide a table of data showing the raw count for the numerator and denominator for the most recent reporting period.</w:t>
      </w:r>
    </w:p>
    <w:p w14:paraId="5E93F17E" w14:textId="77777777" w:rsidR="001E5813" w:rsidRDefault="001E5813" w:rsidP="001E5813">
      <w:pPr>
        <w:pStyle w:val="Note"/>
        <w:ind w:left="0" w:right="0" w:firstLine="0"/>
      </w:pPr>
      <w:r>
        <w:t>The high level of variability in the DHB data, especially for those DHBs outside of the Auckland region, is largely due to the small infant Pacific population in each DHB.</w:t>
      </w:r>
    </w:p>
    <w:p w14:paraId="6CA45B44" w14:textId="77777777" w:rsidR="001E5813" w:rsidRPr="00BC37EF" w:rsidRDefault="001E5813" w:rsidP="001E5813"/>
    <w:p w14:paraId="784E4080" w14:textId="77777777" w:rsidR="002601C2" w:rsidRPr="001E5813" w:rsidRDefault="001E5813" w:rsidP="001E5813">
      <w:pPr>
        <w:pStyle w:val="Heading1"/>
      </w:pPr>
      <w:bookmarkStart w:id="106" w:name="_Toc503952528"/>
      <w:bookmarkStart w:id="107" w:name="_Toc504249860"/>
      <w:bookmarkStart w:id="108" w:name="_Toc531258248"/>
      <w:r>
        <w:lastRenderedPageBreak/>
        <w:t>C</w:t>
      </w:r>
      <w:r w:rsidR="002601C2">
        <w:t>hildhood obesity</w:t>
      </w:r>
      <w:bookmarkEnd w:id="106"/>
      <w:bookmarkEnd w:id="107"/>
      <w:bookmarkEnd w:id="108"/>
    </w:p>
    <w:p w14:paraId="6D0D77FE" w14:textId="77777777" w:rsidR="002601C2" w:rsidRPr="0063686A" w:rsidRDefault="002601C2" w:rsidP="001E5813">
      <w:pPr>
        <w:pStyle w:val="Heading2"/>
      </w:pPr>
      <w:bookmarkStart w:id="109" w:name="_Toc504249861"/>
      <w:bookmarkStart w:id="110" w:name="_Toc531258249"/>
      <w:r>
        <w:t>Percentage of c</w:t>
      </w:r>
      <w:r w:rsidRPr="0063686A">
        <w:t xml:space="preserve">hildren </w:t>
      </w:r>
      <w:r>
        <w:t xml:space="preserve">aged four years </w:t>
      </w:r>
      <w:r w:rsidRPr="0063686A">
        <w:t xml:space="preserve">with </w:t>
      </w:r>
      <w:r>
        <w:t>BMI</w:t>
      </w:r>
      <w:r w:rsidRPr="0063686A">
        <w:t>&gt;98</w:t>
      </w:r>
      <w:r w:rsidRPr="004C1ABC">
        <w:t>th</w:t>
      </w:r>
      <w:r w:rsidRPr="0063686A">
        <w:t xml:space="preserve"> percentile referred to a </w:t>
      </w:r>
      <w:r>
        <w:t xml:space="preserve">general practitioner </w:t>
      </w:r>
      <w:r w:rsidRPr="0063686A">
        <w:t>or specialist service</w:t>
      </w:r>
      <w:bookmarkEnd w:id="109"/>
      <w:bookmarkEnd w:id="110"/>
    </w:p>
    <w:p w14:paraId="38C1311A" w14:textId="6F040184" w:rsidR="002F7222" w:rsidRDefault="002601C2" w:rsidP="001E5813">
      <w:r w:rsidRPr="001B0165">
        <w:t xml:space="preserve">From </w:t>
      </w:r>
      <w:r w:rsidRPr="00024843">
        <w:t>1 July 2016, the definition of ‘obesity’ changed in line with the new Raising Healthy Children obesity target. The old definition of obesity applied to children whose BMI was greater than the 99.4</w:t>
      </w:r>
      <w:r w:rsidRPr="00AA0900">
        <w:t xml:space="preserve">th percentile, the new definition applies to those whose BMI is greater than the 98th percentile. Additionally, the definition of ‘referral’ was </w:t>
      </w:r>
      <w:r w:rsidR="009B6CE8" w:rsidRPr="00AA0900">
        <w:t>tightened</w:t>
      </w:r>
      <w:r w:rsidR="009B6CE8">
        <w:t xml:space="preserve"> </w:t>
      </w:r>
      <w:r w:rsidR="009B6CE8" w:rsidRPr="00024843">
        <w:t>to</w:t>
      </w:r>
      <w:r w:rsidRPr="00024843">
        <w:t xml:space="preserve"> ensure that only children with a genuine referral were included. In this report, we have included data related to this new definition of referral</w:t>
      </w:r>
      <w:r>
        <w:t xml:space="preserve">, and the new definition of obesity. We note that in previous </w:t>
      </w:r>
      <w:r w:rsidR="00AF4508">
        <w:rPr>
          <w:rFonts w:ascii="Arial" w:hAnsi="Arial" w:cs="Arial"/>
          <w:i/>
        </w:rPr>
        <w:t>ʹ</w:t>
      </w:r>
      <w:r w:rsidR="00AF4508">
        <w:rPr>
          <w:i/>
        </w:rPr>
        <w:t>Ala Mo</w:t>
      </w:r>
      <w:r w:rsidR="00AF4508">
        <w:rPr>
          <w:rFonts w:ascii="Arial" w:hAnsi="Arial" w:cs="Arial"/>
          <w:i/>
        </w:rPr>
        <w:t>ʹ</w:t>
      </w:r>
      <w:r w:rsidRPr="003E4346">
        <w:rPr>
          <w:i/>
        </w:rPr>
        <w:t>ui</w:t>
      </w:r>
      <w:r>
        <w:t xml:space="preserve"> reports the definitions of obesity and referral applied</w:t>
      </w:r>
      <w:r w:rsidR="00520C10">
        <w:t xml:space="preserve"> were different</w:t>
      </w:r>
      <w:r>
        <w:t>.</w:t>
      </w:r>
    </w:p>
    <w:p w14:paraId="66858696" w14:textId="77777777" w:rsidR="002601C2" w:rsidRDefault="002601C2" w:rsidP="001E5813"/>
    <w:p w14:paraId="2B892806" w14:textId="275ADF64" w:rsidR="002F7222" w:rsidRDefault="002601C2" w:rsidP="001E5813">
      <w:r>
        <w:t>As Figure 9 shows, the percentage of obese four-year-old Pacific children being referred to a GP or specialist service was very low prior to the introduction of the new target. After the target was introduced, the percentage rose steadily (evident from the August 2016 report onwards); the target has nearly been achieved. A higher proportion of obese Pacific children are referred than the general population of four-year-old children in New Zealand.</w:t>
      </w:r>
    </w:p>
    <w:p w14:paraId="47D12780" w14:textId="77777777" w:rsidR="002601C2" w:rsidRDefault="002601C2" w:rsidP="001E5813"/>
    <w:p w14:paraId="3DE5319E" w14:textId="2DA2E3E5" w:rsidR="002601C2" w:rsidRPr="00D31887" w:rsidRDefault="002601C2" w:rsidP="001E5813">
      <w:pPr>
        <w:pStyle w:val="Heading2"/>
      </w:pPr>
      <w:bookmarkStart w:id="111" w:name="_Toc504249862"/>
      <w:bookmarkStart w:id="112" w:name="_Toc531258250"/>
      <w:r w:rsidRPr="00D31887">
        <w:t>Percentage of children aged 2</w:t>
      </w:r>
      <w:r>
        <w:t>–</w:t>
      </w:r>
      <w:r w:rsidRPr="00D31887">
        <w:t>14 years interviewed in the New Zealand Health Survey who were obese</w:t>
      </w:r>
      <w:r w:rsidR="001E5813">
        <w:br/>
      </w:r>
      <w:r w:rsidRPr="00D31887">
        <w:t>(BMI &gt;/= Cole cut-offs</w:t>
      </w:r>
      <w:r w:rsidR="00836EE2">
        <w:rPr>
          <w:rStyle w:val="FootnoteReference"/>
        </w:rPr>
        <w:footnoteReference w:id="1"/>
      </w:r>
      <w:r w:rsidRPr="00D31887">
        <w:t>)</w:t>
      </w:r>
      <w:bookmarkEnd w:id="111"/>
      <w:bookmarkEnd w:id="112"/>
    </w:p>
    <w:p w14:paraId="1CAD4541" w14:textId="6438C90E" w:rsidR="002601C2" w:rsidRDefault="002601C2" w:rsidP="001E5813">
      <w:r>
        <w:t>There is a large discrepancy between the percentage of Pacific children aged 2–14 who are obese and the percentage of obese children in the total New Zealand population. It is widely understood that childhood obesity is a major health issue for Pacific children, and it is an issue that encompasses a wide range of social determinants.</w:t>
      </w:r>
    </w:p>
    <w:p w14:paraId="3E4693B3" w14:textId="77777777" w:rsidR="002601C2" w:rsidRDefault="002601C2" w:rsidP="001E5813"/>
    <w:p w14:paraId="349CFFA3" w14:textId="77777777" w:rsidR="002F7222" w:rsidRDefault="002601C2" w:rsidP="001E5813">
      <w:r>
        <w:t>The NZHS is designed in such a way that the sample is representative of the total New Zealand population. For specific population subgroups, however – in this case Pacific children aged 2–14 years – the sample size can be small. This means the confidence intervals for these sub-populations are very wide; use caution when applying this data to the total population of Pacific 2–14-year-olds in New Zealand.</w:t>
      </w:r>
    </w:p>
    <w:p w14:paraId="0607E03E" w14:textId="77777777" w:rsidR="002601C2" w:rsidRDefault="002601C2" w:rsidP="001E5813"/>
    <w:p w14:paraId="77325DB2" w14:textId="77777777" w:rsidR="001E5813" w:rsidRDefault="001E5813" w:rsidP="000230E5">
      <w:pPr>
        <w:pStyle w:val="Heading2"/>
        <w:pageBreakBefore/>
      </w:pPr>
      <w:bookmarkStart w:id="113" w:name="_Toc504249863"/>
      <w:bookmarkStart w:id="114" w:name="_Toc531258251"/>
      <w:r w:rsidRPr="00660F76">
        <w:rPr>
          <w:lang w:eastAsia="en-NZ"/>
        </w:rPr>
        <w:lastRenderedPageBreak/>
        <w:t>Increased percentage of</w:t>
      </w:r>
      <w:r>
        <w:rPr>
          <w:lang w:eastAsia="en-NZ"/>
        </w:rPr>
        <w:t xml:space="preserve"> Pacific children with BMI &gt;98th per</w:t>
      </w:r>
      <w:r w:rsidRPr="00660F76">
        <w:rPr>
          <w:lang w:eastAsia="en-NZ"/>
        </w:rPr>
        <w:t xml:space="preserve">centile </w:t>
      </w:r>
      <w:r>
        <w:rPr>
          <w:lang w:eastAsia="en-NZ"/>
        </w:rPr>
        <w:t xml:space="preserve">who </w:t>
      </w:r>
      <w:r w:rsidRPr="00660F76">
        <w:rPr>
          <w:lang w:eastAsia="en-NZ"/>
        </w:rPr>
        <w:t>are referred to</w:t>
      </w:r>
      <w:r>
        <w:rPr>
          <w:lang w:eastAsia="en-NZ"/>
        </w:rPr>
        <w:t xml:space="preserve"> a</w:t>
      </w:r>
      <w:r w:rsidRPr="00660F76">
        <w:rPr>
          <w:lang w:eastAsia="en-NZ"/>
        </w:rPr>
        <w:t xml:space="preserve"> GP or specialist services</w:t>
      </w:r>
      <w:bookmarkEnd w:id="113"/>
      <w:bookmarkEnd w:id="114"/>
    </w:p>
    <w:p w14:paraId="62417830" w14:textId="77777777" w:rsidR="002601C2" w:rsidRPr="00022816" w:rsidRDefault="002601C2" w:rsidP="002601C2">
      <w:pPr>
        <w:rPr>
          <w:sz w:val="2"/>
          <w:szCs w:val="2"/>
        </w:rPr>
      </w:pPr>
    </w:p>
    <w:p w14:paraId="04ACB377" w14:textId="77777777" w:rsidR="002F7222" w:rsidRDefault="002601C2" w:rsidP="001E5813">
      <w:pPr>
        <w:keepNext/>
      </w:pPr>
      <w:r w:rsidRPr="007A28AF">
        <w:rPr>
          <w:b/>
        </w:rPr>
        <w:t>Performance:</w:t>
      </w:r>
      <w:r>
        <w:t xml:space="preserve"> The target was set at 95</w:t>
      </w:r>
      <w:r w:rsidRPr="00A119E8">
        <w:t xml:space="preserve"> percent</w:t>
      </w:r>
      <w:r>
        <w:t xml:space="preserve">, </w:t>
      </w:r>
      <w:r w:rsidRPr="00A119E8">
        <w:t xml:space="preserve">to be achieved by </w:t>
      </w:r>
      <w:r>
        <w:t>December 2017</w:t>
      </w:r>
      <w:r w:rsidRPr="00A119E8">
        <w:t>.</w:t>
      </w:r>
    </w:p>
    <w:p w14:paraId="706D9087" w14:textId="77777777" w:rsidR="001E5813" w:rsidRDefault="001E5813" w:rsidP="001E5813">
      <w:pPr>
        <w:keepNext/>
      </w:pPr>
    </w:p>
    <w:p w14:paraId="364E8301" w14:textId="77777777" w:rsidR="002601C2" w:rsidRDefault="002601C2" w:rsidP="001E5813">
      <w:pPr>
        <w:pStyle w:val="Figure"/>
      </w:pPr>
      <w:bookmarkStart w:id="115" w:name="_Toc428368069"/>
      <w:bookmarkStart w:id="116" w:name="_Toc428370447"/>
      <w:bookmarkStart w:id="117" w:name="_Toc445801453"/>
      <w:bookmarkStart w:id="118" w:name="_Toc447527151"/>
      <w:bookmarkStart w:id="119" w:name="_Toc458409433"/>
      <w:bookmarkStart w:id="120" w:name="_Toc504249894"/>
      <w:bookmarkStart w:id="121" w:name="_Toc531258289"/>
      <w:r w:rsidRPr="00A119E8">
        <w:t xml:space="preserve">Figure </w:t>
      </w:r>
      <w:r>
        <w:t>9</w:t>
      </w:r>
      <w:r w:rsidRPr="00A119E8">
        <w:t>: Perce</w:t>
      </w:r>
      <w:r>
        <w:t>ntage of children aged four years with body mass index &gt;98</w:t>
      </w:r>
      <w:r w:rsidRPr="004C1ABC">
        <w:t>th</w:t>
      </w:r>
      <w:r>
        <w:t xml:space="preserve"> percentile </w:t>
      </w:r>
      <w:r w:rsidRPr="00A119E8">
        <w:t xml:space="preserve">referred to a </w:t>
      </w:r>
      <w:r>
        <w:t xml:space="preserve">general practitioner </w:t>
      </w:r>
      <w:r w:rsidRPr="00A119E8">
        <w:t xml:space="preserve">or specialist services, Pacific </w:t>
      </w:r>
      <w:r>
        <w:t>peoples and total New Zealand population</w:t>
      </w:r>
      <w:r w:rsidRPr="00A119E8">
        <w:t>,</w:t>
      </w:r>
      <w:r>
        <w:t xml:space="preserve"> May 2016</w:t>
      </w:r>
      <w:r w:rsidRPr="00A119E8">
        <w:t>–</w:t>
      </w:r>
      <w:bookmarkEnd w:id="115"/>
      <w:bookmarkEnd w:id="116"/>
      <w:bookmarkEnd w:id="117"/>
      <w:bookmarkEnd w:id="118"/>
      <w:bookmarkEnd w:id="119"/>
      <w:r>
        <w:t>February 2017</w:t>
      </w:r>
      <w:bookmarkEnd w:id="120"/>
      <w:bookmarkEnd w:id="121"/>
    </w:p>
    <w:p w14:paraId="7D048FDB" w14:textId="77777777" w:rsidR="002601C2" w:rsidRPr="00E15A41" w:rsidRDefault="002601C2" w:rsidP="002601C2">
      <w:r>
        <w:rPr>
          <w:noProof/>
          <w:lang w:eastAsia="ja-JP"/>
        </w:rPr>
        <w:drawing>
          <wp:inline distT="0" distB="0" distL="0" distR="0" wp14:anchorId="13E14A72" wp14:editId="44F1C20B">
            <wp:extent cx="4680065" cy="2651760"/>
            <wp:effectExtent l="0" t="0" r="6350" b="0"/>
            <wp:docPr id="5" name="Chart 5" title="Figure 9: Percentage of children aged four years with body mass index &gt;98th percentile referred to a general practitioner or specialist services, Pacific peoples and total New Zealand population, May 2016–February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30FC43D" w14:textId="77777777" w:rsidR="002601C2" w:rsidRDefault="002601C2" w:rsidP="001E5813">
      <w:pPr>
        <w:pStyle w:val="Source"/>
        <w:rPr>
          <w:noProof/>
          <w:lang w:eastAsia="en-NZ"/>
        </w:rPr>
      </w:pPr>
      <w:r w:rsidRPr="00DB147D">
        <w:rPr>
          <w:noProof/>
          <w:lang w:eastAsia="en-NZ"/>
        </w:rPr>
        <w:t xml:space="preserve">Source: DHB reporting </w:t>
      </w:r>
      <w:r>
        <w:rPr>
          <w:noProof/>
          <w:lang w:eastAsia="en-NZ"/>
        </w:rPr>
        <w:t xml:space="preserve">on </w:t>
      </w:r>
      <w:r w:rsidRPr="00DB147D">
        <w:rPr>
          <w:noProof/>
          <w:lang w:eastAsia="en-NZ"/>
        </w:rPr>
        <w:t>B4SC</w:t>
      </w:r>
      <w:r>
        <w:rPr>
          <w:noProof/>
          <w:lang w:eastAsia="en-NZ"/>
        </w:rPr>
        <w:t>s</w:t>
      </w:r>
    </w:p>
    <w:p w14:paraId="7EE81F6A" w14:textId="77777777" w:rsidR="001E5813" w:rsidRDefault="001E5813" w:rsidP="006518FE">
      <w:pPr>
        <w:rPr>
          <w:lang w:eastAsia="en-NZ"/>
        </w:rPr>
      </w:pPr>
    </w:p>
    <w:p w14:paraId="2A0A1BBF" w14:textId="77777777" w:rsidR="006518FE" w:rsidRDefault="006518FE" w:rsidP="006518FE">
      <w:pPr>
        <w:pStyle w:val="Note"/>
        <w:ind w:left="0" w:right="0" w:firstLine="0"/>
      </w:pPr>
      <w:r w:rsidRPr="00546CFB">
        <w:t>Notes</w:t>
      </w:r>
    </w:p>
    <w:p w14:paraId="60D73A23" w14:textId="77777777" w:rsidR="006518FE" w:rsidRPr="006518FE" w:rsidRDefault="006518FE" w:rsidP="006518FE">
      <w:pPr>
        <w:pStyle w:val="Note"/>
        <w:ind w:left="0" w:right="0" w:firstLine="0"/>
        <w:rPr>
          <w:b/>
        </w:rPr>
      </w:pPr>
      <w:r w:rsidRPr="006518FE">
        <w:rPr>
          <w:b/>
        </w:rPr>
        <w:t>Figure 9:</w:t>
      </w:r>
    </w:p>
    <w:p w14:paraId="3BDE430E" w14:textId="77777777" w:rsidR="006518FE" w:rsidRDefault="006518FE" w:rsidP="006518FE">
      <w:pPr>
        <w:pStyle w:val="Note"/>
        <w:ind w:left="0" w:right="0" w:firstLine="0"/>
      </w:pPr>
      <w:r w:rsidRPr="00546CFB">
        <w:t>Timeframes: the data reflect</w:t>
      </w:r>
      <w:r>
        <w:t>s</w:t>
      </w:r>
      <w:r w:rsidRPr="00546CFB">
        <w:t xml:space="preserve"> </w:t>
      </w:r>
      <w:r>
        <w:t>six-month periods.</w:t>
      </w:r>
      <w:r w:rsidRPr="00546CFB">
        <w:t xml:space="preserve"> The dates on the graph are </w:t>
      </w:r>
      <w:r>
        <w:t>the final month of the reporting period</w:t>
      </w:r>
      <w:r w:rsidRPr="00546CFB">
        <w:t xml:space="preserve">. </w:t>
      </w:r>
      <w:r>
        <w:t>For the latest</w:t>
      </w:r>
      <w:r w:rsidRPr="00546CFB">
        <w:t xml:space="preserve"> </w:t>
      </w:r>
      <w:r>
        <w:t>report</w:t>
      </w:r>
      <w:r w:rsidRPr="00546CFB">
        <w:t xml:space="preserve">, </w:t>
      </w:r>
      <w:r>
        <w:t>‘February 2017’</w:t>
      </w:r>
      <w:r w:rsidRPr="00546CFB">
        <w:t xml:space="preserve"> relates to the period </w:t>
      </w:r>
      <w:r>
        <w:t>1 September 2016–28 February 2017</w:t>
      </w:r>
      <w:r w:rsidRPr="00546CFB">
        <w:t>.</w:t>
      </w:r>
    </w:p>
    <w:p w14:paraId="58BF50F8" w14:textId="77777777" w:rsidR="006518FE" w:rsidRDefault="006518FE" w:rsidP="006518FE">
      <w:pPr>
        <w:pStyle w:val="Note"/>
        <w:ind w:left="0" w:right="0" w:firstLine="0"/>
      </w:pPr>
      <w:r>
        <w:t xml:space="preserve">Numerator: the </w:t>
      </w:r>
      <w:r w:rsidRPr="00C86921">
        <w:t xml:space="preserve">number of </w:t>
      </w:r>
      <w:r>
        <w:t>children who received a B4SC check whose BMI was greater than the 98</w:t>
      </w:r>
      <w:r w:rsidRPr="00C52732">
        <w:t>th</w:t>
      </w:r>
      <w:r>
        <w:t xml:space="preserve"> percentile and who were referred to a specialist service. Source: DHB reporting on B4SCs.</w:t>
      </w:r>
    </w:p>
    <w:p w14:paraId="3E920E9D" w14:textId="77777777" w:rsidR="006518FE" w:rsidRDefault="006518FE" w:rsidP="006518FE">
      <w:pPr>
        <w:pStyle w:val="Note"/>
        <w:ind w:left="0" w:right="0" w:firstLine="0"/>
      </w:pPr>
      <w:r>
        <w:t xml:space="preserve">Denominator: the </w:t>
      </w:r>
      <w:r w:rsidRPr="00C86921">
        <w:t xml:space="preserve">number of </w:t>
      </w:r>
      <w:r>
        <w:t>children who received a B4SC check whose BMI was greater than the 98</w:t>
      </w:r>
      <w:r w:rsidRPr="00C52732">
        <w:t>th</w:t>
      </w:r>
      <w:r>
        <w:rPr>
          <w:vertAlign w:val="superscript"/>
        </w:rPr>
        <w:t xml:space="preserve"> </w:t>
      </w:r>
      <w:r>
        <w:t>percentile. Source: DHB reporting</w:t>
      </w:r>
      <w:r w:rsidRPr="005E2769">
        <w:t xml:space="preserve"> </w:t>
      </w:r>
      <w:r>
        <w:t>on B4SCs.</w:t>
      </w:r>
    </w:p>
    <w:p w14:paraId="044772AF" w14:textId="77777777" w:rsidR="006518FE" w:rsidRDefault="006518FE" w:rsidP="006518FE">
      <w:pPr>
        <w:pStyle w:val="Note"/>
        <w:ind w:left="0" w:right="0" w:firstLine="0"/>
      </w:pPr>
      <w:r>
        <w:t>We are not providing data by DHB for this indicator, due to the small numbers of Pacific children in each DHB whose BMI is at or above the 98</w:t>
      </w:r>
      <w:r w:rsidRPr="00C52732">
        <w:t>th</w:t>
      </w:r>
      <w:r>
        <w:t xml:space="preserve"> percentile.</w:t>
      </w:r>
    </w:p>
    <w:p w14:paraId="4407484A" w14:textId="77777777" w:rsidR="006518FE" w:rsidRPr="001E5813" w:rsidRDefault="006518FE" w:rsidP="006518FE">
      <w:pPr>
        <w:rPr>
          <w:lang w:eastAsia="en-NZ"/>
        </w:rPr>
      </w:pPr>
    </w:p>
    <w:p w14:paraId="666D18DF" w14:textId="77777777" w:rsidR="002601C2" w:rsidRPr="00A119E8" w:rsidRDefault="006518FE" w:rsidP="006518FE">
      <w:pPr>
        <w:pStyle w:val="Heading2"/>
      </w:pPr>
      <w:bookmarkStart w:id="122" w:name="_Toc504249864"/>
      <w:bookmarkStart w:id="123" w:name="_Toc531258252"/>
      <w:r w:rsidRPr="00DE6F69">
        <w:rPr>
          <w:lang w:eastAsia="en-NZ"/>
        </w:rPr>
        <w:lastRenderedPageBreak/>
        <w:t>Decrease</w:t>
      </w:r>
      <w:r>
        <w:rPr>
          <w:lang w:eastAsia="en-NZ"/>
        </w:rPr>
        <w:t>d</w:t>
      </w:r>
      <w:r w:rsidRPr="00DE6F69">
        <w:rPr>
          <w:lang w:eastAsia="en-NZ"/>
        </w:rPr>
        <w:t xml:space="preserve"> number of Pacific children aged 2–14 years who are obese</w:t>
      </w:r>
      <w:bookmarkEnd w:id="122"/>
      <w:bookmarkEnd w:id="123"/>
    </w:p>
    <w:p w14:paraId="026002A0" w14:textId="77777777" w:rsidR="002601C2" w:rsidRPr="00A119E8" w:rsidRDefault="002601C2" w:rsidP="006518FE">
      <w:pPr>
        <w:keepNext/>
      </w:pPr>
      <w:r w:rsidRPr="005857B1">
        <w:rPr>
          <w:b/>
        </w:rPr>
        <w:t>Performance:</w:t>
      </w:r>
      <w:r>
        <w:rPr>
          <w:color w:val="8064A2"/>
        </w:rPr>
        <w:t xml:space="preserve"> </w:t>
      </w:r>
      <w:r w:rsidRPr="00A119E8">
        <w:t xml:space="preserve">There </w:t>
      </w:r>
      <w:r>
        <w:t>was</w:t>
      </w:r>
      <w:r w:rsidRPr="00A119E8">
        <w:t xml:space="preserve"> no target </w:t>
      </w:r>
      <w:r>
        <w:t xml:space="preserve">set </w:t>
      </w:r>
      <w:r w:rsidRPr="00A119E8">
        <w:t>for this indicator.</w:t>
      </w:r>
    </w:p>
    <w:p w14:paraId="38515EE9" w14:textId="77777777" w:rsidR="002601C2" w:rsidRPr="00A119E8" w:rsidRDefault="002601C2" w:rsidP="006518FE">
      <w:pPr>
        <w:keepNext/>
      </w:pPr>
    </w:p>
    <w:p w14:paraId="24B2DFA0" w14:textId="77777777" w:rsidR="002601C2" w:rsidRDefault="002601C2" w:rsidP="006518FE">
      <w:pPr>
        <w:pStyle w:val="Figure"/>
      </w:pPr>
      <w:bookmarkStart w:id="124" w:name="_Toc428368081"/>
      <w:bookmarkStart w:id="125" w:name="_Toc428370459"/>
      <w:bookmarkStart w:id="126" w:name="_Toc445801464"/>
      <w:bookmarkStart w:id="127" w:name="_Toc447527163"/>
      <w:bookmarkStart w:id="128" w:name="OLE_LINK1"/>
      <w:bookmarkStart w:id="129" w:name="_Toc458409445"/>
      <w:bookmarkStart w:id="130" w:name="_Toc504249895"/>
      <w:bookmarkStart w:id="131" w:name="_Toc531258290"/>
      <w:r w:rsidRPr="00A119E8">
        <w:t xml:space="preserve">Figure </w:t>
      </w:r>
      <w:r>
        <w:t>10: Percentage of children aged 2–14 years measured in the New Zealand Health Survey who we</w:t>
      </w:r>
      <w:r w:rsidRPr="00A119E8">
        <w:t xml:space="preserve">re obese (BMI &gt;/= Cole cut-offs), Pacific </w:t>
      </w:r>
      <w:r>
        <w:t>peoples and total New Zealand population</w:t>
      </w:r>
      <w:r w:rsidRPr="00A119E8">
        <w:t>, 2006</w:t>
      </w:r>
      <w:r>
        <w:t>/07</w:t>
      </w:r>
      <w:r w:rsidRPr="00A119E8">
        <w:t>–201</w:t>
      </w:r>
      <w:bookmarkEnd w:id="124"/>
      <w:bookmarkEnd w:id="125"/>
      <w:bookmarkEnd w:id="126"/>
      <w:bookmarkEnd w:id="127"/>
      <w:bookmarkEnd w:id="128"/>
      <w:bookmarkEnd w:id="129"/>
      <w:r>
        <w:t>5/16</w:t>
      </w:r>
      <w:bookmarkEnd w:id="130"/>
      <w:bookmarkEnd w:id="131"/>
    </w:p>
    <w:p w14:paraId="7D39B278" w14:textId="77777777" w:rsidR="006518FE" w:rsidRPr="006518FE" w:rsidRDefault="002601C2" w:rsidP="006518FE">
      <w:r>
        <w:rPr>
          <w:noProof/>
          <w:lang w:eastAsia="ja-JP"/>
        </w:rPr>
        <w:drawing>
          <wp:inline distT="0" distB="0" distL="0" distR="0" wp14:anchorId="09ADF68B" wp14:editId="71D7DE1A">
            <wp:extent cx="4671753" cy="2643447"/>
            <wp:effectExtent l="0" t="0" r="0" b="5080"/>
            <wp:docPr id="6" name="Chart 6" title="Figure 10: Percentage of children aged 2–14 years measured in the New Zealand Health Survey who were obese (BMI &gt;/= Cole cut-offs), Pacific peoples and total New Zealand population, 2006/07–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980B263" w14:textId="77777777" w:rsidR="002601C2" w:rsidRDefault="002601C2" w:rsidP="006518FE">
      <w:pPr>
        <w:pStyle w:val="Source"/>
      </w:pPr>
      <w:r w:rsidRPr="00F13D05">
        <w:t xml:space="preserve">Source: </w:t>
      </w:r>
      <w:r>
        <w:t>NZHS</w:t>
      </w:r>
    </w:p>
    <w:p w14:paraId="49483F21" w14:textId="77777777" w:rsidR="006518FE" w:rsidRDefault="006518FE" w:rsidP="006518FE"/>
    <w:p w14:paraId="73AAB38C" w14:textId="77777777" w:rsidR="006518FE" w:rsidRDefault="006518FE" w:rsidP="006518FE">
      <w:pPr>
        <w:pStyle w:val="Note"/>
      </w:pPr>
      <w:r w:rsidRPr="00546CFB">
        <w:t>Notes</w:t>
      </w:r>
    </w:p>
    <w:p w14:paraId="76B6E489" w14:textId="77777777" w:rsidR="006518FE" w:rsidRPr="006518FE" w:rsidRDefault="006518FE" w:rsidP="006518FE">
      <w:pPr>
        <w:pStyle w:val="Note"/>
        <w:rPr>
          <w:b/>
        </w:rPr>
      </w:pPr>
      <w:r w:rsidRPr="006518FE">
        <w:rPr>
          <w:b/>
        </w:rPr>
        <w:t>Figure 10:</w:t>
      </w:r>
    </w:p>
    <w:p w14:paraId="616A6483" w14:textId="77777777" w:rsidR="006518FE" w:rsidRDefault="006518FE" w:rsidP="006518FE">
      <w:pPr>
        <w:pStyle w:val="Note"/>
        <w:ind w:left="0" w:right="0" w:firstLine="0"/>
      </w:pPr>
      <w:r w:rsidRPr="00546CFB">
        <w:t>Timeframes: the data reflect</w:t>
      </w:r>
      <w:r>
        <w:t>s</w:t>
      </w:r>
      <w:r w:rsidRPr="00546CFB">
        <w:t xml:space="preserve"> </w:t>
      </w:r>
      <w:r>
        <w:t>financial years (12 months). For the most recent data, ‘2015/16’ relates to the period 1 July 2015–31 June 2016.</w:t>
      </w:r>
    </w:p>
    <w:p w14:paraId="499EE276" w14:textId="77777777" w:rsidR="006518FE" w:rsidRDefault="006518FE" w:rsidP="006518FE">
      <w:pPr>
        <w:pStyle w:val="Note"/>
        <w:ind w:left="0" w:right="0" w:firstLine="0"/>
      </w:pPr>
      <w:r>
        <w:t>Numerator: the number of children aged 2–14 years who had their height and weight measured in the NZHS, and whose BMI was equivalent to an adult BMI of 30 or greater. Source: NZHS</w:t>
      </w:r>
      <w:r w:rsidR="00D514C1">
        <w:t>.</w:t>
      </w:r>
    </w:p>
    <w:p w14:paraId="6F629FC8" w14:textId="77777777" w:rsidR="006518FE" w:rsidRDefault="006518FE" w:rsidP="006518FE">
      <w:pPr>
        <w:pStyle w:val="Note"/>
        <w:ind w:left="0" w:right="0" w:firstLine="0"/>
      </w:pPr>
      <w:r>
        <w:t xml:space="preserve">Denominator: the </w:t>
      </w:r>
      <w:r w:rsidRPr="00C86921">
        <w:t>number</w:t>
      </w:r>
      <w:r>
        <w:t xml:space="preserve"> of children aged 2–14 years who had their height and weight measured in the NZHS. Source: NZHS</w:t>
      </w:r>
      <w:r w:rsidR="00D514C1">
        <w:t>.</w:t>
      </w:r>
    </w:p>
    <w:p w14:paraId="3598B078" w14:textId="77777777" w:rsidR="006518FE" w:rsidRDefault="006518FE" w:rsidP="006518FE">
      <w:pPr>
        <w:pStyle w:val="Note"/>
        <w:ind w:left="0" w:right="0" w:firstLine="0"/>
      </w:pPr>
      <w:r>
        <w:t>We are not providing data by DHB for this indicator, due to the very small number of Pacific children in each DHB interviewed by the NZHS.</w:t>
      </w:r>
    </w:p>
    <w:p w14:paraId="3DB6CC54" w14:textId="77777777" w:rsidR="006518FE" w:rsidRPr="006518FE" w:rsidRDefault="006518FE" w:rsidP="006518FE"/>
    <w:p w14:paraId="28C9791A" w14:textId="77777777" w:rsidR="002601C2" w:rsidRPr="006518FE" w:rsidRDefault="002601C2" w:rsidP="006518FE">
      <w:pPr>
        <w:pStyle w:val="Heading1"/>
      </w:pPr>
      <w:bookmarkStart w:id="132" w:name="_Toc503952529"/>
      <w:bookmarkStart w:id="133" w:name="_Toc504249865"/>
      <w:bookmarkStart w:id="134" w:name="_Toc531258253"/>
      <w:r w:rsidRPr="00EB0A3D">
        <w:lastRenderedPageBreak/>
        <w:t xml:space="preserve">Oral </w:t>
      </w:r>
      <w:r>
        <w:t>h</w:t>
      </w:r>
      <w:r w:rsidRPr="00EB0A3D">
        <w:t>ealth</w:t>
      </w:r>
      <w:bookmarkEnd w:id="132"/>
      <w:bookmarkEnd w:id="133"/>
      <w:bookmarkEnd w:id="134"/>
    </w:p>
    <w:p w14:paraId="543791F7" w14:textId="1E74AC55" w:rsidR="002601C2" w:rsidRDefault="002601C2" w:rsidP="006518FE">
      <w:r w:rsidRPr="00D7597A">
        <w:t>The</w:t>
      </w:r>
      <w:r w:rsidR="00AF4508">
        <w:rPr>
          <w:i/>
        </w:rPr>
        <w:t xml:space="preserve"> </w:t>
      </w:r>
      <w:r w:rsidR="00AF4508">
        <w:rPr>
          <w:rFonts w:ascii="Arial" w:hAnsi="Arial" w:cs="Arial"/>
          <w:i/>
        </w:rPr>
        <w:t>ʹ</w:t>
      </w:r>
      <w:r w:rsidR="00AF4508">
        <w:rPr>
          <w:i/>
        </w:rPr>
        <w:t>Ala Mo</w:t>
      </w:r>
      <w:r w:rsidR="00AF4508">
        <w:rPr>
          <w:rFonts w:ascii="Arial" w:hAnsi="Arial" w:cs="Arial"/>
          <w:i/>
        </w:rPr>
        <w:t>ʹ</w:t>
      </w:r>
      <w:r w:rsidRPr="003E4346">
        <w:rPr>
          <w:i/>
        </w:rPr>
        <w:t>ui</w:t>
      </w:r>
      <w:r>
        <w:t xml:space="preserve"> indicators relating to oral health have a focus on children and infants.</w:t>
      </w:r>
    </w:p>
    <w:p w14:paraId="72E7A16B" w14:textId="77777777" w:rsidR="002601C2" w:rsidRDefault="002601C2" w:rsidP="006518FE"/>
    <w:p w14:paraId="3B288D44" w14:textId="77777777" w:rsidR="002601C2" w:rsidRDefault="002601C2" w:rsidP="006518FE">
      <w:r>
        <w:t xml:space="preserve">The Ministry of Health is no longer monitoring or tracking </w:t>
      </w:r>
      <w:r w:rsidRPr="001061A4">
        <w:t xml:space="preserve">two indicator measures </w:t>
      </w:r>
      <w:r>
        <w:t>relating to oral health:</w:t>
      </w:r>
    </w:p>
    <w:p w14:paraId="1DC04C3C" w14:textId="77777777" w:rsidR="002601C2" w:rsidRDefault="002601C2" w:rsidP="006518FE">
      <w:pPr>
        <w:pStyle w:val="Bullet"/>
      </w:pPr>
      <w:r w:rsidRPr="001061A4">
        <w:t>Pacific caries</w:t>
      </w:r>
      <w:r>
        <w:t>-</w:t>
      </w:r>
      <w:r w:rsidRPr="001061A4">
        <w:t>free at year eight</w:t>
      </w:r>
    </w:p>
    <w:p w14:paraId="75396E2A" w14:textId="77777777" w:rsidR="002F7222" w:rsidRDefault="002601C2" w:rsidP="006518FE">
      <w:pPr>
        <w:pStyle w:val="Bullet"/>
      </w:pPr>
      <w:r w:rsidRPr="001061A4">
        <w:t>Pacific d</w:t>
      </w:r>
      <w:r>
        <w:t xml:space="preserve">ecayed, missing or </w:t>
      </w:r>
      <w:r w:rsidRPr="001061A4">
        <w:t>f</w:t>
      </w:r>
      <w:r>
        <w:t xml:space="preserve">illed </w:t>
      </w:r>
      <w:r w:rsidRPr="001061A4">
        <w:t>t</w:t>
      </w:r>
      <w:r>
        <w:t>eeth (DMFT)</w:t>
      </w:r>
      <w:r w:rsidRPr="001061A4">
        <w:t xml:space="preserve"> rates at age five.</w:t>
      </w:r>
    </w:p>
    <w:p w14:paraId="37442F54" w14:textId="77777777" w:rsidR="002601C2" w:rsidRDefault="002601C2" w:rsidP="006518FE"/>
    <w:p w14:paraId="4DD87CE9" w14:textId="3FBDE025" w:rsidR="002601C2" w:rsidRDefault="002601C2" w:rsidP="006518FE">
      <w:r>
        <w:t>We consider that</w:t>
      </w:r>
      <w:r w:rsidRPr="001061A4">
        <w:t xml:space="preserve"> </w:t>
      </w:r>
      <w:r>
        <w:t>the following three indicator</w:t>
      </w:r>
      <w:r w:rsidR="00520C10">
        <w:t>s</w:t>
      </w:r>
      <w:r>
        <w:t xml:space="preserve"> </w:t>
      </w:r>
      <w:r w:rsidRPr="001061A4">
        <w:t xml:space="preserve">suffice </w:t>
      </w:r>
      <w:r>
        <w:t xml:space="preserve">for </w:t>
      </w:r>
      <w:r w:rsidRPr="001061A4">
        <w:t xml:space="preserve">monitoring oral health </w:t>
      </w:r>
      <w:r>
        <w:t>outcomes for Pacific children:</w:t>
      </w:r>
    </w:p>
    <w:p w14:paraId="053CD6DB" w14:textId="77777777" w:rsidR="002601C2" w:rsidRDefault="002601C2" w:rsidP="006518FE">
      <w:pPr>
        <w:pStyle w:val="Bullet"/>
      </w:pPr>
      <w:r>
        <w:t xml:space="preserve">Percentage of Pacific children </w:t>
      </w:r>
      <w:r w:rsidRPr="00A119E8">
        <w:t xml:space="preserve">under five years old enrolled </w:t>
      </w:r>
      <w:r>
        <w:t>with</w:t>
      </w:r>
      <w:r w:rsidRPr="00A119E8">
        <w:t xml:space="preserve"> the </w:t>
      </w:r>
      <w:r>
        <w:t>COHS</w:t>
      </w:r>
    </w:p>
    <w:p w14:paraId="0A0B4BBB" w14:textId="77777777" w:rsidR="002601C2" w:rsidRDefault="002601C2" w:rsidP="006518FE">
      <w:pPr>
        <w:pStyle w:val="Bullet"/>
      </w:pPr>
      <w:r w:rsidRPr="001061A4">
        <w:t>Pacific</w:t>
      </w:r>
      <w:r>
        <w:t xml:space="preserve"> children </w:t>
      </w:r>
      <w:r w:rsidRPr="001061A4">
        <w:t>caries</w:t>
      </w:r>
      <w:r>
        <w:t>-</w:t>
      </w:r>
      <w:r w:rsidRPr="001061A4">
        <w:t>free a</w:t>
      </w:r>
      <w:r>
        <w:t>t age five</w:t>
      </w:r>
    </w:p>
    <w:p w14:paraId="6E64F2F0" w14:textId="77777777" w:rsidR="002601C2" w:rsidRDefault="002601C2" w:rsidP="006518FE">
      <w:pPr>
        <w:pStyle w:val="Bullet"/>
      </w:pPr>
      <w:r>
        <w:t xml:space="preserve">Pacific DMFT </w:t>
      </w:r>
      <w:r w:rsidRPr="001061A4">
        <w:t xml:space="preserve">rates at </w:t>
      </w:r>
      <w:r>
        <w:t xml:space="preserve">school </w:t>
      </w:r>
      <w:r w:rsidRPr="001061A4">
        <w:t>year eight</w:t>
      </w:r>
      <w:r>
        <w:t>.</w:t>
      </w:r>
    </w:p>
    <w:p w14:paraId="31C8CF42" w14:textId="77777777" w:rsidR="002601C2" w:rsidRDefault="002601C2" w:rsidP="006518FE"/>
    <w:p w14:paraId="7FC3EA5E" w14:textId="77777777" w:rsidR="002F7222" w:rsidRDefault="002601C2" w:rsidP="006518FE">
      <w:pPr>
        <w:pStyle w:val="Heading2"/>
      </w:pPr>
      <w:bookmarkStart w:id="135" w:name="_Toc504249866"/>
      <w:bookmarkStart w:id="136" w:name="_Toc531258254"/>
      <w:r>
        <w:t>Pacific enrolment with the Community Oral Health Service</w:t>
      </w:r>
      <w:bookmarkEnd w:id="135"/>
      <w:bookmarkEnd w:id="136"/>
    </w:p>
    <w:p w14:paraId="1A031EB9" w14:textId="77777777" w:rsidR="002F7222" w:rsidRDefault="002601C2" w:rsidP="006518FE">
      <w:r>
        <w:t>Nationally, there has been continual improvement in rates of enrolment with the COHS for the total New Zealand population (see Figure 11); however, rates of enrolment for Pacific peoples appear to have plateaued from 2014 to 2015.</w:t>
      </w:r>
    </w:p>
    <w:p w14:paraId="04BE5B61" w14:textId="77777777" w:rsidR="002601C2" w:rsidRDefault="002601C2" w:rsidP="006518FE"/>
    <w:p w14:paraId="15C4463F" w14:textId="77777777" w:rsidR="002601C2" w:rsidRDefault="002601C2" w:rsidP="006518FE">
      <w:r>
        <w:t>Figures 17A and 17B show DHB-level data. We note that the priority DHBs in the Wellington region (Hutt and Capital &amp; Coast) have seen major increases in the percentage of children enrolled with the COHS.</w:t>
      </w:r>
    </w:p>
    <w:p w14:paraId="25C7A698" w14:textId="77777777" w:rsidR="002601C2" w:rsidRDefault="002601C2" w:rsidP="006518FE"/>
    <w:p w14:paraId="774EE889" w14:textId="77777777" w:rsidR="002601C2" w:rsidRDefault="002601C2" w:rsidP="006518FE">
      <w:pPr>
        <w:pStyle w:val="Heading2"/>
      </w:pPr>
      <w:bookmarkStart w:id="137" w:name="_Toc504249867"/>
      <w:bookmarkStart w:id="138" w:name="_Toc531258255"/>
      <w:r w:rsidRPr="00BF3CA9">
        <w:t xml:space="preserve">Percentage of </w:t>
      </w:r>
      <w:r>
        <w:t xml:space="preserve">Pacific </w:t>
      </w:r>
      <w:r w:rsidRPr="00BF3CA9">
        <w:t>children caries-free at age five</w:t>
      </w:r>
      <w:r>
        <w:t xml:space="preserve"> and rates</w:t>
      </w:r>
      <w:r w:rsidRPr="00BF3CA9">
        <w:t xml:space="preserve"> of decayed, missing or filled teeth </w:t>
      </w:r>
      <w:r>
        <w:t>at school year eight</w:t>
      </w:r>
      <w:bookmarkEnd w:id="137"/>
      <w:bookmarkEnd w:id="138"/>
    </w:p>
    <w:p w14:paraId="293BCF60" w14:textId="77777777" w:rsidR="002F7222" w:rsidRDefault="002601C2" w:rsidP="006518FE">
      <w:r>
        <w:t>Nationally, there remains a large disparity between the Pacific peoples population and the total New Zealand population in terms of the percentage of children caries-free at age five (see Figure</w:t>
      </w:r>
      <w:r w:rsidR="006518FE">
        <w:t> </w:t>
      </w:r>
      <w:r>
        <w:t>13), and the mean number of DMFT at school year eight (see Figure 15).</w:t>
      </w:r>
    </w:p>
    <w:p w14:paraId="768F563C" w14:textId="77777777" w:rsidR="006518FE" w:rsidRDefault="006518FE" w:rsidP="006518FE"/>
    <w:p w14:paraId="73EC3D1F" w14:textId="77777777" w:rsidR="002601C2" w:rsidRDefault="002601C2" w:rsidP="006518FE">
      <w:r>
        <w:t>Figure 13 shows that the percentage of Pacific children caries-free at age five has consistently been around 30 percent since 2007; the rate was 33 percent in 2015.</w:t>
      </w:r>
    </w:p>
    <w:p w14:paraId="48F1BBE2" w14:textId="77777777" w:rsidR="006518FE" w:rsidRDefault="006518FE" w:rsidP="006518FE"/>
    <w:p w14:paraId="7CC19D0C" w14:textId="77777777" w:rsidR="002601C2" w:rsidRDefault="002601C2" w:rsidP="006518FE">
      <w:r>
        <w:t>Figure 15 shows that the Pacific peoples population has a higher mean number of DMFT than the total New Zealand population. It is important to note that both the total New Zealand rate and the Pacific peoples rate have been trending downward since 2011.</w:t>
      </w:r>
    </w:p>
    <w:p w14:paraId="2AB2CE4C" w14:textId="77777777" w:rsidR="002601C2" w:rsidRDefault="002601C2" w:rsidP="006518FE"/>
    <w:p w14:paraId="28A0F3AE" w14:textId="77777777" w:rsidR="006518FE" w:rsidRPr="004C6151" w:rsidRDefault="006518FE" w:rsidP="006518FE">
      <w:pPr>
        <w:pStyle w:val="Heading2"/>
      </w:pPr>
      <w:bookmarkStart w:id="139" w:name="_Toc504249868"/>
      <w:bookmarkStart w:id="140" w:name="_Toc531258256"/>
      <w:r w:rsidRPr="00067225">
        <w:rPr>
          <w:lang w:eastAsia="en-NZ"/>
        </w:rPr>
        <w:lastRenderedPageBreak/>
        <w:t xml:space="preserve">Increased percentage of Pacific children </w:t>
      </w:r>
      <w:r>
        <w:rPr>
          <w:lang w:eastAsia="en-NZ"/>
        </w:rPr>
        <w:t>under five years of age</w:t>
      </w:r>
      <w:r w:rsidRPr="00067225">
        <w:rPr>
          <w:lang w:eastAsia="en-NZ"/>
        </w:rPr>
        <w:t xml:space="preserve"> who are enrolled with the </w:t>
      </w:r>
      <w:r>
        <w:rPr>
          <w:lang w:eastAsia="en-NZ"/>
        </w:rPr>
        <w:t>COHS</w:t>
      </w:r>
      <w:bookmarkEnd w:id="139"/>
      <w:bookmarkEnd w:id="140"/>
    </w:p>
    <w:p w14:paraId="41B12B49" w14:textId="77777777" w:rsidR="002601C2" w:rsidRDefault="002601C2" w:rsidP="006518FE">
      <w:bookmarkStart w:id="141" w:name="_Toc428368071"/>
      <w:bookmarkStart w:id="142" w:name="_Toc428370449"/>
      <w:r w:rsidRPr="007A28AF">
        <w:rPr>
          <w:b/>
        </w:rPr>
        <w:t>Performance:</w:t>
      </w:r>
      <w:r>
        <w:t xml:space="preserve"> The</w:t>
      </w:r>
      <w:r w:rsidRPr="00A119E8">
        <w:t xml:space="preserve"> target </w:t>
      </w:r>
      <w:r>
        <w:t>was set at 95 percent,</w:t>
      </w:r>
      <w:r w:rsidRPr="00A119E8">
        <w:t xml:space="preserve"> to be achieved by June 2016.</w:t>
      </w:r>
    </w:p>
    <w:p w14:paraId="44D65787" w14:textId="77777777" w:rsidR="002601C2" w:rsidRPr="00A119E8" w:rsidRDefault="002601C2" w:rsidP="006518FE"/>
    <w:p w14:paraId="6DE89EDF" w14:textId="77777777" w:rsidR="002601C2" w:rsidRPr="00A119E8" w:rsidRDefault="002601C2" w:rsidP="006518FE">
      <w:pPr>
        <w:pStyle w:val="Figure"/>
      </w:pPr>
      <w:bookmarkStart w:id="143" w:name="_Toc445801454"/>
      <w:bookmarkStart w:id="144" w:name="_Toc447527153"/>
      <w:bookmarkStart w:id="145" w:name="_Toc458409435"/>
      <w:bookmarkStart w:id="146" w:name="_Toc504249896"/>
      <w:bookmarkStart w:id="147" w:name="_Toc531258291"/>
      <w:r w:rsidRPr="00A119E8">
        <w:t xml:space="preserve">Figure </w:t>
      </w:r>
      <w:r>
        <w:t>11</w:t>
      </w:r>
      <w:r w:rsidRPr="00A119E8">
        <w:t xml:space="preserve">: Percentage </w:t>
      </w:r>
      <w:r>
        <w:t>of children under five years of age</w:t>
      </w:r>
      <w:r w:rsidRPr="00A119E8">
        <w:t xml:space="preserve"> enrolled in the Community Oral Health Service, Pacific </w:t>
      </w:r>
      <w:r>
        <w:t>peoples</w:t>
      </w:r>
      <w:r w:rsidRPr="00A119E8">
        <w:t xml:space="preserve"> and total </w:t>
      </w:r>
      <w:r>
        <w:t>New Zealand population</w:t>
      </w:r>
      <w:r w:rsidRPr="00A119E8">
        <w:t>, 2007–201</w:t>
      </w:r>
      <w:bookmarkEnd w:id="141"/>
      <w:bookmarkEnd w:id="142"/>
      <w:bookmarkEnd w:id="143"/>
      <w:bookmarkEnd w:id="144"/>
      <w:r>
        <w:t>5</w:t>
      </w:r>
      <w:bookmarkEnd w:id="145"/>
      <w:bookmarkEnd w:id="146"/>
      <w:bookmarkEnd w:id="147"/>
    </w:p>
    <w:p w14:paraId="1023C022" w14:textId="77777777" w:rsidR="009F1C4A" w:rsidRDefault="002601C2" w:rsidP="009F1C4A">
      <w:pPr>
        <w:rPr>
          <w:noProof/>
          <w:lang w:eastAsia="en-NZ"/>
        </w:rPr>
      </w:pPr>
      <w:r>
        <w:rPr>
          <w:noProof/>
          <w:lang w:eastAsia="ja-JP"/>
        </w:rPr>
        <w:drawing>
          <wp:inline distT="0" distB="0" distL="0" distR="0" wp14:anchorId="017080B6" wp14:editId="540683EF">
            <wp:extent cx="4713317" cy="2660072"/>
            <wp:effectExtent l="0" t="0" r="0" b="6985"/>
            <wp:docPr id="201" name="Chart 201" title="Figure 11: Percentage of children under five years of age enrolled in the Community Oral Health Service, Pacific peoples and total New Zealand population,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68E9A37" w14:textId="77777777" w:rsidR="002601C2" w:rsidRDefault="002601C2" w:rsidP="009F1C4A">
      <w:pPr>
        <w:pStyle w:val="Source"/>
        <w:rPr>
          <w:noProof/>
          <w:lang w:eastAsia="en-NZ"/>
        </w:rPr>
      </w:pPr>
      <w:r w:rsidRPr="00CE1969">
        <w:rPr>
          <w:noProof/>
          <w:lang w:eastAsia="en-NZ"/>
        </w:rPr>
        <w:t>Source: DHB reporting and Statistics New Zealand</w:t>
      </w:r>
    </w:p>
    <w:p w14:paraId="67BEFCDB" w14:textId="77777777" w:rsidR="006518FE" w:rsidRPr="006518FE" w:rsidRDefault="006518FE" w:rsidP="006518FE">
      <w:pPr>
        <w:rPr>
          <w:lang w:eastAsia="en-NZ"/>
        </w:rPr>
      </w:pPr>
    </w:p>
    <w:p w14:paraId="24F74556" w14:textId="77777777" w:rsidR="002601C2" w:rsidRDefault="006518FE" w:rsidP="006518FE">
      <w:pPr>
        <w:pStyle w:val="Figure"/>
      </w:pPr>
      <w:bookmarkStart w:id="148" w:name="_Toc428368072"/>
      <w:bookmarkStart w:id="149" w:name="_Toc428370450"/>
      <w:bookmarkStart w:id="150" w:name="_Toc445801455"/>
      <w:bookmarkStart w:id="151" w:name="_Toc447527154"/>
      <w:bookmarkStart w:id="152" w:name="_Toc458409436"/>
      <w:bookmarkStart w:id="153" w:name="_Toc504249897"/>
      <w:bookmarkStart w:id="154" w:name="_Toc531258292"/>
      <w:r>
        <w:t>F</w:t>
      </w:r>
      <w:r w:rsidR="002601C2" w:rsidRPr="00A119E8">
        <w:t xml:space="preserve">igure </w:t>
      </w:r>
      <w:r w:rsidR="002601C2">
        <w:t>12A</w:t>
      </w:r>
      <w:r w:rsidR="002601C2" w:rsidRPr="00A119E8">
        <w:t>: Percentage of childr</w:t>
      </w:r>
      <w:r w:rsidR="002601C2">
        <w:t>en under five years of age</w:t>
      </w:r>
      <w:r w:rsidR="002601C2" w:rsidRPr="00A119E8">
        <w:t xml:space="preserve"> enrolled in the Community Oral Health Service, Pacific peoples, </w:t>
      </w:r>
      <w:r w:rsidR="002601C2">
        <w:t>Auckland region DHBs</w:t>
      </w:r>
      <w:r w:rsidR="002601C2" w:rsidRPr="00A119E8">
        <w:t>, 2007–201</w:t>
      </w:r>
      <w:bookmarkEnd w:id="148"/>
      <w:bookmarkEnd w:id="149"/>
      <w:bookmarkEnd w:id="150"/>
      <w:bookmarkEnd w:id="151"/>
      <w:r w:rsidR="002601C2">
        <w:t>5</w:t>
      </w:r>
      <w:bookmarkEnd w:id="152"/>
      <w:bookmarkEnd w:id="153"/>
      <w:bookmarkEnd w:id="154"/>
    </w:p>
    <w:p w14:paraId="3D2BBDAC" w14:textId="77777777" w:rsidR="002601C2" w:rsidRPr="004F4AC1" w:rsidRDefault="002601C2" w:rsidP="002601C2">
      <w:r>
        <w:rPr>
          <w:noProof/>
          <w:lang w:eastAsia="ja-JP"/>
        </w:rPr>
        <w:drawing>
          <wp:inline distT="0" distB="0" distL="0" distR="0" wp14:anchorId="19003C0C" wp14:editId="390C5D98">
            <wp:extent cx="4713317" cy="2610196"/>
            <wp:effectExtent l="0" t="0" r="0" b="0"/>
            <wp:docPr id="214" name="Chart 214" title="Figure 12A: Percentage of children under five years of age enrolled in the Community Oral Health Service, Pacific peoples, Auckland region DHBs,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218499F" w14:textId="77777777" w:rsidR="002601C2" w:rsidRPr="00CE1969" w:rsidRDefault="002601C2" w:rsidP="006518FE">
      <w:pPr>
        <w:pStyle w:val="Source"/>
        <w:rPr>
          <w:noProof/>
          <w:lang w:eastAsia="en-NZ"/>
        </w:rPr>
      </w:pPr>
      <w:r w:rsidRPr="00CE1969">
        <w:rPr>
          <w:noProof/>
          <w:lang w:eastAsia="en-NZ"/>
        </w:rPr>
        <w:t>Source: DHB reporting and Statistics New Zealand</w:t>
      </w:r>
    </w:p>
    <w:p w14:paraId="08CD4650" w14:textId="77777777" w:rsidR="002601C2" w:rsidRDefault="002601C2" w:rsidP="006518FE">
      <w:pPr>
        <w:rPr>
          <w:noProof/>
          <w:lang w:eastAsia="en-NZ"/>
        </w:rPr>
      </w:pPr>
    </w:p>
    <w:p w14:paraId="460F0D9B" w14:textId="77777777" w:rsidR="002601C2" w:rsidRDefault="002601C2" w:rsidP="006518FE">
      <w:pPr>
        <w:pStyle w:val="Figure"/>
      </w:pPr>
      <w:bookmarkStart w:id="155" w:name="_Toc504249898"/>
      <w:bookmarkStart w:id="156" w:name="_Toc531258293"/>
      <w:r w:rsidRPr="00A119E8">
        <w:lastRenderedPageBreak/>
        <w:t xml:space="preserve">Figure </w:t>
      </w:r>
      <w:r>
        <w:t>12B</w:t>
      </w:r>
      <w:r w:rsidRPr="00A119E8">
        <w:t>: Percentage of childr</w:t>
      </w:r>
      <w:r>
        <w:t>en under five years of age</w:t>
      </w:r>
      <w:r w:rsidRPr="00A119E8">
        <w:t xml:space="preserve"> enrolled in the Community Oral Health</w:t>
      </w:r>
      <w:r>
        <w:t xml:space="preserve"> Service, Pacific peoples, priority DHBs outside the Auckland region</w:t>
      </w:r>
      <w:r w:rsidRPr="00A119E8">
        <w:t>, 2007–201</w:t>
      </w:r>
      <w:r>
        <w:t>5</w:t>
      </w:r>
      <w:bookmarkEnd w:id="155"/>
      <w:bookmarkEnd w:id="156"/>
    </w:p>
    <w:p w14:paraId="4A89C308" w14:textId="77777777" w:rsidR="002601C2" w:rsidRPr="004F4AC1" w:rsidRDefault="002601C2" w:rsidP="002601C2">
      <w:r>
        <w:rPr>
          <w:noProof/>
          <w:lang w:eastAsia="ja-JP"/>
        </w:rPr>
        <w:drawing>
          <wp:inline distT="0" distB="0" distL="0" distR="0" wp14:anchorId="2A6F63C4" wp14:editId="0E531DFD">
            <wp:extent cx="4713316" cy="2635135"/>
            <wp:effectExtent l="0" t="0" r="0" b="0"/>
            <wp:docPr id="215" name="Chart 215" title="Figure 12B: Percentage of children under five years of age enrolled in the Community Oral Health Service, Pacific peoples, priority DHBs outside the Auckland region,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20BEDF0" w14:textId="77777777" w:rsidR="002601C2" w:rsidRDefault="002601C2" w:rsidP="006518FE">
      <w:pPr>
        <w:pStyle w:val="Source"/>
        <w:rPr>
          <w:noProof/>
          <w:lang w:eastAsia="en-NZ"/>
        </w:rPr>
      </w:pPr>
      <w:r w:rsidRPr="00CE1969">
        <w:rPr>
          <w:noProof/>
          <w:lang w:eastAsia="en-NZ"/>
        </w:rPr>
        <w:t>Source: DHB repor</w:t>
      </w:r>
      <w:r>
        <w:rPr>
          <w:noProof/>
          <w:lang w:eastAsia="en-NZ"/>
        </w:rPr>
        <w:t>ting and Statistics New Zealand</w:t>
      </w:r>
    </w:p>
    <w:p w14:paraId="3EB3D678" w14:textId="77777777" w:rsidR="006518FE" w:rsidRDefault="006518FE" w:rsidP="006518FE">
      <w:pPr>
        <w:rPr>
          <w:lang w:eastAsia="en-NZ"/>
        </w:rPr>
      </w:pPr>
    </w:p>
    <w:p w14:paraId="1437A1F9" w14:textId="77777777" w:rsidR="006518FE" w:rsidRDefault="006518FE" w:rsidP="006518FE">
      <w:pPr>
        <w:pStyle w:val="Note"/>
        <w:ind w:left="0" w:right="0" w:firstLine="0"/>
      </w:pPr>
      <w:r w:rsidRPr="00A11460">
        <w:t>Notes</w:t>
      </w:r>
    </w:p>
    <w:p w14:paraId="354D81E8" w14:textId="77777777" w:rsidR="006518FE" w:rsidRPr="006518FE" w:rsidRDefault="006518FE" w:rsidP="006518FE">
      <w:pPr>
        <w:pStyle w:val="Note"/>
        <w:ind w:left="0" w:right="0" w:firstLine="0"/>
        <w:rPr>
          <w:b/>
        </w:rPr>
      </w:pPr>
      <w:r w:rsidRPr="006518FE">
        <w:rPr>
          <w:b/>
        </w:rPr>
        <w:t>Figures 11, 12A, and 12B:</w:t>
      </w:r>
    </w:p>
    <w:p w14:paraId="797D80D0" w14:textId="77777777" w:rsidR="006518FE" w:rsidRDefault="006518FE" w:rsidP="006518FE">
      <w:pPr>
        <w:pStyle w:val="Note"/>
        <w:ind w:left="0" w:right="0" w:firstLine="0"/>
      </w:pPr>
      <w:r w:rsidRPr="00FE2D93">
        <w:t xml:space="preserve">Time period: this data reflects a calendar </w:t>
      </w:r>
      <w:r>
        <w:t>year: 1 January to 31 December.</w:t>
      </w:r>
    </w:p>
    <w:p w14:paraId="5EC39C1A" w14:textId="676E4E3C" w:rsidR="006518FE" w:rsidRDefault="006518FE" w:rsidP="006518FE">
      <w:pPr>
        <w:pStyle w:val="Note"/>
        <w:ind w:left="0" w:right="0" w:firstLine="0"/>
      </w:pPr>
      <w:r>
        <w:t xml:space="preserve">Numerator: </w:t>
      </w:r>
      <w:r w:rsidR="00FB3FE8">
        <w:t>a</w:t>
      </w:r>
      <w:r>
        <w:t>ll children who were aged less than five years as of 31 December of the relevant year and who were enrolled with the COHS. Source: DHB reporting.</w:t>
      </w:r>
    </w:p>
    <w:p w14:paraId="11488B0F" w14:textId="0DBC519B" w:rsidR="006518FE" w:rsidRDefault="006518FE" w:rsidP="006518FE">
      <w:pPr>
        <w:pStyle w:val="Note"/>
        <w:ind w:left="0" w:right="0" w:firstLine="0"/>
      </w:pPr>
      <w:r>
        <w:t xml:space="preserve">Denominator: </w:t>
      </w:r>
      <w:r w:rsidR="00FB3FE8">
        <w:t>t</w:t>
      </w:r>
      <w:r>
        <w:t>he estimated number of children aged less than five years for the relevant population (total New Zealand, total Pacific and Pacific per each DHB). Source: Statistics New Zealand population projections, based on the most recent census.</w:t>
      </w:r>
    </w:p>
    <w:p w14:paraId="270B6A5C" w14:textId="77777777" w:rsidR="006518FE" w:rsidRDefault="006518FE" w:rsidP="006518FE">
      <w:pPr>
        <w:pStyle w:val="Note"/>
        <w:ind w:left="0" w:right="0" w:firstLine="0"/>
      </w:pPr>
      <w:r>
        <w:t>The latest data for this indicator is from 2015.</w:t>
      </w:r>
    </w:p>
    <w:p w14:paraId="7BFC0FD4" w14:textId="77777777" w:rsidR="006518FE" w:rsidRPr="006518FE" w:rsidRDefault="006518FE" w:rsidP="006518FE">
      <w:pPr>
        <w:pStyle w:val="Note"/>
        <w:ind w:left="0" w:right="0" w:firstLine="0"/>
        <w:rPr>
          <w:b/>
        </w:rPr>
      </w:pPr>
      <w:r w:rsidRPr="006518FE">
        <w:rPr>
          <w:b/>
        </w:rPr>
        <w:t>Figure 12B:</w:t>
      </w:r>
    </w:p>
    <w:p w14:paraId="0FF83201" w14:textId="77777777" w:rsidR="006518FE" w:rsidRDefault="006518FE" w:rsidP="006518FE">
      <w:pPr>
        <w:pStyle w:val="Note"/>
        <w:ind w:left="0" w:right="0" w:firstLine="0"/>
      </w:pPr>
      <w:r w:rsidRPr="00CE1969">
        <w:t>Canterbury DHB did not report data by ethnicity for this indicator prior to 2010. Hawke’s Bay DHB reported no data by ethnicity for the 2007 and 2011 year</w:t>
      </w:r>
      <w:r>
        <w:t>s. Waikato DHB does not yet report by ethnicity for this indicator.</w:t>
      </w:r>
    </w:p>
    <w:p w14:paraId="3FA2F8C0" w14:textId="77777777" w:rsidR="006518FE" w:rsidRDefault="006518FE" w:rsidP="006518FE">
      <w:pPr>
        <w:pStyle w:val="Note"/>
        <w:ind w:left="0" w:right="0" w:firstLine="0"/>
      </w:pPr>
      <w:r>
        <w:t>Data for this indicator are provided until 2015.</w:t>
      </w:r>
    </w:p>
    <w:p w14:paraId="6A2DB3EA" w14:textId="77777777" w:rsidR="002601C2" w:rsidRDefault="002601C2" w:rsidP="006518FE">
      <w:pPr>
        <w:rPr>
          <w:noProof/>
          <w:lang w:eastAsia="en-NZ"/>
        </w:rPr>
      </w:pPr>
    </w:p>
    <w:p w14:paraId="765C13DC" w14:textId="77777777" w:rsidR="002601C2" w:rsidRDefault="002601C2" w:rsidP="006518FE">
      <w:pPr>
        <w:pStyle w:val="Table"/>
      </w:pPr>
      <w:bookmarkStart w:id="157" w:name="_Toc504249878"/>
      <w:bookmarkStart w:id="158" w:name="_Toc531258263"/>
      <w:r>
        <w:t>Table 5</w:t>
      </w:r>
      <w:r w:rsidRPr="00A119E8">
        <w:t xml:space="preserve">: </w:t>
      </w:r>
      <w:r>
        <w:t>Number and p</w:t>
      </w:r>
      <w:r w:rsidRPr="00A119E8">
        <w:t>ercentage of children</w:t>
      </w:r>
      <w:r>
        <w:t xml:space="preserve"> under five years of age</w:t>
      </w:r>
      <w:r w:rsidRPr="00A119E8">
        <w:t xml:space="preserve"> </w:t>
      </w:r>
      <w:r>
        <w:t xml:space="preserve">enrolled in the Community Oral Health Service, Pacific peoples, priority </w:t>
      </w:r>
      <w:r w:rsidRPr="00A119E8">
        <w:t>DHBs</w:t>
      </w:r>
      <w:r>
        <w:t>, 1 January–30 December 2015</w:t>
      </w:r>
      <w:bookmarkEnd w:id="157"/>
      <w:bookmarkEnd w:id="158"/>
    </w:p>
    <w:tbl>
      <w:tblPr>
        <w:tblW w:w="0" w:type="auto"/>
        <w:tblInd w:w="57" w:type="dxa"/>
        <w:tblLayout w:type="fixed"/>
        <w:tblCellMar>
          <w:left w:w="57" w:type="dxa"/>
          <w:right w:w="57" w:type="dxa"/>
        </w:tblCellMar>
        <w:tblLook w:val="04A0" w:firstRow="1" w:lastRow="0" w:firstColumn="1" w:lastColumn="0" w:noHBand="0" w:noVBand="1"/>
      </w:tblPr>
      <w:tblGrid>
        <w:gridCol w:w="1390"/>
        <w:gridCol w:w="2438"/>
        <w:gridCol w:w="1842"/>
        <w:gridCol w:w="1843"/>
        <w:gridCol w:w="1843"/>
      </w:tblGrid>
      <w:tr w:rsidR="002601C2" w:rsidRPr="000C05FB" w14:paraId="47D7BC90" w14:textId="77777777" w:rsidTr="006518FE">
        <w:trPr>
          <w:cantSplit/>
        </w:trPr>
        <w:tc>
          <w:tcPr>
            <w:tcW w:w="1390" w:type="dxa"/>
            <w:tcBorders>
              <w:top w:val="single" w:sz="4" w:space="0" w:color="auto"/>
              <w:bottom w:val="single" w:sz="4" w:space="0" w:color="auto"/>
            </w:tcBorders>
            <w:shd w:val="clear" w:color="auto" w:fill="auto"/>
            <w:hideMark/>
          </w:tcPr>
          <w:p w14:paraId="4572E8CA" w14:textId="77777777" w:rsidR="002601C2" w:rsidRPr="000C05FB" w:rsidRDefault="002601C2" w:rsidP="006518FE">
            <w:pPr>
              <w:pStyle w:val="TableText"/>
            </w:pPr>
          </w:p>
        </w:tc>
        <w:tc>
          <w:tcPr>
            <w:tcW w:w="2438" w:type="dxa"/>
            <w:tcBorders>
              <w:top w:val="single" w:sz="4" w:space="0" w:color="auto"/>
              <w:bottom w:val="single" w:sz="4" w:space="0" w:color="auto"/>
            </w:tcBorders>
            <w:shd w:val="clear" w:color="auto" w:fill="auto"/>
            <w:hideMark/>
          </w:tcPr>
          <w:p w14:paraId="64596F9D" w14:textId="77777777" w:rsidR="002601C2" w:rsidRPr="000C05FB" w:rsidRDefault="002601C2" w:rsidP="006518FE">
            <w:pPr>
              <w:pStyle w:val="TableText"/>
              <w:rPr>
                <w:b/>
              </w:rPr>
            </w:pPr>
            <w:r w:rsidRPr="000C05FB">
              <w:rPr>
                <w:b/>
              </w:rPr>
              <w:t>Region</w:t>
            </w:r>
          </w:p>
        </w:tc>
        <w:tc>
          <w:tcPr>
            <w:tcW w:w="1842" w:type="dxa"/>
            <w:tcBorders>
              <w:top w:val="single" w:sz="4" w:space="0" w:color="auto"/>
              <w:bottom w:val="single" w:sz="4" w:space="0" w:color="auto"/>
            </w:tcBorders>
          </w:tcPr>
          <w:p w14:paraId="561BB8E5" w14:textId="77777777" w:rsidR="002601C2" w:rsidRPr="006518FE" w:rsidRDefault="002601C2" w:rsidP="006518FE">
            <w:pPr>
              <w:pStyle w:val="TableText"/>
              <w:jc w:val="center"/>
              <w:rPr>
                <w:b/>
              </w:rPr>
            </w:pPr>
            <w:r w:rsidRPr="006518FE">
              <w:rPr>
                <w:rFonts w:cs="Arial"/>
                <w:b/>
                <w:color w:val="000000"/>
              </w:rPr>
              <w:t>Number enrolled (count)</w:t>
            </w:r>
          </w:p>
        </w:tc>
        <w:tc>
          <w:tcPr>
            <w:tcW w:w="1843" w:type="dxa"/>
            <w:tcBorders>
              <w:top w:val="single" w:sz="4" w:space="0" w:color="auto"/>
              <w:bottom w:val="single" w:sz="4" w:space="0" w:color="auto"/>
            </w:tcBorders>
            <w:shd w:val="clear" w:color="auto" w:fill="auto"/>
            <w:hideMark/>
          </w:tcPr>
          <w:p w14:paraId="00910163" w14:textId="77777777" w:rsidR="002601C2" w:rsidRPr="006518FE" w:rsidRDefault="002601C2" w:rsidP="006518FE">
            <w:pPr>
              <w:pStyle w:val="TableText"/>
              <w:jc w:val="center"/>
              <w:rPr>
                <w:b/>
              </w:rPr>
            </w:pPr>
            <w:r w:rsidRPr="006518FE">
              <w:rPr>
                <w:rFonts w:cs="Arial"/>
                <w:b/>
                <w:color w:val="000000"/>
              </w:rPr>
              <w:t>Total population (count)</w:t>
            </w:r>
          </w:p>
        </w:tc>
        <w:tc>
          <w:tcPr>
            <w:tcW w:w="1843" w:type="dxa"/>
            <w:tcBorders>
              <w:top w:val="single" w:sz="4" w:space="0" w:color="auto"/>
              <w:bottom w:val="single" w:sz="4" w:space="0" w:color="auto"/>
            </w:tcBorders>
            <w:shd w:val="clear" w:color="auto" w:fill="auto"/>
            <w:hideMark/>
          </w:tcPr>
          <w:p w14:paraId="55EEDE6C" w14:textId="77777777" w:rsidR="002601C2" w:rsidRPr="006518FE" w:rsidRDefault="002601C2" w:rsidP="006518FE">
            <w:pPr>
              <w:pStyle w:val="TableText"/>
              <w:jc w:val="center"/>
              <w:rPr>
                <w:b/>
              </w:rPr>
            </w:pPr>
            <w:r w:rsidRPr="006518FE">
              <w:rPr>
                <w:rFonts w:cs="Arial"/>
                <w:b/>
                <w:color w:val="000000"/>
              </w:rPr>
              <w:t>Percentage</w:t>
            </w:r>
            <w:r w:rsidR="006518FE">
              <w:rPr>
                <w:rFonts w:cs="Arial"/>
                <w:b/>
                <w:color w:val="000000"/>
              </w:rPr>
              <w:br/>
              <w:t>e</w:t>
            </w:r>
            <w:r w:rsidRPr="006518FE">
              <w:rPr>
                <w:rFonts w:cs="Arial"/>
                <w:b/>
                <w:color w:val="000000"/>
              </w:rPr>
              <w:t>nrolled</w:t>
            </w:r>
          </w:p>
        </w:tc>
      </w:tr>
      <w:tr w:rsidR="002601C2" w:rsidRPr="000C05FB" w14:paraId="56B6A996" w14:textId="77777777" w:rsidTr="006518FE">
        <w:trPr>
          <w:cantSplit/>
        </w:trPr>
        <w:tc>
          <w:tcPr>
            <w:tcW w:w="1390" w:type="dxa"/>
            <w:vMerge w:val="restart"/>
            <w:tcBorders>
              <w:top w:val="single" w:sz="4" w:space="0" w:color="auto"/>
              <w:bottom w:val="single" w:sz="4" w:space="0" w:color="auto"/>
            </w:tcBorders>
            <w:shd w:val="clear" w:color="auto" w:fill="auto"/>
            <w:hideMark/>
          </w:tcPr>
          <w:p w14:paraId="3A69B1C3" w14:textId="77777777" w:rsidR="002601C2" w:rsidRPr="000C05FB" w:rsidRDefault="002601C2" w:rsidP="006518FE">
            <w:pPr>
              <w:pStyle w:val="TableText"/>
            </w:pPr>
            <w:r w:rsidRPr="000C05FB">
              <w:t>Auckland region</w:t>
            </w:r>
          </w:p>
        </w:tc>
        <w:tc>
          <w:tcPr>
            <w:tcW w:w="2438" w:type="dxa"/>
            <w:tcBorders>
              <w:top w:val="single" w:sz="4" w:space="0" w:color="auto"/>
              <w:bottom w:val="single" w:sz="4" w:space="0" w:color="9BBB59" w:themeColor="accent3"/>
            </w:tcBorders>
            <w:shd w:val="clear" w:color="auto" w:fill="auto"/>
            <w:hideMark/>
          </w:tcPr>
          <w:p w14:paraId="03D54A54" w14:textId="77777777" w:rsidR="002601C2" w:rsidRPr="000C05FB" w:rsidRDefault="002601C2" w:rsidP="006518FE">
            <w:pPr>
              <w:pStyle w:val="TableText"/>
            </w:pPr>
            <w:r w:rsidRPr="000C05FB">
              <w:t>Counties Manukau</w:t>
            </w:r>
          </w:p>
        </w:tc>
        <w:tc>
          <w:tcPr>
            <w:tcW w:w="1842" w:type="dxa"/>
            <w:tcBorders>
              <w:top w:val="single" w:sz="4" w:space="0" w:color="auto"/>
              <w:bottom w:val="single" w:sz="4" w:space="0" w:color="9BBB59" w:themeColor="accent3"/>
            </w:tcBorders>
          </w:tcPr>
          <w:p w14:paraId="28912CBE" w14:textId="77777777" w:rsidR="002601C2" w:rsidRPr="000C05FB" w:rsidRDefault="002601C2" w:rsidP="006518FE">
            <w:pPr>
              <w:pStyle w:val="TableText"/>
              <w:tabs>
                <w:tab w:val="decimal" w:pos="1116"/>
              </w:tabs>
            </w:pPr>
            <w:r>
              <w:t>8,854</w:t>
            </w:r>
          </w:p>
        </w:tc>
        <w:tc>
          <w:tcPr>
            <w:tcW w:w="1843" w:type="dxa"/>
            <w:tcBorders>
              <w:top w:val="single" w:sz="4" w:space="0" w:color="auto"/>
              <w:bottom w:val="single" w:sz="4" w:space="0" w:color="9BBB59" w:themeColor="accent3"/>
            </w:tcBorders>
            <w:shd w:val="clear" w:color="auto" w:fill="auto"/>
            <w:hideMark/>
          </w:tcPr>
          <w:p w14:paraId="646E3FA6" w14:textId="77777777" w:rsidR="002601C2" w:rsidRPr="000C05FB" w:rsidRDefault="002601C2" w:rsidP="006518FE">
            <w:pPr>
              <w:pStyle w:val="TableText"/>
              <w:tabs>
                <w:tab w:val="decimal" w:pos="1116"/>
              </w:tabs>
            </w:pPr>
            <w:r>
              <w:t>11,720</w:t>
            </w:r>
          </w:p>
        </w:tc>
        <w:tc>
          <w:tcPr>
            <w:tcW w:w="1843" w:type="dxa"/>
            <w:tcBorders>
              <w:top w:val="single" w:sz="4" w:space="0" w:color="auto"/>
              <w:bottom w:val="single" w:sz="4" w:space="0" w:color="9BBB59" w:themeColor="accent3"/>
            </w:tcBorders>
            <w:shd w:val="clear" w:color="auto" w:fill="auto"/>
            <w:noWrap/>
            <w:hideMark/>
          </w:tcPr>
          <w:p w14:paraId="748CC035" w14:textId="77777777" w:rsidR="002601C2" w:rsidRPr="000C05FB" w:rsidRDefault="002601C2" w:rsidP="006518FE">
            <w:pPr>
              <w:pStyle w:val="TableText"/>
              <w:jc w:val="center"/>
            </w:pPr>
            <w:r>
              <w:t>76%</w:t>
            </w:r>
          </w:p>
        </w:tc>
      </w:tr>
      <w:tr w:rsidR="002601C2" w:rsidRPr="000C05FB" w14:paraId="16EC2245" w14:textId="77777777" w:rsidTr="006518FE">
        <w:trPr>
          <w:cantSplit/>
        </w:trPr>
        <w:tc>
          <w:tcPr>
            <w:tcW w:w="1390" w:type="dxa"/>
            <w:vMerge/>
            <w:tcBorders>
              <w:top w:val="single" w:sz="4" w:space="0" w:color="auto"/>
              <w:bottom w:val="single" w:sz="4" w:space="0" w:color="auto"/>
            </w:tcBorders>
            <w:hideMark/>
          </w:tcPr>
          <w:p w14:paraId="3894D4E8" w14:textId="77777777" w:rsidR="002601C2" w:rsidRPr="000C05FB" w:rsidRDefault="002601C2" w:rsidP="006518FE">
            <w:pPr>
              <w:pStyle w:val="TableText"/>
            </w:pPr>
          </w:p>
        </w:tc>
        <w:tc>
          <w:tcPr>
            <w:tcW w:w="2438" w:type="dxa"/>
            <w:tcBorders>
              <w:top w:val="single" w:sz="4" w:space="0" w:color="9BBB59" w:themeColor="accent3"/>
              <w:bottom w:val="single" w:sz="4" w:space="0" w:color="9BBB59" w:themeColor="accent3"/>
            </w:tcBorders>
            <w:shd w:val="clear" w:color="auto" w:fill="auto"/>
            <w:hideMark/>
          </w:tcPr>
          <w:p w14:paraId="40B893F6" w14:textId="77777777" w:rsidR="002601C2" w:rsidRPr="000C05FB" w:rsidRDefault="002601C2" w:rsidP="006518FE">
            <w:pPr>
              <w:pStyle w:val="TableText"/>
            </w:pPr>
            <w:r w:rsidRPr="000C05FB">
              <w:t>Auckland</w:t>
            </w:r>
          </w:p>
        </w:tc>
        <w:tc>
          <w:tcPr>
            <w:tcW w:w="1842" w:type="dxa"/>
            <w:tcBorders>
              <w:top w:val="single" w:sz="4" w:space="0" w:color="9BBB59" w:themeColor="accent3"/>
              <w:bottom w:val="single" w:sz="4" w:space="0" w:color="9BBB59" w:themeColor="accent3"/>
            </w:tcBorders>
          </w:tcPr>
          <w:p w14:paraId="04110961" w14:textId="77777777" w:rsidR="002601C2" w:rsidRPr="000C05FB" w:rsidRDefault="002601C2" w:rsidP="006518FE">
            <w:pPr>
              <w:pStyle w:val="TableText"/>
              <w:tabs>
                <w:tab w:val="decimal" w:pos="1116"/>
              </w:tabs>
            </w:pPr>
            <w:r>
              <w:t>3,742</w:t>
            </w:r>
          </w:p>
        </w:tc>
        <w:tc>
          <w:tcPr>
            <w:tcW w:w="1843" w:type="dxa"/>
            <w:tcBorders>
              <w:top w:val="single" w:sz="4" w:space="0" w:color="9BBB59" w:themeColor="accent3"/>
              <w:bottom w:val="single" w:sz="4" w:space="0" w:color="9BBB59" w:themeColor="accent3"/>
            </w:tcBorders>
            <w:shd w:val="clear" w:color="auto" w:fill="auto"/>
            <w:hideMark/>
          </w:tcPr>
          <w:p w14:paraId="1CA18CE1" w14:textId="77777777" w:rsidR="002601C2" w:rsidRPr="000C05FB" w:rsidRDefault="002601C2" w:rsidP="006518FE">
            <w:pPr>
              <w:pStyle w:val="TableText"/>
              <w:tabs>
                <w:tab w:val="decimal" w:pos="1116"/>
              </w:tabs>
            </w:pPr>
            <w:r>
              <w:t>4,900</w:t>
            </w:r>
          </w:p>
        </w:tc>
        <w:tc>
          <w:tcPr>
            <w:tcW w:w="1843" w:type="dxa"/>
            <w:tcBorders>
              <w:top w:val="single" w:sz="4" w:space="0" w:color="9BBB59" w:themeColor="accent3"/>
              <w:bottom w:val="single" w:sz="4" w:space="0" w:color="9BBB59" w:themeColor="accent3"/>
            </w:tcBorders>
            <w:shd w:val="clear" w:color="auto" w:fill="auto"/>
            <w:noWrap/>
            <w:hideMark/>
          </w:tcPr>
          <w:p w14:paraId="7CA667E1" w14:textId="77777777" w:rsidR="002601C2" w:rsidRPr="000C05FB" w:rsidRDefault="002601C2" w:rsidP="006518FE">
            <w:pPr>
              <w:pStyle w:val="TableText"/>
              <w:jc w:val="center"/>
            </w:pPr>
            <w:r>
              <w:t>76%</w:t>
            </w:r>
          </w:p>
        </w:tc>
      </w:tr>
      <w:tr w:rsidR="002601C2" w:rsidRPr="000C05FB" w14:paraId="3C25A69C" w14:textId="77777777" w:rsidTr="006518FE">
        <w:trPr>
          <w:cantSplit/>
        </w:trPr>
        <w:tc>
          <w:tcPr>
            <w:tcW w:w="1390" w:type="dxa"/>
            <w:vMerge/>
            <w:tcBorders>
              <w:top w:val="single" w:sz="4" w:space="0" w:color="auto"/>
              <w:bottom w:val="single" w:sz="4" w:space="0" w:color="auto"/>
            </w:tcBorders>
            <w:hideMark/>
          </w:tcPr>
          <w:p w14:paraId="7BEB6A88" w14:textId="77777777" w:rsidR="002601C2" w:rsidRPr="000C05FB" w:rsidRDefault="002601C2" w:rsidP="006518FE">
            <w:pPr>
              <w:pStyle w:val="TableText"/>
            </w:pPr>
          </w:p>
        </w:tc>
        <w:tc>
          <w:tcPr>
            <w:tcW w:w="2438" w:type="dxa"/>
            <w:tcBorders>
              <w:top w:val="single" w:sz="4" w:space="0" w:color="9BBB59" w:themeColor="accent3"/>
              <w:bottom w:val="single" w:sz="4" w:space="0" w:color="auto"/>
            </w:tcBorders>
            <w:shd w:val="clear" w:color="auto" w:fill="auto"/>
            <w:hideMark/>
          </w:tcPr>
          <w:p w14:paraId="1162EFD3" w14:textId="77777777" w:rsidR="002601C2" w:rsidRPr="000C05FB" w:rsidRDefault="002601C2" w:rsidP="006518FE">
            <w:pPr>
              <w:pStyle w:val="TableText"/>
            </w:pPr>
            <w:r w:rsidRPr="000C05FB">
              <w:t>Waitemata</w:t>
            </w:r>
          </w:p>
        </w:tc>
        <w:tc>
          <w:tcPr>
            <w:tcW w:w="1842" w:type="dxa"/>
            <w:tcBorders>
              <w:top w:val="single" w:sz="4" w:space="0" w:color="9BBB59" w:themeColor="accent3"/>
              <w:bottom w:val="single" w:sz="4" w:space="0" w:color="auto"/>
            </w:tcBorders>
          </w:tcPr>
          <w:p w14:paraId="1B97346A" w14:textId="77777777" w:rsidR="002601C2" w:rsidRPr="000C05FB" w:rsidRDefault="002601C2" w:rsidP="006518FE">
            <w:pPr>
              <w:pStyle w:val="TableText"/>
              <w:tabs>
                <w:tab w:val="decimal" w:pos="1116"/>
              </w:tabs>
            </w:pPr>
            <w:r>
              <w:t>2,989</w:t>
            </w:r>
          </w:p>
        </w:tc>
        <w:tc>
          <w:tcPr>
            <w:tcW w:w="1843" w:type="dxa"/>
            <w:tcBorders>
              <w:top w:val="single" w:sz="4" w:space="0" w:color="9BBB59" w:themeColor="accent3"/>
              <w:bottom w:val="single" w:sz="4" w:space="0" w:color="auto"/>
            </w:tcBorders>
            <w:shd w:val="clear" w:color="auto" w:fill="auto"/>
            <w:hideMark/>
          </w:tcPr>
          <w:p w14:paraId="12C29A48" w14:textId="77777777" w:rsidR="002601C2" w:rsidRPr="000C05FB" w:rsidRDefault="002601C2" w:rsidP="006518FE">
            <w:pPr>
              <w:pStyle w:val="TableText"/>
              <w:tabs>
                <w:tab w:val="decimal" w:pos="1116"/>
              </w:tabs>
            </w:pPr>
            <w:r>
              <w:t>4,060</w:t>
            </w:r>
          </w:p>
        </w:tc>
        <w:tc>
          <w:tcPr>
            <w:tcW w:w="1843" w:type="dxa"/>
            <w:tcBorders>
              <w:top w:val="single" w:sz="4" w:space="0" w:color="9BBB59" w:themeColor="accent3"/>
              <w:bottom w:val="single" w:sz="4" w:space="0" w:color="auto"/>
            </w:tcBorders>
            <w:shd w:val="clear" w:color="auto" w:fill="auto"/>
            <w:noWrap/>
            <w:hideMark/>
          </w:tcPr>
          <w:p w14:paraId="4EA5727B" w14:textId="77777777" w:rsidR="002601C2" w:rsidRPr="000C05FB" w:rsidRDefault="002601C2" w:rsidP="006518FE">
            <w:pPr>
              <w:pStyle w:val="TableText"/>
              <w:jc w:val="center"/>
            </w:pPr>
            <w:r>
              <w:t>74%</w:t>
            </w:r>
          </w:p>
        </w:tc>
      </w:tr>
      <w:tr w:rsidR="002601C2" w:rsidRPr="000C05FB" w14:paraId="4248FED9" w14:textId="77777777" w:rsidTr="006518FE">
        <w:trPr>
          <w:cantSplit/>
        </w:trPr>
        <w:tc>
          <w:tcPr>
            <w:tcW w:w="1390" w:type="dxa"/>
            <w:vMerge w:val="restart"/>
            <w:tcBorders>
              <w:top w:val="single" w:sz="4" w:space="0" w:color="auto"/>
              <w:bottom w:val="single" w:sz="4" w:space="0" w:color="auto"/>
            </w:tcBorders>
            <w:shd w:val="clear" w:color="auto" w:fill="auto"/>
            <w:hideMark/>
          </w:tcPr>
          <w:p w14:paraId="0B7584EB" w14:textId="77777777" w:rsidR="002601C2" w:rsidRPr="000C05FB" w:rsidRDefault="002601C2" w:rsidP="006518FE">
            <w:pPr>
              <w:pStyle w:val="TableText"/>
            </w:pPr>
            <w:r w:rsidRPr="000C05FB">
              <w:t>Rest of New Zealand</w:t>
            </w:r>
          </w:p>
        </w:tc>
        <w:tc>
          <w:tcPr>
            <w:tcW w:w="2438" w:type="dxa"/>
            <w:tcBorders>
              <w:top w:val="single" w:sz="4" w:space="0" w:color="auto"/>
              <w:bottom w:val="single" w:sz="4" w:space="0" w:color="9BBB59" w:themeColor="accent3"/>
            </w:tcBorders>
            <w:shd w:val="clear" w:color="auto" w:fill="auto"/>
            <w:hideMark/>
          </w:tcPr>
          <w:p w14:paraId="3678E178" w14:textId="77777777" w:rsidR="002601C2" w:rsidRPr="000C05FB" w:rsidRDefault="002601C2" w:rsidP="006518FE">
            <w:pPr>
              <w:pStyle w:val="TableText"/>
            </w:pPr>
            <w:r w:rsidRPr="000C05FB">
              <w:t>Capital &amp; Coast</w:t>
            </w:r>
          </w:p>
        </w:tc>
        <w:tc>
          <w:tcPr>
            <w:tcW w:w="1842" w:type="dxa"/>
            <w:tcBorders>
              <w:top w:val="single" w:sz="4" w:space="0" w:color="auto"/>
              <w:bottom w:val="single" w:sz="4" w:space="0" w:color="9BBB59" w:themeColor="accent3"/>
            </w:tcBorders>
          </w:tcPr>
          <w:p w14:paraId="566E97FA" w14:textId="77777777" w:rsidR="002601C2" w:rsidRPr="000C05FB" w:rsidRDefault="002601C2" w:rsidP="006518FE">
            <w:pPr>
              <w:pStyle w:val="TableText"/>
              <w:tabs>
                <w:tab w:val="decimal" w:pos="1116"/>
              </w:tabs>
            </w:pPr>
            <w:r>
              <w:t>1,792</w:t>
            </w:r>
          </w:p>
        </w:tc>
        <w:tc>
          <w:tcPr>
            <w:tcW w:w="1843" w:type="dxa"/>
            <w:tcBorders>
              <w:top w:val="single" w:sz="4" w:space="0" w:color="auto"/>
              <w:bottom w:val="single" w:sz="4" w:space="0" w:color="9BBB59" w:themeColor="accent3"/>
            </w:tcBorders>
            <w:shd w:val="clear" w:color="auto" w:fill="auto"/>
            <w:hideMark/>
          </w:tcPr>
          <w:p w14:paraId="6BC9346C" w14:textId="77777777" w:rsidR="002601C2" w:rsidRPr="000C05FB" w:rsidRDefault="002601C2" w:rsidP="006518FE">
            <w:pPr>
              <w:pStyle w:val="TableText"/>
              <w:tabs>
                <w:tab w:val="decimal" w:pos="1116"/>
              </w:tabs>
            </w:pPr>
            <w:r>
              <w:t>2,050</w:t>
            </w:r>
          </w:p>
        </w:tc>
        <w:tc>
          <w:tcPr>
            <w:tcW w:w="1843" w:type="dxa"/>
            <w:tcBorders>
              <w:top w:val="single" w:sz="4" w:space="0" w:color="auto"/>
              <w:bottom w:val="single" w:sz="4" w:space="0" w:color="9BBB59" w:themeColor="accent3"/>
            </w:tcBorders>
            <w:shd w:val="clear" w:color="auto" w:fill="auto"/>
            <w:noWrap/>
            <w:hideMark/>
          </w:tcPr>
          <w:p w14:paraId="20ED14F0" w14:textId="77777777" w:rsidR="002601C2" w:rsidRPr="000C05FB" w:rsidRDefault="002601C2" w:rsidP="006518FE">
            <w:pPr>
              <w:pStyle w:val="TableText"/>
              <w:jc w:val="center"/>
            </w:pPr>
            <w:r>
              <w:t>87%</w:t>
            </w:r>
          </w:p>
        </w:tc>
      </w:tr>
      <w:tr w:rsidR="002601C2" w:rsidRPr="000C05FB" w14:paraId="36B09836" w14:textId="77777777" w:rsidTr="006518FE">
        <w:trPr>
          <w:cantSplit/>
        </w:trPr>
        <w:tc>
          <w:tcPr>
            <w:tcW w:w="1390" w:type="dxa"/>
            <w:vMerge/>
            <w:tcBorders>
              <w:top w:val="single" w:sz="4" w:space="0" w:color="auto"/>
              <w:bottom w:val="single" w:sz="4" w:space="0" w:color="auto"/>
            </w:tcBorders>
            <w:hideMark/>
          </w:tcPr>
          <w:p w14:paraId="0565A580" w14:textId="77777777" w:rsidR="002601C2" w:rsidRPr="000C05FB" w:rsidRDefault="002601C2" w:rsidP="006518FE">
            <w:pPr>
              <w:pStyle w:val="TableText"/>
            </w:pPr>
          </w:p>
        </w:tc>
        <w:tc>
          <w:tcPr>
            <w:tcW w:w="2438" w:type="dxa"/>
            <w:tcBorders>
              <w:top w:val="single" w:sz="4" w:space="0" w:color="9BBB59" w:themeColor="accent3"/>
              <w:bottom w:val="single" w:sz="4" w:space="0" w:color="9BBB59" w:themeColor="accent3"/>
            </w:tcBorders>
            <w:shd w:val="clear" w:color="auto" w:fill="auto"/>
            <w:hideMark/>
          </w:tcPr>
          <w:p w14:paraId="278ACABC" w14:textId="77777777" w:rsidR="002601C2" w:rsidRPr="000C05FB" w:rsidRDefault="002601C2" w:rsidP="006518FE">
            <w:pPr>
              <w:pStyle w:val="TableText"/>
            </w:pPr>
            <w:r w:rsidRPr="000C05FB">
              <w:t>Canterbury</w:t>
            </w:r>
          </w:p>
        </w:tc>
        <w:tc>
          <w:tcPr>
            <w:tcW w:w="1842" w:type="dxa"/>
            <w:tcBorders>
              <w:top w:val="single" w:sz="4" w:space="0" w:color="9BBB59" w:themeColor="accent3"/>
              <w:bottom w:val="single" w:sz="4" w:space="0" w:color="9BBB59" w:themeColor="accent3"/>
            </w:tcBorders>
          </w:tcPr>
          <w:p w14:paraId="129060B9" w14:textId="77777777" w:rsidR="002601C2" w:rsidRPr="000C05FB" w:rsidRDefault="002601C2" w:rsidP="006518FE">
            <w:pPr>
              <w:pStyle w:val="TableText"/>
              <w:tabs>
                <w:tab w:val="decimal" w:pos="1116"/>
              </w:tabs>
            </w:pPr>
            <w:r>
              <w:t>732</w:t>
            </w:r>
          </w:p>
        </w:tc>
        <w:tc>
          <w:tcPr>
            <w:tcW w:w="1843" w:type="dxa"/>
            <w:tcBorders>
              <w:top w:val="single" w:sz="4" w:space="0" w:color="9BBB59" w:themeColor="accent3"/>
              <w:bottom w:val="single" w:sz="4" w:space="0" w:color="9BBB59" w:themeColor="accent3"/>
            </w:tcBorders>
            <w:shd w:val="clear" w:color="auto" w:fill="auto"/>
            <w:hideMark/>
          </w:tcPr>
          <w:p w14:paraId="47DB4531" w14:textId="77777777" w:rsidR="002601C2" w:rsidRPr="000C05FB" w:rsidRDefault="002601C2" w:rsidP="006518FE">
            <w:pPr>
              <w:pStyle w:val="TableText"/>
              <w:tabs>
                <w:tab w:val="decimal" w:pos="1116"/>
              </w:tabs>
            </w:pPr>
            <w:r>
              <w:t>1,450</w:t>
            </w:r>
          </w:p>
        </w:tc>
        <w:tc>
          <w:tcPr>
            <w:tcW w:w="1843" w:type="dxa"/>
            <w:tcBorders>
              <w:top w:val="single" w:sz="4" w:space="0" w:color="9BBB59" w:themeColor="accent3"/>
              <w:bottom w:val="single" w:sz="4" w:space="0" w:color="9BBB59" w:themeColor="accent3"/>
            </w:tcBorders>
            <w:shd w:val="clear" w:color="auto" w:fill="auto"/>
            <w:noWrap/>
            <w:hideMark/>
          </w:tcPr>
          <w:p w14:paraId="41FA342E" w14:textId="77777777" w:rsidR="002601C2" w:rsidRPr="000C05FB" w:rsidRDefault="002601C2" w:rsidP="006518FE">
            <w:pPr>
              <w:pStyle w:val="TableText"/>
              <w:jc w:val="center"/>
            </w:pPr>
            <w:r>
              <w:t>50%</w:t>
            </w:r>
          </w:p>
        </w:tc>
      </w:tr>
      <w:tr w:rsidR="002601C2" w:rsidRPr="000C05FB" w14:paraId="7D36E2B2" w14:textId="77777777" w:rsidTr="006518FE">
        <w:trPr>
          <w:cantSplit/>
        </w:trPr>
        <w:tc>
          <w:tcPr>
            <w:tcW w:w="1390" w:type="dxa"/>
            <w:vMerge/>
            <w:tcBorders>
              <w:top w:val="single" w:sz="4" w:space="0" w:color="auto"/>
              <w:bottom w:val="single" w:sz="4" w:space="0" w:color="auto"/>
            </w:tcBorders>
            <w:hideMark/>
          </w:tcPr>
          <w:p w14:paraId="2FCC1EBE" w14:textId="77777777" w:rsidR="002601C2" w:rsidRPr="000C05FB" w:rsidRDefault="002601C2" w:rsidP="006518FE">
            <w:pPr>
              <w:pStyle w:val="TableText"/>
            </w:pPr>
          </w:p>
        </w:tc>
        <w:tc>
          <w:tcPr>
            <w:tcW w:w="2438" w:type="dxa"/>
            <w:tcBorders>
              <w:top w:val="single" w:sz="4" w:space="0" w:color="9BBB59" w:themeColor="accent3"/>
              <w:bottom w:val="single" w:sz="4" w:space="0" w:color="9BBB59" w:themeColor="accent3"/>
            </w:tcBorders>
            <w:shd w:val="clear" w:color="auto" w:fill="auto"/>
            <w:hideMark/>
          </w:tcPr>
          <w:p w14:paraId="44C431AB" w14:textId="77777777" w:rsidR="002601C2" w:rsidRPr="000C05FB" w:rsidRDefault="002601C2" w:rsidP="006518FE">
            <w:pPr>
              <w:pStyle w:val="TableText"/>
            </w:pPr>
            <w:r w:rsidRPr="000C05FB">
              <w:t>Hutt Valley</w:t>
            </w:r>
          </w:p>
        </w:tc>
        <w:tc>
          <w:tcPr>
            <w:tcW w:w="1842" w:type="dxa"/>
            <w:tcBorders>
              <w:top w:val="single" w:sz="4" w:space="0" w:color="9BBB59" w:themeColor="accent3"/>
              <w:bottom w:val="single" w:sz="4" w:space="0" w:color="9BBB59" w:themeColor="accent3"/>
            </w:tcBorders>
          </w:tcPr>
          <w:p w14:paraId="35B25460" w14:textId="77777777" w:rsidR="002601C2" w:rsidRPr="000C05FB" w:rsidRDefault="002601C2" w:rsidP="006518FE">
            <w:pPr>
              <w:pStyle w:val="TableText"/>
              <w:tabs>
                <w:tab w:val="decimal" w:pos="1116"/>
              </w:tabs>
            </w:pPr>
            <w:r>
              <w:t>923</w:t>
            </w:r>
          </w:p>
        </w:tc>
        <w:tc>
          <w:tcPr>
            <w:tcW w:w="1843" w:type="dxa"/>
            <w:tcBorders>
              <w:top w:val="single" w:sz="4" w:space="0" w:color="9BBB59" w:themeColor="accent3"/>
              <w:bottom w:val="single" w:sz="4" w:space="0" w:color="9BBB59" w:themeColor="accent3"/>
            </w:tcBorders>
            <w:shd w:val="clear" w:color="auto" w:fill="auto"/>
            <w:hideMark/>
          </w:tcPr>
          <w:p w14:paraId="155BA5E5" w14:textId="77777777" w:rsidR="002601C2" w:rsidRPr="000C05FB" w:rsidRDefault="002601C2" w:rsidP="006518FE">
            <w:pPr>
              <w:pStyle w:val="TableText"/>
              <w:tabs>
                <w:tab w:val="decimal" w:pos="1116"/>
              </w:tabs>
            </w:pPr>
            <w:r>
              <w:t>1,040</w:t>
            </w:r>
          </w:p>
        </w:tc>
        <w:tc>
          <w:tcPr>
            <w:tcW w:w="1843" w:type="dxa"/>
            <w:tcBorders>
              <w:top w:val="single" w:sz="4" w:space="0" w:color="9BBB59" w:themeColor="accent3"/>
              <w:bottom w:val="single" w:sz="4" w:space="0" w:color="9BBB59" w:themeColor="accent3"/>
            </w:tcBorders>
            <w:shd w:val="clear" w:color="auto" w:fill="auto"/>
            <w:noWrap/>
            <w:hideMark/>
          </w:tcPr>
          <w:p w14:paraId="77F7EC73" w14:textId="77777777" w:rsidR="002601C2" w:rsidRPr="000C05FB" w:rsidRDefault="002601C2" w:rsidP="006518FE">
            <w:pPr>
              <w:pStyle w:val="TableText"/>
              <w:jc w:val="center"/>
            </w:pPr>
            <w:r>
              <w:t>89%</w:t>
            </w:r>
          </w:p>
        </w:tc>
      </w:tr>
      <w:tr w:rsidR="002601C2" w:rsidRPr="000C05FB" w14:paraId="2D161E2B" w14:textId="77777777" w:rsidTr="006518FE">
        <w:trPr>
          <w:cantSplit/>
        </w:trPr>
        <w:tc>
          <w:tcPr>
            <w:tcW w:w="1390" w:type="dxa"/>
            <w:vMerge/>
            <w:tcBorders>
              <w:top w:val="single" w:sz="4" w:space="0" w:color="auto"/>
              <w:bottom w:val="single" w:sz="4" w:space="0" w:color="auto"/>
            </w:tcBorders>
            <w:hideMark/>
          </w:tcPr>
          <w:p w14:paraId="3DA3CEA9" w14:textId="77777777" w:rsidR="002601C2" w:rsidRPr="000C05FB" w:rsidRDefault="002601C2" w:rsidP="006518FE">
            <w:pPr>
              <w:pStyle w:val="TableText"/>
            </w:pPr>
          </w:p>
        </w:tc>
        <w:tc>
          <w:tcPr>
            <w:tcW w:w="2438" w:type="dxa"/>
            <w:tcBorders>
              <w:top w:val="single" w:sz="4" w:space="0" w:color="9BBB59" w:themeColor="accent3"/>
              <w:bottom w:val="single" w:sz="4" w:space="0" w:color="auto"/>
            </w:tcBorders>
            <w:shd w:val="clear" w:color="auto" w:fill="auto"/>
            <w:hideMark/>
          </w:tcPr>
          <w:p w14:paraId="503BF6F2" w14:textId="77777777" w:rsidR="002601C2" w:rsidRPr="000C05FB" w:rsidRDefault="002601C2" w:rsidP="006518FE">
            <w:pPr>
              <w:pStyle w:val="TableText"/>
            </w:pPr>
            <w:r w:rsidRPr="000C05FB">
              <w:t>Hawke</w:t>
            </w:r>
            <w:r>
              <w:t>’</w:t>
            </w:r>
            <w:r w:rsidRPr="000C05FB">
              <w:t>s Bay</w:t>
            </w:r>
          </w:p>
        </w:tc>
        <w:tc>
          <w:tcPr>
            <w:tcW w:w="1842" w:type="dxa"/>
            <w:tcBorders>
              <w:top w:val="single" w:sz="4" w:space="0" w:color="9BBB59" w:themeColor="accent3"/>
              <w:bottom w:val="single" w:sz="4" w:space="0" w:color="auto"/>
            </w:tcBorders>
          </w:tcPr>
          <w:p w14:paraId="277D7BAE" w14:textId="77777777" w:rsidR="002601C2" w:rsidRPr="000C05FB" w:rsidRDefault="002601C2" w:rsidP="006518FE">
            <w:pPr>
              <w:pStyle w:val="TableText"/>
              <w:tabs>
                <w:tab w:val="decimal" w:pos="1116"/>
              </w:tabs>
            </w:pPr>
            <w:r>
              <w:t>482</w:t>
            </w:r>
          </w:p>
        </w:tc>
        <w:tc>
          <w:tcPr>
            <w:tcW w:w="1843" w:type="dxa"/>
            <w:tcBorders>
              <w:top w:val="single" w:sz="4" w:space="0" w:color="9BBB59" w:themeColor="accent3"/>
              <w:bottom w:val="single" w:sz="4" w:space="0" w:color="auto"/>
            </w:tcBorders>
            <w:shd w:val="clear" w:color="auto" w:fill="auto"/>
            <w:hideMark/>
          </w:tcPr>
          <w:p w14:paraId="13FE8CEB" w14:textId="77777777" w:rsidR="002601C2" w:rsidRPr="000C05FB" w:rsidRDefault="002601C2" w:rsidP="006518FE">
            <w:pPr>
              <w:pStyle w:val="TableText"/>
              <w:tabs>
                <w:tab w:val="decimal" w:pos="1116"/>
              </w:tabs>
            </w:pPr>
            <w:r>
              <w:t>650</w:t>
            </w:r>
          </w:p>
        </w:tc>
        <w:tc>
          <w:tcPr>
            <w:tcW w:w="1843" w:type="dxa"/>
            <w:tcBorders>
              <w:top w:val="single" w:sz="4" w:space="0" w:color="9BBB59" w:themeColor="accent3"/>
              <w:bottom w:val="single" w:sz="4" w:space="0" w:color="auto"/>
            </w:tcBorders>
            <w:shd w:val="clear" w:color="auto" w:fill="auto"/>
            <w:noWrap/>
            <w:hideMark/>
          </w:tcPr>
          <w:p w14:paraId="2770CA85" w14:textId="77777777" w:rsidR="002601C2" w:rsidRPr="000C05FB" w:rsidRDefault="002601C2" w:rsidP="006518FE">
            <w:pPr>
              <w:pStyle w:val="TableText"/>
              <w:jc w:val="center"/>
            </w:pPr>
            <w:r>
              <w:t>74%</w:t>
            </w:r>
          </w:p>
        </w:tc>
      </w:tr>
    </w:tbl>
    <w:p w14:paraId="449026E5" w14:textId="77777777" w:rsidR="002601C2" w:rsidRDefault="002601C2" w:rsidP="006518FE"/>
    <w:p w14:paraId="6930FFC6" w14:textId="77777777" w:rsidR="002601C2" w:rsidRPr="00936C5E" w:rsidRDefault="006518FE" w:rsidP="0031002C">
      <w:pPr>
        <w:pStyle w:val="Heading2"/>
        <w:keepLines/>
        <w:rPr>
          <w:noProof/>
          <w:lang w:eastAsia="en-NZ"/>
        </w:rPr>
      </w:pPr>
      <w:bookmarkStart w:id="159" w:name="_Toc504249869"/>
      <w:bookmarkStart w:id="160" w:name="_Toc531258257"/>
      <w:r w:rsidRPr="00FE2D93">
        <w:rPr>
          <w:lang w:eastAsia="en-NZ"/>
        </w:rPr>
        <w:lastRenderedPageBreak/>
        <w:t>Increased number of Pacific children caries-free at age five, and rates of DMFT at school year eight at least equivalent to the total population</w:t>
      </w:r>
      <w:bookmarkEnd w:id="159"/>
      <w:bookmarkEnd w:id="160"/>
    </w:p>
    <w:p w14:paraId="17D12DF1" w14:textId="77777777" w:rsidR="002601C2" w:rsidRPr="00A119E8" w:rsidRDefault="002601C2" w:rsidP="006518FE">
      <w:r w:rsidRPr="005857B1">
        <w:rPr>
          <w:b/>
        </w:rPr>
        <w:t>Performance:</w:t>
      </w:r>
      <w:r>
        <w:t xml:space="preserve"> </w:t>
      </w:r>
      <w:r w:rsidRPr="00A119E8">
        <w:t>The target was set at 65 percent</w:t>
      </w:r>
      <w:r>
        <w:t>,</w:t>
      </w:r>
      <w:r w:rsidRPr="00A119E8">
        <w:t xml:space="preserve"> to be achieved by June 2016.</w:t>
      </w:r>
    </w:p>
    <w:p w14:paraId="4EDC3650" w14:textId="77777777" w:rsidR="002601C2" w:rsidRPr="00A119E8" w:rsidRDefault="002601C2" w:rsidP="006518FE"/>
    <w:p w14:paraId="711C8B01" w14:textId="77777777" w:rsidR="002601C2" w:rsidRDefault="002601C2" w:rsidP="006518FE">
      <w:pPr>
        <w:pStyle w:val="Figure"/>
      </w:pPr>
      <w:bookmarkStart w:id="161" w:name="_Toc428368073"/>
      <w:bookmarkStart w:id="162" w:name="_Toc428370451"/>
      <w:bookmarkStart w:id="163" w:name="_Toc445801456"/>
      <w:bookmarkStart w:id="164" w:name="_Toc447527155"/>
      <w:bookmarkStart w:id="165" w:name="_Toc458409437"/>
      <w:bookmarkStart w:id="166" w:name="_Toc504249899"/>
      <w:bookmarkStart w:id="167" w:name="_Toc531258294"/>
      <w:r w:rsidRPr="00A119E8">
        <w:t xml:space="preserve">Figure </w:t>
      </w:r>
      <w:r>
        <w:t>13</w:t>
      </w:r>
      <w:r w:rsidRPr="00A119E8">
        <w:t xml:space="preserve">: Percentage of children caries-free at age five, Pacific </w:t>
      </w:r>
      <w:r>
        <w:t>peoples</w:t>
      </w:r>
      <w:r w:rsidRPr="00A119E8">
        <w:t xml:space="preserve"> and total </w:t>
      </w:r>
      <w:r>
        <w:t>New Zealand population</w:t>
      </w:r>
      <w:r w:rsidRPr="00A119E8">
        <w:t>, 2007–201</w:t>
      </w:r>
      <w:bookmarkEnd w:id="161"/>
      <w:bookmarkEnd w:id="162"/>
      <w:bookmarkEnd w:id="163"/>
      <w:bookmarkEnd w:id="164"/>
      <w:bookmarkEnd w:id="165"/>
      <w:r>
        <w:t>5</w:t>
      </w:r>
      <w:bookmarkEnd w:id="166"/>
      <w:bookmarkEnd w:id="167"/>
    </w:p>
    <w:p w14:paraId="6F0D8D70" w14:textId="77777777" w:rsidR="002601C2" w:rsidRDefault="002601C2" w:rsidP="002601C2">
      <w:r>
        <w:rPr>
          <w:noProof/>
          <w:lang w:eastAsia="ja-JP"/>
        </w:rPr>
        <w:drawing>
          <wp:inline distT="0" distB="0" distL="0" distR="0" wp14:anchorId="25B226D6" wp14:editId="3E88B4DC">
            <wp:extent cx="4680066" cy="2635135"/>
            <wp:effectExtent l="0" t="0" r="25400" b="13335"/>
            <wp:docPr id="216" name="Chart 216" title="Figure 13: Percentage of children caries-free at age five, Pacific peoples and total New Zealand population,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5F7E710" w14:textId="77777777" w:rsidR="002601C2" w:rsidRPr="00FE2D93" w:rsidRDefault="002601C2" w:rsidP="006518FE">
      <w:pPr>
        <w:pStyle w:val="Source"/>
      </w:pPr>
      <w:r w:rsidRPr="00FE2D93">
        <w:t xml:space="preserve">Source: DHB reporting against the </w:t>
      </w:r>
      <w:r>
        <w:t>COHS</w:t>
      </w:r>
    </w:p>
    <w:p w14:paraId="426847E0" w14:textId="77777777" w:rsidR="002601C2" w:rsidRDefault="002601C2" w:rsidP="006518FE">
      <w:bookmarkStart w:id="168" w:name="_Toc428368074"/>
      <w:bookmarkStart w:id="169" w:name="_Toc428370452"/>
      <w:bookmarkStart w:id="170" w:name="_Toc445801457"/>
      <w:bookmarkStart w:id="171" w:name="_Toc447527156"/>
      <w:bookmarkStart w:id="172" w:name="_Toc458409438"/>
    </w:p>
    <w:p w14:paraId="359A27FB" w14:textId="77777777" w:rsidR="002601C2" w:rsidRDefault="002601C2" w:rsidP="006518FE">
      <w:pPr>
        <w:pStyle w:val="Figure"/>
      </w:pPr>
      <w:bookmarkStart w:id="173" w:name="_Toc504249900"/>
      <w:bookmarkStart w:id="174" w:name="_Toc531258295"/>
      <w:r w:rsidRPr="00A119E8">
        <w:t xml:space="preserve">Figure </w:t>
      </w:r>
      <w:r>
        <w:t>14A</w:t>
      </w:r>
      <w:r w:rsidRPr="00A119E8">
        <w:t xml:space="preserve">: Percentage of children caries-free at age five, Pacific peoples, </w:t>
      </w:r>
      <w:r>
        <w:t xml:space="preserve">Auckland region </w:t>
      </w:r>
      <w:r w:rsidRPr="00A119E8">
        <w:t>DHBs, 2007–201</w:t>
      </w:r>
      <w:bookmarkEnd w:id="168"/>
      <w:bookmarkEnd w:id="169"/>
      <w:bookmarkEnd w:id="170"/>
      <w:bookmarkEnd w:id="171"/>
      <w:bookmarkEnd w:id="172"/>
      <w:r>
        <w:t>5</w:t>
      </w:r>
      <w:bookmarkEnd w:id="173"/>
      <w:bookmarkEnd w:id="174"/>
    </w:p>
    <w:p w14:paraId="75FC8639" w14:textId="77777777" w:rsidR="002F7222" w:rsidRDefault="002601C2" w:rsidP="002601C2">
      <w:pPr>
        <w:rPr>
          <w:noProof/>
          <w:lang w:eastAsia="en-NZ"/>
        </w:rPr>
      </w:pPr>
      <w:r>
        <w:rPr>
          <w:noProof/>
          <w:lang w:eastAsia="ja-JP"/>
        </w:rPr>
        <w:drawing>
          <wp:inline distT="0" distB="0" distL="0" distR="0" wp14:anchorId="1D8F42F3" wp14:editId="1C0834C1">
            <wp:extent cx="4680066" cy="2626822"/>
            <wp:effectExtent l="0" t="0" r="6350" b="2540"/>
            <wp:docPr id="218" name="Chart 218" title="Figure 14A: Percentage of children caries-free at age five, Pacific peoples, Auckland region DHBs,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3B621D4" w14:textId="77777777" w:rsidR="002601C2" w:rsidRPr="00520088" w:rsidRDefault="002601C2" w:rsidP="006518FE">
      <w:pPr>
        <w:pStyle w:val="Source"/>
      </w:pPr>
      <w:r w:rsidRPr="00520088">
        <w:t xml:space="preserve">Source: DHB reporting against the </w:t>
      </w:r>
      <w:r>
        <w:t>COHS</w:t>
      </w:r>
    </w:p>
    <w:p w14:paraId="2D3CBC3A" w14:textId="77777777" w:rsidR="002601C2" w:rsidRDefault="002601C2" w:rsidP="006518FE"/>
    <w:p w14:paraId="0E0DBA71" w14:textId="77777777" w:rsidR="002601C2" w:rsidRDefault="002601C2" w:rsidP="006518FE">
      <w:pPr>
        <w:pStyle w:val="Figure"/>
      </w:pPr>
      <w:bookmarkStart w:id="175" w:name="_Toc504249901"/>
      <w:bookmarkStart w:id="176" w:name="_Toc531258296"/>
      <w:r w:rsidRPr="00A119E8">
        <w:lastRenderedPageBreak/>
        <w:t xml:space="preserve">Figure </w:t>
      </w:r>
      <w:r>
        <w:t>14B</w:t>
      </w:r>
      <w:r w:rsidRPr="00A119E8">
        <w:t>: Percentage of children caries-fre</w:t>
      </w:r>
      <w:r>
        <w:t xml:space="preserve">e at age five, Pacific peoples, priority </w:t>
      </w:r>
      <w:r w:rsidRPr="00A119E8">
        <w:t>DHBs</w:t>
      </w:r>
      <w:r>
        <w:t xml:space="preserve"> outside the Auckland region</w:t>
      </w:r>
      <w:r w:rsidRPr="00A119E8">
        <w:t>, 2007–201</w:t>
      </w:r>
      <w:r>
        <w:t>5</w:t>
      </w:r>
      <w:bookmarkEnd w:id="175"/>
      <w:bookmarkEnd w:id="176"/>
    </w:p>
    <w:p w14:paraId="3FB62B76" w14:textId="77777777" w:rsidR="001B061B" w:rsidRDefault="002601C2" w:rsidP="001B061B">
      <w:r>
        <w:rPr>
          <w:noProof/>
          <w:lang w:eastAsia="ja-JP"/>
        </w:rPr>
        <w:drawing>
          <wp:inline distT="0" distB="0" distL="0" distR="0" wp14:anchorId="01DC86BD" wp14:editId="0429C419">
            <wp:extent cx="4696690" cy="2651760"/>
            <wp:effectExtent l="0" t="0" r="8890" b="0"/>
            <wp:docPr id="219" name="Chart 219" title="Figure 14B: Percentage of children caries-free at age five, Pacific peoples, priority DHBs outside the Auckland region,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AAE205D" w14:textId="77777777" w:rsidR="002601C2" w:rsidRDefault="002601C2" w:rsidP="001B061B">
      <w:pPr>
        <w:pStyle w:val="Source"/>
      </w:pPr>
      <w:r w:rsidRPr="00520088">
        <w:t xml:space="preserve">Source: DHB reporting against the </w:t>
      </w:r>
      <w:r>
        <w:t>COHS</w:t>
      </w:r>
    </w:p>
    <w:p w14:paraId="151C691A" w14:textId="77777777" w:rsidR="006518FE" w:rsidRDefault="006518FE" w:rsidP="006518FE">
      <w:pPr>
        <w:rPr>
          <w:highlight w:val="yellow"/>
        </w:rPr>
      </w:pPr>
    </w:p>
    <w:p w14:paraId="7DF8D1B3" w14:textId="77777777" w:rsidR="006518FE" w:rsidRDefault="006518FE" w:rsidP="006518FE">
      <w:pPr>
        <w:pStyle w:val="Note"/>
        <w:ind w:left="0" w:right="0" w:firstLine="0"/>
      </w:pPr>
      <w:r w:rsidRPr="00A11460">
        <w:t>Notes</w:t>
      </w:r>
    </w:p>
    <w:p w14:paraId="4D91B644" w14:textId="77777777" w:rsidR="006518FE" w:rsidRPr="006518FE" w:rsidRDefault="006518FE" w:rsidP="006518FE">
      <w:pPr>
        <w:pStyle w:val="Note"/>
        <w:ind w:left="0" w:right="0" w:firstLine="0"/>
        <w:rPr>
          <w:b/>
        </w:rPr>
      </w:pPr>
      <w:r w:rsidRPr="006518FE">
        <w:rPr>
          <w:b/>
        </w:rPr>
        <w:t>Figures 13, 14A and 14B:</w:t>
      </w:r>
    </w:p>
    <w:p w14:paraId="6A0A1A74" w14:textId="77777777" w:rsidR="006518FE" w:rsidRPr="00FE2D93" w:rsidRDefault="006518FE" w:rsidP="006518FE">
      <w:pPr>
        <w:pStyle w:val="Note"/>
        <w:ind w:left="0" w:right="0" w:firstLine="0"/>
      </w:pPr>
      <w:r w:rsidRPr="00FE2D93">
        <w:t>Time period: this data reflects a calendar year: 1 January</w:t>
      </w:r>
      <w:r>
        <w:t>–</w:t>
      </w:r>
      <w:r w:rsidRPr="00FE2D93">
        <w:t>31 December.</w:t>
      </w:r>
    </w:p>
    <w:p w14:paraId="20A5C67C" w14:textId="77777777" w:rsidR="006518FE" w:rsidRPr="00FE2D93" w:rsidRDefault="006518FE" w:rsidP="006518FE">
      <w:pPr>
        <w:pStyle w:val="Note"/>
        <w:ind w:left="0" w:right="0" w:firstLine="0"/>
      </w:pPr>
      <w:r w:rsidRPr="00FE2D93">
        <w:t xml:space="preserve">Numerator: </w:t>
      </w:r>
      <w:r>
        <w:t xml:space="preserve">the </w:t>
      </w:r>
      <w:r w:rsidRPr="00FE2D93">
        <w:t>number of children</w:t>
      </w:r>
      <w:r>
        <w:t xml:space="preserve"> </w:t>
      </w:r>
      <w:r w:rsidRPr="00FE2D93">
        <w:t xml:space="preserve">with no dental caries </w:t>
      </w:r>
      <w:r>
        <w:t>who were five years old at the time of examination with the COHS. Source: DHB reporting.</w:t>
      </w:r>
    </w:p>
    <w:p w14:paraId="12BC3D92" w14:textId="77777777" w:rsidR="006518FE" w:rsidRDefault="006518FE" w:rsidP="006518FE">
      <w:pPr>
        <w:pStyle w:val="Note"/>
        <w:ind w:left="0" w:right="0" w:firstLine="0"/>
      </w:pPr>
      <w:r w:rsidRPr="00FE2D93">
        <w:t xml:space="preserve">Denominator: </w:t>
      </w:r>
      <w:r>
        <w:t xml:space="preserve">the </w:t>
      </w:r>
      <w:r w:rsidRPr="00FE2D93">
        <w:t xml:space="preserve">number of children </w:t>
      </w:r>
      <w:r>
        <w:t xml:space="preserve">who were five years old at the time of examination with </w:t>
      </w:r>
      <w:r w:rsidRPr="00FE2D93">
        <w:t xml:space="preserve">the </w:t>
      </w:r>
      <w:r>
        <w:t>COHS. Source: DHB reporting.</w:t>
      </w:r>
    </w:p>
    <w:p w14:paraId="5A92B832" w14:textId="77777777" w:rsidR="006518FE" w:rsidRPr="00F334E5" w:rsidRDefault="006518FE" w:rsidP="006518FE">
      <w:pPr>
        <w:pStyle w:val="Note"/>
        <w:ind w:left="0" w:right="0" w:firstLine="0"/>
      </w:pPr>
      <w:r>
        <w:t>The high level of variability in the DHB data, especially for those DHBs outside of the Auckland region, is largely due to the small number of five-year-old Pacific children in each DHB (see Table 6).</w:t>
      </w:r>
    </w:p>
    <w:p w14:paraId="49B12BCF" w14:textId="77777777" w:rsidR="006518FE" w:rsidRPr="00FE2D93" w:rsidRDefault="006518FE" w:rsidP="006518FE">
      <w:pPr>
        <w:pStyle w:val="Note"/>
        <w:ind w:left="0" w:right="0" w:firstLine="0"/>
      </w:pPr>
      <w:r>
        <w:t>The latest data for this indicator is from 2015.</w:t>
      </w:r>
    </w:p>
    <w:p w14:paraId="2CEA6F47" w14:textId="77777777" w:rsidR="002601C2" w:rsidRDefault="002601C2" w:rsidP="006518FE"/>
    <w:p w14:paraId="38BBD0C8" w14:textId="77777777" w:rsidR="002601C2" w:rsidRDefault="002601C2" w:rsidP="006518FE">
      <w:pPr>
        <w:pStyle w:val="Table"/>
      </w:pPr>
      <w:bookmarkStart w:id="177" w:name="_Toc531258264"/>
      <w:r>
        <w:t>Table 6</w:t>
      </w:r>
      <w:r w:rsidRPr="00A119E8">
        <w:t xml:space="preserve">: </w:t>
      </w:r>
      <w:r>
        <w:t>Number and p</w:t>
      </w:r>
      <w:r w:rsidRPr="00A119E8">
        <w:t>ercentage of children caries-fre</w:t>
      </w:r>
      <w:r>
        <w:t xml:space="preserve">e at age five, Pacific peoples, priority </w:t>
      </w:r>
      <w:r w:rsidRPr="00A119E8">
        <w:t>DHBs</w:t>
      </w:r>
      <w:r>
        <w:t>, 1 January–30 December 2015</w:t>
      </w:r>
      <w:bookmarkEnd w:id="177"/>
    </w:p>
    <w:tbl>
      <w:tblPr>
        <w:tblW w:w="0" w:type="auto"/>
        <w:tblInd w:w="57" w:type="dxa"/>
        <w:tblLayout w:type="fixed"/>
        <w:tblCellMar>
          <w:left w:w="57" w:type="dxa"/>
          <w:right w:w="57" w:type="dxa"/>
        </w:tblCellMar>
        <w:tblLook w:val="04A0" w:firstRow="1" w:lastRow="0" w:firstColumn="1" w:lastColumn="0" w:noHBand="0" w:noVBand="1"/>
      </w:tblPr>
      <w:tblGrid>
        <w:gridCol w:w="1560"/>
        <w:gridCol w:w="2268"/>
        <w:gridCol w:w="1842"/>
        <w:gridCol w:w="1843"/>
        <w:gridCol w:w="1843"/>
      </w:tblGrid>
      <w:tr w:rsidR="002601C2" w:rsidRPr="000C05FB" w14:paraId="42018860" w14:textId="77777777" w:rsidTr="006518FE">
        <w:trPr>
          <w:cantSplit/>
        </w:trPr>
        <w:tc>
          <w:tcPr>
            <w:tcW w:w="1560" w:type="dxa"/>
            <w:tcBorders>
              <w:top w:val="single" w:sz="4" w:space="0" w:color="auto"/>
              <w:bottom w:val="single" w:sz="4" w:space="0" w:color="auto"/>
            </w:tcBorders>
            <w:shd w:val="clear" w:color="auto" w:fill="auto"/>
            <w:hideMark/>
          </w:tcPr>
          <w:p w14:paraId="18456844" w14:textId="77777777" w:rsidR="002601C2" w:rsidRPr="000C05FB" w:rsidRDefault="002601C2" w:rsidP="006518FE">
            <w:pPr>
              <w:pStyle w:val="TableText"/>
            </w:pPr>
          </w:p>
        </w:tc>
        <w:tc>
          <w:tcPr>
            <w:tcW w:w="2268" w:type="dxa"/>
            <w:tcBorders>
              <w:top w:val="single" w:sz="4" w:space="0" w:color="auto"/>
              <w:bottom w:val="single" w:sz="4" w:space="0" w:color="auto"/>
            </w:tcBorders>
            <w:shd w:val="clear" w:color="auto" w:fill="auto"/>
            <w:hideMark/>
          </w:tcPr>
          <w:p w14:paraId="39BDC9DA" w14:textId="77777777" w:rsidR="002601C2" w:rsidRPr="000C05FB" w:rsidRDefault="002601C2" w:rsidP="006518FE">
            <w:pPr>
              <w:pStyle w:val="TableText"/>
              <w:rPr>
                <w:b/>
              </w:rPr>
            </w:pPr>
            <w:r w:rsidRPr="000C05FB">
              <w:rPr>
                <w:b/>
              </w:rPr>
              <w:t>Region</w:t>
            </w:r>
          </w:p>
        </w:tc>
        <w:tc>
          <w:tcPr>
            <w:tcW w:w="1842" w:type="dxa"/>
            <w:tcBorders>
              <w:top w:val="single" w:sz="4" w:space="0" w:color="auto"/>
              <w:bottom w:val="single" w:sz="4" w:space="0" w:color="auto"/>
            </w:tcBorders>
          </w:tcPr>
          <w:p w14:paraId="40F57F2C" w14:textId="77777777" w:rsidR="002601C2" w:rsidRPr="000C05FB" w:rsidRDefault="002601C2" w:rsidP="006518FE">
            <w:pPr>
              <w:pStyle w:val="TableText"/>
              <w:jc w:val="center"/>
              <w:rPr>
                <w:b/>
              </w:rPr>
            </w:pPr>
            <w:r>
              <w:rPr>
                <w:b/>
              </w:rPr>
              <w:t>Number</w:t>
            </w:r>
            <w:r w:rsidRPr="000C05FB">
              <w:rPr>
                <w:b/>
              </w:rPr>
              <w:t xml:space="preserve"> caries-free</w:t>
            </w:r>
            <w:r>
              <w:rPr>
                <w:b/>
              </w:rPr>
              <w:t xml:space="preserve"> (count)</w:t>
            </w:r>
          </w:p>
        </w:tc>
        <w:tc>
          <w:tcPr>
            <w:tcW w:w="1843" w:type="dxa"/>
            <w:tcBorders>
              <w:top w:val="single" w:sz="4" w:space="0" w:color="auto"/>
              <w:bottom w:val="single" w:sz="4" w:space="0" w:color="auto"/>
            </w:tcBorders>
            <w:shd w:val="clear" w:color="auto" w:fill="auto"/>
            <w:hideMark/>
          </w:tcPr>
          <w:p w14:paraId="251C7FB2" w14:textId="77777777" w:rsidR="002601C2" w:rsidRPr="000C05FB" w:rsidRDefault="002601C2" w:rsidP="006518FE">
            <w:pPr>
              <w:pStyle w:val="TableText"/>
              <w:jc w:val="center"/>
              <w:rPr>
                <w:b/>
              </w:rPr>
            </w:pPr>
            <w:r>
              <w:rPr>
                <w:b/>
              </w:rPr>
              <w:t>Number</w:t>
            </w:r>
            <w:r w:rsidRPr="000C05FB">
              <w:rPr>
                <w:b/>
              </w:rPr>
              <w:t xml:space="preserve"> examined</w:t>
            </w:r>
            <w:r>
              <w:rPr>
                <w:b/>
              </w:rPr>
              <w:t xml:space="preserve"> (count)</w:t>
            </w:r>
          </w:p>
        </w:tc>
        <w:tc>
          <w:tcPr>
            <w:tcW w:w="1843" w:type="dxa"/>
            <w:tcBorders>
              <w:top w:val="single" w:sz="4" w:space="0" w:color="auto"/>
              <w:bottom w:val="single" w:sz="4" w:space="0" w:color="auto"/>
            </w:tcBorders>
            <w:shd w:val="clear" w:color="auto" w:fill="auto"/>
            <w:hideMark/>
          </w:tcPr>
          <w:p w14:paraId="515B98CB" w14:textId="77777777" w:rsidR="002601C2" w:rsidRPr="000C05FB" w:rsidRDefault="002601C2" w:rsidP="006518FE">
            <w:pPr>
              <w:pStyle w:val="TableText"/>
              <w:jc w:val="center"/>
              <w:rPr>
                <w:b/>
              </w:rPr>
            </w:pPr>
            <w:r w:rsidRPr="000C05FB">
              <w:rPr>
                <w:b/>
              </w:rPr>
              <w:t>Percentage caries-free</w:t>
            </w:r>
          </w:p>
        </w:tc>
      </w:tr>
      <w:tr w:rsidR="002601C2" w:rsidRPr="000C05FB" w14:paraId="569C4223" w14:textId="77777777" w:rsidTr="006518FE">
        <w:trPr>
          <w:cantSplit/>
        </w:trPr>
        <w:tc>
          <w:tcPr>
            <w:tcW w:w="1560" w:type="dxa"/>
            <w:vMerge w:val="restart"/>
            <w:tcBorders>
              <w:top w:val="single" w:sz="4" w:space="0" w:color="auto"/>
              <w:bottom w:val="single" w:sz="4" w:space="0" w:color="auto"/>
            </w:tcBorders>
            <w:shd w:val="clear" w:color="auto" w:fill="auto"/>
            <w:hideMark/>
          </w:tcPr>
          <w:p w14:paraId="4FD9A28A" w14:textId="77777777" w:rsidR="002601C2" w:rsidRPr="000C05FB" w:rsidRDefault="002601C2" w:rsidP="006518FE">
            <w:pPr>
              <w:pStyle w:val="TableText"/>
            </w:pPr>
            <w:r w:rsidRPr="000C05FB">
              <w:t>Auckland region</w:t>
            </w:r>
          </w:p>
        </w:tc>
        <w:tc>
          <w:tcPr>
            <w:tcW w:w="2268" w:type="dxa"/>
            <w:tcBorders>
              <w:top w:val="single" w:sz="4" w:space="0" w:color="auto"/>
              <w:bottom w:val="single" w:sz="4" w:space="0" w:color="9BBB59" w:themeColor="accent3"/>
            </w:tcBorders>
            <w:shd w:val="clear" w:color="auto" w:fill="auto"/>
            <w:hideMark/>
          </w:tcPr>
          <w:p w14:paraId="6B3D75E7" w14:textId="77777777" w:rsidR="002601C2" w:rsidRPr="000C05FB" w:rsidRDefault="002601C2" w:rsidP="006518FE">
            <w:pPr>
              <w:pStyle w:val="TableText"/>
            </w:pPr>
            <w:r w:rsidRPr="000C05FB">
              <w:t>Counties Manukau</w:t>
            </w:r>
          </w:p>
        </w:tc>
        <w:tc>
          <w:tcPr>
            <w:tcW w:w="1842" w:type="dxa"/>
            <w:tcBorders>
              <w:top w:val="single" w:sz="4" w:space="0" w:color="auto"/>
              <w:bottom w:val="single" w:sz="4" w:space="0" w:color="9BBB59" w:themeColor="accent3"/>
            </w:tcBorders>
          </w:tcPr>
          <w:p w14:paraId="2FE0FCBB" w14:textId="77777777" w:rsidR="002601C2" w:rsidRPr="000C05FB" w:rsidRDefault="002601C2" w:rsidP="006518FE">
            <w:pPr>
              <w:pStyle w:val="TableText"/>
              <w:tabs>
                <w:tab w:val="decimal" w:pos="1077"/>
              </w:tabs>
            </w:pPr>
            <w:r w:rsidRPr="000C05FB">
              <w:t>456</w:t>
            </w:r>
          </w:p>
        </w:tc>
        <w:tc>
          <w:tcPr>
            <w:tcW w:w="1843" w:type="dxa"/>
            <w:tcBorders>
              <w:top w:val="single" w:sz="4" w:space="0" w:color="auto"/>
              <w:bottom w:val="single" w:sz="4" w:space="0" w:color="9BBB59" w:themeColor="accent3"/>
            </w:tcBorders>
            <w:shd w:val="clear" w:color="auto" w:fill="auto"/>
            <w:hideMark/>
          </w:tcPr>
          <w:p w14:paraId="654C554B" w14:textId="77777777" w:rsidR="002601C2" w:rsidRPr="000C05FB" w:rsidRDefault="002601C2" w:rsidP="006518FE">
            <w:pPr>
              <w:pStyle w:val="TableText"/>
              <w:tabs>
                <w:tab w:val="decimal" w:pos="1077"/>
              </w:tabs>
            </w:pPr>
            <w:r w:rsidRPr="000C05FB">
              <w:t>1,531</w:t>
            </w:r>
          </w:p>
        </w:tc>
        <w:tc>
          <w:tcPr>
            <w:tcW w:w="1843" w:type="dxa"/>
            <w:tcBorders>
              <w:top w:val="single" w:sz="4" w:space="0" w:color="auto"/>
              <w:bottom w:val="single" w:sz="4" w:space="0" w:color="9BBB59" w:themeColor="accent3"/>
            </w:tcBorders>
            <w:shd w:val="clear" w:color="auto" w:fill="auto"/>
            <w:noWrap/>
            <w:hideMark/>
          </w:tcPr>
          <w:p w14:paraId="3C710366" w14:textId="77777777" w:rsidR="002601C2" w:rsidRPr="000C05FB" w:rsidRDefault="002601C2" w:rsidP="006518FE">
            <w:pPr>
              <w:pStyle w:val="TableText"/>
              <w:jc w:val="center"/>
            </w:pPr>
            <w:r w:rsidRPr="000C05FB">
              <w:t>30%</w:t>
            </w:r>
          </w:p>
        </w:tc>
      </w:tr>
      <w:tr w:rsidR="002601C2" w:rsidRPr="000C05FB" w14:paraId="03053079" w14:textId="77777777" w:rsidTr="006518FE">
        <w:trPr>
          <w:cantSplit/>
        </w:trPr>
        <w:tc>
          <w:tcPr>
            <w:tcW w:w="1560" w:type="dxa"/>
            <w:vMerge/>
            <w:tcBorders>
              <w:top w:val="single" w:sz="4" w:space="0" w:color="auto"/>
              <w:bottom w:val="single" w:sz="4" w:space="0" w:color="auto"/>
            </w:tcBorders>
            <w:hideMark/>
          </w:tcPr>
          <w:p w14:paraId="43A209A3" w14:textId="77777777" w:rsidR="002601C2" w:rsidRPr="000C05FB" w:rsidRDefault="002601C2" w:rsidP="006518FE">
            <w:pPr>
              <w:pStyle w:val="TableText"/>
            </w:pPr>
          </w:p>
        </w:tc>
        <w:tc>
          <w:tcPr>
            <w:tcW w:w="2268" w:type="dxa"/>
            <w:tcBorders>
              <w:top w:val="single" w:sz="4" w:space="0" w:color="9BBB59" w:themeColor="accent3"/>
              <w:bottom w:val="single" w:sz="4" w:space="0" w:color="9BBB59" w:themeColor="accent3"/>
            </w:tcBorders>
            <w:shd w:val="clear" w:color="auto" w:fill="auto"/>
            <w:hideMark/>
          </w:tcPr>
          <w:p w14:paraId="3A5892A6" w14:textId="77777777" w:rsidR="002601C2" w:rsidRPr="000C05FB" w:rsidRDefault="002601C2" w:rsidP="006518FE">
            <w:pPr>
              <w:pStyle w:val="TableText"/>
            </w:pPr>
            <w:r w:rsidRPr="000C05FB">
              <w:t>Auckland</w:t>
            </w:r>
          </w:p>
        </w:tc>
        <w:tc>
          <w:tcPr>
            <w:tcW w:w="1842" w:type="dxa"/>
            <w:tcBorders>
              <w:top w:val="single" w:sz="4" w:space="0" w:color="9BBB59" w:themeColor="accent3"/>
              <w:bottom w:val="single" w:sz="4" w:space="0" w:color="9BBB59" w:themeColor="accent3"/>
            </w:tcBorders>
          </w:tcPr>
          <w:p w14:paraId="72FEBB60" w14:textId="77777777" w:rsidR="002601C2" w:rsidRPr="000C05FB" w:rsidRDefault="002601C2" w:rsidP="006518FE">
            <w:pPr>
              <w:pStyle w:val="TableText"/>
              <w:tabs>
                <w:tab w:val="decimal" w:pos="1077"/>
              </w:tabs>
            </w:pPr>
            <w:r w:rsidRPr="000C05FB">
              <w:t>194</w:t>
            </w:r>
          </w:p>
        </w:tc>
        <w:tc>
          <w:tcPr>
            <w:tcW w:w="1843" w:type="dxa"/>
            <w:tcBorders>
              <w:top w:val="single" w:sz="4" w:space="0" w:color="9BBB59" w:themeColor="accent3"/>
              <w:bottom w:val="single" w:sz="4" w:space="0" w:color="9BBB59" w:themeColor="accent3"/>
            </w:tcBorders>
            <w:shd w:val="clear" w:color="auto" w:fill="auto"/>
            <w:hideMark/>
          </w:tcPr>
          <w:p w14:paraId="3167403F" w14:textId="77777777" w:rsidR="002601C2" w:rsidRPr="000C05FB" w:rsidRDefault="002601C2" w:rsidP="006518FE">
            <w:pPr>
              <w:pStyle w:val="TableText"/>
              <w:tabs>
                <w:tab w:val="decimal" w:pos="1077"/>
              </w:tabs>
            </w:pPr>
            <w:r w:rsidRPr="000C05FB">
              <w:t>691</w:t>
            </w:r>
          </w:p>
        </w:tc>
        <w:tc>
          <w:tcPr>
            <w:tcW w:w="1843" w:type="dxa"/>
            <w:tcBorders>
              <w:top w:val="single" w:sz="4" w:space="0" w:color="9BBB59" w:themeColor="accent3"/>
              <w:bottom w:val="single" w:sz="4" w:space="0" w:color="9BBB59" w:themeColor="accent3"/>
            </w:tcBorders>
            <w:shd w:val="clear" w:color="auto" w:fill="auto"/>
            <w:noWrap/>
            <w:hideMark/>
          </w:tcPr>
          <w:p w14:paraId="611879CA" w14:textId="77777777" w:rsidR="002601C2" w:rsidRPr="000C05FB" w:rsidRDefault="002601C2" w:rsidP="006518FE">
            <w:pPr>
              <w:pStyle w:val="TableText"/>
              <w:jc w:val="center"/>
            </w:pPr>
            <w:r w:rsidRPr="000C05FB">
              <w:t>28%</w:t>
            </w:r>
          </w:p>
        </w:tc>
      </w:tr>
      <w:tr w:rsidR="002601C2" w:rsidRPr="000C05FB" w14:paraId="3EBCCA7F" w14:textId="77777777" w:rsidTr="006518FE">
        <w:trPr>
          <w:cantSplit/>
        </w:trPr>
        <w:tc>
          <w:tcPr>
            <w:tcW w:w="1560" w:type="dxa"/>
            <w:vMerge/>
            <w:tcBorders>
              <w:top w:val="single" w:sz="4" w:space="0" w:color="auto"/>
              <w:bottom w:val="single" w:sz="4" w:space="0" w:color="auto"/>
            </w:tcBorders>
            <w:hideMark/>
          </w:tcPr>
          <w:p w14:paraId="79214F9F" w14:textId="77777777" w:rsidR="002601C2" w:rsidRPr="000C05FB" w:rsidRDefault="002601C2" w:rsidP="006518FE">
            <w:pPr>
              <w:pStyle w:val="TableText"/>
            </w:pPr>
          </w:p>
        </w:tc>
        <w:tc>
          <w:tcPr>
            <w:tcW w:w="2268" w:type="dxa"/>
            <w:tcBorders>
              <w:top w:val="single" w:sz="4" w:space="0" w:color="9BBB59" w:themeColor="accent3"/>
              <w:bottom w:val="single" w:sz="4" w:space="0" w:color="auto"/>
            </w:tcBorders>
            <w:shd w:val="clear" w:color="auto" w:fill="auto"/>
            <w:hideMark/>
          </w:tcPr>
          <w:p w14:paraId="0DF8736A" w14:textId="77777777" w:rsidR="002601C2" w:rsidRPr="000C05FB" w:rsidRDefault="002601C2" w:rsidP="006518FE">
            <w:pPr>
              <w:pStyle w:val="TableText"/>
            </w:pPr>
            <w:r w:rsidRPr="000C05FB">
              <w:t>Waitemata</w:t>
            </w:r>
          </w:p>
        </w:tc>
        <w:tc>
          <w:tcPr>
            <w:tcW w:w="1842" w:type="dxa"/>
            <w:tcBorders>
              <w:top w:val="single" w:sz="4" w:space="0" w:color="9BBB59" w:themeColor="accent3"/>
              <w:bottom w:val="single" w:sz="4" w:space="0" w:color="auto"/>
            </w:tcBorders>
          </w:tcPr>
          <w:p w14:paraId="0F705C3D" w14:textId="77777777" w:rsidR="002601C2" w:rsidRPr="000C05FB" w:rsidRDefault="002601C2" w:rsidP="006518FE">
            <w:pPr>
              <w:pStyle w:val="TableText"/>
              <w:tabs>
                <w:tab w:val="decimal" w:pos="1077"/>
              </w:tabs>
            </w:pPr>
            <w:r w:rsidRPr="000C05FB">
              <w:t>166</w:t>
            </w:r>
          </w:p>
        </w:tc>
        <w:tc>
          <w:tcPr>
            <w:tcW w:w="1843" w:type="dxa"/>
            <w:tcBorders>
              <w:top w:val="single" w:sz="4" w:space="0" w:color="9BBB59" w:themeColor="accent3"/>
              <w:bottom w:val="single" w:sz="4" w:space="0" w:color="auto"/>
            </w:tcBorders>
            <w:shd w:val="clear" w:color="auto" w:fill="auto"/>
            <w:hideMark/>
          </w:tcPr>
          <w:p w14:paraId="648F4283" w14:textId="77777777" w:rsidR="002601C2" w:rsidRPr="000C05FB" w:rsidRDefault="002601C2" w:rsidP="006518FE">
            <w:pPr>
              <w:pStyle w:val="TableText"/>
              <w:tabs>
                <w:tab w:val="decimal" w:pos="1077"/>
              </w:tabs>
            </w:pPr>
            <w:r w:rsidRPr="000C05FB">
              <w:t>440</w:t>
            </w:r>
          </w:p>
        </w:tc>
        <w:tc>
          <w:tcPr>
            <w:tcW w:w="1843" w:type="dxa"/>
            <w:tcBorders>
              <w:top w:val="single" w:sz="4" w:space="0" w:color="9BBB59" w:themeColor="accent3"/>
              <w:bottom w:val="single" w:sz="4" w:space="0" w:color="auto"/>
            </w:tcBorders>
            <w:shd w:val="clear" w:color="auto" w:fill="auto"/>
            <w:noWrap/>
            <w:hideMark/>
          </w:tcPr>
          <w:p w14:paraId="66F777D3" w14:textId="77777777" w:rsidR="002601C2" w:rsidRPr="000C05FB" w:rsidRDefault="002601C2" w:rsidP="006518FE">
            <w:pPr>
              <w:pStyle w:val="TableText"/>
              <w:jc w:val="center"/>
            </w:pPr>
            <w:r w:rsidRPr="000C05FB">
              <w:t>38%</w:t>
            </w:r>
          </w:p>
        </w:tc>
      </w:tr>
      <w:tr w:rsidR="002601C2" w:rsidRPr="000C05FB" w14:paraId="606F5EF8" w14:textId="77777777" w:rsidTr="006518FE">
        <w:trPr>
          <w:cantSplit/>
        </w:trPr>
        <w:tc>
          <w:tcPr>
            <w:tcW w:w="1560" w:type="dxa"/>
            <w:vMerge w:val="restart"/>
            <w:tcBorders>
              <w:top w:val="single" w:sz="4" w:space="0" w:color="auto"/>
              <w:bottom w:val="single" w:sz="4" w:space="0" w:color="auto"/>
            </w:tcBorders>
            <w:shd w:val="clear" w:color="auto" w:fill="auto"/>
            <w:hideMark/>
          </w:tcPr>
          <w:p w14:paraId="6BB132BD" w14:textId="77777777" w:rsidR="002601C2" w:rsidRPr="000C05FB" w:rsidRDefault="002601C2" w:rsidP="006518FE">
            <w:pPr>
              <w:pStyle w:val="TableText"/>
            </w:pPr>
            <w:r w:rsidRPr="000C05FB">
              <w:t>Rest of New Zealand</w:t>
            </w:r>
          </w:p>
        </w:tc>
        <w:tc>
          <w:tcPr>
            <w:tcW w:w="2268" w:type="dxa"/>
            <w:tcBorders>
              <w:top w:val="single" w:sz="4" w:space="0" w:color="auto"/>
              <w:bottom w:val="single" w:sz="4" w:space="0" w:color="9BBB59" w:themeColor="accent3"/>
            </w:tcBorders>
            <w:shd w:val="clear" w:color="auto" w:fill="auto"/>
            <w:hideMark/>
          </w:tcPr>
          <w:p w14:paraId="07F47D3E" w14:textId="77777777" w:rsidR="002601C2" w:rsidRPr="000C05FB" w:rsidRDefault="002601C2" w:rsidP="006518FE">
            <w:pPr>
              <w:pStyle w:val="TableText"/>
            </w:pPr>
            <w:r w:rsidRPr="000C05FB">
              <w:t>Capital &amp; Coast</w:t>
            </w:r>
          </w:p>
        </w:tc>
        <w:tc>
          <w:tcPr>
            <w:tcW w:w="1842" w:type="dxa"/>
            <w:tcBorders>
              <w:top w:val="single" w:sz="4" w:space="0" w:color="auto"/>
              <w:bottom w:val="single" w:sz="4" w:space="0" w:color="9BBB59" w:themeColor="accent3"/>
            </w:tcBorders>
          </w:tcPr>
          <w:p w14:paraId="49755B4F" w14:textId="77777777" w:rsidR="002601C2" w:rsidRPr="000C05FB" w:rsidRDefault="002601C2" w:rsidP="006518FE">
            <w:pPr>
              <w:pStyle w:val="TableText"/>
              <w:tabs>
                <w:tab w:val="decimal" w:pos="1077"/>
              </w:tabs>
            </w:pPr>
            <w:r w:rsidRPr="000C05FB">
              <w:t>124</w:t>
            </w:r>
          </w:p>
        </w:tc>
        <w:tc>
          <w:tcPr>
            <w:tcW w:w="1843" w:type="dxa"/>
            <w:tcBorders>
              <w:top w:val="single" w:sz="4" w:space="0" w:color="auto"/>
              <w:bottom w:val="single" w:sz="4" w:space="0" w:color="9BBB59" w:themeColor="accent3"/>
            </w:tcBorders>
            <w:shd w:val="clear" w:color="auto" w:fill="auto"/>
            <w:hideMark/>
          </w:tcPr>
          <w:p w14:paraId="363CD0D9" w14:textId="77777777" w:rsidR="002601C2" w:rsidRPr="000C05FB" w:rsidRDefault="002601C2" w:rsidP="006518FE">
            <w:pPr>
              <w:pStyle w:val="TableText"/>
              <w:tabs>
                <w:tab w:val="decimal" w:pos="1077"/>
              </w:tabs>
            </w:pPr>
            <w:r w:rsidRPr="000C05FB">
              <w:t>303</w:t>
            </w:r>
          </w:p>
        </w:tc>
        <w:tc>
          <w:tcPr>
            <w:tcW w:w="1843" w:type="dxa"/>
            <w:tcBorders>
              <w:top w:val="single" w:sz="4" w:space="0" w:color="auto"/>
              <w:bottom w:val="single" w:sz="4" w:space="0" w:color="9BBB59" w:themeColor="accent3"/>
            </w:tcBorders>
            <w:shd w:val="clear" w:color="auto" w:fill="auto"/>
            <w:noWrap/>
            <w:hideMark/>
          </w:tcPr>
          <w:p w14:paraId="5624E4EE" w14:textId="77777777" w:rsidR="002601C2" w:rsidRPr="000C05FB" w:rsidRDefault="002601C2" w:rsidP="006518FE">
            <w:pPr>
              <w:pStyle w:val="TableText"/>
              <w:jc w:val="center"/>
            </w:pPr>
            <w:r w:rsidRPr="000C05FB">
              <w:t>41%</w:t>
            </w:r>
          </w:p>
        </w:tc>
      </w:tr>
      <w:tr w:rsidR="002601C2" w:rsidRPr="000C05FB" w14:paraId="02EF6F68" w14:textId="77777777" w:rsidTr="006518FE">
        <w:trPr>
          <w:cantSplit/>
        </w:trPr>
        <w:tc>
          <w:tcPr>
            <w:tcW w:w="1560" w:type="dxa"/>
            <w:vMerge/>
            <w:tcBorders>
              <w:top w:val="single" w:sz="4" w:space="0" w:color="auto"/>
              <w:bottom w:val="single" w:sz="4" w:space="0" w:color="auto"/>
            </w:tcBorders>
            <w:hideMark/>
          </w:tcPr>
          <w:p w14:paraId="2B9B2823" w14:textId="77777777" w:rsidR="002601C2" w:rsidRPr="000C05FB" w:rsidRDefault="002601C2" w:rsidP="006518FE">
            <w:pPr>
              <w:pStyle w:val="TableText"/>
            </w:pPr>
          </w:p>
        </w:tc>
        <w:tc>
          <w:tcPr>
            <w:tcW w:w="2268" w:type="dxa"/>
            <w:tcBorders>
              <w:top w:val="single" w:sz="4" w:space="0" w:color="9BBB59" w:themeColor="accent3"/>
              <w:bottom w:val="single" w:sz="4" w:space="0" w:color="9BBB59" w:themeColor="accent3"/>
            </w:tcBorders>
            <w:shd w:val="clear" w:color="auto" w:fill="auto"/>
            <w:hideMark/>
          </w:tcPr>
          <w:p w14:paraId="7A5F8A99" w14:textId="77777777" w:rsidR="002601C2" w:rsidRPr="000C05FB" w:rsidRDefault="002601C2" w:rsidP="006518FE">
            <w:pPr>
              <w:pStyle w:val="TableText"/>
            </w:pPr>
            <w:r w:rsidRPr="000C05FB">
              <w:t>Canterbury</w:t>
            </w:r>
          </w:p>
        </w:tc>
        <w:tc>
          <w:tcPr>
            <w:tcW w:w="1842" w:type="dxa"/>
            <w:tcBorders>
              <w:top w:val="single" w:sz="4" w:space="0" w:color="9BBB59" w:themeColor="accent3"/>
              <w:bottom w:val="single" w:sz="4" w:space="0" w:color="9BBB59" w:themeColor="accent3"/>
            </w:tcBorders>
          </w:tcPr>
          <w:p w14:paraId="3E54FF27" w14:textId="77777777" w:rsidR="002601C2" w:rsidRPr="000C05FB" w:rsidRDefault="002601C2" w:rsidP="006518FE">
            <w:pPr>
              <w:pStyle w:val="TableText"/>
              <w:tabs>
                <w:tab w:val="decimal" w:pos="1077"/>
              </w:tabs>
            </w:pPr>
            <w:r w:rsidRPr="000C05FB">
              <w:t>100</w:t>
            </w:r>
          </w:p>
        </w:tc>
        <w:tc>
          <w:tcPr>
            <w:tcW w:w="1843" w:type="dxa"/>
            <w:tcBorders>
              <w:top w:val="single" w:sz="4" w:space="0" w:color="9BBB59" w:themeColor="accent3"/>
              <w:bottom w:val="single" w:sz="4" w:space="0" w:color="9BBB59" w:themeColor="accent3"/>
            </w:tcBorders>
            <w:shd w:val="clear" w:color="auto" w:fill="auto"/>
            <w:hideMark/>
          </w:tcPr>
          <w:p w14:paraId="5DCD407A" w14:textId="77777777" w:rsidR="002601C2" w:rsidRPr="000C05FB" w:rsidRDefault="002601C2" w:rsidP="006518FE">
            <w:pPr>
              <w:pStyle w:val="TableText"/>
              <w:tabs>
                <w:tab w:val="decimal" w:pos="1077"/>
              </w:tabs>
            </w:pPr>
            <w:r w:rsidRPr="000C05FB">
              <w:t>265</w:t>
            </w:r>
          </w:p>
        </w:tc>
        <w:tc>
          <w:tcPr>
            <w:tcW w:w="1843" w:type="dxa"/>
            <w:tcBorders>
              <w:top w:val="single" w:sz="4" w:space="0" w:color="9BBB59" w:themeColor="accent3"/>
              <w:bottom w:val="single" w:sz="4" w:space="0" w:color="9BBB59" w:themeColor="accent3"/>
            </w:tcBorders>
            <w:shd w:val="clear" w:color="auto" w:fill="auto"/>
            <w:noWrap/>
            <w:hideMark/>
          </w:tcPr>
          <w:p w14:paraId="262F62D6" w14:textId="77777777" w:rsidR="002601C2" w:rsidRPr="000C05FB" w:rsidRDefault="002601C2" w:rsidP="006518FE">
            <w:pPr>
              <w:pStyle w:val="TableText"/>
              <w:jc w:val="center"/>
            </w:pPr>
            <w:r w:rsidRPr="000C05FB">
              <w:t>38%</w:t>
            </w:r>
          </w:p>
        </w:tc>
      </w:tr>
      <w:tr w:rsidR="002601C2" w:rsidRPr="000C05FB" w14:paraId="58AF2453" w14:textId="77777777" w:rsidTr="006518FE">
        <w:trPr>
          <w:cantSplit/>
        </w:trPr>
        <w:tc>
          <w:tcPr>
            <w:tcW w:w="1560" w:type="dxa"/>
            <w:vMerge/>
            <w:tcBorders>
              <w:top w:val="single" w:sz="4" w:space="0" w:color="auto"/>
              <w:bottom w:val="single" w:sz="4" w:space="0" w:color="auto"/>
            </w:tcBorders>
            <w:hideMark/>
          </w:tcPr>
          <w:p w14:paraId="36919D15" w14:textId="77777777" w:rsidR="002601C2" w:rsidRPr="000C05FB" w:rsidRDefault="002601C2" w:rsidP="006518FE">
            <w:pPr>
              <w:pStyle w:val="TableText"/>
            </w:pPr>
          </w:p>
        </w:tc>
        <w:tc>
          <w:tcPr>
            <w:tcW w:w="2268" w:type="dxa"/>
            <w:tcBorders>
              <w:top w:val="single" w:sz="4" w:space="0" w:color="9BBB59" w:themeColor="accent3"/>
              <w:bottom w:val="single" w:sz="4" w:space="0" w:color="9BBB59" w:themeColor="accent3"/>
            </w:tcBorders>
            <w:shd w:val="clear" w:color="auto" w:fill="auto"/>
            <w:hideMark/>
          </w:tcPr>
          <w:p w14:paraId="0B44003B" w14:textId="77777777" w:rsidR="002601C2" w:rsidRPr="000C05FB" w:rsidRDefault="002601C2" w:rsidP="006518FE">
            <w:pPr>
              <w:pStyle w:val="TableText"/>
            </w:pPr>
            <w:r w:rsidRPr="000C05FB">
              <w:t>Hutt Valley</w:t>
            </w:r>
          </w:p>
        </w:tc>
        <w:tc>
          <w:tcPr>
            <w:tcW w:w="1842" w:type="dxa"/>
            <w:tcBorders>
              <w:top w:val="single" w:sz="4" w:space="0" w:color="9BBB59" w:themeColor="accent3"/>
              <w:bottom w:val="single" w:sz="4" w:space="0" w:color="9BBB59" w:themeColor="accent3"/>
            </w:tcBorders>
          </w:tcPr>
          <w:p w14:paraId="4AC99A7E" w14:textId="77777777" w:rsidR="002601C2" w:rsidRPr="000C05FB" w:rsidRDefault="002601C2" w:rsidP="006518FE">
            <w:pPr>
              <w:pStyle w:val="TableText"/>
              <w:tabs>
                <w:tab w:val="decimal" w:pos="1077"/>
              </w:tabs>
            </w:pPr>
            <w:r w:rsidRPr="000C05FB">
              <w:t>70</w:t>
            </w:r>
          </w:p>
        </w:tc>
        <w:tc>
          <w:tcPr>
            <w:tcW w:w="1843" w:type="dxa"/>
            <w:tcBorders>
              <w:top w:val="single" w:sz="4" w:space="0" w:color="9BBB59" w:themeColor="accent3"/>
              <w:bottom w:val="single" w:sz="4" w:space="0" w:color="9BBB59" w:themeColor="accent3"/>
            </w:tcBorders>
            <w:shd w:val="clear" w:color="auto" w:fill="auto"/>
            <w:hideMark/>
          </w:tcPr>
          <w:p w14:paraId="3338C36B" w14:textId="77777777" w:rsidR="002601C2" w:rsidRPr="000C05FB" w:rsidRDefault="002601C2" w:rsidP="006518FE">
            <w:pPr>
              <w:pStyle w:val="TableText"/>
              <w:tabs>
                <w:tab w:val="decimal" w:pos="1077"/>
              </w:tabs>
            </w:pPr>
            <w:r w:rsidRPr="000C05FB">
              <w:t>201</w:t>
            </w:r>
          </w:p>
        </w:tc>
        <w:tc>
          <w:tcPr>
            <w:tcW w:w="1843" w:type="dxa"/>
            <w:tcBorders>
              <w:top w:val="single" w:sz="4" w:space="0" w:color="9BBB59" w:themeColor="accent3"/>
              <w:bottom w:val="single" w:sz="4" w:space="0" w:color="9BBB59" w:themeColor="accent3"/>
            </w:tcBorders>
            <w:shd w:val="clear" w:color="auto" w:fill="auto"/>
            <w:noWrap/>
            <w:hideMark/>
          </w:tcPr>
          <w:p w14:paraId="23ADAC13" w14:textId="77777777" w:rsidR="002601C2" w:rsidRPr="000C05FB" w:rsidRDefault="002601C2" w:rsidP="006518FE">
            <w:pPr>
              <w:pStyle w:val="TableText"/>
              <w:jc w:val="center"/>
            </w:pPr>
            <w:r w:rsidRPr="000C05FB">
              <w:t>35%</w:t>
            </w:r>
          </w:p>
        </w:tc>
      </w:tr>
      <w:tr w:rsidR="002601C2" w:rsidRPr="000C05FB" w14:paraId="0ACD1BC8" w14:textId="77777777" w:rsidTr="006518FE">
        <w:trPr>
          <w:cantSplit/>
        </w:trPr>
        <w:tc>
          <w:tcPr>
            <w:tcW w:w="1560" w:type="dxa"/>
            <w:vMerge/>
            <w:tcBorders>
              <w:top w:val="single" w:sz="4" w:space="0" w:color="auto"/>
              <w:bottom w:val="single" w:sz="4" w:space="0" w:color="auto"/>
            </w:tcBorders>
            <w:hideMark/>
          </w:tcPr>
          <w:p w14:paraId="521172AC" w14:textId="77777777" w:rsidR="002601C2" w:rsidRPr="000C05FB" w:rsidRDefault="002601C2" w:rsidP="006518FE">
            <w:pPr>
              <w:pStyle w:val="TableText"/>
            </w:pPr>
          </w:p>
        </w:tc>
        <w:tc>
          <w:tcPr>
            <w:tcW w:w="2268" w:type="dxa"/>
            <w:tcBorders>
              <w:top w:val="single" w:sz="4" w:space="0" w:color="9BBB59" w:themeColor="accent3"/>
              <w:bottom w:val="single" w:sz="4" w:space="0" w:color="9BBB59" w:themeColor="accent3"/>
            </w:tcBorders>
            <w:shd w:val="clear" w:color="auto" w:fill="auto"/>
            <w:hideMark/>
          </w:tcPr>
          <w:p w14:paraId="02690741" w14:textId="77777777" w:rsidR="002601C2" w:rsidRPr="000C05FB" w:rsidRDefault="002601C2" w:rsidP="006518FE">
            <w:pPr>
              <w:pStyle w:val="TableText"/>
            </w:pPr>
            <w:r w:rsidRPr="000C05FB">
              <w:t>Hawke</w:t>
            </w:r>
            <w:r>
              <w:t>’</w:t>
            </w:r>
            <w:r w:rsidRPr="000C05FB">
              <w:t>s Bay</w:t>
            </w:r>
          </w:p>
        </w:tc>
        <w:tc>
          <w:tcPr>
            <w:tcW w:w="1842" w:type="dxa"/>
            <w:tcBorders>
              <w:top w:val="single" w:sz="4" w:space="0" w:color="9BBB59" w:themeColor="accent3"/>
              <w:bottom w:val="single" w:sz="4" w:space="0" w:color="9BBB59" w:themeColor="accent3"/>
            </w:tcBorders>
          </w:tcPr>
          <w:p w14:paraId="12480921" w14:textId="77777777" w:rsidR="002601C2" w:rsidRPr="000C05FB" w:rsidRDefault="002601C2" w:rsidP="006518FE">
            <w:pPr>
              <w:pStyle w:val="TableText"/>
              <w:tabs>
                <w:tab w:val="decimal" w:pos="1077"/>
              </w:tabs>
            </w:pPr>
            <w:r w:rsidRPr="000C05FB">
              <w:t>36</w:t>
            </w:r>
          </w:p>
        </w:tc>
        <w:tc>
          <w:tcPr>
            <w:tcW w:w="1843" w:type="dxa"/>
            <w:tcBorders>
              <w:top w:val="single" w:sz="4" w:space="0" w:color="9BBB59" w:themeColor="accent3"/>
              <w:bottom w:val="single" w:sz="4" w:space="0" w:color="9BBB59" w:themeColor="accent3"/>
            </w:tcBorders>
            <w:shd w:val="clear" w:color="auto" w:fill="auto"/>
            <w:hideMark/>
          </w:tcPr>
          <w:p w14:paraId="7092F986" w14:textId="77777777" w:rsidR="002601C2" w:rsidRPr="000C05FB" w:rsidRDefault="002601C2" w:rsidP="006518FE">
            <w:pPr>
              <w:pStyle w:val="TableText"/>
              <w:tabs>
                <w:tab w:val="decimal" w:pos="1077"/>
              </w:tabs>
            </w:pPr>
            <w:r w:rsidRPr="000C05FB">
              <w:t>118</w:t>
            </w:r>
          </w:p>
        </w:tc>
        <w:tc>
          <w:tcPr>
            <w:tcW w:w="1843" w:type="dxa"/>
            <w:tcBorders>
              <w:top w:val="single" w:sz="4" w:space="0" w:color="9BBB59" w:themeColor="accent3"/>
              <w:bottom w:val="single" w:sz="4" w:space="0" w:color="9BBB59" w:themeColor="accent3"/>
            </w:tcBorders>
            <w:shd w:val="clear" w:color="auto" w:fill="auto"/>
            <w:noWrap/>
            <w:hideMark/>
          </w:tcPr>
          <w:p w14:paraId="517B85E9" w14:textId="77777777" w:rsidR="002601C2" w:rsidRPr="000C05FB" w:rsidRDefault="002601C2" w:rsidP="006518FE">
            <w:pPr>
              <w:pStyle w:val="TableText"/>
              <w:jc w:val="center"/>
            </w:pPr>
            <w:r w:rsidRPr="000C05FB">
              <w:t>31%</w:t>
            </w:r>
          </w:p>
        </w:tc>
      </w:tr>
      <w:tr w:rsidR="002601C2" w:rsidRPr="000C05FB" w14:paraId="3AD63E88" w14:textId="77777777" w:rsidTr="006518FE">
        <w:trPr>
          <w:cantSplit/>
        </w:trPr>
        <w:tc>
          <w:tcPr>
            <w:tcW w:w="1560" w:type="dxa"/>
            <w:vMerge/>
            <w:tcBorders>
              <w:top w:val="single" w:sz="4" w:space="0" w:color="auto"/>
              <w:bottom w:val="single" w:sz="4" w:space="0" w:color="000000"/>
            </w:tcBorders>
            <w:hideMark/>
          </w:tcPr>
          <w:p w14:paraId="79AF7CDA" w14:textId="77777777" w:rsidR="002601C2" w:rsidRPr="000C05FB" w:rsidRDefault="002601C2" w:rsidP="006518FE">
            <w:pPr>
              <w:pStyle w:val="TableText"/>
            </w:pPr>
          </w:p>
        </w:tc>
        <w:tc>
          <w:tcPr>
            <w:tcW w:w="2268" w:type="dxa"/>
            <w:tcBorders>
              <w:top w:val="single" w:sz="4" w:space="0" w:color="9BBB59" w:themeColor="accent3"/>
              <w:bottom w:val="single" w:sz="4" w:space="0" w:color="auto"/>
            </w:tcBorders>
            <w:shd w:val="clear" w:color="auto" w:fill="auto"/>
            <w:hideMark/>
          </w:tcPr>
          <w:p w14:paraId="5C55B60C" w14:textId="77777777" w:rsidR="002601C2" w:rsidRPr="000C05FB" w:rsidRDefault="002601C2" w:rsidP="006518FE">
            <w:pPr>
              <w:pStyle w:val="TableText"/>
            </w:pPr>
            <w:r w:rsidRPr="000C05FB">
              <w:t>Waikato</w:t>
            </w:r>
          </w:p>
        </w:tc>
        <w:tc>
          <w:tcPr>
            <w:tcW w:w="1842" w:type="dxa"/>
            <w:tcBorders>
              <w:top w:val="single" w:sz="4" w:space="0" w:color="9BBB59" w:themeColor="accent3"/>
              <w:bottom w:val="single" w:sz="4" w:space="0" w:color="auto"/>
            </w:tcBorders>
          </w:tcPr>
          <w:p w14:paraId="5F35D821" w14:textId="77777777" w:rsidR="002601C2" w:rsidRPr="000C05FB" w:rsidRDefault="002601C2" w:rsidP="006518FE">
            <w:pPr>
              <w:pStyle w:val="TableText"/>
              <w:tabs>
                <w:tab w:val="decimal" w:pos="1077"/>
              </w:tabs>
            </w:pPr>
            <w:r w:rsidRPr="000C05FB">
              <w:t>37</w:t>
            </w:r>
          </w:p>
        </w:tc>
        <w:tc>
          <w:tcPr>
            <w:tcW w:w="1843" w:type="dxa"/>
            <w:tcBorders>
              <w:top w:val="single" w:sz="4" w:space="0" w:color="9BBB59" w:themeColor="accent3"/>
              <w:bottom w:val="single" w:sz="4" w:space="0" w:color="auto"/>
            </w:tcBorders>
            <w:shd w:val="clear" w:color="auto" w:fill="auto"/>
            <w:hideMark/>
          </w:tcPr>
          <w:p w14:paraId="2FB147CD" w14:textId="77777777" w:rsidR="002601C2" w:rsidRPr="000C05FB" w:rsidRDefault="002601C2" w:rsidP="006518FE">
            <w:pPr>
              <w:pStyle w:val="TableText"/>
              <w:tabs>
                <w:tab w:val="decimal" w:pos="1077"/>
              </w:tabs>
            </w:pPr>
            <w:r w:rsidRPr="000C05FB">
              <w:t>98</w:t>
            </w:r>
          </w:p>
        </w:tc>
        <w:tc>
          <w:tcPr>
            <w:tcW w:w="1843" w:type="dxa"/>
            <w:tcBorders>
              <w:top w:val="single" w:sz="4" w:space="0" w:color="9BBB59" w:themeColor="accent3"/>
              <w:bottom w:val="single" w:sz="4" w:space="0" w:color="auto"/>
            </w:tcBorders>
            <w:shd w:val="clear" w:color="auto" w:fill="auto"/>
            <w:noWrap/>
            <w:hideMark/>
          </w:tcPr>
          <w:p w14:paraId="3F1C46D5" w14:textId="77777777" w:rsidR="002601C2" w:rsidRPr="000C05FB" w:rsidRDefault="002601C2" w:rsidP="006518FE">
            <w:pPr>
              <w:pStyle w:val="TableText"/>
              <w:jc w:val="center"/>
            </w:pPr>
            <w:r w:rsidRPr="000C05FB">
              <w:t>38%</w:t>
            </w:r>
          </w:p>
        </w:tc>
      </w:tr>
    </w:tbl>
    <w:p w14:paraId="4829C97D" w14:textId="77777777" w:rsidR="002601C2" w:rsidRDefault="002601C2" w:rsidP="006518FE"/>
    <w:p w14:paraId="06239156" w14:textId="77777777" w:rsidR="002601C2" w:rsidRDefault="002601C2" w:rsidP="006518FE">
      <w:pPr>
        <w:pStyle w:val="Figure"/>
      </w:pPr>
      <w:bookmarkStart w:id="178" w:name="_Toc428368075"/>
      <w:bookmarkStart w:id="179" w:name="_Toc428370453"/>
      <w:bookmarkStart w:id="180" w:name="_Toc445801458"/>
      <w:bookmarkStart w:id="181" w:name="_Toc447527157"/>
      <w:bookmarkStart w:id="182" w:name="_Toc458409439"/>
      <w:bookmarkStart w:id="183" w:name="_Toc504249902"/>
      <w:bookmarkStart w:id="184" w:name="_Toc531258297"/>
      <w:r w:rsidRPr="00A119E8">
        <w:lastRenderedPageBreak/>
        <w:t xml:space="preserve">Figure </w:t>
      </w:r>
      <w:r>
        <w:t>15</w:t>
      </w:r>
      <w:r w:rsidRPr="00A119E8">
        <w:t xml:space="preserve">: Mean </w:t>
      </w:r>
      <w:r>
        <w:t>number</w:t>
      </w:r>
      <w:r w:rsidRPr="00A119E8">
        <w:t xml:space="preserve"> of</w:t>
      </w:r>
      <w:r>
        <w:t xml:space="preserve"> decayed, missing or filled teeth</w:t>
      </w:r>
      <w:r w:rsidRPr="00A119E8">
        <w:t xml:space="preserve"> </w:t>
      </w:r>
      <w:r>
        <w:t>per child in</w:t>
      </w:r>
      <w:r w:rsidRPr="00A119E8">
        <w:t xml:space="preserve"> school year eight, Pacific </w:t>
      </w:r>
      <w:r>
        <w:t>peoples and total New Zealand population</w:t>
      </w:r>
      <w:r w:rsidRPr="00A119E8">
        <w:t>, 2007–201</w:t>
      </w:r>
      <w:bookmarkEnd w:id="178"/>
      <w:bookmarkEnd w:id="179"/>
      <w:bookmarkEnd w:id="180"/>
      <w:bookmarkEnd w:id="181"/>
      <w:bookmarkEnd w:id="182"/>
      <w:r>
        <w:t>5</w:t>
      </w:r>
      <w:bookmarkEnd w:id="183"/>
      <w:bookmarkEnd w:id="184"/>
    </w:p>
    <w:p w14:paraId="1D8B4A50" w14:textId="77777777" w:rsidR="002601C2" w:rsidRPr="002751F7" w:rsidRDefault="002601C2" w:rsidP="002601C2">
      <w:r>
        <w:rPr>
          <w:noProof/>
          <w:lang w:eastAsia="ja-JP"/>
        </w:rPr>
        <w:drawing>
          <wp:inline distT="0" distB="0" distL="0" distR="0" wp14:anchorId="5154B8D8" wp14:editId="3A44050F">
            <wp:extent cx="4696691" cy="2660073"/>
            <wp:effectExtent l="0" t="0" r="27940" b="26035"/>
            <wp:docPr id="220" name="Chart 220" title="Figure 15: Mean number of decayed, missing or filled teeth per child in school year eight, Pacific peoples and total New Zealand population,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3AEB024" w14:textId="77777777" w:rsidR="002601C2" w:rsidRPr="008777FD" w:rsidRDefault="002601C2" w:rsidP="006518FE">
      <w:pPr>
        <w:pStyle w:val="Source"/>
      </w:pPr>
      <w:r w:rsidRPr="008777FD">
        <w:t xml:space="preserve">Source: DHB reporting against the </w:t>
      </w:r>
      <w:r>
        <w:t>COHS</w:t>
      </w:r>
    </w:p>
    <w:p w14:paraId="5FA7F6B8" w14:textId="77777777" w:rsidR="002601C2" w:rsidRDefault="002601C2" w:rsidP="006518FE">
      <w:bookmarkStart w:id="185" w:name="_Toc428368076"/>
      <w:bookmarkStart w:id="186" w:name="_Toc428370454"/>
      <w:bookmarkStart w:id="187" w:name="_Toc445801459"/>
      <w:bookmarkStart w:id="188" w:name="_Toc447527158"/>
    </w:p>
    <w:p w14:paraId="49B0E009" w14:textId="77777777" w:rsidR="002601C2" w:rsidRDefault="002601C2" w:rsidP="006518FE">
      <w:pPr>
        <w:pStyle w:val="Figure"/>
      </w:pPr>
      <w:bookmarkStart w:id="189" w:name="_Toc458409440"/>
      <w:bookmarkStart w:id="190" w:name="_Toc504249903"/>
      <w:bookmarkStart w:id="191" w:name="_Toc531258298"/>
      <w:r w:rsidRPr="00A119E8">
        <w:t xml:space="preserve">Figure </w:t>
      </w:r>
      <w:r>
        <w:t>16A</w:t>
      </w:r>
      <w:r w:rsidRPr="00A119E8">
        <w:t xml:space="preserve">: Mean </w:t>
      </w:r>
      <w:r>
        <w:t>number</w:t>
      </w:r>
      <w:r w:rsidRPr="00A119E8">
        <w:t xml:space="preserve"> of </w:t>
      </w:r>
      <w:r>
        <w:t>decayed, missing or filled teeth per child in</w:t>
      </w:r>
      <w:r w:rsidRPr="00A119E8">
        <w:t xml:space="preserve"> school </w:t>
      </w:r>
      <w:r>
        <w:t>year eight, Pacific peoples, Auckland region</w:t>
      </w:r>
      <w:r w:rsidRPr="00A119E8">
        <w:t xml:space="preserve"> DHBs, 2007–201</w:t>
      </w:r>
      <w:bookmarkEnd w:id="185"/>
      <w:bookmarkEnd w:id="186"/>
      <w:bookmarkEnd w:id="187"/>
      <w:bookmarkEnd w:id="188"/>
      <w:bookmarkEnd w:id="189"/>
      <w:r>
        <w:t>5</w:t>
      </w:r>
      <w:bookmarkEnd w:id="190"/>
      <w:bookmarkEnd w:id="191"/>
    </w:p>
    <w:p w14:paraId="218FA864" w14:textId="77777777" w:rsidR="002601C2" w:rsidRDefault="002601C2" w:rsidP="002601C2">
      <w:r>
        <w:rPr>
          <w:noProof/>
          <w:lang w:eastAsia="ja-JP"/>
        </w:rPr>
        <w:drawing>
          <wp:inline distT="0" distB="0" distL="0" distR="0" wp14:anchorId="5E82EFC2" wp14:editId="6034C11D">
            <wp:extent cx="4696691" cy="2618509"/>
            <wp:effectExtent l="0" t="0" r="8890" b="0"/>
            <wp:docPr id="221" name="Chart 221" title="Figure 16A: Mean number of decayed, missing or filled teeth per child in school year eight, Pacific peoples, Auckland region DHBs,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F3BC61E" w14:textId="77777777" w:rsidR="002601C2" w:rsidRPr="008777FD" w:rsidRDefault="002601C2" w:rsidP="006518FE">
      <w:pPr>
        <w:pStyle w:val="Source"/>
      </w:pPr>
      <w:r w:rsidRPr="008777FD">
        <w:t xml:space="preserve">Source: DHB reporting against the </w:t>
      </w:r>
      <w:r>
        <w:t>COHS</w:t>
      </w:r>
    </w:p>
    <w:p w14:paraId="532C32CE" w14:textId="77777777" w:rsidR="002601C2" w:rsidRDefault="002601C2" w:rsidP="006518FE"/>
    <w:p w14:paraId="61A5F4BB" w14:textId="77777777" w:rsidR="002601C2" w:rsidRDefault="002601C2" w:rsidP="006518FE">
      <w:pPr>
        <w:pStyle w:val="Figure"/>
      </w:pPr>
      <w:bookmarkStart w:id="192" w:name="_Toc504249904"/>
      <w:bookmarkStart w:id="193" w:name="_Toc531258299"/>
      <w:r w:rsidRPr="00A119E8">
        <w:lastRenderedPageBreak/>
        <w:t xml:space="preserve">Figure </w:t>
      </w:r>
      <w:r>
        <w:t>16B</w:t>
      </w:r>
      <w:r w:rsidRPr="00A119E8">
        <w:t xml:space="preserve">: Mean </w:t>
      </w:r>
      <w:r>
        <w:t>number</w:t>
      </w:r>
      <w:r w:rsidRPr="00A119E8">
        <w:t xml:space="preserve"> of </w:t>
      </w:r>
      <w:r>
        <w:t>decayed, missing or filled teeth per child in</w:t>
      </w:r>
      <w:r w:rsidRPr="00A119E8">
        <w:t xml:space="preserve"> school year eigh</w:t>
      </w:r>
      <w:r>
        <w:t>t, Pacific peoples, priority DHBs outside the Auckland region</w:t>
      </w:r>
      <w:r w:rsidRPr="00A119E8">
        <w:t>, 2007–201</w:t>
      </w:r>
      <w:r>
        <w:t>5</w:t>
      </w:r>
      <w:bookmarkEnd w:id="192"/>
      <w:bookmarkEnd w:id="193"/>
    </w:p>
    <w:p w14:paraId="36AA995A" w14:textId="77777777" w:rsidR="001B061B" w:rsidRDefault="002601C2" w:rsidP="001B061B">
      <w:r>
        <w:rPr>
          <w:noProof/>
          <w:lang w:eastAsia="ja-JP"/>
        </w:rPr>
        <w:drawing>
          <wp:inline distT="0" distB="0" distL="0" distR="0" wp14:anchorId="62E154FE" wp14:editId="79867DD8">
            <wp:extent cx="4713316" cy="2668386"/>
            <wp:effectExtent l="0" t="0" r="0" b="0"/>
            <wp:docPr id="222" name="Chart 222" title="Figure 16B: Mean number of decayed, missing or filled teeth per child in school year eight, Pacific peoples, priority DHBs outside the Auckland region, 2007–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9C9EF5B" w14:textId="77777777" w:rsidR="002601C2" w:rsidRDefault="002601C2" w:rsidP="001B061B">
      <w:pPr>
        <w:pStyle w:val="Source"/>
      </w:pPr>
      <w:r w:rsidRPr="008777FD">
        <w:t xml:space="preserve">Source: DHB reporting against the </w:t>
      </w:r>
      <w:r>
        <w:t>COHS</w:t>
      </w:r>
    </w:p>
    <w:p w14:paraId="62F051D8" w14:textId="77777777" w:rsidR="006518FE" w:rsidRDefault="006518FE" w:rsidP="006518FE"/>
    <w:p w14:paraId="3880B8DD" w14:textId="77777777" w:rsidR="006518FE" w:rsidRDefault="006518FE" w:rsidP="006518FE">
      <w:pPr>
        <w:pStyle w:val="Note"/>
        <w:ind w:left="0" w:right="0" w:firstLine="0"/>
      </w:pPr>
      <w:r w:rsidRPr="00A11460">
        <w:t>Notes</w:t>
      </w:r>
    </w:p>
    <w:p w14:paraId="3D40D79E" w14:textId="77777777" w:rsidR="006518FE" w:rsidRPr="006518FE" w:rsidRDefault="006518FE" w:rsidP="006518FE">
      <w:pPr>
        <w:pStyle w:val="Note"/>
        <w:ind w:left="0" w:right="0" w:firstLine="0"/>
        <w:rPr>
          <w:b/>
        </w:rPr>
      </w:pPr>
      <w:r w:rsidRPr="006518FE">
        <w:rPr>
          <w:b/>
        </w:rPr>
        <w:t>Figures 15, 16A and 16B:</w:t>
      </w:r>
    </w:p>
    <w:p w14:paraId="7B9CA05C" w14:textId="77777777" w:rsidR="006518FE" w:rsidRPr="00FE2D93" w:rsidRDefault="006518FE" w:rsidP="006518FE">
      <w:pPr>
        <w:pStyle w:val="Note"/>
        <w:ind w:left="0" w:right="0" w:firstLine="0"/>
      </w:pPr>
      <w:r w:rsidRPr="00FE2D93">
        <w:t>Time period: this data reflects a calendar year: 1 January</w:t>
      </w:r>
      <w:r>
        <w:t>–</w:t>
      </w:r>
      <w:r w:rsidRPr="00FE2D93">
        <w:t>31 December.</w:t>
      </w:r>
    </w:p>
    <w:p w14:paraId="42C0F311" w14:textId="77777777" w:rsidR="006518FE" w:rsidRPr="00FE2D93" w:rsidRDefault="006518FE" w:rsidP="006518FE">
      <w:pPr>
        <w:pStyle w:val="Note"/>
        <w:ind w:left="0" w:right="0" w:firstLine="0"/>
      </w:pPr>
      <w:r w:rsidRPr="00FE2D93">
        <w:t xml:space="preserve">Numerator: </w:t>
      </w:r>
      <w:r>
        <w:t xml:space="preserve">the </w:t>
      </w:r>
      <w:r w:rsidRPr="00FE2D93">
        <w:t xml:space="preserve">number of </w:t>
      </w:r>
      <w:r>
        <w:t>DMFT (count) for children in school year eight examined with the COHS</w:t>
      </w:r>
      <w:r w:rsidRPr="00FE2D93">
        <w:t>.</w:t>
      </w:r>
      <w:r>
        <w:t xml:space="preserve"> Source: DHB reporting.</w:t>
      </w:r>
    </w:p>
    <w:p w14:paraId="7F39A093" w14:textId="77777777" w:rsidR="006518FE" w:rsidRDefault="006518FE" w:rsidP="006518FE">
      <w:pPr>
        <w:pStyle w:val="Note"/>
        <w:ind w:left="0" w:right="0" w:firstLine="0"/>
      </w:pPr>
      <w:r>
        <w:t>Denominator: the number of children in school year eight examined with the COHS. Source: DHB reporting</w:t>
      </w:r>
    </w:p>
    <w:p w14:paraId="60D21997" w14:textId="77777777" w:rsidR="006518FE" w:rsidRDefault="006518FE" w:rsidP="006518FE">
      <w:pPr>
        <w:pStyle w:val="Note"/>
        <w:ind w:left="0" w:right="0" w:firstLine="0"/>
      </w:pPr>
      <w:r w:rsidRPr="008B06E4">
        <w:t>The latest data for this indicator is from 2015.</w:t>
      </w:r>
    </w:p>
    <w:p w14:paraId="772CAF29" w14:textId="77777777" w:rsidR="006518FE" w:rsidRDefault="006518FE" w:rsidP="006518FE">
      <w:pPr>
        <w:pStyle w:val="Note"/>
        <w:ind w:left="0" w:right="0" w:firstLine="0"/>
      </w:pPr>
      <w:r>
        <w:t xml:space="preserve">The high level of variability in the DHB data, especially for those DHBs outside of the Auckland region, is largely due to the small number of Pacific children in school year eight in each DHB (see </w:t>
      </w:r>
      <w:r w:rsidRPr="008C5F3D">
        <w:t>Table</w:t>
      </w:r>
      <w:r>
        <w:t xml:space="preserve"> 7).</w:t>
      </w:r>
    </w:p>
    <w:p w14:paraId="0848BB06" w14:textId="77777777" w:rsidR="002601C2" w:rsidRPr="00B31B82" w:rsidRDefault="002601C2" w:rsidP="006518FE"/>
    <w:p w14:paraId="693B83DC" w14:textId="77777777" w:rsidR="002601C2" w:rsidRDefault="002601C2" w:rsidP="006518FE">
      <w:pPr>
        <w:pStyle w:val="Table"/>
      </w:pPr>
      <w:bookmarkStart w:id="194" w:name="_Toc504249880"/>
      <w:bookmarkStart w:id="195" w:name="_Toc531258265"/>
      <w:r>
        <w:t>Table 7</w:t>
      </w:r>
      <w:r w:rsidRPr="00A119E8">
        <w:t xml:space="preserve">: </w:t>
      </w:r>
      <w:r>
        <w:t xml:space="preserve">Count and mean number of decayed, missing or filled teeth for children in school year eight, Pacific peoples, by priority </w:t>
      </w:r>
      <w:r w:rsidRPr="00A119E8">
        <w:t>DHBs</w:t>
      </w:r>
      <w:r>
        <w:t>, 1 January–30 December 2015</w:t>
      </w:r>
      <w:bookmarkEnd w:id="194"/>
      <w:bookmarkEnd w:id="195"/>
    </w:p>
    <w:tbl>
      <w:tblPr>
        <w:tblW w:w="0" w:type="auto"/>
        <w:tblInd w:w="57" w:type="dxa"/>
        <w:tblLayout w:type="fixed"/>
        <w:tblCellMar>
          <w:left w:w="57" w:type="dxa"/>
          <w:right w:w="57" w:type="dxa"/>
        </w:tblCellMar>
        <w:tblLook w:val="04A0" w:firstRow="1" w:lastRow="0" w:firstColumn="1" w:lastColumn="0" w:noHBand="0" w:noVBand="1"/>
      </w:tblPr>
      <w:tblGrid>
        <w:gridCol w:w="1701"/>
        <w:gridCol w:w="2100"/>
        <w:gridCol w:w="1851"/>
        <w:gridCol w:w="1852"/>
        <w:gridCol w:w="1852"/>
      </w:tblGrid>
      <w:tr w:rsidR="002601C2" w:rsidRPr="000C05FB" w14:paraId="6BC3D6EA" w14:textId="77777777" w:rsidTr="006518FE">
        <w:trPr>
          <w:cantSplit/>
        </w:trPr>
        <w:tc>
          <w:tcPr>
            <w:tcW w:w="1701" w:type="dxa"/>
            <w:tcBorders>
              <w:top w:val="single" w:sz="4" w:space="0" w:color="auto"/>
              <w:bottom w:val="single" w:sz="4" w:space="0" w:color="auto"/>
            </w:tcBorders>
            <w:shd w:val="clear" w:color="auto" w:fill="auto"/>
            <w:hideMark/>
          </w:tcPr>
          <w:p w14:paraId="2B3E6EFB" w14:textId="77777777" w:rsidR="002601C2" w:rsidRPr="000C05FB" w:rsidRDefault="002601C2" w:rsidP="006518FE">
            <w:pPr>
              <w:pStyle w:val="TableText"/>
            </w:pPr>
          </w:p>
        </w:tc>
        <w:tc>
          <w:tcPr>
            <w:tcW w:w="2100" w:type="dxa"/>
            <w:tcBorders>
              <w:top w:val="single" w:sz="4" w:space="0" w:color="auto"/>
              <w:bottom w:val="single" w:sz="4" w:space="0" w:color="auto"/>
            </w:tcBorders>
            <w:shd w:val="clear" w:color="auto" w:fill="auto"/>
            <w:hideMark/>
          </w:tcPr>
          <w:p w14:paraId="153467C8" w14:textId="77777777" w:rsidR="002601C2" w:rsidRPr="000C05FB" w:rsidRDefault="002601C2" w:rsidP="006518FE">
            <w:pPr>
              <w:pStyle w:val="TableText"/>
              <w:rPr>
                <w:b/>
              </w:rPr>
            </w:pPr>
            <w:r w:rsidRPr="000C05FB">
              <w:rPr>
                <w:b/>
              </w:rPr>
              <w:t>Region</w:t>
            </w:r>
          </w:p>
        </w:tc>
        <w:tc>
          <w:tcPr>
            <w:tcW w:w="1851" w:type="dxa"/>
            <w:tcBorders>
              <w:top w:val="single" w:sz="4" w:space="0" w:color="auto"/>
              <w:bottom w:val="single" w:sz="4" w:space="0" w:color="auto"/>
            </w:tcBorders>
          </w:tcPr>
          <w:p w14:paraId="167E19E8" w14:textId="77777777" w:rsidR="002601C2" w:rsidRPr="000C05FB" w:rsidRDefault="002601C2" w:rsidP="006518FE">
            <w:pPr>
              <w:pStyle w:val="TableText"/>
              <w:jc w:val="center"/>
              <w:rPr>
                <w:b/>
              </w:rPr>
            </w:pPr>
            <w:r>
              <w:rPr>
                <w:b/>
              </w:rPr>
              <w:t>Number of DMFT (count)</w:t>
            </w:r>
          </w:p>
        </w:tc>
        <w:tc>
          <w:tcPr>
            <w:tcW w:w="1852" w:type="dxa"/>
            <w:tcBorders>
              <w:top w:val="single" w:sz="4" w:space="0" w:color="auto"/>
              <w:bottom w:val="single" w:sz="4" w:space="0" w:color="auto"/>
            </w:tcBorders>
          </w:tcPr>
          <w:p w14:paraId="7EB4A03C" w14:textId="77777777" w:rsidR="002601C2" w:rsidRPr="000C05FB" w:rsidRDefault="002601C2" w:rsidP="006518FE">
            <w:pPr>
              <w:pStyle w:val="TableText"/>
              <w:jc w:val="center"/>
              <w:rPr>
                <w:b/>
              </w:rPr>
            </w:pPr>
            <w:r w:rsidRPr="000C05FB">
              <w:rPr>
                <w:b/>
              </w:rPr>
              <w:t>Children examined</w:t>
            </w:r>
            <w:r>
              <w:rPr>
                <w:b/>
              </w:rPr>
              <w:t xml:space="preserve"> (count)</w:t>
            </w:r>
          </w:p>
        </w:tc>
        <w:tc>
          <w:tcPr>
            <w:tcW w:w="1852" w:type="dxa"/>
            <w:tcBorders>
              <w:top w:val="single" w:sz="4" w:space="0" w:color="auto"/>
              <w:bottom w:val="single" w:sz="4" w:space="0" w:color="auto"/>
            </w:tcBorders>
            <w:shd w:val="clear" w:color="auto" w:fill="auto"/>
            <w:hideMark/>
          </w:tcPr>
          <w:p w14:paraId="72741E85" w14:textId="77777777" w:rsidR="002601C2" w:rsidRPr="000C05FB" w:rsidRDefault="002601C2" w:rsidP="00011787">
            <w:pPr>
              <w:pStyle w:val="TableText"/>
              <w:jc w:val="center"/>
              <w:rPr>
                <w:b/>
              </w:rPr>
            </w:pPr>
            <w:r>
              <w:rPr>
                <w:b/>
              </w:rPr>
              <w:t>Mean number</w:t>
            </w:r>
            <w:r w:rsidR="00011787">
              <w:rPr>
                <w:b/>
              </w:rPr>
              <w:br/>
            </w:r>
            <w:r>
              <w:rPr>
                <w:b/>
              </w:rPr>
              <w:t>DMFT</w:t>
            </w:r>
          </w:p>
        </w:tc>
      </w:tr>
      <w:tr w:rsidR="002601C2" w:rsidRPr="000C05FB" w14:paraId="41E3CC62" w14:textId="77777777" w:rsidTr="006518FE">
        <w:trPr>
          <w:cantSplit/>
        </w:trPr>
        <w:tc>
          <w:tcPr>
            <w:tcW w:w="1701" w:type="dxa"/>
            <w:vMerge w:val="restart"/>
            <w:tcBorders>
              <w:top w:val="single" w:sz="4" w:space="0" w:color="auto"/>
              <w:bottom w:val="single" w:sz="4" w:space="0" w:color="auto"/>
            </w:tcBorders>
            <w:shd w:val="clear" w:color="auto" w:fill="auto"/>
            <w:hideMark/>
          </w:tcPr>
          <w:p w14:paraId="5318BFED" w14:textId="77777777" w:rsidR="002601C2" w:rsidRPr="000C05FB" w:rsidRDefault="002601C2" w:rsidP="006518FE">
            <w:pPr>
              <w:pStyle w:val="TableText"/>
            </w:pPr>
            <w:r w:rsidRPr="000C05FB">
              <w:t>Auckland region</w:t>
            </w:r>
          </w:p>
        </w:tc>
        <w:tc>
          <w:tcPr>
            <w:tcW w:w="2100" w:type="dxa"/>
            <w:tcBorders>
              <w:top w:val="single" w:sz="4" w:space="0" w:color="auto"/>
              <w:bottom w:val="single" w:sz="4" w:space="0" w:color="9BBB59" w:themeColor="accent3"/>
            </w:tcBorders>
            <w:shd w:val="clear" w:color="auto" w:fill="auto"/>
            <w:hideMark/>
          </w:tcPr>
          <w:p w14:paraId="7787B6BE" w14:textId="77777777" w:rsidR="002601C2" w:rsidRPr="000C05FB" w:rsidRDefault="002601C2" w:rsidP="006518FE">
            <w:pPr>
              <w:pStyle w:val="TableText"/>
            </w:pPr>
            <w:r w:rsidRPr="000C05FB">
              <w:t>Counties Manukau</w:t>
            </w:r>
          </w:p>
        </w:tc>
        <w:tc>
          <w:tcPr>
            <w:tcW w:w="1851" w:type="dxa"/>
            <w:tcBorders>
              <w:top w:val="single" w:sz="4" w:space="0" w:color="auto"/>
              <w:bottom w:val="single" w:sz="4" w:space="0" w:color="9BBB59" w:themeColor="accent3"/>
            </w:tcBorders>
          </w:tcPr>
          <w:p w14:paraId="2C7A9A73" w14:textId="77777777" w:rsidR="002601C2" w:rsidRPr="008777FD" w:rsidRDefault="002601C2" w:rsidP="008059B5">
            <w:pPr>
              <w:pStyle w:val="TableText"/>
              <w:tabs>
                <w:tab w:val="decimal" w:pos="1134"/>
              </w:tabs>
              <w:rPr>
                <w:rFonts w:cs="Arial"/>
              </w:rPr>
            </w:pPr>
            <w:r w:rsidRPr="008777FD">
              <w:rPr>
                <w:rFonts w:cs="Arial"/>
                <w:color w:val="000000"/>
              </w:rPr>
              <w:t>2,245</w:t>
            </w:r>
          </w:p>
        </w:tc>
        <w:tc>
          <w:tcPr>
            <w:tcW w:w="1852" w:type="dxa"/>
            <w:tcBorders>
              <w:top w:val="single" w:sz="4" w:space="0" w:color="auto"/>
              <w:bottom w:val="single" w:sz="4" w:space="0" w:color="9BBB59" w:themeColor="accent3"/>
            </w:tcBorders>
          </w:tcPr>
          <w:p w14:paraId="7683F854" w14:textId="77777777" w:rsidR="002601C2" w:rsidRPr="008777FD" w:rsidRDefault="002601C2" w:rsidP="008059B5">
            <w:pPr>
              <w:pStyle w:val="TableText"/>
              <w:tabs>
                <w:tab w:val="decimal" w:pos="1134"/>
              </w:tabs>
              <w:rPr>
                <w:rFonts w:cs="Arial"/>
              </w:rPr>
            </w:pPr>
            <w:r w:rsidRPr="008777FD">
              <w:rPr>
                <w:rFonts w:cs="Arial"/>
                <w:color w:val="000000"/>
              </w:rPr>
              <w:t>1,483</w:t>
            </w:r>
          </w:p>
        </w:tc>
        <w:tc>
          <w:tcPr>
            <w:tcW w:w="1852" w:type="dxa"/>
            <w:tcBorders>
              <w:top w:val="single" w:sz="4" w:space="0" w:color="auto"/>
              <w:bottom w:val="single" w:sz="4" w:space="0" w:color="9BBB59" w:themeColor="accent3"/>
            </w:tcBorders>
            <w:shd w:val="clear" w:color="auto" w:fill="auto"/>
            <w:noWrap/>
            <w:hideMark/>
          </w:tcPr>
          <w:p w14:paraId="3FDAA474" w14:textId="77777777" w:rsidR="002601C2" w:rsidRPr="008777FD" w:rsidRDefault="002601C2" w:rsidP="008059B5">
            <w:pPr>
              <w:pStyle w:val="TableText"/>
              <w:jc w:val="center"/>
              <w:rPr>
                <w:rFonts w:cs="Arial"/>
              </w:rPr>
            </w:pPr>
            <w:r w:rsidRPr="008777FD">
              <w:rPr>
                <w:rFonts w:cs="Arial"/>
                <w:color w:val="000000"/>
              </w:rPr>
              <w:t>1.5</w:t>
            </w:r>
          </w:p>
        </w:tc>
      </w:tr>
      <w:tr w:rsidR="002601C2" w:rsidRPr="000C05FB" w14:paraId="31914058" w14:textId="77777777" w:rsidTr="006518FE">
        <w:trPr>
          <w:cantSplit/>
        </w:trPr>
        <w:tc>
          <w:tcPr>
            <w:tcW w:w="1701" w:type="dxa"/>
            <w:vMerge/>
            <w:tcBorders>
              <w:top w:val="single" w:sz="4" w:space="0" w:color="auto"/>
              <w:bottom w:val="single" w:sz="4" w:space="0" w:color="auto"/>
            </w:tcBorders>
            <w:hideMark/>
          </w:tcPr>
          <w:p w14:paraId="5B24A810" w14:textId="77777777" w:rsidR="002601C2" w:rsidRPr="000C05FB" w:rsidRDefault="002601C2" w:rsidP="006518FE">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28504D33" w14:textId="77777777" w:rsidR="002601C2" w:rsidRPr="000C05FB" w:rsidRDefault="002601C2" w:rsidP="006518FE">
            <w:pPr>
              <w:pStyle w:val="TableText"/>
            </w:pPr>
            <w:r w:rsidRPr="000C05FB">
              <w:t>Auckland</w:t>
            </w:r>
          </w:p>
        </w:tc>
        <w:tc>
          <w:tcPr>
            <w:tcW w:w="1851" w:type="dxa"/>
            <w:tcBorders>
              <w:top w:val="single" w:sz="4" w:space="0" w:color="9BBB59" w:themeColor="accent3"/>
              <w:bottom w:val="single" w:sz="4" w:space="0" w:color="9BBB59" w:themeColor="accent3"/>
            </w:tcBorders>
          </w:tcPr>
          <w:p w14:paraId="2BAE59C5" w14:textId="77777777" w:rsidR="002601C2" w:rsidRPr="008777FD" w:rsidRDefault="002601C2" w:rsidP="008059B5">
            <w:pPr>
              <w:pStyle w:val="TableText"/>
              <w:tabs>
                <w:tab w:val="decimal" w:pos="1134"/>
              </w:tabs>
              <w:rPr>
                <w:rFonts w:cs="Arial"/>
              </w:rPr>
            </w:pPr>
            <w:r w:rsidRPr="008777FD">
              <w:rPr>
                <w:rFonts w:cs="Arial"/>
                <w:color w:val="000000"/>
              </w:rPr>
              <w:t>1,413</w:t>
            </w:r>
          </w:p>
        </w:tc>
        <w:tc>
          <w:tcPr>
            <w:tcW w:w="1852" w:type="dxa"/>
            <w:tcBorders>
              <w:top w:val="single" w:sz="4" w:space="0" w:color="9BBB59" w:themeColor="accent3"/>
              <w:bottom w:val="single" w:sz="4" w:space="0" w:color="9BBB59" w:themeColor="accent3"/>
            </w:tcBorders>
          </w:tcPr>
          <w:p w14:paraId="5AB6B5E7" w14:textId="77777777" w:rsidR="002601C2" w:rsidRPr="008777FD" w:rsidRDefault="002601C2" w:rsidP="008059B5">
            <w:pPr>
              <w:pStyle w:val="TableText"/>
              <w:tabs>
                <w:tab w:val="decimal" w:pos="1134"/>
              </w:tabs>
              <w:rPr>
                <w:rFonts w:cs="Arial"/>
              </w:rPr>
            </w:pPr>
            <w:r w:rsidRPr="008777FD">
              <w:rPr>
                <w:rFonts w:cs="Arial"/>
                <w:color w:val="000000"/>
              </w:rPr>
              <w:t>1,017</w:t>
            </w:r>
          </w:p>
        </w:tc>
        <w:tc>
          <w:tcPr>
            <w:tcW w:w="1852" w:type="dxa"/>
            <w:tcBorders>
              <w:top w:val="single" w:sz="4" w:space="0" w:color="9BBB59" w:themeColor="accent3"/>
              <w:bottom w:val="single" w:sz="4" w:space="0" w:color="9BBB59" w:themeColor="accent3"/>
            </w:tcBorders>
            <w:shd w:val="clear" w:color="auto" w:fill="auto"/>
            <w:noWrap/>
            <w:hideMark/>
          </w:tcPr>
          <w:p w14:paraId="2E6D48DE" w14:textId="77777777" w:rsidR="002601C2" w:rsidRPr="008777FD" w:rsidRDefault="002601C2" w:rsidP="008059B5">
            <w:pPr>
              <w:pStyle w:val="TableText"/>
              <w:jc w:val="center"/>
              <w:rPr>
                <w:rFonts w:cs="Arial"/>
              </w:rPr>
            </w:pPr>
            <w:r w:rsidRPr="008777FD">
              <w:rPr>
                <w:rFonts w:cs="Arial"/>
                <w:color w:val="000000"/>
              </w:rPr>
              <w:t>1.4</w:t>
            </w:r>
          </w:p>
        </w:tc>
      </w:tr>
      <w:tr w:rsidR="002601C2" w:rsidRPr="000C05FB" w14:paraId="5A93EDC9" w14:textId="77777777" w:rsidTr="006518FE">
        <w:trPr>
          <w:cantSplit/>
        </w:trPr>
        <w:tc>
          <w:tcPr>
            <w:tcW w:w="1701" w:type="dxa"/>
            <w:vMerge/>
            <w:tcBorders>
              <w:top w:val="single" w:sz="4" w:space="0" w:color="auto"/>
              <w:bottom w:val="single" w:sz="4" w:space="0" w:color="auto"/>
            </w:tcBorders>
            <w:hideMark/>
          </w:tcPr>
          <w:p w14:paraId="2C5E45B0" w14:textId="77777777" w:rsidR="002601C2" w:rsidRPr="000C05FB" w:rsidRDefault="002601C2" w:rsidP="006518FE">
            <w:pPr>
              <w:pStyle w:val="TableText"/>
            </w:pPr>
          </w:p>
        </w:tc>
        <w:tc>
          <w:tcPr>
            <w:tcW w:w="2100" w:type="dxa"/>
            <w:tcBorders>
              <w:top w:val="single" w:sz="4" w:space="0" w:color="9BBB59" w:themeColor="accent3"/>
              <w:bottom w:val="single" w:sz="4" w:space="0" w:color="auto"/>
            </w:tcBorders>
            <w:shd w:val="clear" w:color="auto" w:fill="auto"/>
            <w:hideMark/>
          </w:tcPr>
          <w:p w14:paraId="37A442FC" w14:textId="77777777" w:rsidR="002601C2" w:rsidRPr="000C05FB" w:rsidRDefault="002601C2" w:rsidP="006518FE">
            <w:pPr>
              <w:pStyle w:val="TableText"/>
            </w:pPr>
            <w:r w:rsidRPr="000C05FB">
              <w:t>Waitemata</w:t>
            </w:r>
          </w:p>
        </w:tc>
        <w:tc>
          <w:tcPr>
            <w:tcW w:w="1851" w:type="dxa"/>
            <w:tcBorders>
              <w:top w:val="single" w:sz="4" w:space="0" w:color="9BBB59" w:themeColor="accent3"/>
              <w:bottom w:val="single" w:sz="4" w:space="0" w:color="auto"/>
            </w:tcBorders>
          </w:tcPr>
          <w:p w14:paraId="33AA936A" w14:textId="77777777" w:rsidR="002601C2" w:rsidRPr="008777FD" w:rsidRDefault="002601C2" w:rsidP="008059B5">
            <w:pPr>
              <w:pStyle w:val="TableText"/>
              <w:tabs>
                <w:tab w:val="decimal" w:pos="1134"/>
              </w:tabs>
              <w:rPr>
                <w:rFonts w:cs="Arial"/>
              </w:rPr>
            </w:pPr>
            <w:r w:rsidRPr="008777FD">
              <w:rPr>
                <w:rFonts w:cs="Arial"/>
                <w:color w:val="000000"/>
              </w:rPr>
              <w:t>655</w:t>
            </w:r>
          </w:p>
        </w:tc>
        <w:tc>
          <w:tcPr>
            <w:tcW w:w="1852" w:type="dxa"/>
            <w:tcBorders>
              <w:top w:val="single" w:sz="4" w:space="0" w:color="9BBB59" w:themeColor="accent3"/>
              <w:bottom w:val="single" w:sz="4" w:space="0" w:color="auto"/>
            </w:tcBorders>
          </w:tcPr>
          <w:p w14:paraId="31E6297E" w14:textId="77777777" w:rsidR="002601C2" w:rsidRPr="008777FD" w:rsidRDefault="002601C2" w:rsidP="008059B5">
            <w:pPr>
              <w:pStyle w:val="TableText"/>
              <w:tabs>
                <w:tab w:val="decimal" w:pos="1134"/>
              </w:tabs>
              <w:rPr>
                <w:rFonts w:cs="Arial"/>
              </w:rPr>
            </w:pPr>
            <w:r w:rsidRPr="008777FD">
              <w:rPr>
                <w:rFonts w:cs="Arial"/>
                <w:color w:val="000000"/>
              </w:rPr>
              <w:t>524</w:t>
            </w:r>
          </w:p>
        </w:tc>
        <w:tc>
          <w:tcPr>
            <w:tcW w:w="1852" w:type="dxa"/>
            <w:tcBorders>
              <w:top w:val="single" w:sz="4" w:space="0" w:color="9BBB59" w:themeColor="accent3"/>
              <w:bottom w:val="single" w:sz="4" w:space="0" w:color="auto"/>
            </w:tcBorders>
            <w:shd w:val="clear" w:color="auto" w:fill="auto"/>
            <w:noWrap/>
            <w:hideMark/>
          </w:tcPr>
          <w:p w14:paraId="65D29466" w14:textId="77777777" w:rsidR="002601C2" w:rsidRPr="008777FD" w:rsidRDefault="002601C2" w:rsidP="008059B5">
            <w:pPr>
              <w:pStyle w:val="TableText"/>
              <w:jc w:val="center"/>
              <w:rPr>
                <w:rFonts w:cs="Arial"/>
              </w:rPr>
            </w:pPr>
            <w:r w:rsidRPr="008777FD">
              <w:rPr>
                <w:rFonts w:cs="Arial"/>
                <w:color w:val="000000"/>
              </w:rPr>
              <w:t>1.3</w:t>
            </w:r>
          </w:p>
        </w:tc>
      </w:tr>
      <w:tr w:rsidR="002601C2" w:rsidRPr="000C05FB" w14:paraId="5F990305" w14:textId="77777777" w:rsidTr="006518FE">
        <w:trPr>
          <w:cantSplit/>
        </w:trPr>
        <w:tc>
          <w:tcPr>
            <w:tcW w:w="1701" w:type="dxa"/>
            <w:vMerge w:val="restart"/>
            <w:tcBorders>
              <w:top w:val="single" w:sz="4" w:space="0" w:color="auto"/>
              <w:bottom w:val="single" w:sz="4" w:space="0" w:color="auto"/>
            </w:tcBorders>
            <w:shd w:val="clear" w:color="auto" w:fill="auto"/>
            <w:hideMark/>
          </w:tcPr>
          <w:p w14:paraId="781624F6" w14:textId="77777777" w:rsidR="002601C2" w:rsidRPr="000C05FB" w:rsidRDefault="002601C2" w:rsidP="006518FE">
            <w:pPr>
              <w:pStyle w:val="TableText"/>
            </w:pPr>
            <w:r w:rsidRPr="000C05FB">
              <w:t>Rest of New Zealand</w:t>
            </w:r>
          </w:p>
        </w:tc>
        <w:tc>
          <w:tcPr>
            <w:tcW w:w="2100" w:type="dxa"/>
            <w:tcBorders>
              <w:top w:val="single" w:sz="4" w:space="0" w:color="auto"/>
              <w:bottom w:val="single" w:sz="4" w:space="0" w:color="9BBB59" w:themeColor="accent3"/>
            </w:tcBorders>
            <w:shd w:val="clear" w:color="auto" w:fill="auto"/>
            <w:hideMark/>
          </w:tcPr>
          <w:p w14:paraId="0494F59F" w14:textId="77777777" w:rsidR="002601C2" w:rsidRPr="000C05FB" w:rsidRDefault="002601C2" w:rsidP="006518FE">
            <w:pPr>
              <w:pStyle w:val="TableText"/>
            </w:pPr>
            <w:r w:rsidRPr="000C05FB">
              <w:t>Capital &amp; Coast</w:t>
            </w:r>
          </w:p>
        </w:tc>
        <w:tc>
          <w:tcPr>
            <w:tcW w:w="1851" w:type="dxa"/>
            <w:tcBorders>
              <w:top w:val="single" w:sz="4" w:space="0" w:color="auto"/>
              <w:bottom w:val="single" w:sz="4" w:space="0" w:color="9BBB59" w:themeColor="accent3"/>
            </w:tcBorders>
          </w:tcPr>
          <w:p w14:paraId="619F78CD" w14:textId="77777777" w:rsidR="002601C2" w:rsidRPr="008777FD" w:rsidRDefault="002601C2" w:rsidP="008059B5">
            <w:pPr>
              <w:pStyle w:val="TableText"/>
              <w:tabs>
                <w:tab w:val="decimal" w:pos="1134"/>
              </w:tabs>
              <w:rPr>
                <w:rFonts w:cs="Arial"/>
              </w:rPr>
            </w:pPr>
            <w:r w:rsidRPr="008777FD">
              <w:rPr>
                <w:rFonts w:cs="Arial"/>
                <w:color w:val="000000"/>
              </w:rPr>
              <w:t>356</w:t>
            </w:r>
          </w:p>
        </w:tc>
        <w:tc>
          <w:tcPr>
            <w:tcW w:w="1852" w:type="dxa"/>
            <w:tcBorders>
              <w:top w:val="single" w:sz="4" w:space="0" w:color="auto"/>
              <w:bottom w:val="single" w:sz="4" w:space="0" w:color="9BBB59" w:themeColor="accent3"/>
            </w:tcBorders>
          </w:tcPr>
          <w:p w14:paraId="3DEA3879" w14:textId="77777777" w:rsidR="002601C2" w:rsidRPr="008777FD" w:rsidRDefault="002601C2" w:rsidP="008059B5">
            <w:pPr>
              <w:pStyle w:val="TableText"/>
              <w:tabs>
                <w:tab w:val="decimal" w:pos="1134"/>
              </w:tabs>
              <w:rPr>
                <w:rFonts w:cs="Arial"/>
              </w:rPr>
            </w:pPr>
            <w:r w:rsidRPr="008777FD">
              <w:rPr>
                <w:rFonts w:cs="Arial"/>
                <w:color w:val="000000"/>
              </w:rPr>
              <w:t>317</w:t>
            </w:r>
          </w:p>
        </w:tc>
        <w:tc>
          <w:tcPr>
            <w:tcW w:w="1852" w:type="dxa"/>
            <w:tcBorders>
              <w:top w:val="single" w:sz="4" w:space="0" w:color="auto"/>
              <w:bottom w:val="single" w:sz="4" w:space="0" w:color="9BBB59" w:themeColor="accent3"/>
            </w:tcBorders>
            <w:shd w:val="clear" w:color="auto" w:fill="auto"/>
            <w:noWrap/>
            <w:hideMark/>
          </w:tcPr>
          <w:p w14:paraId="5D85584A" w14:textId="77777777" w:rsidR="002601C2" w:rsidRPr="008777FD" w:rsidRDefault="002601C2" w:rsidP="008059B5">
            <w:pPr>
              <w:pStyle w:val="TableText"/>
              <w:jc w:val="center"/>
              <w:rPr>
                <w:rFonts w:cs="Arial"/>
              </w:rPr>
            </w:pPr>
            <w:r w:rsidRPr="008777FD">
              <w:rPr>
                <w:rFonts w:cs="Arial"/>
                <w:color w:val="000000"/>
              </w:rPr>
              <w:t>1.1</w:t>
            </w:r>
          </w:p>
        </w:tc>
      </w:tr>
      <w:tr w:rsidR="002601C2" w:rsidRPr="000C05FB" w14:paraId="54688887" w14:textId="77777777" w:rsidTr="006518FE">
        <w:trPr>
          <w:cantSplit/>
        </w:trPr>
        <w:tc>
          <w:tcPr>
            <w:tcW w:w="1701" w:type="dxa"/>
            <w:vMerge/>
            <w:tcBorders>
              <w:top w:val="single" w:sz="4" w:space="0" w:color="auto"/>
              <w:bottom w:val="single" w:sz="4" w:space="0" w:color="auto"/>
            </w:tcBorders>
            <w:hideMark/>
          </w:tcPr>
          <w:p w14:paraId="0C15C57D" w14:textId="77777777" w:rsidR="002601C2" w:rsidRPr="000C05FB" w:rsidRDefault="002601C2" w:rsidP="006518FE">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3A460AC0" w14:textId="77777777" w:rsidR="002601C2" w:rsidRPr="000C05FB" w:rsidRDefault="002601C2" w:rsidP="006518FE">
            <w:pPr>
              <w:pStyle w:val="TableText"/>
            </w:pPr>
            <w:r w:rsidRPr="000C05FB">
              <w:t>Canterbury</w:t>
            </w:r>
          </w:p>
        </w:tc>
        <w:tc>
          <w:tcPr>
            <w:tcW w:w="1851" w:type="dxa"/>
            <w:tcBorders>
              <w:top w:val="single" w:sz="4" w:space="0" w:color="9BBB59" w:themeColor="accent3"/>
              <w:bottom w:val="single" w:sz="4" w:space="0" w:color="9BBB59" w:themeColor="accent3"/>
            </w:tcBorders>
          </w:tcPr>
          <w:p w14:paraId="2C174663" w14:textId="77777777" w:rsidR="002601C2" w:rsidRPr="008777FD" w:rsidRDefault="002601C2" w:rsidP="008059B5">
            <w:pPr>
              <w:pStyle w:val="TableText"/>
              <w:tabs>
                <w:tab w:val="decimal" w:pos="1134"/>
              </w:tabs>
              <w:rPr>
                <w:rFonts w:cs="Arial"/>
              </w:rPr>
            </w:pPr>
            <w:r w:rsidRPr="008777FD">
              <w:rPr>
                <w:rFonts w:cs="Arial"/>
                <w:color w:val="000000"/>
              </w:rPr>
              <w:t>240</w:t>
            </w:r>
          </w:p>
        </w:tc>
        <w:tc>
          <w:tcPr>
            <w:tcW w:w="1852" w:type="dxa"/>
            <w:tcBorders>
              <w:top w:val="single" w:sz="4" w:space="0" w:color="9BBB59" w:themeColor="accent3"/>
              <w:bottom w:val="single" w:sz="4" w:space="0" w:color="9BBB59" w:themeColor="accent3"/>
            </w:tcBorders>
          </w:tcPr>
          <w:p w14:paraId="13F40741" w14:textId="77777777" w:rsidR="002601C2" w:rsidRPr="008777FD" w:rsidRDefault="002601C2" w:rsidP="008059B5">
            <w:pPr>
              <w:pStyle w:val="TableText"/>
              <w:tabs>
                <w:tab w:val="decimal" w:pos="1134"/>
              </w:tabs>
              <w:rPr>
                <w:rFonts w:cs="Arial"/>
              </w:rPr>
            </w:pPr>
            <w:r w:rsidRPr="008777FD">
              <w:rPr>
                <w:rFonts w:cs="Arial"/>
                <w:color w:val="000000"/>
              </w:rPr>
              <w:t>188</w:t>
            </w:r>
          </w:p>
        </w:tc>
        <w:tc>
          <w:tcPr>
            <w:tcW w:w="1852" w:type="dxa"/>
            <w:tcBorders>
              <w:top w:val="single" w:sz="4" w:space="0" w:color="9BBB59" w:themeColor="accent3"/>
              <w:bottom w:val="single" w:sz="4" w:space="0" w:color="9BBB59" w:themeColor="accent3"/>
            </w:tcBorders>
            <w:shd w:val="clear" w:color="auto" w:fill="auto"/>
            <w:noWrap/>
            <w:hideMark/>
          </w:tcPr>
          <w:p w14:paraId="13C70070" w14:textId="77777777" w:rsidR="002601C2" w:rsidRPr="008777FD" w:rsidRDefault="002601C2" w:rsidP="008059B5">
            <w:pPr>
              <w:pStyle w:val="TableText"/>
              <w:jc w:val="center"/>
              <w:rPr>
                <w:rFonts w:cs="Arial"/>
              </w:rPr>
            </w:pPr>
            <w:r w:rsidRPr="008777FD">
              <w:rPr>
                <w:rFonts w:cs="Arial"/>
                <w:color w:val="000000"/>
              </w:rPr>
              <w:t>1.3</w:t>
            </w:r>
          </w:p>
        </w:tc>
      </w:tr>
      <w:tr w:rsidR="002601C2" w:rsidRPr="000C05FB" w14:paraId="1D1B21D6" w14:textId="77777777" w:rsidTr="006518FE">
        <w:trPr>
          <w:cantSplit/>
        </w:trPr>
        <w:tc>
          <w:tcPr>
            <w:tcW w:w="1701" w:type="dxa"/>
            <w:vMerge/>
            <w:tcBorders>
              <w:top w:val="single" w:sz="4" w:space="0" w:color="auto"/>
              <w:bottom w:val="single" w:sz="4" w:space="0" w:color="auto"/>
            </w:tcBorders>
            <w:hideMark/>
          </w:tcPr>
          <w:p w14:paraId="494A7397" w14:textId="77777777" w:rsidR="002601C2" w:rsidRPr="000C05FB" w:rsidRDefault="002601C2" w:rsidP="006518FE">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48414BCF" w14:textId="77777777" w:rsidR="002601C2" w:rsidRPr="000C05FB" w:rsidRDefault="002601C2" w:rsidP="006518FE">
            <w:pPr>
              <w:pStyle w:val="TableText"/>
            </w:pPr>
            <w:r w:rsidRPr="000C05FB">
              <w:t>Hutt Valley</w:t>
            </w:r>
          </w:p>
        </w:tc>
        <w:tc>
          <w:tcPr>
            <w:tcW w:w="1851" w:type="dxa"/>
            <w:tcBorders>
              <w:top w:val="single" w:sz="4" w:space="0" w:color="9BBB59" w:themeColor="accent3"/>
              <w:bottom w:val="single" w:sz="4" w:space="0" w:color="9BBB59" w:themeColor="accent3"/>
            </w:tcBorders>
          </w:tcPr>
          <w:p w14:paraId="0C0629E1" w14:textId="77777777" w:rsidR="002601C2" w:rsidRPr="008777FD" w:rsidRDefault="002601C2" w:rsidP="008059B5">
            <w:pPr>
              <w:pStyle w:val="TableText"/>
              <w:tabs>
                <w:tab w:val="decimal" w:pos="1134"/>
              </w:tabs>
              <w:rPr>
                <w:rFonts w:cs="Arial"/>
              </w:rPr>
            </w:pPr>
            <w:r w:rsidRPr="008777FD">
              <w:rPr>
                <w:rFonts w:cs="Arial"/>
                <w:color w:val="000000"/>
              </w:rPr>
              <w:t>224</w:t>
            </w:r>
          </w:p>
        </w:tc>
        <w:tc>
          <w:tcPr>
            <w:tcW w:w="1852" w:type="dxa"/>
            <w:tcBorders>
              <w:top w:val="single" w:sz="4" w:space="0" w:color="9BBB59" w:themeColor="accent3"/>
              <w:bottom w:val="single" w:sz="4" w:space="0" w:color="9BBB59" w:themeColor="accent3"/>
            </w:tcBorders>
          </w:tcPr>
          <w:p w14:paraId="638162DF" w14:textId="77777777" w:rsidR="002601C2" w:rsidRPr="008777FD" w:rsidRDefault="002601C2" w:rsidP="008059B5">
            <w:pPr>
              <w:pStyle w:val="TableText"/>
              <w:tabs>
                <w:tab w:val="decimal" w:pos="1134"/>
              </w:tabs>
              <w:rPr>
                <w:rFonts w:cs="Arial"/>
              </w:rPr>
            </w:pPr>
            <w:r w:rsidRPr="008777FD">
              <w:rPr>
                <w:rFonts w:cs="Arial"/>
                <w:color w:val="000000"/>
              </w:rPr>
              <w:t>168</w:t>
            </w:r>
          </w:p>
        </w:tc>
        <w:tc>
          <w:tcPr>
            <w:tcW w:w="1852" w:type="dxa"/>
            <w:tcBorders>
              <w:top w:val="single" w:sz="4" w:space="0" w:color="9BBB59" w:themeColor="accent3"/>
              <w:bottom w:val="single" w:sz="4" w:space="0" w:color="9BBB59" w:themeColor="accent3"/>
            </w:tcBorders>
            <w:shd w:val="clear" w:color="auto" w:fill="auto"/>
            <w:noWrap/>
            <w:hideMark/>
          </w:tcPr>
          <w:p w14:paraId="75BADF72" w14:textId="77777777" w:rsidR="002601C2" w:rsidRPr="008777FD" w:rsidRDefault="002601C2" w:rsidP="008059B5">
            <w:pPr>
              <w:pStyle w:val="TableText"/>
              <w:jc w:val="center"/>
              <w:rPr>
                <w:rFonts w:cs="Arial"/>
              </w:rPr>
            </w:pPr>
            <w:r w:rsidRPr="008777FD">
              <w:rPr>
                <w:rFonts w:cs="Arial"/>
                <w:color w:val="000000"/>
              </w:rPr>
              <w:t>1.3</w:t>
            </w:r>
          </w:p>
        </w:tc>
      </w:tr>
      <w:tr w:rsidR="002601C2" w:rsidRPr="000C05FB" w14:paraId="6D53A87C" w14:textId="77777777" w:rsidTr="006518FE">
        <w:trPr>
          <w:cantSplit/>
        </w:trPr>
        <w:tc>
          <w:tcPr>
            <w:tcW w:w="1701" w:type="dxa"/>
            <w:vMerge/>
            <w:tcBorders>
              <w:top w:val="single" w:sz="4" w:space="0" w:color="auto"/>
              <w:bottom w:val="single" w:sz="4" w:space="0" w:color="auto"/>
            </w:tcBorders>
            <w:hideMark/>
          </w:tcPr>
          <w:p w14:paraId="34EDC750" w14:textId="77777777" w:rsidR="002601C2" w:rsidRPr="000C05FB" w:rsidRDefault="002601C2" w:rsidP="006518FE">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21042739" w14:textId="77777777" w:rsidR="002601C2" w:rsidRPr="000C05FB" w:rsidRDefault="002601C2" w:rsidP="006518FE">
            <w:pPr>
              <w:pStyle w:val="TableText"/>
            </w:pPr>
            <w:r w:rsidRPr="000C05FB">
              <w:t>Hawke</w:t>
            </w:r>
            <w:r>
              <w:t>’</w:t>
            </w:r>
            <w:r w:rsidRPr="000C05FB">
              <w:t>s Bay</w:t>
            </w:r>
          </w:p>
        </w:tc>
        <w:tc>
          <w:tcPr>
            <w:tcW w:w="1851" w:type="dxa"/>
            <w:tcBorders>
              <w:top w:val="single" w:sz="4" w:space="0" w:color="9BBB59" w:themeColor="accent3"/>
              <w:bottom w:val="single" w:sz="4" w:space="0" w:color="9BBB59" w:themeColor="accent3"/>
            </w:tcBorders>
          </w:tcPr>
          <w:p w14:paraId="37618369" w14:textId="77777777" w:rsidR="002601C2" w:rsidRPr="008777FD" w:rsidRDefault="002601C2" w:rsidP="008059B5">
            <w:pPr>
              <w:pStyle w:val="TableText"/>
              <w:tabs>
                <w:tab w:val="decimal" w:pos="1134"/>
              </w:tabs>
              <w:rPr>
                <w:rFonts w:cs="Arial"/>
              </w:rPr>
            </w:pPr>
            <w:r w:rsidRPr="008777FD">
              <w:rPr>
                <w:rFonts w:cs="Arial"/>
                <w:color w:val="000000"/>
              </w:rPr>
              <w:t>96</w:t>
            </w:r>
          </w:p>
        </w:tc>
        <w:tc>
          <w:tcPr>
            <w:tcW w:w="1852" w:type="dxa"/>
            <w:tcBorders>
              <w:top w:val="single" w:sz="4" w:space="0" w:color="9BBB59" w:themeColor="accent3"/>
              <w:bottom w:val="single" w:sz="4" w:space="0" w:color="9BBB59" w:themeColor="accent3"/>
            </w:tcBorders>
          </w:tcPr>
          <w:p w14:paraId="32FB147C" w14:textId="77777777" w:rsidR="002601C2" w:rsidRPr="008777FD" w:rsidRDefault="002601C2" w:rsidP="008059B5">
            <w:pPr>
              <w:pStyle w:val="TableText"/>
              <w:tabs>
                <w:tab w:val="decimal" w:pos="1134"/>
              </w:tabs>
              <w:rPr>
                <w:rFonts w:cs="Arial"/>
              </w:rPr>
            </w:pPr>
            <w:r w:rsidRPr="008777FD">
              <w:rPr>
                <w:rFonts w:cs="Arial"/>
                <w:color w:val="000000"/>
              </w:rPr>
              <w:t>92</w:t>
            </w:r>
          </w:p>
        </w:tc>
        <w:tc>
          <w:tcPr>
            <w:tcW w:w="1852" w:type="dxa"/>
            <w:tcBorders>
              <w:top w:val="single" w:sz="4" w:space="0" w:color="9BBB59" w:themeColor="accent3"/>
              <w:bottom w:val="single" w:sz="4" w:space="0" w:color="9BBB59" w:themeColor="accent3"/>
            </w:tcBorders>
            <w:shd w:val="clear" w:color="auto" w:fill="auto"/>
            <w:noWrap/>
            <w:hideMark/>
          </w:tcPr>
          <w:p w14:paraId="654D9B82" w14:textId="77777777" w:rsidR="002601C2" w:rsidRPr="008777FD" w:rsidRDefault="002601C2" w:rsidP="008059B5">
            <w:pPr>
              <w:pStyle w:val="TableText"/>
              <w:jc w:val="center"/>
              <w:rPr>
                <w:rFonts w:cs="Arial"/>
              </w:rPr>
            </w:pPr>
            <w:r w:rsidRPr="008777FD">
              <w:rPr>
                <w:rFonts w:cs="Arial"/>
                <w:color w:val="000000"/>
              </w:rPr>
              <w:t>1.0</w:t>
            </w:r>
          </w:p>
        </w:tc>
      </w:tr>
      <w:tr w:rsidR="002601C2" w:rsidRPr="000C05FB" w14:paraId="7B89FE62" w14:textId="77777777" w:rsidTr="006518FE">
        <w:trPr>
          <w:cantSplit/>
        </w:trPr>
        <w:tc>
          <w:tcPr>
            <w:tcW w:w="1701" w:type="dxa"/>
            <w:vMerge/>
            <w:tcBorders>
              <w:top w:val="single" w:sz="4" w:space="0" w:color="auto"/>
              <w:bottom w:val="single" w:sz="4" w:space="0" w:color="auto"/>
            </w:tcBorders>
            <w:hideMark/>
          </w:tcPr>
          <w:p w14:paraId="3D738A38" w14:textId="77777777" w:rsidR="002601C2" w:rsidRPr="000C05FB" w:rsidRDefault="002601C2" w:rsidP="006518FE">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148A52D9" w14:textId="77777777" w:rsidR="002601C2" w:rsidRPr="000C05FB" w:rsidRDefault="002601C2" w:rsidP="006518FE">
            <w:pPr>
              <w:pStyle w:val="TableText"/>
            </w:pPr>
            <w:r w:rsidRPr="000C05FB">
              <w:t>Waikato</w:t>
            </w:r>
          </w:p>
        </w:tc>
        <w:tc>
          <w:tcPr>
            <w:tcW w:w="1851" w:type="dxa"/>
            <w:tcBorders>
              <w:top w:val="single" w:sz="4" w:space="0" w:color="9BBB59" w:themeColor="accent3"/>
              <w:bottom w:val="single" w:sz="4" w:space="0" w:color="auto"/>
            </w:tcBorders>
          </w:tcPr>
          <w:p w14:paraId="199913C5" w14:textId="77777777" w:rsidR="002601C2" w:rsidRPr="008777FD" w:rsidRDefault="002601C2" w:rsidP="008059B5">
            <w:pPr>
              <w:pStyle w:val="TableText"/>
              <w:tabs>
                <w:tab w:val="decimal" w:pos="1134"/>
              </w:tabs>
              <w:rPr>
                <w:rFonts w:cs="Arial"/>
              </w:rPr>
            </w:pPr>
            <w:r w:rsidRPr="008777FD">
              <w:rPr>
                <w:rFonts w:cs="Arial"/>
                <w:color w:val="000000"/>
              </w:rPr>
              <w:t>118</w:t>
            </w:r>
          </w:p>
        </w:tc>
        <w:tc>
          <w:tcPr>
            <w:tcW w:w="1852" w:type="dxa"/>
            <w:tcBorders>
              <w:top w:val="single" w:sz="4" w:space="0" w:color="9BBB59" w:themeColor="accent3"/>
              <w:bottom w:val="single" w:sz="4" w:space="0" w:color="auto"/>
            </w:tcBorders>
          </w:tcPr>
          <w:p w14:paraId="2098243E" w14:textId="77777777" w:rsidR="002601C2" w:rsidRPr="008777FD" w:rsidRDefault="002601C2" w:rsidP="008059B5">
            <w:pPr>
              <w:pStyle w:val="TableText"/>
              <w:tabs>
                <w:tab w:val="decimal" w:pos="1134"/>
              </w:tabs>
              <w:rPr>
                <w:rFonts w:cs="Arial"/>
              </w:rPr>
            </w:pPr>
            <w:r w:rsidRPr="008777FD">
              <w:rPr>
                <w:rFonts w:cs="Arial"/>
                <w:color w:val="000000"/>
              </w:rPr>
              <w:t>86</w:t>
            </w:r>
          </w:p>
        </w:tc>
        <w:tc>
          <w:tcPr>
            <w:tcW w:w="1852" w:type="dxa"/>
            <w:tcBorders>
              <w:top w:val="single" w:sz="4" w:space="0" w:color="9BBB59" w:themeColor="accent3"/>
              <w:bottom w:val="single" w:sz="4" w:space="0" w:color="9BBB59" w:themeColor="accent3"/>
            </w:tcBorders>
            <w:shd w:val="clear" w:color="auto" w:fill="auto"/>
            <w:noWrap/>
            <w:hideMark/>
          </w:tcPr>
          <w:p w14:paraId="07B3106E" w14:textId="77777777" w:rsidR="002601C2" w:rsidRPr="008777FD" w:rsidRDefault="002601C2" w:rsidP="008059B5">
            <w:pPr>
              <w:pStyle w:val="TableText"/>
              <w:jc w:val="center"/>
              <w:rPr>
                <w:rFonts w:cs="Arial"/>
              </w:rPr>
            </w:pPr>
            <w:r w:rsidRPr="008777FD">
              <w:rPr>
                <w:rFonts w:cs="Arial"/>
                <w:color w:val="000000"/>
              </w:rPr>
              <w:t>1.4</w:t>
            </w:r>
          </w:p>
        </w:tc>
      </w:tr>
      <w:tr w:rsidR="002601C2" w:rsidRPr="000C05FB" w14:paraId="1A8550C4" w14:textId="77777777" w:rsidTr="006518FE">
        <w:trPr>
          <w:cantSplit/>
        </w:trPr>
        <w:tc>
          <w:tcPr>
            <w:tcW w:w="3801" w:type="dxa"/>
            <w:gridSpan w:val="2"/>
            <w:tcBorders>
              <w:top w:val="single" w:sz="4" w:space="0" w:color="auto"/>
              <w:bottom w:val="single" w:sz="4" w:space="0" w:color="000000"/>
            </w:tcBorders>
          </w:tcPr>
          <w:p w14:paraId="77F0FF2B" w14:textId="77777777" w:rsidR="002601C2" w:rsidRPr="000C05FB" w:rsidRDefault="002601C2" w:rsidP="006518FE">
            <w:pPr>
              <w:pStyle w:val="TableText"/>
            </w:pPr>
            <w:r>
              <w:t>Total New Zealand population</w:t>
            </w:r>
          </w:p>
        </w:tc>
        <w:tc>
          <w:tcPr>
            <w:tcW w:w="1851" w:type="dxa"/>
            <w:tcBorders>
              <w:top w:val="single" w:sz="4" w:space="0" w:color="auto"/>
              <w:bottom w:val="single" w:sz="4" w:space="0" w:color="auto"/>
            </w:tcBorders>
          </w:tcPr>
          <w:p w14:paraId="737A0157" w14:textId="77777777" w:rsidR="002601C2" w:rsidRPr="008777FD" w:rsidRDefault="002601C2" w:rsidP="008059B5">
            <w:pPr>
              <w:pStyle w:val="TableText"/>
              <w:tabs>
                <w:tab w:val="decimal" w:pos="1134"/>
              </w:tabs>
              <w:rPr>
                <w:rFonts w:cs="Arial"/>
                <w:color w:val="000000"/>
              </w:rPr>
            </w:pPr>
            <w:r>
              <w:rPr>
                <w:rFonts w:cs="Arial"/>
                <w:color w:val="000000"/>
              </w:rPr>
              <w:t>46,492</w:t>
            </w:r>
          </w:p>
        </w:tc>
        <w:tc>
          <w:tcPr>
            <w:tcW w:w="1852" w:type="dxa"/>
            <w:tcBorders>
              <w:top w:val="single" w:sz="4" w:space="0" w:color="auto"/>
              <w:bottom w:val="single" w:sz="4" w:space="0" w:color="auto"/>
            </w:tcBorders>
          </w:tcPr>
          <w:p w14:paraId="2A925607" w14:textId="77777777" w:rsidR="002601C2" w:rsidRPr="008777FD" w:rsidRDefault="002601C2" w:rsidP="008059B5">
            <w:pPr>
              <w:pStyle w:val="TableText"/>
              <w:tabs>
                <w:tab w:val="decimal" w:pos="1134"/>
              </w:tabs>
              <w:rPr>
                <w:rFonts w:cs="Arial"/>
                <w:color w:val="000000"/>
              </w:rPr>
            </w:pPr>
            <w:r>
              <w:rPr>
                <w:rFonts w:cs="Arial"/>
                <w:color w:val="000000"/>
              </w:rPr>
              <w:t>41,649</w:t>
            </w:r>
          </w:p>
        </w:tc>
        <w:tc>
          <w:tcPr>
            <w:tcW w:w="1852" w:type="dxa"/>
            <w:tcBorders>
              <w:top w:val="single" w:sz="4" w:space="0" w:color="auto"/>
              <w:bottom w:val="single" w:sz="4" w:space="0" w:color="auto"/>
            </w:tcBorders>
            <w:shd w:val="clear" w:color="auto" w:fill="auto"/>
            <w:noWrap/>
          </w:tcPr>
          <w:p w14:paraId="4AFB01EA" w14:textId="77777777" w:rsidR="002601C2" w:rsidRPr="008777FD" w:rsidRDefault="002601C2" w:rsidP="008059B5">
            <w:pPr>
              <w:pStyle w:val="TableText"/>
              <w:jc w:val="center"/>
              <w:rPr>
                <w:rFonts w:cs="Arial"/>
                <w:color w:val="000000"/>
              </w:rPr>
            </w:pPr>
            <w:r>
              <w:rPr>
                <w:rFonts w:cs="Arial"/>
                <w:color w:val="000000"/>
              </w:rPr>
              <w:t>0.9</w:t>
            </w:r>
          </w:p>
        </w:tc>
      </w:tr>
    </w:tbl>
    <w:p w14:paraId="0778321E" w14:textId="77777777" w:rsidR="002601C2" w:rsidRDefault="002601C2" w:rsidP="008059B5"/>
    <w:p w14:paraId="2927643E" w14:textId="77777777" w:rsidR="002601C2" w:rsidRPr="00EB0A3D" w:rsidRDefault="002601C2" w:rsidP="008059B5">
      <w:pPr>
        <w:pStyle w:val="Heading1"/>
      </w:pPr>
      <w:bookmarkStart w:id="196" w:name="_Toc503952530"/>
      <w:bookmarkStart w:id="197" w:name="_Toc504249870"/>
      <w:bookmarkStart w:id="198" w:name="_Toc531258258"/>
      <w:r>
        <w:lastRenderedPageBreak/>
        <w:t>Immunisations</w:t>
      </w:r>
      <w:bookmarkEnd w:id="196"/>
      <w:bookmarkEnd w:id="197"/>
      <w:bookmarkEnd w:id="198"/>
    </w:p>
    <w:p w14:paraId="673D72F7" w14:textId="77777777" w:rsidR="002601C2" w:rsidRDefault="002601C2" w:rsidP="008059B5">
      <w:r>
        <w:t>Immunisation protects children</w:t>
      </w:r>
      <w:r w:rsidRPr="002F57A1">
        <w:t xml:space="preserve"> and communities against a range of preventable infectious diseases. The National Immunisation Schedule provides a series of free vaccinations to pregnant women, babies, children and adults.</w:t>
      </w:r>
      <w:r>
        <w:t xml:space="preserve"> </w:t>
      </w:r>
      <w:r w:rsidRPr="002F57A1">
        <w:t xml:space="preserve">Timely immunisations provide the best protection; missing or delaying a vaccination can put </w:t>
      </w:r>
      <w:r>
        <w:t>a child</w:t>
      </w:r>
      <w:r w:rsidRPr="002F57A1">
        <w:t xml:space="preserve"> at risk</w:t>
      </w:r>
      <w:r>
        <w:t xml:space="preserve"> of catching infectious diseases such as measles and pertussis (whooping cough)</w:t>
      </w:r>
      <w:r w:rsidRPr="002F57A1">
        <w:t>. The ‘increased immunisation’ target aims to ensure that</w:t>
      </w:r>
      <w:r>
        <w:t xml:space="preserve"> </w:t>
      </w:r>
      <w:r w:rsidRPr="002F57A1">
        <w:t>95</w:t>
      </w:r>
      <w:r>
        <w:t> </w:t>
      </w:r>
      <w:r w:rsidRPr="002F57A1">
        <w:t xml:space="preserve">percent of </w:t>
      </w:r>
      <w:r>
        <w:t xml:space="preserve">all </w:t>
      </w:r>
      <w:r w:rsidRPr="002F57A1">
        <w:t>children</w:t>
      </w:r>
      <w:r>
        <w:t>, including Pacific children,</w:t>
      </w:r>
      <w:r w:rsidRPr="002F57A1">
        <w:t xml:space="preserve"> are full</w:t>
      </w:r>
      <w:r>
        <w:t xml:space="preserve">y immunised at eight months – that is, </w:t>
      </w:r>
      <w:r w:rsidRPr="002F57A1">
        <w:t xml:space="preserve">that they have received all immunisations scheduled for </w:t>
      </w:r>
      <w:r>
        <w:t xml:space="preserve">six </w:t>
      </w:r>
      <w:r w:rsidRPr="002F57A1">
        <w:t>week</w:t>
      </w:r>
      <w:r>
        <w:t>s, three months and five months of age</w:t>
      </w:r>
      <w:r w:rsidRPr="002F57A1">
        <w:t>.</w:t>
      </w:r>
    </w:p>
    <w:p w14:paraId="3B7062C5" w14:textId="77777777" w:rsidR="002601C2" w:rsidRDefault="002601C2" w:rsidP="008059B5"/>
    <w:p w14:paraId="6189EEC4" w14:textId="77777777" w:rsidR="002F7222" w:rsidRDefault="002601C2" w:rsidP="008059B5">
      <w:r>
        <w:t>Immunisation coverage for Pacific infants has consistently met the 95 percent target since June 2014, whereas the target is yet to be met for the overall population. In the most recent quarter (ending March 2017), the rate of coverage decreased slightly, to 94.5 percent,</w:t>
      </w:r>
      <w:r w:rsidRPr="00C93FE7">
        <w:t xml:space="preserve"> </w:t>
      </w:r>
      <w:r>
        <w:t>as Figure 17 shows. A similar decrease in overall coverage was apparent in this quarter. It is important to note that coverage in quarter three (January–March) has been lower than quarter two (October–December) in most previous years. This seasonal decrease is attributable to a number of factors, including</w:t>
      </w:r>
      <w:r w:rsidRPr="00C93FE7">
        <w:t xml:space="preserve"> infants missing immunisations during summer holidays and the start of the influenza vaccine season.</w:t>
      </w:r>
    </w:p>
    <w:p w14:paraId="0399AED2" w14:textId="77777777" w:rsidR="002601C2" w:rsidRDefault="002601C2" w:rsidP="008059B5"/>
    <w:p w14:paraId="39D46B0E" w14:textId="77777777" w:rsidR="008059B5" w:rsidRDefault="008059B5" w:rsidP="008059B5">
      <w:pPr>
        <w:pStyle w:val="Heading2"/>
      </w:pPr>
      <w:bookmarkStart w:id="199" w:name="_Toc504249871"/>
      <w:bookmarkStart w:id="200" w:name="_Toc531258259"/>
      <w:r>
        <w:t>Increased Pacific infant immunisation coverage</w:t>
      </w:r>
      <w:bookmarkEnd w:id="199"/>
      <w:bookmarkEnd w:id="200"/>
    </w:p>
    <w:p w14:paraId="251BDDD7" w14:textId="77777777" w:rsidR="002601C2" w:rsidRPr="00A119E8" w:rsidRDefault="002601C2" w:rsidP="008059B5">
      <w:r w:rsidRPr="00D951A4">
        <w:rPr>
          <w:b/>
        </w:rPr>
        <w:t>Performance</w:t>
      </w:r>
      <w:r w:rsidRPr="00D951A4">
        <w:t xml:space="preserve">: </w:t>
      </w:r>
      <w:r w:rsidRPr="00A119E8">
        <w:t xml:space="preserve">The target </w:t>
      </w:r>
      <w:r>
        <w:t xml:space="preserve">was set at </w:t>
      </w:r>
      <w:r w:rsidRPr="00A119E8">
        <w:t>95 percent.</w:t>
      </w:r>
    </w:p>
    <w:p w14:paraId="391A4E35" w14:textId="77777777" w:rsidR="002601C2" w:rsidRDefault="002601C2" w:rsidP="008059B5">
      <w:bookmarkStart w:id="201" w:name="_Toc428368094"/>
      <w:bookmarkStart w:id="202" w:name="_Toc428370472"/>
      <w:bookmarkStart w:id="203" w:name="_Toc445801477"/>
      <w:bookmarkStart w:id="204" w:name="_Toc447527176"/>
      <w:bookmarkStart w:id="205" w:name="_Toc458409458"/>
    </w:p>
    <w:p w14:paraId="41371D92" w14:textId="77777777" w:rsidR="002F7222" w:rsidRDefault="002601C2" w:rsidP="008059B5">
      <w:pPr>
        <w:pStyle w:val="Figure"/>
      </w:pPr>
      <w:bookmarkStart w:id="206" w:name="_Toc504249905"/>
      <w:bookmarkStart w:id="207" w:name="_Toc531258300"/>
      <w:r w:rsidRPr="00A119E8">
        <w:t xml:space="preserve">Figure </w:t>
      </w:r>
      <w:r>
        <w:t>17</w:t>
      </w:r>
      <w:r w:rsidRPr="00A119E8">
        <w:t>: Immunisation coverage (percent</w:t>
      </w:r>
      <w:r>
        <w:t>age</w:t>
      </w:r>
      <w:r w:rsidRPr="00A119E8">
        <w:t xml:space="preserve">) </w:t>
      </w:r>
      <w:r>
        <w:t>of</w:t>
      </w:r>
      <w:r w:rsidRPr="00A119E8">
        <w:t xml:space="preserve"> </w:t>
      </w:r>
      <w:r>
        <w:t>eight-</w:t>
      </w:r>
      <w:r w:rsidRPr="00A119E8">
        <w:t>month</w:t>
      </w:r>
      <w:r>
        <w:t>-old</w:t>
      </w:r>
      <w:r w:rsidRPr="00A119E8">
        <w:t xml:space="preserve"> </w:t>
      </w:r>
      <w:r>
        <w:t>babies,</w:t>
      </w:r>
      <w:r w:rsidRPr="00A119E8">
        <w:t xml:space="preserve"> </w:t>
      </w:r>
      <w:r>
        <w:t>March 2014</w:t>
      </w:r>
      <w:r w:rsidRPr="00A119E8">
        <w:t>–</w:t>
      </w:r>
      <w:r>
        <w:t>March 2017</w:t>
      </w:r>
      <w:r w:rsidRPr="00A119E8">
        <w:t xml:space="preserve">, </w:t>
      </w:r>
      <w:r>
        <w:t>Pacific peoples</w:t>
      </w:r>
      <w:r w:rsidRPr="00A119E8">
        <w:t xml:space="preserve"> </w:t>
      </w:r>
      <w:r>
        <w:t>and total New Zealand population</w:t>
      </w:r>
      <w:bookmarkEnd w:id="201"/>
      <w:bookmarkEnd w:id="202"/>
      <w:bookmarkEnd w:id="203"/>
      <w:bookmarkEnd w:id="204"/>
      <w:bookmarkEnd w:id="205"/>
      <w:bookmarkEnd w:id="206"/>
      <w:bookmarkEnd w:id="207"/>
    </w:p>
    <w:p w14:paraId="7A764D77" w14:textId="77777777" w:rsidR="002601C2" w:rsidRDefault="002601C2" w:rsidP="002601C2">
      <w:r>
        <w:rPr>
          <w:noProof/>
          <w:lang w:eastAsia="ja-JP"/>
        </w:rPr>
        <w:drawing>
          <wp:inline distT="0" distB="0" distL="0" distR="0" wp14:anchorId="3796C50D" wp14:editId="2E1247AF">
            <wp:extent cx="4688378" cy="3067396"/>
            <wp:effectExtent l="0" t="0" r="0" b="0"/>
            <wp:docPr id="7" name="Chart 7" title="Figure 17: Immunisation coverage (percentage) of eight-month-old babies, March 2014–March 2017, Pacific peoples and total New Zealand popul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786CFDC" w14:textId="77777777" w:rsidR="002601C2" w:rsidRDefault="002601C2" w:rsidP="008059B5">
      <w:pPr>
        <w:pStyle w:val="Source"/>
      </w:pPr>
      <w:r w:rsidRPr="00F334E5">
        <w:t>Source: National Immunisation Register</w:t>
      </w:r>
      <w:r>
        <w:t xml:space="preserve"> reporting</w:t>
      </w:r>
    </w:p>
    <w:p w14:paraId="79E0E7AF" w14:textId="77777777" w:rsidR="002601C2" w:rsidRPr="00F334E5" w:rsidRDefault="002601C2" w:rsidP="008059B5"/>
    <w:p w14:paraId="442530B1" w14:textId="77777777" w:rsidR="002601C2" w:rsidRDefault="002601C2" w:rsidP="008059B5">
      <w:pPr>
        <w:pStyle w:val="Figure"/>
      </w:pPr>
      <w:bookmarkStart w:id="208" w:name="_Toc504249906"/>
      <w:bookmarkStart w:id="209" w:name="_Toc531258301"/>
      <w:r w:rsidRPr="00A119E8">
        <w:lastRenderedPageBreak/>
        <w:t xml:space="preserve">Figure </w:t>
      </w:r>
      <w:r>
        <w:t>18A</w:t>
      </w:r>
      <w:r w:rsidRPr="00A119E8">
        <w:t>: Immunisation coverage (percent</w:t>
      </w:r>
      <w:r>
        <w:t>age</w:t>
      </w:r>
      <w:r w:rsidRPr="00A119E8">
        <w:t xml:space="preserve">) </w:t>
      </w:r>
      <w:r>
        <w:t>of</w:t>
      </w:r>
      <w:r w:rsidRPr="00A119E8">
        <w:t xml:space="preserve"> </w:t>
      </w:r>
      <w:r>
        <w:t>eight-</w:t>
      </w:r>
      <w:r w:rsidRPr="00A119E8">
        <w:t>month</w:t>
      </w:r>
      <w:r>
        <w:t>-old</w:t>
      </w:r>
      <w:r w:rsidRPr="00A119E8">
        <w:t xml:space="preserve"> </w:t>
      </w:r>
      <w:r>
        <w:t>Pacific babies,</w:t>
      </w:r>
      <w:r w:rsidRPr="00A119E8">
        <w:t xml:space="preserve"> </w:t>
      </w:r>
      <w:r>
        <w:t xml:space="preserve">Auckland region </w:t>
      </w:r>
      <w:r w:rsidRPr="00A119E8">
        <w:t>DHBs</w:t>
      </w:r>
      <w:r>
        <w:t>, March 2013</w:t>
      </w:r>
      <w:r w:rsidRPr="00A119E8">
        <w:t>–</w:t>
      </w:r>
      <w:r>
        <w:t>March 2017</w:t>
      </w:r>
      <w:bookmarkEnd w:id="208"/>
      <w:bookmarkEnd w:id="209"/>
    </w:p>
    <w:p w14:paraId="61C9C38D" w14:textId="77777777" w:rsidR="002601C2" w:rsidRDefault="002601C2" w:rsidP="002601C2">
      <w:r>
        <w:rPr>
          <w:noProof/>
          <w:lang w:eastAsia="ja-JP"/>
        </w:rPr>
        <w:drawing>
          <wp:inline distT="0" distB="0" distL="0" distR="0" wp14:anchorId="0E54D4C0" wp14:editId="67728ADC">
            <wp:extent cx="4688378" cy="3000895"/>
            <wp:effectExtent l="0" t="0" r="0" b="0"/>
            <wp:docPr id="9" name="Chart 9" title="Figure 18A: Immunisation coverage (percentage) of eight-month-old Pacific babies, Auckland region DHBs, March 2013–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45FDC7B" w14:textId="77777777" w:rsidR="002601C2" w:rsidRDefault="002601C2" w:rsidP="008059B5">
      <w:pPr>
        <w:pStyle w:val="Source"/>
      </w:pPr>
      <w:r w:rsidRPr="00F334E5">
        <w:t>Source: National Immunisation Register</w:t>
      </w:r>
      <w:r>
        <w:t xml:space="preserve"> reporting</w:t>
      </w:r>
    </w:p>
    <w:p w14:paraId="3C9A0F82" w14:textId="77777777" w:rsidR="002601C2" w:rsidRDefault="002601C2" w:rsidP="008059B5"/>
    <w:p w14:paraId="7D51CA3C" w14:textId="77777777" w:rsidR="002F7222" w:rsidRDefault="002601C2" w:rsidP="008059B5">
      <w:pPr>
        <w:pStyle w:val="Figure"/>
      </w:pPr>
      <w:bookmarkStart w:id="210" w:name="_Toc504249907"/>
      <w:bookmarkStart w:id="211" w:name="_Toc531258302"/>
      <w:r w:rsidRPr="00A119E8">
        <w:t xml:space="preserve">Figure </w:t>
      </w:r>
      <w:r>
        <w:t>18B</w:t>
      </w:r>
      <w:r w:rsidRPr="00A119E8">
        <w:t>: Immunisation coverage (percent</w:t>
      </w:r>
      <w:r>
        <w:t>age</w:t>
      </w:r>
      <w:r w:rsidRPr="00A119E8">
        <w:t xml:space="preserve">) </w:t>
      </w:r>
      <w:r>
        <w:t>of</w:t>
      </w:r>
      <w:r w:rsidRPr="00A119E8">
        <w:t xml:space="preserve"> </w:t>
      </w:r>
      <w:r>
        <w:t>eight-</w:t>
      </w:r>
      <w:r w:rsidRPr="00A119E8">
        <w:t>month</w:t>
      </w:r>
      <w:r>
        <w:t>-old</w:t>
      </w:r>
      <w:r w:rsidRPr="00A119E8">
        <w:t xml:space="preserve"> </w:t>
      </w:r>
      <w:r>
        <w:t>Pacific babies,</w:t>
      </w:r>
      <w:r w:rsidRPr="00A119E8">
        <w:t xml:space="preserve"> </w:t>
      </w:r>
      <w:r>
        <w:t xml:space="preserve">priority </w:t>
      </w:r>
      <w:r w:rsidRPr="00A119E8">
        <w:t>DHBs</w:t>
      </w:r>
      <w:r>
        <w:t xml:space="preserve"> outside the Auckland region, March 2013</w:t>
      </w:r>
      <w:r w:rsidRPr="00A119E8">
        <w:t>–</w:t>
      </w:r>
      <w:r>
        <w:t>March 2017</w:t>
      </w:r>
      <w:bookmarkEnd w:id="210"/>
      <w:bookmarkEnd w:id="211"/>
    </w:p>
    <w:p w14:paraId="45C86219" w14:textId="77777777" w:rsidR="002601C2" w:rsidRDefault="002601C2" w:rsidP="002601C2">
      <w:r>
        <w:rPr>
          <w:noProof/>
          <w:lang w:eastAsia="ja-JP"/>
        </w:rPr>
        <w:drawing>
          <wp:inline distT="0" distB="0" distL="0" distR="0" wp14:anchorId="30461435" wp14:editId="0B81F984">
            <wp:extent cx="4688378" cy="2959331"/>
            <wp:effectExtent l="0" t="0" r="0" b="0"/>
            <wp:docPr id="15" name="Chart 15" title="Figure 18B: Immunisation coverage (percentage) of eight-month-old Pacific babies, priority DHBs outside the Auckland region, March 2013–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3682E20" w14:textId="77777777" w:rsidR="002601C2" w:rsidRDefault="002601C2" w:rsidP="008059B5">
      <w:pPr>
        <w:pStyle w:val="Source"/>
      </w:pPr>
      <w:r w:rsidRPr="00F334E5">
        <w:t>Source: National Immunisation Register</w:t>
      </w:r>
      <w:r>
        <w:t xml:space="preserve"> reporting</w:t>
      </w:r>
    </w:p>
    <w:p w14:paraId="3EBE61AF" w14:textId="77777777" w:rsidR="008059B5" w:rsidRDefault="008059B5" w:rsidP="008059B5"/>
    <w:p w14:paraId="28B64B2C" w14:textId="77777777" w:rsidR="008059B5" w:rsidRDefault="008059B5" w:rsidP="00512512">
      <w:pPr>
        <w:pStyle w:val="Note"/>
        <w:keepNext/>
        <w:ind w:left="0" w:right="0" w:firstLine="0"/>
      </w:pPr>
      <w:r w:rsidRPr="00A11460">
        <w:lastRenderedPageBreak/>
        <w:t>Notes</w:t>
      </w:r>
    </w:p>
    <w:p w14:paraId="746E8D3B" w14:textId="77777777" w:rsidR="008059B5" w:rsidRPr="008059B5" w:rsidRDefault="008059B5" w:rsidP="00512512">
      <w:pPr>
        <w:pStyle w:val="Note"/>
        <w:keepNext/>
        <w:ind w:left="0" w:right="0" w:firstLine="0"/>
        <w:rPr>
          <w:b/>
        </w:rPr>
      </w:pPr>
      <w:r w:rsidRPr="008059B5">
        <w:rPr>
          <w:b/>
        </w:rPr>
        <w:t>Figures 17, 18A and 18B:</w:t>
      </w:r>
    </w:p>
    <w:p w14:paraId="502CFDC1" w14:textId="77777777" w:rsidR="008059B5" w:rsidRDefault="008059B5" w:rsidP="00512512">
      <w:pPr>
        <w:pStyle w:val="Note"/>
        <w:keepNext/>
        <w:ind w:left="0" w:right="0" w:firstLine="0"/>
      </w:pPr>
      <w:r>
        <w:t>Timeframes: the data is reported by quarter: 1 January–30 March; 1 April–30 June; 1 July–30 September; and 1 October–30 December.</w:t>
      </w:r>
    </w:p>
    <w:p w14:paraId="690FAF8D" w14:textId="77777777" w:rsidR="008059B5" w:rsidRDefault="008059B5" w:rsidP="00512512">
      <w:pPr>
        <w:pStyle w:val="Note"/>
        <w:keepNext/>
        <w:ind w:left="0" w:right="0" w:firstLine="0"/>
      </w:pPr>
      <w:r>
        <w:t xml:space="preserve">Numerator: all children registered on the National Immunisation Register who were fully immunised (that is, </w:t>
      </w:r>
      <w:r w:rsidRPr="003F2EE9">
        <w:t xml:space="preserve">received all immunisations scheduled for </w:t>
      </w:r>
      <w:r>
        <w:t>six</w:t>
      </w:r>
      <w:r w:rsidRPr="003F2EE9">
        <w:t xml:space="preserve"> weeks, </w:t>
      </w:r>
      <w:r>
        <w:t>three</w:t>
      </w:r>
      <w:r w:rsidRPr="003F2EE9">
        <w:t xml:space="preserve"> months and </w:t>
      </w:r>
      <w:r>
        <w:t>five</w:t>
      </w:r>
      <w:r w:rsidRPr="003F2EE9">
        <w:t xml:space="preserve"> months of age)</w:t>
      </w:r>
      <w:r>
        <w:t xml:space="preserve"> on the day they turned eight months old</w:t>
      </w:r>
      <w:r w:rsidRPr="00F334E5">
        <w:t>.</w:t>
      </w:r>
      <w:r>
        <w:t xml:space="preserve"> Source: National Immunisation Register</w:t>
      </w:r>
      <w:r w:rsidR="00041534">
        <w:t>.</w:t>
      </w:r>
    </w:p>
    <w:p w14:paraId="19CE9748" w14:textId="0BE94460" w:rsidR="008059B5" w:rsidRDefault="008059B5" w:rsidP="00512512">
      <w:pPr>
        <w:pStyle w:val="Note"/>
        <w:keepNext/>
        <w:ind w:left="0" w:right="0" w:firstLine="0"/>
      </w:pPr>
      <w:r>
        <w:t>Denominator: all children on the National Immunisation Register</w:t>
      </w:r>
      <w:r w:rsidR="00BF24A0">
        <w:t xml:space="preserve"> who are</w:t>
      </w:r>
      <w:r w:rsidRPr="00F334E5">
        <w:t xml:space="preserve"> currently r</w:t>
      </w:r>
      <w:r>
        <w:t>esident</w:t>
      </w:r>
      <w:r w:rsidR="00BF24A0">
        <w:t>s</w:t>
      </w:r>
      <w:r>
        <w:t xml:space="preserve"> </w:t>
      </w:r>
      <w:r w:rsidR="00041534">
        <w:t>of</w:t>
      </w:r>
      <w:r>
        <w:t xml:space="preserve"> New Zealand </w:t>
      </w:r>
      <w:r w:rsidR="00BF24A0">
        <w:t xml:space="preserve">and </w:t>
      </w:r>
      <w:r w:rsidR="00041534">
        <w:t xml:space="preserve">who </w:t>
      </w:r>
      <w:r w:rsidRPr="00F334E5">
        <w:t xml:space="preserve">turned </w:t>
      </w:r>
      <w:r>
        <w:t>eight</w:t>
      </w:r>
      <w:r w:rsidRPr="00F334E5">
        <w:t xml:space="preserve"> mont</w:t>
      </w:r>
      <w:r>
        <w:t>hs of age in the relevant quarter. Source: National Immunisation Register</w:t>
      </w:r>
      <w:r w:rsidR="00041534">
        <w:t>.</w:t>
      </w:r>
    </w:p>
    <w:p w14:paraId="258E5D94" w14:textId="77777777" w:rsidR="008059B5" w:rsidRPr="00F334E5" w:rsidRDefault="008059B5" w:rsidP="008059B5">
      <w:pPr>
        <w:pStyle w:val="Note"/>
        <w:ind w:left="0" w:right="0" w:firstLine="0"/>
      </w:pPr>
      <w:r>
        <w:t>The high level of variability in the DHB coverage, especially for those DHBs outside of the Auckland region, is largely due to the small infant Pacific population in each DHB (see Table 8).</w:t>
      </w:r>
    </w:p>
    <w:p w14:paraId="61A8C7FC" w14:textId="77777777" w:rsidR="002601C2" w:rsidRDefault="002601C2" w:rsidP="008059B5"/>
    <w:p w14:paraId="230D0ADB" w14:textId="77777777" w:rsidR="002601C2" w:rsidRDefault="002601C2" w:rsidP="008059B5">
      <w:pPr>
        <w:pStyle w:val="Table"/>
      </w:pPr>
      <w:bookmarkStart w:id="212" w:name="_Toc504249881"/>
      <w:bookmarkStart w:id="213" w:name="_Toc531258266"/>
      <w:r>
        <w:t>Table 8</w:t>
      </w:r>
      <w:r w:rsidRPr="00A119E8">
        <w:t xml:space="preserve">: </w:t>
      </w:r>
      <w:r>
        <w:t>Count and percentage of babies</w:t>
      </w:r>
      <w:r w:rsidRPr="00A119E8">
        <w:t xml:space="preserve"> </w:t>
      </w:r>
      <w:r>
        <w:t xml:space="preserve">fully immunised at eight months of age, Pacific peoples, priority </w:t>
      </w:r>
      <w:r w:rsidRPr="00A119E8">
        <w:t>DHBs</w:t>
      </w:r>
      <w:r w:rsidR="008059B5">
        <w:t>, 1 January–30 March 2017</w:t>
      </w:r>
      <w:bookmarkEnd w:id="212"/>
      <w:bookmarkEnd w:id="213"/>
    </w:p>
    <w:tbl>
      <w:tblPr>
        <w:tblW w:w="0" w:type="auto"/>
        <w:tblInd w:w="57" w:type="dxa"/>
        <w:tblLayout w:type="fixed"/>
        <w:tblCellMar>
          <w:left w:w="57" w:type="dxa"/>
          <w:right w:w="57" w:type="dxa"/>
        </w:tblCellMar>
        <w:tblLook w:val="04A0" w:firstRow="1" w:lastRow="0" w:firstColumn="1" w:lastColumn="0" w:noHBand="0" w:noVBand="1"/>
      </w:tblPr>
      <w:tblGrid>
        <w:gridCol w:w="1701"/>
        <w:gridCol w:w="2100"/>
        <w:gridCol w:w="1851"/>
        <w:gridCol w:w="1852"/>
        <w:gridCol w:w="1852"/>
      </w:tblGrid>
      <w:tr w:rsidR="002601C2" w:rsidRPr="000C05FB" w14:paraId="5D9E70F6" w14:textId="77777777" w:rsidTr="008059B5">
        <w:trPr>
          <w:cantSplit/>
        </w:trPr>
        <w:tc>
          <w:tcPr>
            <w:tcW w:w="1701" w:type="dxa"/>
            <w:tcBorders>
              <w:top w:val="single" w:sz="4" w:space="0" w:color="auto"/>
              <w:bottom w:val="single" w:sz="4" w:space="0" w:color="auto"/>
            </w:tcBorders>
            <w:shd w:val="clear" w:color="auto" w:fill="auto"/>
            <w:hideMark/>
          </w:tcPr>
          <w:p w14:paraId="46663426" w14:textId="77777777" w:rsidR="002601C2" w:rsidRPr="000C05FB" w:rsidRDefault="002601C2" w:rsidP="008059B5">
            <w:pPr>
              <w:pStyle w:val="TableText"/>
            </w:pPr>
          </w:p>
        </w:tc>
        <w:tc>
          <w:tcPr>
            <w:tcW w:w="2100" w:type="dxa"/>
            <w:tcBorders>
              <w:top w:val="single" w:sz="4" w:space="0" w:color="auto"/>
              <w:bottom w:val="single" w:sz="4" w:space="0" w:color="auto"/>
            </w:tcBorders>
            <w:shd w:val="clear" w:color="auto" w:fill="auto"/>
            <w:hideMark/>
          </w:tcPr>
          <w:p w14:paraId="59EB5F4F" w14:textId="77777777" w:rsidR="002601C2" w:rsidRPr="000C05FB" w:rsidRDefault="002601C2" w:rsidP="008059B5">
            <w:pPr>
              <w:pStyle w:val="TableText"/>
              <w:rPr>
                <w:b/>
              </w:rPr>
            </w:pPr>
            <w:r w:rsidRPr="000C05FB">
              <w:rPr>
                <w:b/>
              </w:rPr>
              <w:t>Region</w:t>
            </w:r>
          </w:p>
        </w:tc>
        <w:tc>
          <w:tcPr>
            <w:tcW w:w="1851" w:type="dxa"/>
            <w:tcBorders>
              <w:top w:val="single" w:sz="4" w:space="0" w:color="auto"/>
              <w:bottom w:val="single" w:sz="4" w:space="0" w:color="auto"/>
            </w:tcBorders>
          </w:tcPr>
          <w:p w14:paraId="35B43ACF" w14:textId="77777777" w:rsidR="002601C2" w:rsidRPr="00DE34F4" w:rsidRDefault="002601C2" w:rsidP="008059B5">
            <w:pPr>
              <w:pStyle w:val="TableText"/>
              <w:jc w:val="center"/>
              <w:rPr>
                <w:b/>
              </w:rPr>
            </w:pPr>
            <w:r w:rsidRPr="00DE34F4">
              <w:rPr>
                <w:b/>
              </w:rPr>
              <w:t xml:space="preserve">Number </w:t>
            </w:r>
            <w:r>
              <w:rPr>
                <w:b/>
              </w:rPr>
              <w:t xml:space="preserve">of babies </w:t>
            </w:r>
            <w:r w:rsidRPr="00DE34F4">
              <w:rPr>
                <w:b/>
              </w:rPr>
              <w:t>fully immunised</w:t>
            </w:r>
          </w:p>
        </w:tc>
        <w:tc>
          <w:tcPr>
            <w:tcW w:w="1852" w:type="dxa"/>
            <w:tcBorders>
              <w:top w:val="single" w:sz="4" w:space="0" w:color="auto"/>
              <w:bottom w:val="single" w:sz="4" w:space="0" w:color="auto"/>
            </w:tcBorders>
            <w:shd w:val="clear" w:color="auto" w:fill="auto"/>
            <w:hideMark/>
          </w:tcPr>
          <w:p w14:paraId="5E40DA42" w14:textId="77777777" w:rsidR="002601C2" w:rsidRPr="00DE34F4" w:rsidRDefault="002601C2" w:rsidP="008059B5">
            <w:pPr>
              <w:pStyle w:val="TableText"/>
              <w:jc w:val="center"/>
              <w:rPr>
                <w:b/>
              </w:rPr>
            </w:pPr>
            <w:r w:rsidRPr="00DE34F4">
              <w:rPr>
                <w:b/>
              </w:rPr>
              <w:t xml:space="preserve">Number of </w:t>
            </w:r>
            <w:r>
              <w:rPr>
                <w:b/>
              </w:rPr>
              <w:t>babies</w:t>
            </w:r>
          </w:p>
        </w:tc>
        <w:tc>
          <w:tcPr>
            <w:tcW w:w="1852" w:type="dxa"/>
            <w:tcBorders>
              <w:top w:val="single" w:sz="4" w:space="0" w:color="auto"/>
              <w:bottom w:val="single" w:sz="4" w:space="0" w:color="auto"/>
            </w:tcBorders>
            <w:shd w:val="clear" w:color="auto" w:fill="auto"/>
            <w:hideMark/>
          </w:tcPr>
          <w:p w14:paraId="7902059E" w14:textId="77777777" w:rsidR="002601C2" w:rsidRPr="00DE34F4" w:rsidRDefault="002601C2" w:rsidP="008059B5">
            <w:pPr>
              <w:pStyle w:val="TableText"/>
              <w:jc w:val="center"/>
              <w:rPr>
                <w:b/>
              </w:rPr>
            </w:pPr>
            <w:r w:rsidRPr="00DE34F4">
              <w:rPr>
                <w:b/>
              </w:rPr>
              <w:t>Percentage fully immunised</w:t>
            </w:r>
          </w:p>
        </w:tc>
      </w:tr>
      <w:tr w:rsidR="002601C2" w:rsidRPr="000C05FB" w14:paraId="4B1895F8" w14:textId="77777777" w:rsidTr="008059B5">
        <w:trPr>
          <w:cantSplit/>
        </w:trPr>
        <w:tc>
          <w:tcPr>
            <w:tcW w:w="1701" w:type="dxa"/>
            <w:vMerge w:val="restart"/>
            <w:tcBorders>
              <w:top w:val="single" w:sz="4" w:space="0" w:color="auto"/>
              <w:bottom w:val="single" w:sz="4" w:space="0" w:color="auto"/>
            </w:tcBorders>
            <w:shd w:val="clear" w:color="auto" w:fill="auto"/>
            <w:hideMark/>
          </w:tcPr>
          <w:p w14:paraId="2260833B" w14:textId="77777777" w:rsidR="002601C2" w:rsidRPr="000C05FB" w:rsidRDefault="002601C2" w:rsidP="008059B5">
            <w:pPr>
              <w:pStyle w:val="TableText"/>
            </w:pPr>
            <w:r w:rsidRPr="000C05FB">
              <w:t>Auckland region</w:t>
            </w:r>
          </w:p>
        </w:tc>
        <w:tc>
          <w:tcPr>
            <w:tcW w:w="2100" w:type="dxa"/>
            <w:tcBorders>
              <w:top w:val="single" w:sz="4" w:space="0" w:color="auto"/>
              <w:bottom w:val="single" w:sz="4" w:space="0" w:color="9BBB59" w:themeColor="accent3"/>
            </w:tcBorders>
            <w:shd w:val="clear" w:color="auto" w:fill="auto"/>
            <w:hideMark/>
          </w:tcPr>
          <w:p w14:paraId="6B973D8E" w14:textId="77777777" w:rsidR="002601C2" w:rsidRPr="000C05FB" w:rsidRDefault="002601C2" w:rsidP="008059B5">
            <w:pPr>
              <w:pStyle w:val="TableText"/>
            </w:pPr>
            <w:r w:rsidRPr="000C05FB">
              <w:t>Counties Manukau</w:t>
            </w:r>
          </w:p>
        </w:tc>
        <w:tc>
          <w:tcPr>
            <w:tcW w:w="1851" w:type="dxa"/>
            <w:tcBorders>
              <w:top w:val="single" w:sz="4" w:space="0" w:color="auto"/>
              <w:bottom w:val="single" w:sz="4" w:space="0" w:color="9BBB59" w:themeColor="accent3"/>
            </w:tcBorders>
          </w:tcPr>
          <w:p w14:paraId="24216999" w14:textId="77777777" w:rsidR="002601C2" w:rsidRPr="00DE34F4" w:rsidRDefault="002601C2" w:rsidP="008059B5">
            <w:pPr>
              <w:pStyle w:val="TableText"/>
              <w:tabs>
                <w:tab w:val="decimal" w:pos="1038"/>
              </w:tabs>
            </w:pPr>
            <w:r w:rsidRPr="00DE34F4">
              <w:t>611</w:t>
            </w:r>
          </w:p>
        </w:tc>
        <w:tc>
          <w:tcPr>
            <w:tcW w:w="1852" w:type="dxa"/>
            <w:tcBorders>
              <w:top w:val="single" w:sz="4" w:space="0" w:color="auto"/>
              <w:bottom w:val="single" w:sz="4" w:space="0" w:color="9BBB59" w:themeColor="accent3"/>
            </w:tcBorders>
            <w:shd w:val="clear" w:color="auto" w:fill="auto"/>
            <w:hideMark/>
          </w:tcPr>
          <w:p w14:paraId="30DCD38C" w14:textId="77777777" w:rsidR="002601C2" w:rsidRPr="00DE34F4" w:rsidRDefault="002601C2" w:rsidP="008059B5">
            <w:pPr>
              <w:pStyle w:val="TableText"/>
              <w:tabs>
                <w:tab w:val="decimal" w:pos="1038"/>
              </w:tabs>
            </w:pPr>
            <w:r w:rsidRPr="00DE34F4">
              <w:t>642</w:t>
            </w:r>
          </w:p>
        </w:tc>
        <w:tc>
          <w:tcPr>
            <w:tcW w:w="1852" w:type="dxa"/>
            <w:tcBorders>
              <w:top w:val="single" w:sz="4" w:space="0" w:color="auto"/>
              <w:bottom w:val="single" w:sz="4" w:space="0" w:color="9BBB59" w:themeColor="accent3"/>
            </w:tcBorders>
            <w:shd w:val="clear" w:color="auto" w:fill="auto"/>
            <w:noWrap/>
            <w:hideMark/>
          </w:tcPr>
          <w:p w14:paraId="22AC67D8" w14:textId="77777777" w:rsidR="002601C2" w:rsidRPr="00DE34F4" w:rsidRDefault="002601C2" w:rsidP="008059B5">
            <w:pPr>
              <w:pStyle w:val="TableText"/>
              <w:jc w:val="center"/>
            </w:pPr>
            <w:r>
              <w:t>95</w:t>
            </w:r>
            <w:r w:rsidRPr="00DE34F4">
              <w:t>%</w:t>
            </w:r>
          </w:p>
        </w:tc>
      </w:tr>
      <w:tr w:rsidR="002601C2" w:rsidRPr="000C05FB" w14:paraId="3D888F78" w14:textId="77777777" w:rsidTr="008059B5">
        <w:trPr>
          <w:cantSplit/>
        </w:trPr>
        <w:tc>
          <w:tcPr>
            <w:tcW w:w="1701" w:type="dxa"/>
            <w:vMerge/>
            <w:tcBorders>
              <w:top w:val="single" w:sz="4" w:space="0" w:color="auto"/>
              <w:bottom w:val="single" w:sz="4" w:space="0" w:color="auto"/>
            </w:tcBorders>
            <w:hideMark/>
          </w:tcPr>
          <w:p w14:paraId="093E3665" w14:textId="77777777" w:rsidR="002601C2" w:rsidRPr="000C05FB" w:rsidRDefault="002601C2" w:rsidP="008059B5">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32B9785D" w14:textId="77777777" w:rsidR="002601C2" w:rsidRPr="000C05FB" w:rsidRDefault="002601C2" w:rsidP="008059B5">
            <w:pPr>
              <w:pStyle w:val="TableText"/>
            </w:pPr>
            <w:r w:rsidRPr="000C05FB">
              <w:t>Auckland</w:t>
            </w:r>
          </w:p>
        </w:tc>
        <w:tc>
          <w:tcPr>
            <w:tcW w:w="1851" w:type="dxa"/>
            <w:tcBorders>
              <w:top w:val="single" w:sz="4" w:space="0" w:color="9BBB59" w:themeColor="accent3"/>
              <w:bottom w:val="single" w:sz="4" w:space="0" w:color="9BBB59" w:themeColor="accent3"/>
            </w:tcBorders>
          </w:tcPr>
          <w:p w14:paraId="104B600E" w14:textId="77777777" w:rsidR="002601C2" w:rsidRPr="00DE34F4" w:rsidRDefault="002601C2" w:rsidP="008059B5">
            <w:pPr>
              <w:pStyle w:val="TableText"/>
              <w:tabs>
                <w:tab w:val="decimal" w:pos="1038"/>
              </w:tabs>
            </w:pPr>
            <w:r w:rsidRPr="00DE34F4">
              <w:t>225</w:t>
            </w:r>
          </w:p>
        </w:tc>
        <w:tc>
          <w:tcPr>
            <w:tcW w:w="1852" w:type="dxa"/>
            <w:tcBorders>
              <w:top w:val="single" w:sz="4" w:space="0" w:color="9BBB59" w:themeColor="accent3"/>
              <w:bottom w:val="single" w:sz="4" w:space="0" w:color="9BBB59" w:themeColor="accent3"/>
            </w:tcBorders>
            <w:shd w:val="clear" w:color="auto" w:fill="auto"/>
            <w:hideMark/>
          </w:tcPr>
          <w:p w14:paraId="36B0AB83" w14:textId="77777777" w:rsidR="002601C2" w:rsidRPr="00DE34F4" w:rsidRDefault="002601C2" w:rsidP="008059B5">
            <w:pPr>
              <w:pStyle w:val="TableText"/>
              <w:tabs>
                <w:tab w:val="decimal" w:pos="1038"/>
              </w:tabs>
            </w:pPr>
            <w:r w:rsidRPr="00DE34F4">
              <w:t>241</w:t>
            </w:r>
          </w:p>
        </w:tc>
        <w:tc>
          <w:tcPr>
            <w:tcW w:w="1852" w:type="dxa"/>
            <w:tcBorders>
              <w:top w:val="single" w:sz="4" w:space="0" w:color="9BBB59" w:themeColor="accent3"/>
              <w:bottom w:val="single" w:sz="4" w:space="0" w:color="9BBB59" w:themeColor="accent3"/>
            </w:tcBorders>
            <w:shd w:val="clear" w:color="auto" w:fill="auto"/>
            <w:noWrap/>
            <w:hideMark/>
          </w:tcPr>
          <w:p w14:paraId="32B0A3CC" w14:textId="77777777" w:rsidR="002601C2" w:rsidRPr="00DE34F4" w:rsidRDefault="002601C2" w:rsidP="008059B5">
            <w:pPr>
              <w:pStyle w:val="TableText"/>
              <w:jc w:val="center"/>
            </w:pPr>
            <w:r>
              <w:t>93</w:t>
            </w:r>
            <w:r w:rsidRPr="00DE34F4">
              <w:t>%</w:t>
            </w:r>
          </w:p>
        </w:tc>
      </w:tr>
      <w:tr w:rsidR="002601C2" w:rsidRPr="000C05FB" w14:paraId="7DBC39D0" w14:textId="77777777" w:rsidTr="008059B5">
        <w:trPr>
          <w:cantSplit/>
        </w:trPr>
        <w:tc>
          <w:tcPr>
            <w:tcW w:w="1701" w:type="dxa"/>
            <w:vMerge/>
            <w:tcBorders>
              <w:top w:val="single" w:sz="4" w:space="0" w:color="auto"/>
              <w:bottom w:val="single" w:sz="4" w:space="0" w:color="auto"/>
            </w:tcBorders>
            <w:hideMark/>
          </w:tcPr>
          <w:p w14:paraId="3AF4B793" w14:textId="77777777" w:rsidR="002601C2" w:rsidRPr="000C05FB" w:rsidRDefault="002601C2" w:rsidP="008059B5">
            <w:pPr>
              <w:pStyle w:val="TableText"/>
            </w:pPr>
          </w:p>
        </w:tc>
        <w:tc>
          <w:tcPr>
            <w:tcW w:w="2100" w:type="dxa"/>
            <w:tcBorders>
              <w:top w:val="single" w:sz="4" w:space="0" w:color="9BBB59" w:themeColor="accent3"/>
              <w:bottom w:val="single" w:sz="4" w:space="0" w:color="auto"/>
            </w:tcBorders>
            <w:shd w:val="clear" w:color="auto" w:fill="auto"/>
            <w:hideMark/>
          </w:tcPr>
          <w:p w14:paraId="59335918" w14:textId="77777777" w:rsidR="002601C2" w:rsidRPr="000C05FB" w:rsidRDefault="002601C2" w:rsidP="008059B5">
            <w:pPr>
              <w:pStyle w:val="TableText"/>
            </w:pPr>
            <w:r w:rsidRPr="000C05FB">
              <w:t>Waitemata</w:t>
            </w:r>
          </w:p>
        </w:tc>
        <w:tc>
          <w:tcPr>
            <w:tcW w:w="1851" w:type="dxa"/>
            <w:tcBorders>
              <w:top w:val="single" w:sz="4" w:space="0" w:color="9BBB59" w:themeColor="accent3"/>
              <w:bottom w:val="single" w:sz="4" w:space="0" w:color="auto"/>
            </w:tcBorders>
          </w:tcPr>
          <w:p w14:paraId="21EDCDA1" w14:textId="77777777" w:rsidR="002601C2" w:rsidRPr="00DE34F4" w:rsidRDefault="002601C2" w:rsidP="008059B5">
            <w:pPr>
              <w:pStyle w:val="TableText"/>
              <w:tabs>
                <w:tab w:val="decimal" w:pos="1038"/>
              </w:tabs>
            </w:pPr>
            <w:r w:rsidRPr="00DE34F4">
              <w:t>179</w:t>
            </w:r>
          </w:p>
        </w:tc>
        <w:tc>
          <w:tcPr>
            <w:tcW w:w="1852" w:type="dxa"/>
            <w:tcBorders>
              <w:top w:val="single" w:sz="4" w:space="0" w:color="9BBB59" w:themeColor="accent3"/>
              <w:bottom w:val="single" w:sz="4" w:space="0" w:color="auto"/>
            </w:tcBorders>
            <w:shd w:val="clear" w:color="auto" w:fill="auto"/>
            <w:hideMark/>
          </w:tcPr>
          <w:p w14:paraId="3AF66025" w14:textId="77777777" w:rsidR="002601C2" w:rsidRPr="00DE34F4" w:rsidRDefault="002601C2" w:rsidP="008059B5">
            <w:pPr>
              <w:pStyle w:val="TableText"/>
              <w:tabs>
                <w:tab w:val="decimal" w:pos="1038"/>
              </w:tabs>
            </w:pPr>
            <w:r w:rsidRPr="00DE34F4">
              <w:t>191</w:t>
            </w:r>
          </w:p>
        </w:tc>
        <w:tc>
          <w:tcPr>
            <w:tcW w:w="1852" w:type="dxa"/>
            <w:tcBorders>
              <w:top w:val="single" w:sz="4" w:space="0" w:color="9BBB59" w:themeColor="accent3"/>
              <w:bottom w:val="single" w:sz="4" w:space="0" w:color="auto"/>
            </w:tcBorders>
            <w:shd w:val="clear" w:color="auto" w:fill="auto"/>
            <w:noWrap/>
            <w:hideMark/>
          </w:tcPr>
          <w:p w14:paraId="18D3504C" w14:textId="77777777" w:rsidR="002601C2" w:rsidRPr="00DE34F4" w:rsidRDefault="002601C2" w:rsidP="008059B5">
            <w:pPr>
              <w:pStyle w:val="TableText"/>
              <w:jc w:val="center"/>
            </w:pPr>
            <w:r>
              <w:t>94</w:t>
            </w:r>
            <w:r w:rsidRPr="00DE34F4">
              <w:t>%</w:t>
            </w:r>
          </w:p>
        </w:tc>
      </w:tr>
      <w:tr w:rsidR="002601C2" w:rsidRPr="000C05FB" w14:paraId="5BA66002" w14:textId="77777777" w:rsidTr="008059B5">
        <w:trPr>
          <w:cantSplit/>
        </w:trPr>
        <w:tc>
          <w:tcPr>
            <w:tcW w:w="1701" w:type="dxa"/>
            <w:vMerge w:val="restart"/>
            <w:tcBorders>
              <w:top w:val="single" w:sz="4" w:space="0" w:color="auto"/>
              <w:bottom w:val="single" w:sz="4" w:space="0" w:color="auto"/>
            </w:tcBorders>
            <w:shd w:val="clear" w:color="auto" w:fill="auto"/>
            <w:hideMark/>
          </w:tcPr>
          <w:p w14:paraId="3902E855" w14:textId="77777777" w:rsidR="002601C2" w:rsidRPr="000C05FB" w:rsidRDefault="002601C2" w:rsidP="008059B5">
            <w:pPr>
              <w:pStyle w:val="TableText"/>
            </w:pPr>
            <w:r w:rsidRPr="000C05FB">
              <w:t>Rest of New Zealand</w:t>
            </w:r>
          </w:p>
        </w:tc>
        <w:tc>
          <w:tcPr>
            <w:tcW w:w="2100" w:type="dxa"/>
            <w:tcBorders>
              <w:top w:val="single" w:sz="4" w:space="0" w:color="auto"/>
              <w:bottom w:val="single" w:sz="4" w:space="0" w:color="9BBB59" w:themeColor="accent3"/>
            </w:tcBorders>
            <w:shd w:val="clear" w:color="auto" w:fill="auto"/>
            <w:hideMark/>
          </w:tcPr>
          <w:p w14:paraId="3F97E3D0" w14:textId="77777777" w:rsidR="002601C2" w:rsidRPr="000C05FB" w:rsidRDefault="002601C2" w:rsidP="008059B5">
            <w:pPr>
              <w:pStyle w:val="TableText"/>
            </w:pPr>
            <w:r w:rsidRPr="000C05FB">
              <w:t>Capital &amp; Coast</w:t>
            </w:r>
          </w:p>
        </w:tc>
        <w:tc>
          <w:tcPr>
            <w:tcW w:w="1851" w:type="dxa"/>
            <w:tcBorders>
              <w:top w:val="single" w:sz="4" w:space="0" w:color="auto"/>
              <w:bottom w:val="single" w:sz="4" w:space="0" w:color="9BBB59" w:themeColor="accent3"/>
            </w:tcBorders>
          </w:tcPr>
          <w:p w14:paraId="410B81B9" w14:textId="77777777" w:rsidR="002601C2" w:rsidRPr="00DE34F4" w:rsidRDefault="002601C2" w:rsidP="008059B5">
            <w:pPr>
              <w:pStyle w:val="TableText"/>
              <w:tabs>
                <w:tab w:val="decimal" w:pos="1038"/>
              </w:tabs>
            </w:pPr>
            <w:r w:rsidRPr="00DE34F4">
              <w:t>86</w:t>
            </w:r>
          </w:p>
        </w:tc>
        <w:tc>
          <w:tcPr>
            <w:tcW w:w="1852" w:type="dxa"/>
            <w:tcBorders>
              <w:top w:val="single" w:sz="4" w:space="0" w:color="auto"/>
              <w:bottom w:val="single" w:sz="4" w:space="0" w:color="9BBB59" w:themeColor="accent3"/>
            </w:tcBorders>
            <w:shd w:val="clear" w:color="auto" w:fill="auto"/>
            <w:hideMark/>
          </w:tcPr>
          <w:p w14:paraId="717C63E8" w14:textId="77777777" w:rsidR="002601C2" w:rsidRPr="00DE34F4" w:rsidRDefault="002601C2" w:rsidP="008059B5">
            <w:pPr>
              <w:pStyle w:val="TableText"/>
              <w:tabs>
                <w:tab w:val="decimal" w:pos="1038"/>
              </w:tabs>
            </w:pPr>
            <w:r w:rsidRPr="00DE34F4">
              <w:t>91</w:t>
            </w:r>
          </w:p>
        </w:tc>
        <w:tc>
          <w:tcPr>
            <w:tcW w:w="1852" w:type="dxa"/>
            <w:tcBorders>
              <w:top w:val="single" w:sz="4" w:space="0" w:color="auto"/>
              <w:bottom w:val="single" w:sz="4" w:space="0" w:color="9BBB59" w:themeColor="accent3"/>
            </w:tcBorders>
            <w:shd w:val="clear" w:color="auto" w:fill="auto"/>
            <w:noWrap/>
            <w:hideMark/>
          </w:tcPr>
          <w:p w14:paraId="4C11A2FB" w14:textId="77777777" w:rsidR="002601C2" w:rsidRPr="00DE34F4" w:rsidRDefault="002601C2" w:rsidP="008059B5">
            <w:pPr>
              <w:pStyle w:val="TableText"/>
              <w:jc w:val="center"/>
            </w:pPr>
            <w:r>
              <w:t>95</w:t>
            </w:r>
            <w:r w:rsidRPr="00DE34F4">
              <w:t>%</w:t>
            </w:r>
          </w:p>
        </w:tc>
      </w:tr>
      <w:tr w:rsidR="002601C2" w:rsidRPr="000C05FB" w14:paraId="4939F0B9" w14:textId="77777777" w:rsidTr="008059B5">
        <w:trPr>
          <w:cantSplit/>
        </w:trPr>
        <w:tc>
          <w:tcPr>
            <w:tcW w:w="1701" w:type="dxa"/>
            <w:vMerge/>
            <w:tcBorders>
              <w:top w:val="single" w:sz="4" w:space="0" w:color="auto"/>
              <w:bottom w:val="single" w:sz="4" w:space="0" w:color="auto"/>
            </w:tcBorders>
            <w:hideMark/>
          </w:tcPr>
          <w:p w14:paraId="18BE0AFD" w14:textId="77777777" w:rsidR="002601C2" w:rsidRPr="000C05FB" w:rsidRDefault="002601C2" w:rsidP="008059B5">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4DB852B8" w14:textId="77777777" w:rsidR="002601C2" w:rsidRPr="000C05FB" w:rsidRDefault="002601C2" w:rsidP="008059B5">
            <w:pPr>
              <w:pStyle w:val="TableText"/>
            </w:pPr>
            <w:r w:rsidRPr="000C05FB">
              <w:t>Canterbury</w:t>
            </w:r>
          </w:p>
        </w:tc>
        <w:tc>
          <w:tcPr>
            <w:tcW w:w="1851" w:type="dxa"/>
            <w:tcBorders>
              <w:top w:val="single" w:sz="4" w:space="0" w:color="9BBB59" w:themeColor="accent3"/>
              <w:bottom w:val="single" w:sz="4" w:space="0" w:color="9BBB59" w:themeColor="accent3"/>
            </w:tcBorders>
          </w:tcPr>
          <w:p w14:paraId="334A2946" w14:textId="77777777" w:rsidR="002601C2" w:rsidRPr="00DE34F4" w:rsidRDefault="002601C2" w:rsidP="008059B5">
            <w:pPr>
              <w:pStyle w:val="TableText"/>
              <w:tabs>
                <w:tab w:val="decimal" w:pos="1038"/>
              </w:tabs>
            </w:pPr>
            <w:r w:rsidRPr="00DE34F4">
              <w:t>65</w:t>
            </w:r>
          </w:p>
        </w:tc>
        <w:tc>
          <w:tcPr>
            <w:tcW w:w="1852" w:type="dxa"/>
            <w:tcBorders>
              <w:top w:val="single" w:sz="4" w:space="0" w:color="9BBB59" w:themeColor="accent3"/>
              <w:bottom w:val="single" w:sz="4" w:space="0" w:color="9BBB59" w:themeColor="accent3"/>
            </w:tcBorders>
            <w:shd w:val="clear" w:color="auto" w:fill="auto"/>
            <w:hideMark/>
          </w:tcPr>
          <w:p w14:paraId="3F1E2065" w14:textId="77777777" w:rsidR="002601C2" w:rsidRPr="00DE34F4" w:rsidRDefault="002601C2" w:rsidP="008059B5">
            <w:pPr>
              <w:pStyle w:val="TableText"/>
              <w:tabs>
                <w:tab w:val="decimal" w:pos="1038"/>
              </w:tabs>
            </w:pPr>
            <w:r w:rsidRPr="00DE34F4">
              <w:t>68</w:t>
            </w:r>
          </w:p>
        </w:tc>
        <w:tc>
          <w:tcPr>
            <w:tcW w:w="1852" w:type="dxa"/>
            <w:tcBorders>
              <w:top w:val="single" w:sz="4" w:space="0" w:color="9BBB59" w:themeColor="accent3"/>
              <w:bottom w:val="single" w:sz="4" w:space="0" w:color="9BBB59" w:themeColor="accent3"/>
            </w:tcBorders>
            <w:shd w:val="clear" w:color="auto" w:fill="auto"/>
            <w:noWrap/>
            <w:hideMark/>
          </w:tcPr>
          <w:p w14:paraId="01CDA4DA" w14:textId="77777777" w:rsidR="002601C2" w:rsidRPr="00DE34F4" w:rsidRDefault="002601C2" w:rsidP="008059B5">
            <w:pPr>
              <w:pStyle w:val="TableText"/>
              <w:jc w:val="center"/>
            </w:pPr>
            <w:r>
              <w:t>9</w:t>
            </w:r>
            <w:r w:rsidRPr="00DE34F4">
              <w:t>6%</w:t>
            </w:r>
          </w:p>
        </w:tc>
      </w:tr>
      <w:tr w:rsidR="002601C2" w:rsidRPr="000C05FB" w14:paraId="7DCA3D4E" w14:textId="77777777" w:rsidTr="008059B5">
        <w:trPr>
          <w:cantSplit/>
        </w:trPr>
        <w:tc>
          <w:tcPr>
            <w:tcW w:w="1701" w:type="dxa"/>
            <w:vMerge/>
            <w:tcBorders>
              <w:top w:val="single" w:sz="4" w:space="0" w:color="auto"/>
              <w:bottom w:val="single" w:sz="4" w:space="0" w:color="auto"/>
            </w:tcBorders>
            <w:hideMark/>
          </w:tcPr>
          <w:p w14:paraId="4ED4C585" w14:textId="77777777" w:rsidR="002601C2" w:rsidRPr="000C05FB" w:rsidRDefault="002601C2" w:rsidP="008059B5">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53AA67C4" w14:textId="77777777" w:rsidR="002601C2" w:rsidRPr="000C05FB" w:rsidRDefault="002601C2" w:rsidP="008059B5">
            <w:pPr>
              <w:pStyle w:val="TableText"/>
            </w:pPr>
            <w:r w:rsidRPr="000C05FB">
              <w:t>Hutt Valley</w:t>
            </w:r>
          </w:p>
        </w:tc>
        <w:tc>
          <w:tcPr>
            <w:tcW w:w="1851" w:type="dxa"/>
            <w:tcBorders>
              <w:top w:val="single" w:sz="4" w:space="0" w:color="9BBB59" w:themeColor="accent3"/>
              <w:bottom w:val="single" w:sz="4" w:space="0" w:color="9BBB59" w:themeColor="accent3"/>
            </w:tcBorders>
          </w:tcPr>
          <w:p w14:paraId="4B5BABFC" w14:textId="77777777" w:rsidR="002601C2" w:rsidRPr="00DE34F4" w:rsidRDefault="002601C2" w:rsidP="008059B5">
            <w:pPr>
              <w:pStyle w:val="TableText"/>
              <w:tabs>
                <w:tab w:val="decimal" w:pos="1038"/>
              </w:tabs>
            </w:pPr>
            <w:r w:rsidRPr="00DE34F4">
              <w:t>46</w:t>
            </w:r>
          </w:p>
        </w:tc>
        <w:tc>
          <w:tcPr>
            <w:tcW w:w="1852" w:type="dxa"/>
            <w:tcBorders>
              <w:top w:val="single" w:sz="4" w:space="0" w:color="9BBB59" w:themeColor="accent3"/>
              <w:bottom w:val="single" w:sz="4" w:space="0" w:color="9BBB59" w:themeColor="accent3"/>
            </w:tcBorders>
            <w:shd w:val="clear" w:color="auto" w:fill="auto"/>
            <w:hideMark/>
          </w:tcPr>
          <w:p w14:paraId="16E1BDF6" w14:textId="77777777" w:rsidR="002601C2" w:rsidRPr="00DE34F4" w:rsidRDefault="002601C2" w:rsidP="008059B5">
            <w:pPr>
              <w:pStyle w:val="TableText"/>
              <w:tabs>
                <w:tab w:val="decimal" w:pos="1038"/>
              </w:tabs>
            </w:pPr>
            <w:r w:rsidRPr="00DE34F4">
              <w:t>49</w:t>
            </w:r>
          </w:p>
        </w:tc>
        <w:tc>
          <w:tcPr>
            <w:tcW w:w="1852" w:type="dxa"/>
            <w:tcBorders>
              <w:top w:val="single" w:sz="4" w:space="0" w:color="9BBB59" w:themeColor="accent3"/>
              <w:bottom w:val="single" w:sz="4" w:space="0" w:color="9BBB59" w:themeColor="accent3"/>
            </w:tcBorders>
            <w:shd w:val="clear" w:color="auto" w:fill="auto"/>
            <w:noWrap/>
            <w:hideMark/>
          </w:tcPr>
          <w:p w14:paraId="6D4150EB" w14:textId="77777777" w:rsidR="002601C2" w:rsidRPr="00DE34F4" w:rsidRDefault="002601C2" w:rsidP="008059B5">
            <w:pPr>
              <w:pStyle w:val="TableText"/>
              <w:jc w:val="center"/>
            </w:pPr>
            <w:r>
              <w:t>94</w:t>
            </w:r>
            <w:r w:rsidRPr="00DE34F4">
              <w:t>%</w:t>
            </w:r>
          </w:p>
        </w:tc>
      </w:tr>
      <w:tr w:rsidR="002601C2" w:rsidRPr="000C05FB" w14:paraId="5B6CFD9F" w14:textId="77777777" w:rsidTr="008059B5">
        <w:trPr>
          <w:cantSplit/>
        </w:trPr>
        <w:tc>
          <w:tcPr>
            <w:tcW w:w="1701" w:type="dxa"/>
            <w:vMerge/>
            <w:tcBorders>
              <w:top w:val="single" w:sz="4" w:space="0" w:color="auto"/>
              <w:bottom w:val="single" w:sz="4" w:space="0" w:color="auto"/>
            </w:tcBorders>
            <w:hideMark/>
          </w:tcPr>
          <w:p w14:paraId="529ED5F1" w14:textId="77777777" w:rsidR="002601C2" w:rsidRPr="000C05FB" w:rsidRDefault="002601C2" w:rsidP="008059B5">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32825B17" w14:textId="77777777" w:rsidR="002601C2" w:rsidRPr="000C05FB" w:rsidRDefault="002601C2" w:rsidP="008059B5">
            <w:pPr>
              <w:pStyle w:val="TableText"/>
            </w:pPr>
            <w:r w:rsidRPr="000C05FB">
              <w:t>Hawke</w:t>
            </w:r>
            <w:r>
              <w:t>’</w:t>
            </w:r>
            <w:r w:rsidRPr="000C05FB">
              <w:t>s Bay</w:t>
            </w:r>
          </w:p>
        </w:tc>
        <w:tc>
          <w:tcPr>
            <w:tcW w:w="1851" w:type="dxa"/>
            <w:tcBorders>
              <w:top w:val="single" w:sz="4" w:space="0" w:color="9BBB59" w:themeColor="accent3"/>
              <w:bottom w:val="single" w:sz="4" w:space="0" w:color="9BBB59" w:themeColor="accent3"/>
            </w:tcBorders>
          </w:tcPr>
          <w:p w14:paraId="4DED4158" w14:textId="77777777" w:rsidR="002601C2" w:rsidRPr="00DE34F4" w:rsidRDefault="002601C2" w:rsidP="008059B5">
            <w:pPr>
              <w:pStyle w:val="TableText"/>
              <w:tabs>
                <w:tab w:val="decimal" w:pos="1038"/>
              </w:tabs>
            </w:pPr>
            <w:r w:rsidRPr="00DE34F4">
              <w:t>35</w:t>
            </w:r>
          </w:p>
        </w:tc>
        <w:tc>
          <w:tcPr>
            <w:tcW w:w="1852" w:type="dxa"/>
            <w:tcBorders>
              <w:top w:val="single" w:sz="4" w:space="0" w:color="9BBB59" w:themeColor="accent3"/>
              <w:bottom w:val="single" w:sz="4" w:space="0" w:color="9BBB59" w:themeColor="accent3"/>
            </w:tcBorders>
            <w:shd w:val="clear" w:color="auto" w:fill="auto"/>
            <w:hideMark/>
          </w:tcPr>
          <w:p w14:paraId="21F0AB75" w14:textId="77777777" w:rsidR="002601C2" w:rsidRPr="00DE34F4" w:rsidRDefault="002601C2" w:rsidP="008059B5">
            <w:pPr>
              <w:pStyle w:val="TableText"/>
              <w:tabs>
                <w:tab w:val="decimal" w:pos="1038"/>
              </w:tabs>
            </w:pPr>
            <w:r w:rsidRPr="00DE34F4">
              <w:t>37</w:t>
            </w:r>
          </w:p>
        </w:tc>
        <w:tc>
          <w:tcPr>
            <w:tcW w:w="1852" w:type="dxa"/>
            <w:tcBorders>
              <w:top w:val="single" w:sz="4" w:space="0" w:color="9BBB59" w:themeColor="accent3"/>
              <w:bottom w:val="single" w:sz="4" w:space="0" w:color="9BBB59" w:themeColor="accent3"/>
            </w:tcBorders>
            <w:shd w:val="clear" w:color="auto" w:fill="auto"/>
            <w:noWrap/>
            <w:hideMark/>
          </w:tcPr>
          <w:p w14:paraId="28EE5CDB" w14:textId="77777777" w:rsidR="002601C2" w:rsidRPr="00DE34F4" w:rsidRDefault="002601C2" w:rsidP="008059B5">
            <w:pPr>
              <w:pStyle w:val="TableText"/>
              <w:jc w:val="center"/>
            </w:pPr>
            <w:r>
              <w:t>95</w:t>
            </w:r>
            <w:r w:rsidRPr="00DE34F4">
              <w:t>%</w:t>
            </w:r>
          </w:p>
        </w:tc>
      </w:tr>
      <w:tr w:rsidR="002601C2" w:rsidRPr="000C05FB" w14:paraId="3A2E961D" w14:textId="77777777" w:rsidTr="008059B5">
        <w:trPr>
          <w:cantSplit/>
        </w:trPr>
        <w:tc>
          <w:tcPr>
            <w:tcW w:w="1701" w:type="dxa"/>
            <w:vMerge/>
            <w:tcBorders>
              <w:top w:val="single" w:sz="4" w:space="0" w:color="auto"/>
              <w:bottom w:val="single" w:sz="4" w:space="0" w:color="000000"/>
            </w:tcBorders>
            <w:hideMark/>
          </w:tcPr>
          <w:p w14:paraId="7F4AA236" w14:textId="77777777" w:rsidR="002601C2" w:rsidRPr="000C05FB" w:rsidRDefault="002601C2" w:rsidP="008059B5">
            <w:pPr>
              <w:pStyle w:val="TableText"/>
            </w:pPr>
          </w:p>
        </w:tc>
        <w:tc>
          <w:tcPr>
            <w:tcW w:w="2100" w:type="dxa"/>
            <w:tcBorders>
              <w:top w:val="single" w:sz="4" w:space="0" w:color="9BBB59" w:themeColor="accent3"/>
              <w:bottom w:val="single" w:sz="4" w:space="0" w:color="auto"/>
            </w:tcBorders>
            <w:shd w:val="clear" w:color="auto" w:fill="auto"/>
            <w:hideMark/>
          </w:tcPr>
          <w:p w14:paraId="6D3DEF92" w14:textId="77777777" w:rsidR="002601C2" w:rsidRPr="000C05FB" w:rsidRDefault="002601C2" w:rsidP="008059B5">
            <w:pPr>
              <w:pStyle w:val="TableText"/>
            </w:pPr>
            <w:r w:rsidRPr="000C05FB">
              <w:t>Waikato</w:t>
            </w:r>
          </w:p>
        </w:tc>
        <w:tc>
          <w:tcPr>
            <w:tcW w:w="1851" w:type="dxa"/>
            <w:tcBorders>
              <w:top w:val="single" w:sz="4" w:space="0" w:color="9BBB59" w:themeColor="accent3"/>
              <w:bottom w:val="single" w:sz="4" w:space="0" w:color="auto"/>
            </w:tcBorders>
          </w:tcPr>
          <w:p w14:paraId="7C1C9AEA" w14:textId="77777777" w:rsidR="002601C2" w:rsidRPr="00DE34F4" w:rsidRDefault="002601C2" w:rsidP="008059B5">
            <w:pPr>
              <w:pStyle w:val="TableText"/>
              <w:tabs>
                <w:tab w:val="decimal" w:pos="1038"/>
              </w:tabs>
            </w:pPr>
            <w:r w:rsidRPr="00DE34F4">
              <w:t>42</w:t>
            </w:r>
          </w:p>
        </w:tc>
        <w:tc>
          <w:tcPr>
            <w:tcW w:w="1852" w:type="dxa"/>
            <w:tcBorders>
              <w:top w:val="single" w:sz="4" w:space="0" w:color="9BBB59" w:themeColor="accent3"/>
              <w:bottom w:val="single" w:sz="4" w:space="0" w:color="auto"/>
            </w:tcBorders>
            <w:shd w:val="clear" w:color="auto" w:fill="auto"/>
            <w:hideMark/>
          </w:tcPr>
          <w:p w14:paraId="706FEBFB" w14:textId="77777777" w:rsidR="002601C2" w:rsidRPr="00DE34F4" w:rsidRDefault="002601C2" w:rsidP="008059B5">
            <w:pPr>
              <w:pStyle w:val="TableText"/>
              <w:tabs>
                <w:tab w:val="decimal" w:pos="1038"/>
              </w:tabs>
            </w:pPr>
            <w:r w:rsidRPr="00DE34F4">
              <w:t>44</w:t>
            </w:r>
          </w:p>
        </w:tc>
        <w:tc>
          <w:tcPr>
            <w:tcW w:w="1852" w:type="dxa"/>
            <w:tcBorders>
              <w:top w:val="single" w:sz="4" w:space="0" w:color="9BBB59" w:themeColor="accent3"/>
              <w:bottom w:val="single" w:sz="4" w:space="0" w:color="auto"/>
            </w:tcBorders>
            <w:shd w:val="clear" w:color="auto" w:fill="auto"/>
            <w:noWrap/>
            <w:hideMark/>
          </w:tcPr>
          <w:p w14:paraId="10BCE875" w14:textId="77777777" w:rsidR="002601C2" w:rsidRPr="00DE34F4" w:rsidRDefault="002601C2" w:rsidP="008059B5">
            <w:pPr>
              <w:pStyle w:val="TableText"/>
              <w:jc w:val="center"/>
            </w:pPr>
            <w:r>
              <w:t>96</w:t>
            </w:r>
            <w:r w:rsidRPr="00DE34F4">
              <w:t>%</w:t>
            </w:r>
          </w:p>
        </w:tc>
      </w:tr>
    </w:tbl>
    <w:p w14:paraId="2841A68F" w14:textId="77777777" w:rsidR="002601C2" w:rsidRDefault="002601C2" w:rsidP="008059B5"/>
    <w:p w14:paraId="799F957C" w14:textId="77777777" w:rsidR="002601C2" w:rsidRPr="00EB0A3D" w:rsidRDefault="002601C2" w:rsidP="008059B5">
      <w:pPr>
        <w:pStyle w:val="Heading1"/>
      </w:pPr>
      <w:bookmarkStart w:id="214" w:name="_Toc503952531"/>
      <w:bookmarkStart w:id="215" w:name="_Toc531258260"/>
      <w:r>
        <w:lastRenderedPageBreak/>
        <w:t>References</w:t>
      </w:r>
      <w:bookmarkEnd w:id="214"/>
      <w:bookmarkEnd w:id="215"/>
    </w:p>
    <w:p w14:paraId="2267718D" w14:textId="1CCECB3A" w:rsidR="00836EE2" w:rsidRPr="007B30D8" w:rsidRDefault="007B30D8" w:rsidP="008059B5">
      <w:pPr>
        <w:pStyle w:val="References"/>
      </w:pPr>
      <w:r>
        <w:t xml:space="preserve">Cole, T.J., Bellizzi, M., Flegal, K., &amp; Dietz, W. 2000. </w:t>
      </w:r>
      <w:r w:rsidRPr="007B30D8">
        <w:t>Establishing a standard definition for child overweight and obesity worldwide: international survey.</w:t>
      </w:r>
      <w:r>
        <w:t xml:space="preserve"> URL: </w:t>
      </w:r>
      <w:r w:rsidRPr="007B30D8">
        <w:t>www.bmj.com/content/320/7244/1240</w:t>
      </w:r>
      <w:r>
        <w:rPr>
          <w:i/>
        </w:rPr>
        <w:t xml:space="preserve">. </w:t>
      </w:r>
      <w:r>
        <w:t>(Accessed 8 January 2018).</w:t>
      </w:r>
    </w:p>
    <w:p w14:paraId="7A36B892" w14:textId="77777777" w:rsidR="002601C2" w:rsidRDefault="002601C2" w:rsidP="008059B5">
      <w:pPr>
        <w:pStyle w:val="References"/>
      </w:pPr>
      <w:r>
        <w:t>Ministry of Health.</w:t>
      </w:r>
      <w:r w:rsidRPr="00A119E8">
        <w:t xml:space="preserve"> 2014</w:t>
      </w:r>
      <w:r>
        <w:t>.</w:t>
      </w:r>
      <w:r w:rsidRPr="00A119E8">
        <w:t xml:space="preserve"> </w:t>
      </w:r>
      <w:r>
        <w:rPr>
          <w:i/>
          <w:iCs/>
        </w:rPr>
        <w:t>’Ala Mo’ui</w:t>
      </w:r>
      <w:r w:rsidRPr="00A119E8">
        <w:rPr>
          <w:i/>
          <w:iCs/>
        </w:rPr>
        <w:t>: Pathways to Pacific Health and Wellbeing 2014–2018</w:t>
      </w:r>
      <w:r w:rsidRPr="00A119E8">
        <w:t>. Wellington: Ministry of Health.</w:t>
      </w:r>
    </w:p>
    <w:p w14:paraId="2053A311" w14:textId="7F797A36" w:rsidR="002601C2" w:rsidRDefault="002601C2" w:rsidP="008059B5">
      <w:pPr>
        <w:pStyle w:val="References"/>
      </w:pPr>
      <w:r w:rsidRPr="00A119E8">
        <w:t>Ministry of Health</w:t>
      </w:r>
      <w:r>
        <w:t xml:space="preserve">. 2015a. </w:t>
      </w:r>
      <w:r>
        <w:rPr>
          <w:i/>
        </w:rPr>
        <w:t xml:space="preserve">Age 5 and Year 8 oral health data from the Community Oral Health Service. </w:t>
      </w:r>
      <w:r>
        <w:t xml:space="preserve">URL: </w:t>
      </w:r>
      <w:r w:rsidRPr="00567D88">
        <w:t xml:space="preserve">www.health.govt.nz/nz-health-statistics/health-statistics-and-data-sets/oral-health-data-and-stats/age-5-and-year-8-oral-health-data-community-oral-health-service </w:t>
      </w:r>
      <w:r>
        <w:t>(accessed 8</w:t>
      </w:r>
      <w:r w:rsidR="008059B5">
        <w:t> </w:t>
      </w:r>
      <w:r>
        <w:t>January 2018).</w:t>
      </w:r>
    </w:p>
    <w:p w14:paraId="43A3778D" w14:textId="77777777" w:rsidR="002601C2" w:rsidRDefault="002601C2" w:rsidP="008059B5">
      <w:pPr>
        <w:pStyle w:val="References"/>
      </w:pPr>
      <w:r w:rsidRPr="00A119E8">
        <w:t>Ministry of Health</w:t>
      </w:r>
      <w:r>
        <w:t xml:space="preserve">. 2015b. </w:t>
      </w:r>
      <w:r>
        <w:rPr>
          <w:i/>
        </w:rPr>
        <w:t>Indicator Interpretation Guide 2014/15: New Zealand Health Survey</w:t>
      </w:r>
      <w:r w:rsidRPr="004C1ABC">
        <w:t>.</w:t>
      </w:r>
      <w:r>
        <w:rPr>
          <w:i/>
        </w:rPr>
        <w:t xml:space="preserve"> </w:t>
      </w:r>
      <w:r>
        <w:t>Wellington: Ministry of Health.</w:t>
      </w:r>
    </w:p>
    <w:p w14:paraId="712E34C9" w14:textId="77777777" w:rsidR="002601C2" w:rsidRDefault="002601C2" w:rsidP="008059B5">
      <w:pPr>
        <w:pStyle w:val="References"/>
      </w:pPr>
      <w:r w:rsidRPr="00A119E8">
        <w:t>Ministry of Health</w:t>
      </w:r>
      <w:r>
        <w:t xml:space="preserve">. </w:t>
      </w:r>
      <w:r w:rsidRPr="00A119E8">
        <w:t>2016</w:t>
      </w:r>
      <w:r>
        <w:t>.</w:t>
      </w:r>
      <w:r w:rsidRPr="00A119E8">
        <w:t xml:space="preserve"> </w:t>
      </w:r>
      <w:r w:rsidRPr="00A119E8">
        <w:rPr>
          <w:i/>
        </w:rPr>
        <w:t>Indicators for the Well Child</w:t>
      </w:r>
      <w:r>
        <w:rPr>
          <w:i/>
        </w:rPr>
        <w:t xml:space="preserve"> </w:t>
      </w:r>
      <w:r w:rsidRPr="00A119E8">
        <w:rPr>
          <w:i/>
        </w:rPr>
        <w:t>/</w:t>
      </w:r>
      <w:r>
        <w:rPr>
          <w:i/>
        </w:rPr>
        <w:t xml:space="preserve"> </w:t>
      </w:r>
      <w:r w:rsidRPr="00A119E8">
        <w:rPr>
          <w:i/>
        </w:rPr>
        <w:t>Tamariki Ora Quality Improvement Framework</w:t>
      </w:r>
      <w:r>
        <w:rPr>
          <w:i/>
        </w:rPr>
        <w:t>:</w:t>
      </w:r>
      <w:r w:rsidRPr="00A119E8">
        <w:rPr>
          <w:i/>
        </w:rPr>
        <w:t xml:space="preserve"> </w:t>
      </w:r>
      <w:r>
        <w:rPr>
          <w:i/>
        </w:rPr>
        <w:t>March</w:t>
      </w:r>
      <w:r w:rsidRPr="00A119E8">
        <w:rPr>
          <w:i/>
        </w:rPr>
        <w:t xml:space="preserve"> 201</w:t>
      </w:r>
      <w:r>
        <w:rPr>
          <w:i/>
        </w:rPr>
        <w:t>6</w:t>
      </w:r>
      <w:r w:rsidRPr="00D46D33">
        <w:t>.</w:t>
      </w:r>
      <w:r w:rsidRPr="00A119E8">
        <w:rPr>
          <w:i/>
        </w:rPr>
        <w:t xml:space="preserve"> </w:t>
      </w:r>
      <w:r w:rsidRPr="00A119E8">
        <w:t>Wellington: Min</w:t>
      </w:r>
      <w:r>
        <w:t>istry of Health.</w:t>
      </w:r>
    </w:p>
    <w:p w14:paraId="14ABF7B0" w14:textId="2DA71FBE" w:rsidR="002601C2" w:rsidRPr="00166FFE" w:rsidRDefault="002601C2" w:rsidP="008059B5">
      <w:pPr>
        <w:pStyle w:val="References"/>
      </w:pPr>
      <w:r>
        <w:t xml:space="preserve">Statistics New Zealand. 2016. </w:t>
      </w:r>
      <w:r w:rsidRPr="004C1ABC">
        <w:t>Estimates and projections.</w:t>
      </w:r>
      <w:r>
        <w:rPr>
          <w:i/>
        </w:rPr>
        <w:t xml:space="preserve"> </w:t>
      </w:r>
      <w:r>
        <w:t xml:space="preserve">URL: </w:t>
      </w:r>
      <w:hyperlink r:id="rId49" w:history="1">
        <w:r w:rsidR="001B0165" w:rsidRPr="00CB00E4">
          <w:rPr>
            <w:rStyle w:val="Hyperlink"/>
          </w:rPr>
          <w:t>www.stats.govt.nz/browse_for_stats/population/estimates_and_projections.aspx</w:t>
        </w:r>
      </w:hyperlink>
      <w:r>
        <w:t xml:space="preserve"> (accessed 8</w:t>
      </w:r>
      <w:r w:rsidR="002A1E1A">
        <w:t> </w:t>
      </w:r>
      <w:r>
        <w:t>January 2018).</w:t>
      </w:r>
    </w:p>
    <w:p w14:paraId="2449C75F" w14:textId="77777777" w:rsidR="002601C2" w:rsidRPr="002601C2" w:rsidRDefault="002601C2" w:rsidP="008059B5"/>
    <w:sectPr w:rsidR="002601C2" w:rsidRPr="002601C2" w:rsidSect="009D5125">
      <w:headerReference w:type="default" r:id="rId50"/>
      <w:footerReference w:type="default" r:id="rId51"/>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51D0" w14:textId="77777777" w:rsidR="00603EAF" w:rsidRDefault="00603EAF">
      <w:pPr>
        <w:spacing w:line="240" w:lineRule="auto"/>
      </w:pPr>
      <w:r>
        <w:separator/>
      </w:r>
    </w:p>
    <w:p w14:paraId="19B77D0B" w14:textId="77777777" w:rsidR="00603EAF" w:rsidRDefault="00603EAF"/>
  </w:endnote>
  <w:endnote w:type="continuationSeparator" w:id="0">
    <w:p w14:paraId="7F3B2737" w14:textId="77777777" w:rsidR="00603EAF" w:rsidRDefault="00603EAF">
      <w:pPr>
        <w:spacing w:line="240" w:lineRule="auto"/>
      </w:pPr>
      <w:r>
        <w:continuationSeparator/>
      </w:r>
    </w:p>
    <w:p w14:paraId="1B5C6C68" w14:textId="77777777" w:rsidR="00603EAF" w:rsidRDefault="0060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5D5F" w14:textId="63E7F0A9" w:rsidR="00603EAF" w:rsidRPr="00581136" w:rsidRDefault="00603EAF"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5315E" w14:textId="77777777" w:rsidR="00603EAF" w:rsidRDefault="00603EAF"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10488" w14:textId="77777777" w:rsidR="00603EAF" w:rsidRDefault="00603E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8CF52" w14:textId="0F3710CE" w:rsidR="00603EAF" w:rsidRPr="00A4643F" w:rsidRDefault="00603EAF"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894CB1">
      <w:rPr>
        <w:rStyle w:val="PageNumber"/>
        <w:noProof/>
      </w:rPr>
      <w:t>14</w:t>
    </w:r>
    <w:r w:rsidRPr="00FC46E7">
      <w:rPr>
        <w:rStyle w:val="PageNumber"/>
      </w:rPr>
      <w:fldChar w:fldCharType="end"/>
    </w:r>
    <w:r>
      <w:tab/>
    </w:r>
    <w:r w:rsidR="00AF4508">
      <w:rPr>
        <w:rFonts w:ascii="Arial" w:hAnsi="Arial" w:cs="Arial"/>
      </w:rPr>
      <w:t>ʹ</w:t>
    </w:r>
    <w:r w:rsidR="00AF4508">
      <w:t>Ala Mo</w:t>
    </w:r>
    <w:r w:rsidR="00AF4508">
      <w:rPr>
        <w:rFonts w:ascii="Arial" w:hAnsi="Arial" w:cs="Arial"/>
      </w:rPr>
      <w:t>ʹ</w:t>
    </w:r>
    <w:r w:rsidRPr="00A4643F">
      <w:t>ui Progress Report: Child health</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490D" w14:textId="3DB84230" w:rsidR="00603EAF" w:rsidRDefault="00603EAF" w:rsidP="00533B90">
    <w:pPr>
      <w:pStyle w:val="RectoFooter"/>
    </w:pPr>
    <w:r>
      <w:tab/>
    </w:r>
    <w:r w:rsidR="00AF4508">
      <w:rPr>
        <w:rFonts w:ascii="Arial" w:hAnsi="Arial" w:cs="Arial"/>
      </w:rPr>
      <w:t>ʹ</w:t>
    </w:r>
    <w:r w:rsidR="00AF4508">
      <w:t>Ala Mo</w:t>
    </w:r>
    <w:r w:rsidR="00AF4508">
      <w:rPr>
        <w:rFonts w:ascii="Arial" w:hAnsi="Arial" w:cs="Arial"/>
      </w:rPr>
      <w:t>ʹ</w:t>
    </w:r>
    <w:r w:rsidRPr="00A4643F">
      <w:t>ui Progress Report: Child health</w:t>
    </w:r>
    <w:r>
      <w:tab/>
    </w:r>
    <w:r>
      <w:rPr>
        <w:rStyle w:val="PageNumber"/>
      </w:rPr>
      <w:fldChar w:fldCharType="begin"/>
    </w:r>
    <w:r>
      <w:rPr>
        <w:rStyle w:val="PageNumber"/>
      </w:rPr>
      <w:instrText xml:space="preserve"> PAGE </w:instrText>
    </w:r>
    <w:r>
      <w:rPr>
        <w:rStyle w:val="PageNumber"/>
      </w:rPr>
      <w:fldChar w:fldCharType="separate"/>
    </w:r>
    <w:r w:rsidR="00894CB1">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C3E9" w14:textId="02F8FD3F" w:rsidR="00603EAF" w:rsidRDefault="00603EAF" w:rsidP="009E3C8C">
    <w:pPr>
      <w:pStyle w:val="RectoFooter"/>
    </w:pPr>
    <w:r>
      <w:tab/>
    </w:r>
    <w:r w:rsidR="00AF4508">
      <w:rPr>
        <w:rFonts w:ascii="Arial" w:hAnsi="Arial" w:cs="Arial"/>
      </w:rPr>
      <w:t>ʹ</w:t>
    </w:r>
    <w:r w:rsidRPr="00A4643F">
      <w:t>A</w:t>
    </w:r>
    <w:r w:rsidR="00AF4508">
      <w:t>la Mo</w:t>
    </w:r>
    <w:r w:rsidR="00AF4508">
      <w:rPr>
        <w:rFonts w:ascii="Arial" w:hAnsi="Arial" w:cs="Arial"/>
      </w:rPr>
      <w:t>ʹ</w:t>
    </w:r>
    <w:r w:rsidRPr="00A4643F">
      <w:t>ui Progress Report: Child health</w:t>
    </w:r>
    <w:r>
      <w:tab/>
    </w:r>
    <w:r>
      <w:rPr>
        <w:rStyle w:val="PageNumber"/>
      </w:rPr>
      <w:fldChar w:fldCharType="begin"/>
    </w:r>
    <w:r>
      <w:rPr>
        <w:rStyle w:val="PageNumber"/>
      </w:rPr>
      <w:instrText xml:space="preserve"> PAGE </w:instrText>
    </w:r>
    <w:r>
      <w:rPr>
        <w:rStyle w:val="PageNumber"/>
      </w:rPr>
      <w:fldChar w:fldCharType="separate"/>
    </w:r>
    <w:r w:rsidR="00894CB1">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1FD40" w14:textId="77777777" w:rsidR="00603EAF" w:rsidRPr="00A26E6B" w:rsidRDefault="00603EAF" w:rsidP="00A26E6B"/>
  </w:footnote>
  <w:footnote w:type="continuationSeparator" w:id="0">
    <w:p w14:paraId="499E8516" w14:textId="77777777" w:rsidR="00603EAF" w:rsidRDefault="00603EAF">
      <w:pPr>
        <w:spacing w:line="240" w:lineRule="auto"/>
      </w:pPr>
      <w:r>
        <w:continuationSeparator/>
      </w:r>
    </w:p>
    <w:p w14:paraId="6164739C" w14:textId="77777777" w:rsidR="00603EAF" w:rsidRDefault="00603EAF"/>
  </w:footnote>
  <w:footnote w:id="1">
    <w:p w14:paraId="5D0D8A6D" w14:textId="35308B94" w:rsidR="00603EAF" w:rsidRDefault="00603EAF">
      <w:pPr>
        <w:pStyle w:val="FootnoteText"/>
      </w:pPr>
      <w:r>
        <w:rPr>
          <w:rStyle w:val="FootnoteReference"/>
        </w:rPr>
        <w:footnoteRef/>
      </w:r>
      <w:r>
        <w:t xml:space="preserve"> </w:t>
      </w:r>
      <w:r w:rsidRPr="00836EE2">
        <w:t>international definition of overweight child</w:t>
      </w:r>
      <w:r>
        <w:t>ren</w:t>
      </w:r>
      <w:r w:rsidRPr="00836EE2">
        <w:t xml:space="preserve"> and</w:t>
      </w:r>
      <w:r>
        <w:t xml:space="preserve"> child obesity.</w:t>
      </w:r>
      <w:r w:rsidRPr="00836EE2">
        <w:t xml:space="preserve"> </w:t>
      </w:r>
      <w:r>
        <w:t>This definition specifies</w:t>
      </w:r>
      <w:r w:rsidRPr="00836EE2">
        <w:t xml:space="preserve"> the measurement, the reference population, and the age and sex specific cut off points</w:t>
      </w:r>
      <w:r>
        <w:t xml:space="preserve"> (Cole et al., 2000).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D5128" w14:textId="77777777" w:rsidR="00603EAF" w:rsidRDefault="00603EAF" w:rsidP="009216CC">
    <w:pPr>
      <w:pStyle w:val="Header"/>
      <w:ind w:left="-1559"/>
    </w:pPr>
    <w:r>
      <w:rPr>
        <w:noProof/>
        <w:lang w:eastAsia="ja-JP"/>
      </w:rPr>
      <w:drawing>
        <wp:inline distT="0" distB="0" distL="0" distR="0" wp14:anchorId="06AD7690" wp14:editId="372E90BD">
          <wp:extent cx="6467302" cy="534632"/>
          <wp:effectExtent l="0" t="0" r="0" b="0"/>
          <wp:docPr id="1" name="Picture 1" descr="Ministry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57B7E" w14:textId="77777777" w:rsidR="00603EAF" w:rsidRDefault="00603EAF"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8ADF" w14:textId="77777777" w:rsidR="00603EAF" w:rsidRDefault="00603EAF"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2EFE6" w14:textId="77777777" w:rsidR="00603EAF" w:rsidRDefault="00603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8A25907"/>
    <w:multiLevelType w:val="hybridMultilevel"/>
    <w:tmpl w:val="3C109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AF4D1F"/>
    <w:multiLevelType w:val="hybridMultilevel"/>
    <w:tmpl w:val="CBAAE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D282B7B"/>
    <w:multiLevelType w:val="hybridMultilevel"/>
    <w:tmpl w:val="8E12EC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3DC7796"/>
    <w:multiLevelType w:val="multilevel"/>
    <w:tmpl w:val="092076C8"/>
    <w:lvl w:ilvl="0">
      <w:start w:val="1"/>
      <w:numFmt w:val="decimal"/>
      <w:pStyle w:val="Lett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2">
    <w:nsid w:val="30DB0C6E"/>
    <w:multiLevelType w:val="hybridMultilevel"/>
    <w:tmpl w:val="9BCA0D78"/>
    <w:lvl w:ilvl="0" w:tplc="14090001">
      <w:start w:val="1"/>
      <w:numFmt w:val="bullet"/>
      <w:lvlText w:val=""/>
      <w:lvlJc w:val="left"/>
      <w:pPr>
        <w:ind w:left="720" w:hanging="360"/>
      </w:pPr>
      <w:rPr>
        <w:rFonts w:ascii="Symbol" w:hAnsi="Symbol" w:hint="default"/>
      </w:rPr>
    </w:lvl>
    <w:lvl w:ilvl="1" w:tplc="14090011">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A24464"/>
    <w:multiLevelType w:val="hybridMultilevel"/>
    <w:tmpl w:val="0A0CBC5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3A576B4"/>
    <w:multiLevelType w:val="hybridMultilevel"/>
    <w:tmpl w:val="30467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3D40BFF"/>
    <w:multiLevelType w:val="hybridMultilevel"/>
    <w:tmpl w:val="AD005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6DB20C4"/>
    <w:multiLevelType w:val="hybridMultilevel"/>
    <w:tmpl w:val="491624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1">
    <w:nsid w:val="691C35AC"/>
    <w:multiLevelType w:val="hybridMultilevel"/>
    <w:tmpl w:val="93721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B062078"/>
    <w:multiLevelType w:val="hybridMultilevel"/>
    <w:tmpl w:val="BB7AAF7E"/>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B54455E"/>
    <w:multiLevelType w:val="hybridMultilevel"/>
    <w:tmpl w:val="D05CE01E"/>
    <w:lvl w:ilvl="0" w:tplc="5CA83118">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D8F5B3B"/>
    <w:multiLevelType w:val="multilevel"/>
    <w:tmpl w:val="742E77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6A15327"/>
    <w:multiLevelType w:val="hybridMultilevel"/>
    <w:tmpl w:val="A6A0DB5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6AC7D48"/>
    <w:multiLevelType w:val="hybridMultilevel"/>
    <w:tmpl w:val="16261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nsid w:val="7A585813"/>
    <w:multiLevelType w:val="hybridMultilevel"/>
    <w:tmpl w:val="10422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1">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0"/>
  </w:num>
  <w:num w:numId="2">
    <w:abstractNumId w:val="20"/>
  </w:num>
  <w:num w:numId="3">
    <w:abstractNumId w:val="14"/>
  </w:num>
  <w:num w:numId="4">
    <w:abstractNumId w:val="15"/>
  </w:num>
  <w:num w:numId="5">
    <w:abstractNumId w:val="0"/>
  </w:num>
  <w:num w:numId="6">
    <w:abstractNumId w:val="31"/>
  </w:num>
  <w:num w:numId="7">
    <w:abstractNumId w:val="11"/>
  </w:num>
  <w:num w:numId="8">
    <w:abstractNumId w:val="2"/>
  </w:num>
  <w:num w:numId="9">
    <w:abstractNumId w:val="28"/>
  </w:num>
  <w:num w:numId="10">
    <w:abstractNumId w:val="1"/>
  </w:num>
  <w:num w:numId="11">
    <w:abstractNumId w:val="25"/>
  </w:num>
  <w:num w:numId="12">
    <w:abstractNumId w:val="5"/>
  </w:num>
  <w:num w:numId="13">
    <w:abstractNumId w:val="7"/>
  </w:num>
  <w:num w:numId="14">
    <w:abstractNumId w:val="6"/>
  </w:num>
  <w:num w:numId="15">
    <w:abstractNumId w:val="8"/>
  </w:num>
  <w:num w:numId="16">
    <w:abstractNumId w:val="16"/>
  </w:num>
  <w:num w:numId="17">
    <w:abstractNumId w:val="10"/>
  </w:num>
  <w:num w:numId="18">
    <w:abstractNumId w:val="29"/>
  </w:num>
  <w:num w:numId="19">
    <w:abstractNumId w:val="17"/>
  </w:num>
  <w:num w:numId="20">
    <w:abstractNumId w:val="18"/>
  </w:num>
  <w:num w:numId="21">
    <w:abstractNumId w:val="27"/>
  </w:num>
  <w:num w:numId="22">
    <w:abstractNumId w:val="23"/>
  </w:num>
  <w:num w:numId="23">
    <w:abstractNumId w:val="19"/>
  </w:num>
  <w:num w:numId="24">
    <w:abstractNumId w:val="12"/>
  </w:num>
  <w:num w:numId="25">
    <w:abstractNumId w:val="3"/>
  </w:num>
  <w:num w:numId="26">
    <w:abstractNumId w:val="13"/>
  </w:num>
  <w:num w:numId="27">
    <w:abstractNumId w:val="21"/>
  </w:num>
  <w:num w:numId="28">
    <w:abstractNumId w:val="4"/>
  </w:num>
  <w:num w:numId="29">
    <w:abstractNumId w:val="22"/>
  </w:num>
  <w:num w:numId="30">
    <w:abstractNumId w:val="26"/>
  </w:num>
  <w:num w:numId="31">
    <w:abstractNumId w:val="9"/>
  </w:num>
  <w:num w:numId="3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01D5"/>
    <w:rsid w:val="00011787"/>
    <w:rsid w:val="000230E5"/>
    <w:rsid w:val="00024843"/>
    <w:rsid w:val="00025A6F"/>
    <w:rsid w:val="00030B26"/>
    <w:rsid w:val="00032C0A"/>
    <w:rsid w:val="00035257"/>
    <w:rsid w:val="00035846"/>
    <w:rsid w:val="00041534"/>
    <w:rsid w:val="00050D9F"/>
    <w:rsid w:val="00054081"/>
    <w:rsid w:val="0006228D"/>
    <w:rsid w:val="00072BD6"/>
    <w:rsid w:val="00075A5E"/>
    <w:rsid w:val="00075B78"/>
    <w:rsid w:val="0008022A"/>
    <w:rsid w:val="00082CD6"/>
    <w:rsid w:val="00085AFE"/>
    <w:rsid w:val="00094800"/>
    <w:rsid w:val="00094CB7"/>
    <w:rsid w:val="000B0730"/>
    <w:rsid w:val="000C47D1"/>
    <w:rsid w:val="000D1815"/>
    <w:rsid w:val="000F0FC1"/>
    <w:rsid w:val="000F2AE2"/>
    <w:rsid w:val="000F6110"/>
    <w:rsid w:val="000F7F1D"/>
    <w:rsid w:val="00102063"/>
    <w:rsid w:val="0010541C"/>
    <w:rsid w:val="00106F93"/>
    <w:rsid w:val="00110819"/>
    <w:rsid w:val="00111D50"/>
    <w:rsid w:val="00113B8E"/>
    <w:rsid w:val="00122363"/>
    <w:rsid w:val="001342C7"/>
    <w:rsid w:val="0013585C"/>
    <w:rsid w:val="001412DE"/>
    <w:rsid w:val="00142954"/>
    <w:rsid w:val="00144483"/>
    <w:rsid w:val="001460E0"/>
    <w:rsid w:val="00147F71"/>
    <w:rsid w:val="00150A6E"/>
    <w:rsid w:val="00153556"/>
    <w:rsid w:val="0016468A"/>
    <w:rsid w:val="001A21B4"/>
    <w:rsid w:val="001A4703"/>
    <w:rsid w:val="001A5CF5"/>
    <w:rsid w:val="001B0165"/>
    <w:rsid w:val="001B061B"/>
    <w:rsid w:val="001B39D2"/>
    <w:rsid w:val="001B4BF8"/>
    <w:rsid w:val="001C4326"/>
    <w:rsid w:val="001D3541"/>
    <w:rsid w:val="001E5813"/>
    <w:rsid w:val="001F45A7"/>
    <w:rsid w:val="00201A01"/>
    <w:rsid w:val="002104D3"/>
    <w:rsid w:val="00213A33"/>
    <w:rsid w:val="0021763B"/>
    <w:rsid w:val="00235C90"/>
    <w:rsid w:val="00246DB1"/>
    <w:rsid w:val="002476B5"/>
    <w:rsid w:val="00253ECF"/>
    <w:rsid w:val="002546A1"/>
    <w:rsid w:val="002601C2"/>
    <w:rsid w:val="00270B69"/>
    <w:rsid w:val="00271983"/>
    <w:rsid w:val="00274E1B"/>
    <w:rsid w:val="00275D08"/>
    <w:rsid w:val="002858E3"/>
    <w:rsid w:val="0029190A"/>
    <w:rsid w:val="00292C5A"/>
    <w:rsid w:val="00295241"/>
    <w:rsid w:val="002960D8"/>
    <w:rsid w:val="002A1E1A"/>
    <w:rsid w:val="002A4DFC"/>
    <w:rsid w:val="002B047D"/>
    <w:rsid w:val="002B732B"/>
    <w:rsid w:val="002C0ECB"/>
    <w:rsid w:val="002C2219"/>
    <w:rsid w:val="002D0DF2"/>
    <w:rsid w:val="002D23BD"/>
    <w:rsid w:val="002D2B5A"/>
    <w:rsid w:val="002E0B47"/>
    <w:rsid w:val="002F7213"/>
    <w:rsid w:val="002F7222"/>
    <w:rsid w:val="0030382F"/>
    <w:rsid w:val="0030408D"/>
    <w:rsid w:val="003060E4"/>
    <w:rsid w:val="0031002C"/>
    <w:rsid w:val="003160E7"/>
    <w:rsid w:val="0031739E"/>
    <w:rsid w:val="0033023A"/>
    <w:rsid w:val="003325AB"/>
    <w:rsid w:val="003332D1"/>
    <w:rsid w:val="0033412B"/>
    <w:rsid w:val="00341742"/>
    <w:rsid w:val="00343365"/>
    <w:rsid w:val="003452F5"/>
    <w:rsid w:val="003510BA"/>
    <w:rsid w:val="00353501"/>
    <w:rsid w:val="00355048"/>
    <w:rsid w:val="003568E7"/>
    <w:rsid w:val="003606F8"/>
    <w:rsid w:val="003648EF"/>
    <w:rsid w:val="003673E6"/>
    <w:rsid w:val="00377264"/>
    <w:rsid w:val="003779D2"/>
    <w:rsid w:val="003904B2"/>
    <w:rsid w:val="0039225D"/>
    <w:rsid w:val="003952BC"/>
    <w:rsid w:val="003972A3"/>
    <w:rsid w:val="003A26A5"/>
    <w:rsid w:val="003A3761"/>
    <w:rsid w:val="003A5FEA"/>
    <w:rsid w:val="003B1D10"/>
    <w:rsid w:val="003B5E16"/>
    <w:rsid w:val="003C3862"/>
    <w:rsid w:val="003C414E"/>
    <w:rsid w:val="003C4761"/>
    <w:rsid w:val="003C76D4"/>
    <w:rsid w:val="003D137D"/>
    <w:rsid w:val="003D2CC5"/>
    <w:rsid w:val="003E7C46"/>
    <w:rsid w:val="003F2106"/>
    <w:rsid w:val="003F52A7"/>
    <w:rsid w:val="0040240C"/>
    <w:rsid w:val="00413021"/>
    <w:rsid w:val="004207D7"/>
    <w:rsid w:val="00440BE0"/>
    <w:rsid w:val="00442C1C"/>
    <w:rsid w:val="0044584B"/>
    <w:rsid w:val="00447CB7"/>
    <w:rsid w:val="00455CC9"/>
    <w:rsid w:val="00460826"/>
    <w:rsid w:val="00460EA7"/>
    <w:rsid w:val="0046195B"/>
    <w:rsid w:val="0046596D"/>
    <w:rsid w:val="00483D0B"/>
    <w:rsid w:val="00487C04"/>
    <w:rsid w:val="004907E1"/>
    <w:rsid w:val="004A035B"/>
    <w:rsid w:val="004A2108"/>
    <w:rsid w:val="004A38D7"/>
    <w:rsid w:val="004A778C"/>
    <w:rsid w:val="004A7837"/>
    <w:rsid w:val="004B2EC6"/>
    <w:rsid w:val="004C2E6A"/>
    <w:rsid w:val="004C64B8"/>
    <w:rsid w:val="004D2A2D"/>
    <w:rsid w:val="004D6689"/>
    <w:rsid w:val="004E1D1D"/>
    <w:rsid w:val="004E7AC8"/>
    <w:rsid w:val="004F0C94"/>
    <w:rsid w:val="005019AE"/>
    <w:rsid w:val="00502F74"/>
    <w:rsid w:val="00503749"/>
    <w:rsid w:val="00504CF4"/>
    <w:rsid w:val="0050635B"/>
    <w:rsid w:val="00512512"/>
    <w:rsid w:val="005151C2"/>
    <w:rsid w:val="00520C10"/>
    <w:rsid w:val="0052280A"/>
    <w:rsid w:val="00523363"/>
    <w:rsid w:val="00524EAB"/>
    <w:rsid w:val="0053199F"/>
    <w:rsid w:val="00532B24"/>
    <w:rsid w:val="00533B90"/>
    <w:rsid w:val="005410F8"/>
    <w:rsid w:val="005448EC"/>
    <w:rsid w:val="00545963"/>
    <w:rsid w:val="00550256"/>
    <w:rsid w:val="00551B51"/>
    <w:rsid w:val="00553958"/>
    <w:rsid w:val="00556CCF"/>
    <w:rsid w:val="0055763D"/>
    <w:rsid w:val="005621F2"/>
    <w:rsid w:val="00567B58"/>
    <w:rsid w:val="005763E0"/>
    <w:rsid w:val="00581136"/>
    <w:rsid w:val="005A25A2"/>
    <w:rsid w:val="005A27CA"/>
    <w:rsid w:val="005A43BD"/>
    <w:rsid w:val="005C6822"/>
    <w:rsid w:val="005D0C49"/>
    <w:rsid w:val="005E0D50"/>
    <w:rsid w:val="005E226E"/>
    <w:rsid w:val="005E2636"/>
    <w:rsid w:val="005E2933"/>
    <w:rsid w:val="00600607"/>
    <w:rsid w:val="006015D7"/>
    <w:rsid w:val="00601B21"/>
    <w:rsid w:val="00603EAF"/>
    <w:rsid w:val="006041F0"/>
    <w:rsid w:val="00624174"/>
    <w:rsid w:val="00626CF8"/>
    <w:rsid w:val="00634ED8"/>
    <w:rsid w:val="00636D7D"/>
    <w:rsid w:val="00637408"/>
    <w:rsid w:val="00637BC9"/>
    <w:rsid w:val="00642868"/>
    <w:rsid w:val="00647AFE"/>
    <w:rsid w:val="006512BC"/>
    <w:rsid w:val="006518FE"/>
    <w:rsid w:val="00652BC0"/>
    <w:rsid w:val="00653A5A"/>
    <w:rsid w:val="00655008"/>
    <w:rsid w:val="006575F4"/>
    <w:rsid w:val="006579E6"/>
    <w:rsid w:val="00663EDC"/>
    <w:rsid w:val="00665790"/>
    <w:rsid w:val="00671078"/>
    <w:rsid w:val="006758CA"/>
    <w:rsid w:val="00680A04"/>
    <w:rsid w:val="00686D80"/>
    <w:rsid w:val="00694895"/>
    <w:rsid w:val="00697E2E"/>
    <w:rsid w:val="006A25A2"/>
    <w:rsid w:val="006B0E73"/>
    <w:rsid w:val="006B4A4D"/>
    <w:rsid w:val="006B5695"/>
    <w:rsid w:val="006C78EB"/>
    <w:rsid w:val="006D1660"/>
    <w:rsid w:val="006D367E"/>
    <w:rsid w:val="006D7EDA"/>
    <w:rsid w:val="006E18DD"/>
    <w:rsid w:val="006E24A8"/>
    <w:rsid w:val="006E2F20"/>
    <w:rsid w:val="006F1B67"/>
    <w:rsid w:val="006F6282"/>
    <w:rsid w:val="0070091D"/>
    <w:rsid w:val="00702854"/>
    <w:rsid w:val="0070610F"/>
    <w:rsid w:val="0071741C"/>
    <w:rsid w:val="00722F16"/>
    <w:rsid w:val="00742B90"/>
    <w:rsid w:val="0074434D"/>
    <w:rsid w:val="007613EA"/>
    <w:rsid w:val="00771B1E"/>
    <w:rsid w:val="00773C95"/>
    <w:rsid w:val="0078171E"/>
    <w:rsid w:val="0079566E"/>
    <w:rsid w:val="00795B34"/>
    <w:rsid w:val="007B1770"/>
    <w:rsid w:val="007B30D8"/>
    <w:rsid w:val="007B4D3E"/>
    <w:rsid w:val="007B7560"/>
    <w:rsid w:val="007B7C70"/>
    <w:rsid w:val="007C3DDC"/>
    <w:rsid w:val="007C70AE"/>
    <w:rsid w:val="007D2151"/>
    <w:rsid w:val="007D3B90"/>
    <w:rsid w:val="007D42CC"/>
    <w:rsid w:val="007D5DE4"/>
    <w:rsid w:val="007E0777"/>
    <w:rsid w:val="007E1341"/>
    <w:rsid w:val="007E1B41"/>
    <w:rsid w:val="007E1EC4"/>
    <w:rsid w:val="007E30B9"/>
    <w:rsid w:val="007E74F1"/>
    <w:rsid w:val="007F0F0C"/>
    <w:rsid w:val="007F1288"/>
    <w:rsid w:val="00800A8A"/>
    <w:rsid w:val="0080155C"/>
    <w:rsid w:val="008052E1"/>
    <w:rsid w:val="008059B5"/>
    <w:rsid w:val="00805AF5"/>
    <w:rsid w:val="00822F2C"/>
    <w:rsid w:val="008305E8"/>
    <w:rsid w:val="00833E09"/>
    <w:rsid w:val="00836EE2"/>
    <w:rsid w:val="0086075A"/>
    <w:rsid w:val="00860826"/>
    <w:rsid w:val="00860E21"/>
    <w:rsid w:val="00861F01"/>
    <w:rsid w:val="00863117"/>
    <w:rsid w:val="0086388B"/>
    <w:rsid w:val="008642E5"/>
    <w:rsid w:val="00872D93"/>
    <w:rsid w:val="00880470"/>
    <w:rsid w:val="00880D94"/>
    <w:rsid w:val="008924DE"/>
    <w:rsid w:val="00892811"/>
    <w:rsid w:val="00892C39"/>
    <w:rsid w:val="00894CB1"/>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14547"/>
    <w:rsid w:val="00920A27"/>
    <w:rsid w:val="00921216"/>
    <w:rsid w:val="009216CC"/>
    <w:rsid w:val="0092359C"/>
    <w:rsid w:val="00930D08"/>
    <w:rsid w:val="00932D69"/>
    <w:rsid w:val="009436BF"/>
    <w:rsid w:val="00944647"/>
    <w:rsid w:val="00946619"/>
    <w:rsid w:val="00950A83"/>
    <w:rsid w:val="00954BA9"/>
    <w:rsid w:val="00957EE0"/>
    <w:rsid w:val="00966F9A"/>
    <w:rsid w:val="00977B8A"/>
    <w:rsid w:val="00977FF5"/>
    <w:rsid w:val="00982971"/>
    <w:rsid w:val="009845AD"/>
    <w:rsid w:val="009933EF"/>
    <w:rsid w:val="00995BA0"/>
    <w:rsid w:val="009A418B"/>
    <w:rsid w:val="009A426F"/>
    <w:rsid w:val="009A4473"/>
    <w:rsid w:val="009B05C9"/>
    <w:rsid w:val="009B1BA8"/>
    <w:rsid w:val="009B6CE8"/>
    <w:rsid w:val="009C151C"/>
    <w:rsid w:val="009C6FEF"/>
    <w:rsid w:val="009D4B13"/>
    <w:rsid w:val="009D5125"/>
    <w:rsid w:val="009D60B8"/>
    <w:rsid w:val="009D7D4B"/>
    <w:rsid w:val="009E36ED"/>
    <w:rsid w:val="009E3C8C"/>
    <w:rsid w:val="009E6B77"/>
    <w:rsid w:val="009F1C4A"/>
    <w:rsid w:val="009F460A"/>
    <w:rsid w:val="00A00906"/>
    <w:rsid w:val="00A043FB"/>
    <w:rsid w:val="00A0729C"/>
    <w:rsid w:val="00A07779"/>
    <w:rsid w:val="00A12BF6"/>
    <w:rsid w:val="00A20B2E"/>
    <w:rsid w:val="00A25069"/>
    <w:rsid w:val="00A26E6B"/>
    <w:rsid w:val="00A3068F"/>
    <w:rsid w:val="00A30B66"/>
    <w:rsid w:val="00A3145B"/>
    <w:rsid w:val="00A339D0"/>
    <w:rsid w:val="00A41002"/>
    <w:rsid w:val="00A4201A"/>
    <w:rsid w:val="00A4643F"/>
    <w:rsid w:val="00A553CE"/>
    <w:rsid w:val="00A5677A"/>
    <w:rsid w:val="00A6212B"/>
    <w:rsid w:val="00A625E8"/>
    <w:rsid w:val="00A6490D"/>
    <w:rsid w:val="00A70CE8"/>
    <w:rsid w:val="00A80363"/>
    <w:rsid w:val="00A82FDC"/>
    <w:rsid w:val="00A83E9D"/>
    <w:rsid w:val="00A9169D"/>
    <w:rsid w:val="00AA0900"/>
    <w:rsid w:val="00AA240C"/>
    <w:rsid w:val="00AA3E37"/>
    <w:rsid w:val="00AA4A35"/>
    <w:rsid w:val="00AB5D1E"/>
    <w:rsid w:val="00AC101C"/>
    <w:rsid w:val="00AD4CF1"/>
    <w:rsid w:val="00AD5988"/>
    <w:rsid w:val="00AF3A56"/>
    <w:rsid w:val="00AF4508"/>
    <w:rsid w:val="00AF7800"/>
    <w:rsid w:val="00B072E0"/>
    <w:rsid w:val="00B15270"/>
    <w:rsid w:val="00B22F2A"/>
    <w:rsid w:val="00B24FA6"/>
    <w:rsid w:val="00B253F6"/>
    <w:rsid w:val="00B305DB"/>
    <w:rsid w:val="00B332F8"/>
    <w:rsid w:val="00B3492B"/>
    <w:rsid w:val="00B4646F"/>
    <w:rsid w:val="00B55C7D"/>
    <w:rsid w:val="00B63038"/>
    <w:rsid w:val="00B64BD8"/>
    <w:rsid w:val="00B701D1"/>
    <w:rsid w:val="00B73AF2"/>
    <w:rsid w:val="00B7551A"/>
    <w:rsid w:val="00B773F1"/>
    <w:rsid w:val="00B83D0B"/>
    <w:rsid w:val="00B86AB1"/>
    <w:rsid w:val="00B87425"/>
    <w:rsid w:val="00BA3569"/>
    <w:rsid w:val="00BA44A0"/>
    <w:rsid w:val="00BB2CBB"/>
    <w:rsid w:val="00BC03EE"/>
    <w:rsid w:val="00BC59F1"/>
    <w:rsid w:val="00BE6BE5"/>
    <w:rsid w:val="00BF24A0"/>
    <w:rsid w:val="00BF3DE1"/>
    <w:rsid w:val="00BF4843"/>
    <w:rsid w:val="00BF5205"/>
    <w:rsid w:val="00BF560B"/>
    <w:rsid w:val="00C12508"/>
    <w:rsid w:val="00C23728"/>
    <w:rsid w:val="00C45AA2"/>
    <w:rsid w:val="00C55BEF"/>
    <w:rsid w:val="00C66296"/>
    <w:rsid w:val="00C674F0"/>
    <w:rsid w:val="00C77282"/>
    <w:rsid w:val="00C84DE5"/>
    <w:rsid w:val="00C86248"/>
    <w:rsid w:val="00CA0A4E"/>
    <w:rsid w:val="00CA4C33"/>
    <w:rsid w:val="00CA6969"/>
    <w:rsid w:val="00CA6F4A"/>
    <w:rsid w:val="00CB6075"/>
    <w:rsid w:val="00CD2119"/>
    <w:rsid w:val="00CD237A"/>
    <w:rsid w:val="00CD36AC"/>
    <w:rsid w:val="00CE044D"/>
    <w:rsid w:val="00CE13A3"/>
    <w:rsid w:val="00CF1520"/>
    <w:rsid w:val="00CF1747"/>
    <w:rsid w:val="00CF7E1B"/>
    <w:rsid w:val="00D112CC"/>
    <w:rsid w:val="00D2229A"/>
    <w:rsid w:val="00D23323"/>
    <w:rsid w:val="00D2392A"/>
    <w:rsid w:val="00D24A11"/>
    <w:rsid w:val="00D25FFE"/>
    <w:rsid w:val="00D4476F"/>
    <w:rsid w:val="00D514C1"/>
    <w:rsid w:val="00D54D50"/>
    <w:rsid w:val="00D54FAF"/>
    <w:rsid w:val="00D60F1A"/>
    <w:rsid w:val="00D66797"/>
    <w:rsid w:val="00D7087C"/>
    <w:rsid w:val="00D70C3C"/>
    <w:rsid w:val="00D71DF7"/>
    <w:rsid w:val="00D72BE5"/>
    <w:rsid w:val="00D82F26"/>
    <w:rsid w:val="00D863D0"/>
    <w:rsid w:val="00D87C87"/>
    <w:rsid w:val="00D90C26"/>
    <w:rsid w:val="00D90E07"/>
    <w:rsid w:val="00D979CC"/>
    <w:rsid w:val="00DB39CF"/>
    <w:rsid w:val="00DD0BCD"/>
    <w:rsid w:val="00DD1B89"/>
    <w:rsid w:val="00DD447A"/>
    <w:rsid w:val="00DD72BB"/>
    <w:rsid w:val="00DE3B20"/>
    <w:rsid w:val="00DE6C94"/>
    <w:rsid w:val="00DE6FD7"/>
    <w:rsid w:val="00DF6592"/>
    <w:rsid w:val="00E02D44"/>
    <w:rsid w:val="00E13358"/>
    <w:rsid w:val="00E23271"/>
    <w:rsid w:val="00E24F80"/>
    <w:rsid w:val="00E25510"/>
    <w:rsid w:val="00E259F3"/>
    <w:rsid w:val="00E33238"/>
    <w:rsid w:val="00E4486C"/>
    <w:rsid w:val="00E460B6"/>
    <w:rsid w:val="00E511D5"/>
    <w:rsid w:val="00E56127"/>
    <w:rsid w:val="00E60249"/>
    <w:rsid w:val="00E65269"/>
    <w:rsid w:val="00E73A58"/>
    <w:rsid w:val="00E76D66"/>
    <w:rsid w:val="00E873A6"/>
    <w:rsid w:val="00EA796A"/>
    <w:rsid w:val="00EA7BBB"/>
    <w:rsid w:val="00EB1856"/>
    <w:rsid w:val="00EC50CE"/>
    <w:rsid w:val="00EC531E"/>
    <w:rsid w:val="00EC5B34"/>
    <w:rsid w:val="00ED2F9B"/>
    <w:rsid w:val="00ED323C"/>
    <w:rsid w:val="00ED68CC"/>
    <w:rsid w:val="00EE2D5C"/>
    <w:rsid w:val="00EE3394"/>
    <w:rsid w:val="00EE4ADE"/>
    <w:rsid w:val="00EE5CB7"/>
    <w:rsid w:val="00EE78B6"/>
    <w:rsid w:val="00EF3C55"/>
    <w:rsid w:val="00F024FE"/>
    <w:rsid w:val="00F05AD4"/>
    <w:rsid w:val="00F140B2"/>
    <w:rsid w:val="00F25970"/>
    <w:rsid w:val="00F308A4"/>
    <w:rsid w:val="00F33D42"/>
    <w:rsid w:val="00F36987"/>
    <w:rsid w:val="00F5180D"/>
    <w:rsid w:val="00F63781"/>
    <w:rsid w:val="00F67496"/>
    <w:rsid w:val="00F801BA"/>
    <w:rsid w:val="00F84327"/>
    <w:rsid w:val="00F9366A"/>
    <w:rsid w:val="00F946C9"/>
    <w:rsid w:val="00FA74EE"/>
    <w:rsid w:val="00FB23BB"/>
    <w:rsid w:val="00FB3FE8"/>
    <w:rsid w:val="00FC0A3C"/>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6FC106"/>
  <w15:docId w15:val="{966470F1-2E18-429D-B580-956C278A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8E3A07"/>
    <w:pPr>
      <w:keepNext/>
      <w:spacing w:before="120" w:after="120"/>
      <w:outlineLvl w:val="1"/>
    </w:pPr>
    <w:rPr>
      <w:b/>
      <w:sz w:val="40"/>
    </w:rPr>
  </w:style>
  <w:style w:type="paragraph" w:styleId="Heading3">
    <w:name w:val="heading 3"/>
    <w:basedOn w:val="Normal"/>
    <w:next w:val="Normal"/>
    <w:link w:val="Heading3Char"/>
    <w:uiPriority w:val="9"/>
    <w:qFormat/>
    <w:rsid w:val="008E3A07"/>
    <w:pPr>
      <w:keepNext/>
      <w:spacing w:before="240" w:after="18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3A07"/>
    <w:rPr>
      <w:rFonts w:ascii="Georgia" w:hAnsi="Georgia"/>
      <w:b/>
      <w:sz w:val="60"/>
      <w:lang w:eastAsia="en-GB"/>
    </w:rPr>
  </w:style>
  <w:style w:type="character" w:customStyle="1" w:styleId="Heading2Char">
    <w:name w:val="Heading 2 Char"/>
    <w:link w:val="Heading2"/>
    <w:uiPriority w:val="9"/>
    <w:rsid w:val="008E3A07"/>
    <w:rPr>
      <w:rFonts w:ascii="Georgia" w:hAnsi="Georgia"/>
      <w:b/>
      <w:sz w:val="40"/>
      <w:lang w:eastAsia="en-GB"/>
    </w:rPr>
  </w:style>
  <w:style w:type="character" w:customStyle="1" w:styleId="Heading3Char">
    <w:name w:val="Heading 3 Char"/>
    <w:link w:val="Heading3"/>
    <w:uiPriority w:val="9"/>
    <w:rsid w:val="008E3A07"/>
    <w:rPr>
      <w:rFonts w:ascii="Georgia" w:hAnsi="Georgia"/>
      <w:b/>
      <w:sz w:val="28"/>
      <w:lang w:eastAsia="en-GB"/>
    </w:rPr>
  </w:style>
  <w:style w:type="character" w:customStyle="1" w:styleId="Heading4Char">
    <w:name w:val="Heading 4 Char"/>
    <w:link w:val="Heading4"/>
    <w:uiPriority w:val="9"/>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8E3A07"/>
    <w:pPr>
      <w:pBdr>
        <w:bottom w:val="single" w:sz="48" w:space="6" w:color="auto"/>
      </w:pBdr>
      <w:ind w:right="1701"/>
    </w:pPr>
    <w:rPr>
      <w:b/>
      <w:sz w:val="80"/>
    </w:rPr>
  </w:style>
  <w:style w:type="character" w:customStyle="1" w:styleId="TitleChar">
    <w:name w:val="Title Char"/>
    <w:link w:val="Title"/>
    <w:rsid w:val="008E3A07"/>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7B7560"/>
    <w:pPr>
      <w:pBdr>
        <w:bottom w:val="single" w:sz="4" w:space="4" w:color="auto"/>
      </w:pBdr>
    </w:pPr>
  </w:style>
  <w:style w:type="character" w:customStyle="1" w:styleId="FooterChar">
    <w:name w:val="Footer Char"/>
    <w:link w:val="Footer"/>
    <w:uiPriority w:val="99"/>
    <w:rsid w:val="007B7560"/>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7B7560"/>
    <w:pPr>
      <w:ind w:left="0" w:firstLine="0"/>
    </w:pPr>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8E3A07"/>
    <w:pPr>
      <w:pBdr>
        <w:bottom w:val="single" w:sz="48" w:space="6" w:color="auto"/>
      </w:pBdr>
    </w:pPr>
    <w:rPr>
      <w:sz w:val="56"/>
    </w:rPr>
  </w:style>
  <w:style w:type="paragraph" w:customStyle="1" w:styleId="Number">
    <w:name w:val="Number"/>
    <w:basedOn w:val="Normal"/>
    <w:qFormat/>
    <w:rsid w:val="00F140B2"/>
    <w:pPr>
      <w:spacing w:before="180"/>
      <w:ind w:left="567" w:hanging="567"/>
    </w:pPr>
    <w:rPr>
      <w:szCs w:val="24"/>
    </w:rPr>
  </w:style>
  <w:style w:type="paragraph" w:customStyle="1" w:styleId="Letter">
    <w:name w:val="Letter"/>
    <w:basedOn w:val="Normal"/>
    <w:qFormat/>
    <w:rsid w:val="00F140B2"/>
    <w:pPr>
      <w:numPr>
        <w:ilvl w:val="1"/>
        <w:numId w:val="17"/>
      </w:numPr>
      <w:spacing w:before="120"/>
    </w:pPr>
  </w:style>
  <w:style w:type="paragraph" w:styleId="NormalWeb">
    <w:name w:val="Normal (Web)"/>
    <w:basedOn w:val="Normal"/>
    <w:uiPriority w:val="99"/>
    <w:semiHidden/>
    <w:unhideWhenUsed/>
    <w:rsid w:val="00FC0A3C"/>
    <w:pPr>
      <w:spacing w:before="100" w:beforeAutospacing="1" w:after="100" w:afterAutospacing="1" w:line="240" w:lineRule="auto"/>
    </w:pPr>
    <w:rPr>
      <w:rFonts w:ascii="Times New Roman" w:eastAsiaTheme="minorEastAsia" w:hAnsi="Times New Roman"/>
      <w:sz w:val="24"/>
      <w:szCs w:val="24"/>
      <w:lang w:eastAsia="en-NZ"/>
    </w:rPr>
  </w:style>
  <w:style w:type="paragraph" w:styleId="BalloonText">
    <w:name w:val="Balloon Text"/>
    <w:basedOn w:val="Normal"/>
    <w:link w:val="BalloonTextChar"/>
    <w:uiPriority w:val="99"/>
    <w:semiHidden/>
    <w:unhideWhenUsed/>
    <w:rsid w:val="00271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983"/>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024843"/>
    <w:rPr>
      <w:sz w:val="16"/>
      <w:szCs w:val="16"/>
    </w:rPr>
  </w:style>
  <w:style w:type="paragraph" w:styleId="CommentText">
    <w:name w:val="annotation text"/>
    <w:basedOn w:val="Normal"/>
    <w:link w:val="CommentTextChar"/>
    <w:uiPriority w:val="99"/>
    <w:semiHidden/>
    <w:unhideWhenUsed/>
    <w:rsid w:val="00024843"/>
    <w:pPr>
      <w:spacing w:line="240" w:lineRule="auto"/>
    </w:pPr>
    <w:rPr>
      <w:sz w:val="20"/>
    </w:rPr>
  </w:style>
  <w:style w:type="character" w:customStyle="1" w:styleId="CommentTextChar">
    <w:name w:val="Comment Text Char"/>
    <w:basedOn w:val="DefaultParagraphFont"/>
    <w:link w:val="CommentText"/>
    <w:uiPriority w:val="99"/>
    <w:semiHidden/>
    <w:rsid w:val="00024843"/>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024843"/>
    <w:rPr>
      <w:b/>
      <w:bCs/>
    </w:rPr>
  </w:style>
  <w:style w:type="character" w:customStyle="1" w:styleId="CommentSubjectChar">
    <w:name w:val="Comment Subject Char"/>
    <w:basedOn w:val="CommentTextChar"/>
    <w:link w:val="CommentSubject"/>
    <w:uiPriority w:val="99"/>
    <w:semiHidden/>
    <w:rsid w:val="00024843"/>
    <w:rPr>
      <w:rFonts w:ascii="Georgia" w:hAnsi="Georgia"/>
      <w:b/>
      <w:bCs/>
      <w:lang w:eastAsia="en-GB"/>
    </w:rPr>
  </w:style>
  <w:style w:type="paragraph" w:customStyle="1" w:styleId="Roman">
    <w:name w:val="Roman"/>
    <w:basedOn w:val="Normal"/>
    <w:rsid w:val="00E02D44"/>
    <w:pPr>
      <w:spacing w:before="120" w:line="240" w:lineRule="auto"/>
      <w:ind w:left="1701" w:hanging="56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health.govt.nz/publication/indicators-well-child-tamariki-ora-quality-improvement-framework-march-2016" TargetMode="External"/><Relationship Id="rId26" Type="http://schemas.openxmlformats.org/officeDocument/2006/relationships/chart" Target="charts/chart4.xml"/><Relationship Id="rId39"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hyperlink" Target="http://www.health.govt.nz/nz-health-statistics/national-collections-and-surveys/collections/national-immunisation-register" TargetMode="External"/><Relationship Id="rId34" Type="http://schemas.openxmlformats.org/officeDocument/2006/relationships/chart" Target="charts/chart12.xml"/><Relationship Id="rId42" Type="http://schemas.openxmlformats.org/officeDocument/2006/relationships/chart" Target="charts/chart20.xml"/><Relationship Id="rId47" Type="http://schemas.openxmlformats.org/officeDocument/2006/relationships/chart" Target="charts/chart25.xm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chart" Target="charts/chart2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ealth.govt.nz/nz-health-statistics/health-statistics-and-data-sets/oral-health-data-and-stats/age-5-and-year-8-oral-health-data-community-oral-health-service" TargetMode="External"/><Relationship Id="rId29" Type="http://schemas.openxmlformats.org/officeDocument/2006/relationships/chart" Target="charts/chart7.xml"/><Relationship Id="rId41"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chart" Target="charts/chart23.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hyperlink" Target="http://www.stats.govt.nz/browse_for_stats/population/estimates_and_projections.aspx" TargetMode="External"/><Relationship Id="rId10" Type="http://schemas.openxmlformats.org/officeDocument/2006/relationships/image" Target="media/image2.png"/><Relationship Id="rId19" Type="http://schemas.openxmlformats.org/officeDocument/2006/relationships/hyperlink" Target="http://www.health.govt.nz/publication/indicator-interpretation-guide-2014-15-new-zealand-health-survey" TargetMode="External"/><Relationship Id="rId31" Type="http://schemas.openxmlformats.org/officeDocument/2006/relationships/chart" Target="charts/chart9.xml"/><Relationship Id="rId44" Type="http://schemas.openxmlformats.org/officeDocument/2006/relationships/chart" Target="charts/chart2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stats.govt.nz/browse_for_stats/population/estimates_and_projections.aspx"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chart" Target="charts/chart21.xml"/><Relationship Id="rId48" Type="http://schemas.openxmlformats.org/officeDocument/2006/relationships/chart" Target="charts/chart26.xml"/><Relationship Id="rId8" Type="http://schemas.openxmlformats.org/officeDocument/2006/relationships/header" Target="header1.xml"/><Relationship Id="rId51"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oleObject" Target="file:///\\moh.govt.nz\dfs-userdata\userstate\jnaama\Desktop\Important%20documents\'Ala%20Mo'ui%20Progress%20Report\'Ala%20Mo'ui%20Progress%20Report%20-%20Complete%20Dataset.xlsx" TargetMode="External"/><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LCleary\AppData\Local\Temp\notes09F4E4\'Ala%20Mo'ui%20Progress%20Report%20-%20Complete%20Dataset.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oh.govt.nz\dfs-userdata\userstate\LCleary\Documents\'Ala%20Mo'ui\'Ala%20Mo'ui%20Progress%20Report%20Complete%20Dataset.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LCleary\AppData\Local\Temp\notes09F4E4\'Ala%20Mo'ui%20Progress%20Report%20-%20Complete%20Dataset.xlsx" TargetMode="External"/><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2" Type="http://schemas.openxmlformats.org/officeDocument/2006/relationships/oleObject" Target="file:///\\moh.govt.nz\dfs-userdata\userstate\jnaama\Desktop\Important%20documents\'Ala%20Mo'ui%20Progress%20Report\'Ala%20Mo'ui%20Progress%20Report%20-%20Complete%20Dataset.xlsx" TargetMode="External"/><Relationship Id="rId1" Type="http://schemas.openxmlformats.org/officeDocument/2006/relationships/themeOverride" Target="../theme/themeOverride15.xml"/></Relationships>
</file>

<file path=word/charts/_rels/chart22.xml.rels><?xml version="1.0" encoding="UTF-8" standalone="yes"?>
<Relationships xmlns="http://schemas.openxmlformats.org/package/2006/relationships"><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16.xml"/></Relationships>
</file>

<file path=word/charts/_rels/chart23.xml.rels><?xml version="1.0" encoding="UTF-8" standalone="yes"?>
<Relationships xmlns="http://schemas.openxmlformats.org/package/2006/relationships"><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17.xml"/></Relationships>
</file>

<file path=word/charts/_rels/chart24.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moh.govt.nz\dfs-userdata\userstate\LCleary\Documents\'Ala%20Mo'ui\'Ala%20Mo'ui%20Progress%20Report%20-%20Complete%20Dataset.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79384216623795E-2"/>
          <c:y val="8.384308044580481E-2"/>
          <c:w val="0.89585166017993345"/>
          <c:h val="0.70889053777210376"/>
        </c:manualLayout>
      </c:layout>
      <c:lineChart>
        <c:grouping val="standard"/>
        <c:varyColors val="0"/>
        <c:ser>
          <c:idx val="0"/>
          <c:order val="0"/>
          <c:tx>
            <c:strRef>
              <c:f>'Fig 6 and 7'!$A$5</c:f>
              <c:strCache>
                <c:ptCount val="1"/>
                <c:pt idx="0">
                  <c:v>Pacific peoples</c:v>
                </c:pt>
              </c:strCache>
            </c:strRef>
          </c:tx>
          <c:spPr>
            <a:ln w="34925" cap="rnd">
              <a:solidFill>
                <a:sysClr val="window" lastClr="FFFFFF">
                  <a:lumMod val="65000"/>
                </a:sysClr>
              </a:solidFill>
              <a:round/>
            </a:ln>
            <a:effectLst/>
          </c:spPr>
          <c:marker>
            <c:symbol val="none"/>
          </c:marker>
          <c:cat>
            <c:numRef>
              <c:f>'Fig 6 and 7'!$B$4:$H$4</c:f>
              <c:numCache>
                <c:formatCode>mmm\-yy</c:formatCode>
                <c:ptCount val="7"/>
                <c:pt idx="0">
                  <c:v>41699</c:v>
                </c:pt>
                <c:pt idx="1">
                  <c:v>41883</c:v>
                </c:pt>
                <c:pt idx="2">
                  <c:v>42064</c:v>
                </c:pt>
                <c:pt idx="3">
                  <c:v>42248</c:v>
                </c:pt>
                <c:pt idx="4">
                  <c:v>42430</c:v>
                </c:pt>
                <c:pt idx="5">
                  <c:v>42614</c:v>
                </c:pt>
                <c:pt idx="6">
                  <c:v>42795</c:v>
                </c:pt>
              </c:numCache>
            </c:numRef>
          </c:cat>
          <c:val>
            <c:numRef>
              <c:f>'Fig 6 and 7'!$B$5:$H$5</c:f>
              <c:numCache>
                <c:formatCode>0.00%</c:formatCode>
                <c:ptCount val="7"/>
                <c:pt idx="0">
                  <c:v>0.62</c:v>
                </c:pt>
                <c:pt idx="1">
                  <c:v>0.73</c:v>
                </c:pt>
                <c:pt idx="2">
                  <c:v>0.6</c:v>
                </c:pt>
                <c:pt idx="3">
                  <c:v>0.73099999999999998</c:v>
                </c:pt>
                <c:pt idx="4">
                  <c:v>0.64900000000000002</c:v>
                </c:pt>
                <c:pt idx="5">
                  <c:v>0.78303425774877655</c:v>
                </c:pt>
                <c:pt idx="6">
                  <c:v>0.68973941368078096</c:v>
                </c:pt>
              </c:numCache>
            </c:numRef>
          </c:val>
          <c:smooth val="0"/>
        </c:ser>
        <c:ser>
          <c:idx val="1"/>
          <c:order val="1"/>
          <c:tx>
            <c:strRef>
              <c:f>'Fig 6 and 7'!$A$6</c:f>
              <c:strCache>
                <c:ptCount val="1"/>
                <c:pt idx="0">
                  <c:v>Total New Zealand</c:v>
                </c:pt>
              </c:strCache>
            </c:strRef>
          </c:tx>
          <c:spPr>
            <a:ln w="34925" cap="rnd">
              <a:solidFill>
                <a:sysClr val="windowText" lastClr="000000"/>
              </a:solidFill>
              <a:prstDash val="solid"/>
              <a:round/>
            </a:ln>
            <a:effectLst/>
          </c:spPr>
          <c:marker>
            <c:symbol val="none"/>
          </c:marker>
          <c:cat>
            <c:numRef>
              <c:f>'Fig 6 and 7'!$B$4:$H$4</c:f>
              <c:numCache>
                <c:formatCode>mmm\-yy</c:formatCode>
                <c:ptCount val="7"/>
                <c:pt idx="0">
                  <c:v>41699</c:v>
                </c:pt>
                <c:pt idx="1">
                  <c:v>41883</c:v>
                </c:pt>
                <c:pt idx="2">
                  <c:v>42064</c:v>
                </c:pt>
                <c:pt idx="3">
                  <c:v>42248</c:v>
                </c:pt>
                <c:pt idx="4">
                  <c:v>42430</c:v>
                </c:pt>
                <c:pt idx="5">
                  <c:v>42614</c:v>
                </c:pt>
                <c:pt idx="6">
                  <c:v>42795</c:v>
                </c:pt>
              </c:numCache>
            </c:numRef>
          </c:cat>
          <c:val>
            <c:numRef>
              <c:f>'Fig 6 and 7'!$B$6:$H$6</c:f>
              <c:numCache>
                <c:formatCode>0.00%</c:formatCode>
                <c:ptCount val="7"/>
                <c:pt idx="0">
                  <c:v>0.63</c:v>
                </c:pt>
                <c:pt idx="1">
                  <c:v>0.71</c:v>
                </c:pt>
                <c:pt idx="2">
                  <c:v>0.65</c:v>
                </c:pt>
                <c:pt idx="3">
                  <c:v>0.73499999999999999</c:v>
                </c:pt>
                <c:pt idx="4">
                  <c:v>0.67200000000000004</c:v>
                </c:pt>
                <c:pt idx="5">
                  <c:v>0.77349550951134993</c:v>
                </c:pt>
                <c:pt idx="6">
                  <c:v>0.66123606622254405</c:v>
                </c:pt>
              </c:numCache>
            </c:numRef>
          </c:val>
          <c:smooth val="0"/>
        </c:ser>
        <c:ser>
          <c:idx val="2"/>
          <c:order val="2"/>
          <c:tx>
            <c:strRef>
              <c:f>'Fig 6 and 7'!$A$7</c:f>
              <c:strCache>
                <c:ptCount val="1"/>
                <c:pt idx="0">
                  <c:v>Target</c:v>
                </c:pt>
              </c:strCache>
            </c:strRef>
          </c:tx>
          <c:spPr>
            <a:ln w="34925" cap="rnd">
              <a:solidFill>
                <a:srgbClr val="FF0000"/>
              </a:solidFill>
              <a:round/>
            </a:ln>
            <a:effectLst/>
          </c:spPr>
          <c:marker>
            <c:symbol val="none"/>
          </c:marker>
          <c:cat>
            <c:numRef>
              <c:f>'Fig 6 and 7'!$B$4:$H$4</c:f>
              <c:numCache>
                <c:formatCode>mmm\-yy</c:formatCode>
                <c:ptCount val="7"/>
                <c:pt idx="0">
                  <c:v>41699</c:v>
                </c:pt>
                <c:pt idx="1">
                  <c:v>41883</c:v>
                </c:pt>
                <c:pt idx="2">
                  <c:v>42064</c:v>
                </c:pt>
                <c:pt idx="3">
                  <c:v>42248</c:v>
                </c:pt>
                <c:pt idx="4">
                  <c:v>42430</c:v>
                </c:pt>
                <c:pt idx="5">
                  <c:v>42614</c:v>
                </c:pt>
                <c:pt idx="6">
                  <c:v>42795</c:v>
                </c:pt>
              </c:numCache>
            </c:numRef>
          </c:cat>
          <c:val>
            <c:numRef>
              <c:f>'Fig 6 and 7'!$B$7:$H$7</c:f>
              <c:numCache>
                <c:formatCode>0.00%</c:formatCode>
                <c:ptCount val="7"/>
                <c:pt idx="0">
                  <c:v>0.88</c:v>
                </c:pt>
                <c:pt idx="1">
                  <c:v>0.88</c:v>
                </c:pt>
                <c:pt idx="2">
                  <c:v>0.98</c:v>
                </c:pt>
                <c:pt idx="3">
                  <c:v>0.98</c:v>
                </c:pt>
                <c:pt idx="4">
                  <c:v>0.98</c:v>
                </c:pt>
                <c:pt idx="5">
                  <c:v>0.98</c:v>
                </c:pt>
                <c:pt idx="6">
                  <c:v>0.98</c:v>
                </c:pt>
              </c:numCache>
            </c:numRef>
          </c:val>
          <c:smooth val="0"/>
        </c:ser>
        <c:dLbls>
          <c:showLegendKey val="0"/>
          <c:showVal val="0"/>
          <c:showCatName val="0"/>
          <c:showSerName val="0"/>
          <c:showPercent val="0"/>
          <c:showBubbleSize val="0"/>
        </c:dLbls>
        <c:smooth val="0"/>
        <c:axId val="763079320"/>
        <c:axId val="763079712"/>
      </c:lineChart>
      <c:dateAx>
        <c:axId val="76307932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Report date</a:t>
                </a:r>
              </a:p>
            </c:rich>
          </c:tx>
          <c:layout>
            <c:manualLayout>
              <c:xMode val="edge"/>
              <c:yMode val="edge"/>
              <c:x val="0.47489225312236244"/>
              <c:y val="0.92646680034560902"/>
            </c:manualLayout>
          </c:layout>
          <c:overlay val="0"/>
          <c:spPr>
            <a:noFill/>
            <a:ln>
              <a:noFill/>
            </a:ln>
            <a:effectLst/>
          </c:spPr>
        </c:title>
        <c:numFmt formatCode="mmmm\ yyyy" sourceLinked="0"/>
        <c:majorTickMark val="none"/>
        <c:minorTickMark val="none"/>
        <c:tickLblPos val="none"/>
        <c:spPr>
          <a:noFill/>
          <a:ln w="9525" cap="flat" cmpd="sng" algn="ctr">
            <a:solidFill>
              <a:sysClr val="windowText" lastClr="000000"/>
            </a:solidFill>
            <a:round/>
          </a:ln>
          <a:effectLst/>
        </c:spPr>
        <c:txPr>
          <a:bodyPr rot="0" spcFirstLastPara="1" vertOverflow="ellipsis" vert="horz" wrap="square" anchor="ctr" anchorCtr="1"/>
          <a:lstStyle/>
          <a:p>
            <a:pPr>
              <a:spcBef>
                <a:spcPts val="0"/>
              </a:spcBef>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9712"/>
        <c:crosses val="autoZero"/>
        <c:auto val="1"/>
        <c:lblOffset val="100"/>
        <c:baseTimeUnit val="months"/>
        <c:majorUnit val="6"/>
        <c:majorTimeUnit val="months"/>
      </c:dateAx>
      <c:valAx>
        <c:axId val="763079712"/>
        <c:scaling>
          <c:orientation val="minMax"/>
          <c:max val="1"/>
        </c:scaling>
        <c:delete val="0"/>
        <c:axPos val="l"/>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en-NZ" sz="900">
                    <a:solidFill>
                      <a:sysClr val="windowText" lastClr="000000"/>
                    </a:solidFill>
                    <a:latin typeface="Arial" panose="020B0604020202020204" pitchFamily="34" charset="0"/>
                    <a:cs typeface="Arial" panose="020B0604020202020204" pitchFamily="34" charset="0"/>
                  </a:rPr>
                  <a:t>Percentage</a:t>
                </a:r>
              </a:p>
            </c:rich>
          </c:tx>
          <c:layout>
            <c:manualLayout>
              <c:xMode val="edge"/>
              <c:yMode val="edge"/>
              <c:x val="1.534054385967666E-3"/>
              <c:y val="1.7458351830650248E-3"/>
            </c:manualLayout>
          </c:layout>
          <c:overlay val="0"/>
          <c:spPr>
            <a:noFill/>
            <a:ln>
              <a:noFill/>
            </a:ln>
            <a:effectLst/>
          </c:spPr>
        </c:title>
        <c:numFmt formatCode="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9320"/>
        <c:crosses val="autoZero"/>
        <c:crossBetween val="between"/>
      </c:valAx>
      <c:spPr>
        <a:noFill/>
        <a:ln>
          <a:noFill/>
        </a:ln>
        <a:effectLst/>
      </c:spPr>
    </c:plotArea>
    <c:legend>
      <c:legendPos val="r"/>
      <c:layout>
        <c:manualLayout>
          <c:xMode val="edge"/>
          <c:yMode val="edge"/>
          <c:x val="0.7108882034758065"/>
          <c:y val="0.61643664107203988"/>
          <c:w val="0.28639815899992843"/>
          <c:h val="0.15672772605819396"/>
        </c:manualLayout>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078418546189947E-2"/>
          <c:y val="0.10022236098630805"/>
          <c:w val="0.90010514256749929"/>
          <c:h val="0.69210958797725464"/>
        </c:manualLayout>
      </c:layout>
      <c:lineChart>
        <c:grouping val="standard"/>
        <c:varyColors val="0"/>
        <c:ser>
          <c:idx val="0"/>
          <c:order val="0"/>
          <c:tx>
            <c:strRef>
              <c:f>'Fig 12 and 13'!$A$6</c:f>
              <c:strCache>
                <c:ptCount val="1"/>
                <c:pt idx="0">
                  <c:v>Pacific</c:v>
                </c:pt>
              </c:strCache>
            </c:strRef>
          </c:tx>
          <c:spPr>
            <a:ln w="34925" cap="rnd">
              <a:solidFill>
                <a:sysClr val="window" lastClr="FFFFFF">
                  <a:lumMod val="65000"/>
                </a:sysClr>
              </a:solidFill>
              <a:round/>
            </a:ln>
            <a:effectLst/>
          </c:spPr>
          <c:marker>
            <c:symbol val="none"/>
          </c:marker>
          <c:dPt>
            <c:idx val="4"/>
            <c:bubble3D val="0"/>
          </c:dPt>
          <c:cat>
            <c:numRef>
              <c:f>'Fig 12 and 13'!$B$5:$I$5</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13'!$B$6:$I$6</c:f>
              <c:numCache>
                <c:formatCode>0.00%</c:formatCode>
                <c:ptCount val="8"/>
                <c:pt idx="0">
                  <c:v>0.48</c:v>
                </c:pt>
                <c:pt idx="1">
                  <c:v>0.45</c:v>
                </c:pt>
                <c:pt idx="2">
                  <c:v>0.45</c:v>
                </c:pt>
                <c:pt idx="3">
                  <c:v>0.46</c:v>
                </c:pt>
                <c:pt idx="4">
                  <c:v>0.47</c:v>
                </c:pt>
                <c:pt idx="5">
                  <c:v>0.46100000000000002</c:v>
                </c:pt>
                <c:pt idx="6">
                  <c:v>0.46</c:v>
                </c:pt>
                <c:pt idx="7">
                  <c:v>0.4641168886978943</c:v>
                </c:pt>
              </c:numCache>
            </c:numRef>
          </c:val>
          <c:smooth val="0"/>
        </c:ser>
        <c:ser>
          <c:idx val="1"/>
          <c:order val="1"/>
          <c:tx>
            <c:strRef>
              <c:f>'Fig 12 and 13'!$A$7</c:f>
              <c:strCache>
                <c:ptCount val="1"/>
                <c:pt idx="0">
                  <c:v>Total New Zealand</c:v>
                </c:pt>
              </c:strCache>
            </c:strRef>
          </c:tx>
          <c:spPr>
            <a:ln w="34925" cap="rnd">
              <a:solidFill>
                <a:sysClr val="windowText" lastClr="000000"/>
              </a:solidFill>
              <a:prstDash val="solid"/>
              <a:round/>
            </a:ln>
            <a:effectLst/>
          </c:spPr>
          <c:marker>
            <c:symbol val="none"/>
          </c:marker>
          <c:dPt>
            <c:idx val="4"/>
            <c:bubble3D val="0"/>
          </c:dPt>
          <c:cat>
            <c:numRef>
              <c:f>'Fig 12 and 13'!$B$5:$I$5</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13'!$B$7:$I$7</c:f>
              <c:numCache>
                <c:formatCode>0.00%</c:formatCode>
                <c:ptCount val="8"/>
                <c:pt idx="0">
                  <c:v>0.55000000000000004</c:v>
                </c:pt>
                <c:pt idx="1">
                  <c:v>0.55000000000000004</c:v>
                </c:pt>
                <c:pt idx="2">
                  <c:v>0.55500000000000005</c:v>
                </c:pt>
                <c:pt idx="3">
                  <c:v>0.54900000000000004</c:v>
                </c:pt>
                <c:pt idx="4">
                  <c:v>0.55000000000000004</c:v>
                </c:pt>
                <c:pt idx="5">
                  <c:v>0.55200000000000005</c:v>
                </c:pt>
                <c:pt idx="6">
                  <c:v>0.56000000000000005</c:v>
                </c:pt>
                <c:pt idx="7">
                  <c:v>0.56267209837425969</c:v>
                </c:pt>
              </c:numCache>
            </c:numRef>
          </c:val>
          <c:smooth val="0"/>
        </c:ser>
        <c:ser>
          <c:idx val="2"/>
          <c:order val="2"/>
          <c:tx>
            <c:strRef>
              <c:f>'Fig 12 and 13'!$A$8</c:f>
              <c:strCache>
                <c:ptCount val="1"/>
                <c:pt idx="0">
                  <c:v>Target</c:v>
                </c:pt>
              </c:strCache>
            </c:strRef>
          </c:tx>
          <c:spPr>
            <a:ln w="34925" cap="rnd">
              <a:solidFill>
                <a:srgbClr val="FF0000"/>
              </a:solidFill>
              <a:round/>
            </a:ln>
            <a:effectLst/>
          </c:spPr>
          <c:marker>
            <c:symbol val="none"/>
          </c:marker>
          <c:cat>
            <c:numRef>
              <c:f>'Fig 12 and 13'!$B$5:$I$5</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13'!$B$8:$I$8</c:f>
              <c:numCache>
                <c:formatCode>0.00%</c:formatCode>
                <c:ptCount val="8"/>
                <c:pt idx="0">
                  <c:v>0.6</c:v>
                </c:pt>
                <c:pt idx="1">
                  <c:v>0.6</c:v>
                </c:pt>
                <c:pt idx="2">
                  <c:v>0.6</c:v>
                </c:pt>
                <c:pt idx="3">
                  <c:v>0.6</c:v>
                </c:pt>
                <c:pt idx="4">
                  <c:v>0.6</c:v>
                </c:pt>
                <c:pt idx="5">
                  <c:v>0.6</c:v>
                </c:pt>
                <c:pt idx="6">
                  <c:v>0.6</c:v>
                </c:pt>
                <c:pt idx="7">
                  <c:v>0.6</c:v>
                </c:pt>
              </c:numCache>
            </c:numRef>
          </c:val>
          <c:smooth val="0"/>
        </c:ser>
        <c:dLbls>
          <c:showLegendKey val="0"/>
          <c:showVal val="0"/>
          <c:showCatName val="0"/>
          <c:showSerName val="0"/>
          <c:showPercent val="0"/>
          <c:showBubbleSize val="0"/>
        </c:dLbls>
        <c:smooth val="0"/>
        <c:axId val="396671944"/>
        <c:axId val="396678608"/>
      </c:lineChart>
      <c:dateAx>
        <c:axId val="396671944"/>
        <c:scaling>
          <c:orientation val="minMax"/>
        </c:scaling>
        <c:delete val="0"/>
        <c:axPos val="b"/>
        <c:title>
          <c:tx>
            <c:rich>
              <a:bodyPr rot="0" vert="horz"/>
              <a:lstStyle/>
              <a:p>
                <a:pPr>
                  <a:defRPr/>
                </a:pPr>
                <a:r>
                  <a:rPr lang="en-NZ"/>
                  <a:t>Final month of period</a:t>
                </a:r>
              </a:p>
            </c:rich>
          </c:tx>
          <c:layout>
            <c:manualLayout>
              <c:xMode val="edge"/>
              <c:yMode val="edge"/>
              <c:x val="0.41667852888512635"/>
              <c:y val="0.93275255486681186"/>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60000000" vert="horz"/>
          <a:lstStyle/>
          <a:p>
            <a:pPr>
              <a:defRPr/>
            </a:pPr>
            <a:endParaRPr lang="en-US"/>
          </a:p>
        </c:txPr>
        <c:crossAx val="396678608"/>
        <c:crosses val="autoZero"/>
        <c:auto val="1"/>
        <c:lblOffset val="100"/>
        <c:baseTimeUnit val="months"/>
        <c:majorUnit val="6"/>
        <c:majorTimeUnit val="months"/>
        <c:minorUnit val="6"/>
        <c:minorTimeUnit val="months"/>
      </c:dateAx>
      <c:valAx>
        <c:axId val="396678608"/>
        <c:scaling>
          <c:orientation val="minMax"/>
        </c:scaling>
        <c:delete val="0"/>
        <c:axPos val="l"/>
        <c:title>
          <c:tx>
            <c:rich>
              <a:bodyPr rot="0"/>
              <a:lstStyle/>
              <a:p>
                <a:pPr>
                  <a:defRPr/>
                </a:pPr>
                <a:r>
                  <a:rPr lang="en-NZ"/>
                  <a:t>Percentage</a:t>
                </a:r>
              </a:p>
            </c:rich>
          </c:tx>
          <c:layout>
            <c:manualLayout>
              <c:xMode val="edge"/>
              <c:yMode val="edge"/>
              <c:x val="0"/>
              <c:y val="8.4094368340943988E-3"/>
            </c:manualLayout>
          </c:layout>
          <c:overlay val="0"/>
          <c:spPr>
            <a:noFill/>
            <a:ln>
              <a:noFill/>
            </a:ln>
            <a:effectLst/>
          </c:spPr>
        </c:title>
        <c:numFmt formatCode="0%" sourceLinked="0"/>
        <c:majorTickMark val="out"/>
        <c:minorTickMark val="none"/>
        <c:tickLblPos val="nextTo"/>
        <c:spPr>
          <a:noFill/>
          <a:ln>
            <a:solidFill>
              <a:schemeClr val="bg1">
                <a:lumMod val="50000"/>
              </a:schemeClr>
            </a:solidFill>
          </a:ln>
          <a:effectLst/>
        </c:spPr>
        <c:txPr>
          <a:bodyPr rot="-60000000" vert="horz"/>
          <a:lstStyle/>
          <a:p>
            <a:pPr>
              <a:defRPr/>
            </a:pPr>
            <a:endParaRPr lang="en-US"/>
          </a:p>
        </c:txPr>
        <c:crossAx val="396671944"/>
        <c:crosses val="autoZero"/>
        <c:crossBetween val="between"/>
      </c:valAx>
      <c:spPr>
        <a:noFill/>
        <a:ln>
          <a:noFill/>
        </a:ln>
        <a:effectLst/>
      </c:spPr>
    </c:plotArea>
    <c:legend>
      <c:legendPos val="r"/>
      <c:layout>
        <c:manualLayout>
          <c:xMode val="edge"/>
          <c:yMode val="edge"/>
          <c:x val="0.70528893657026304"/>
          <c:y val="0.58797537275925615"/>
          <c:w val="0.29171861006320543"/>
          <c:h val="0.19079924743920287"/>
        </c:manualLayout>
      </c:layout>
      <c:overlay val="0"/>
      <c:spPr>
        <a:noFill/>
        <a:ln>
          <a:noFill/>
        </a:ln>
        <a:effectLst/>
      </c:spPr>
      <c:txPr>
        <a:bodyPr rot="0" vert="horz"/>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83665505380991E-2"/>
          <c:y val="0.10955473676295238"/>
          <c:w val="0.90137126271296175"/>
          <c:h val="0.69446041684950865"/>
        </c:manualLayout>
      </c:layout>
      <c:lineChart>
        <c:grouping val="standard"/>
        <c:varyColors val="0"/>
        <c:ser>
          <c:idx val="0"/>
          <c:order val="0"/>
          <c:tx>
            <c:strRef>
              <c:f>'Fig 12 and 13'!$A$37</c:f>
              <c:strCache>
                <c:ptCount val="1"/>
                <c:pt idx="0">
                  <c:v>Auckland</c:v>
                </c:pt>
              </c:strCache>
            </c:strRef>
          </c:tx>
          <c:spPr>
            <a:ln w="34925" cap="rnd">
              <a:solidFill>
                <a:sysClr val="windowText" lastClr="000000"/>
              </a:solidFill>
              <a:round/>
            </a:ln>
            <a:effectLst/>
          </c:spPr>
          <c:marker>
            <c:symbol val="none"/>
          </c:marker>
          <c:dPt>
            <c:idx val="4"/>
            <c:bubble3D val="0"/>
          </c:dPt>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13'!$B$37:$I$37</c:f>
              <c:numCache>
                <c:formatCode>0.00%</c:formatCode>
                <c:ptCount val="8"/>
                <c:pt idx="0">
                  <c:v>0.45</c:v>
                </c:pt>
                <c:pt idx="1">
                  <c:v>0.42</c:v>
                </c:pt>
                <c:pt idx="2">
                  <c:v>0.40799999999999997</c:v>
                </c:pt>
                <c:pt idx="3">
                  <c:v>0.45400000000000001</c:v>
                </c:pt>
                <c:pt idx="4">
                  <c:v>0.49</c:v>
                </c:pt>
                <c:pt idx="5">
                  <c:v>0.48</c:v>
                </c:pt>
                <c:pt idx="6">
                  <c:v>0.47</c:v>
                </c:pt>
                <c:pt idx="7">
                  <c:v>0.46683046683046681</c:v>
                </c:pt>
              </c:numCache>
            </c:numRef>
          </c:val>
          <c:smooth val="0"/>
        </c:ser>
        <c:ser>
          <c:idx val="1"/>
          <c:order val="1"/>
          <c:tx>
            <c:strRef>
              <c:f>'Fig 12 and 13'!$A$40</c:f>
              <c:strCache>
                <c:ptCount val="1"/>
                <c:pt idx="0">
                  <c:v>Counties Manukau</c:v>
                </c:pt>
              </c:strCache>
            </c:strRef>
          </c:tx>
          <c:spPr>
            <a:ln w="34925" cap="rnd">
              <a:solidFill>
                <a:sysClr val="window" lastClr="FFFFFF">
                  <a:lumMod val="65000"/>
                </a:sysClr>
              </a:solidFill>
              <a:prstDash val="solid"/>
              <a:round/>
            </a:ln>
            <a:effectLst/>
          </c:spPr>
          <c:marker>
            <c:symbol val="none"/>
          </c:marker>
          <c:dPt>
            <c:idx val="4"/>
            <c:bubble3D val="0"/>
          </c:dPt>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13'!$B$40:$I$40</c:f>
              <c:numCache>
                <c:formatCode>0.00%</c:formatCode>
                <c:ptCount val="8"/>
                <c:pt idx="0">
                  <c:v>0.44</c:v>
                </c:pt>
                <c:pt idx="1">
                  <c:v>0.42</c:v>
                </c:pt>
                <c:pt idx="2">
                  <c:v>0.41799999999999998</c:v>
                </c:pt>
                <c:pt idx="3">
                  <c:v>0.432</c:v>
                </c:pt>
                <c:pt idx="4">
                  <c:v>0.44</c:v>
                </c:pt>
                <c:pt idx="5">
                  <c:v>0.39</c:v>
                </c:pt>
                <c:pt idx="6">
                  <c:v>0.42</c:v>
                </c:pt>
                <c:pt idx="7">
                  <c:v>0.4191096634093377</c:v>
                </c:pt>
              </c:numCache>
            </c:numRef>
          </c:val>
          <c:smooth val="0"/>
        </c:ser>
        <c:ser>
          <c:idx val="2"/>
          <c:order val="2"/>
          <c:tx>
            <c:strRef>
              <c:f>'Fig 12 and 13'!$A$44</c:f>
              <c:strCache>
                <c:ptCount val="1"/>
                <c:pt idx="0">
                  <c:v>Waitemata</c:v>
                </c:pt>
              </c:strCache>
            </c:strRef>
          </c:tx>
          <c:spPr>
            <a:ln w="34925" cap="rnd">
              <a:solidFill>
                <a:sysClr val="window" lastClr="FFFFFF">
                  <a:lumMod val="85000"/>
                </a:sysClr>
              </a:solidFill>
              <a:prstDash val="solid"/>
              <a:round/>
            </a:ln>
            <a:effectLst/>
          </c:spPr>
          <c:marker>
            <c:symbol val="none"/>
          </c:marker>
          <c:dPt>
            <c:idx val="4"/>
            <c:bubble3D val="0"/>
          </c:dPt>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13'!$B$44:$I$44</c:f>
              <c:numCache>
                <c:formatCode>0.00%</c:formatCode>
                <c:ptCount val="8"/>
                <c:pt idx="0">
                  <c:v>0.55000000000000004</c:v>
                </c:pt>
                <c:pt idx="1">
                  <c:v>0.54</c:v>
                </c:pt>
                <c:pt idx="2">
                  <c:v>0.50700000000000001</c:v>
                </c:pt>
                <c:pt idx="3">
                  <c:v>0.48199999999999998</c:v>
                </c:pt>
                <c:pt idx="4">
                  <c:v>0.49</c:v>
                </c:pt>
                <c:pt idx="5">
                  <c:v>0.52900000000000003</c:v>
                </c:pt>
                <c:pt idx="6">
                  <c:v>0.56000000000000005</c:v>
                </c:pt>
                <c:pt idx="7">
                  <c:v>0.56065573770491806</c:v>
                </c:pt>
              </c:numCache>
            </c:numRef>
          </c:val>
          <c:smooth val="0"/>
        </c:ser>
        <c:ser>
          <c:idx val="3"/>
          <c:order val="3"/>
          <c:tx>
            <c:strRef>
              <c:f>'Fig 12 and 13'!$A$45</c:f>
              <c:strCache>
                <c:ptCount val="1"/>
                <c:pt idx="0">
                  <c:v>Target</c:v>
                </c:pt>
              </c:strCache>
            </c:strRef>
          </c:tx>
          <c:spPr>
            <a:ln w="34925" cap="rnd">
              <a:solidFill>
                <a:srgbClr val="FF0000"/>
              </a:solidFill>
              <a:round/>
            </a:ln>
            <a:effectLst/>
          </c:spPr>
          <c:marker>
            <c:symbol val="none"/>
          </c:marker>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13'!$B$45:$I$45</c:f>
              <c:numCache>
                <c:formatCode>0.00%</c:formatCode>
                <c:ptCount val="8"/>
                <c:pt idx="0">
                  <c:v>0.6</c:v>
                </c:pt>
                <c:pt idx="1">
                  <c:v>0.6</c:v>
                </c:pt>
                <c:pt idx="2">
                  <c:v>0.6</c:v>
                </c:pt>
                <c:pt idx="3">
                  <c:v>0.6</c:v>
                </c:pt>
                <c:pt idx="4">
                  <c:v>0.6</c:v>
                </c:pt>
                <c:pt idx="5">
                  <c:v>0.6</c:v>
                </c:pt>
                <c:pt idx="6">
                  <c:v>0.6</c:v>
                </c:pt>
                <c:pt idx="7">
                  <c:v>0.6</c:v>
                </c:pt>
              </c:numCache>
            </c:numRef>
          </c:val>
          <c:smooth val="0"/>
        </c:ser>
        <c:dLbls>
          <c:showLegendKey val="0"/>
          <c:showVal val="0"/>
          <c:showCatName val="0"/>
          <c:showSerName val="0"/>
          <c:showPercent val="0"/>
          <c:showBubbleSize val="0"/>
        </c:dLbls>
        <c:smooth val="0"/>
        <c:axId val="396679000"/>
        <c:axId val="396668808"/>
      </c:lineChart>
      <c:dateAx>
        <c:axId val="396679000"/>
        <c:scaling>
          <c:orientation val="minMax"/>
        </c:scaling>
        <c:delete val="0"/>
        <c:axPos val="b"/>
        <c:title>
          <c:tx>
            <c:rich>
              <a:bodyPr rot="0" vert="horz"/>
              <a:lstStyle/>
              <a:p>
                <a:pPr>
                  <a:defRPr/>
                </a:pPr>
                <a:r>
                  <a:rPr lang="en-NZ"/>
                  <a:t>Final month of period</a:t>
                </a:r>
              </a:p>
            </c:rich>
          </c:tx>
          <c:layout>
            <c:manualLayout>
              <c:xMode val="edge"/>
              <c:yMode val="edge"/>
              <c:x val="0.3940711519880275"/>
              <c:y val="0.93424875230336712"/>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60000000" vert="horz"/>
          <a:lstStyle/>
          <a:p>
            <a:pPr>
              <a:defRPr/>
            </a:pPr>
            <a:endParaRPr lang="en-US"/>
          </a:p>
        </c:txPr>
        <c:crossAx val="396668808"/>
        <c:crosses val="autoZero"/>
        <c:auto val="1"/>
        <c:lblOffset val="100"/>
        <c:baseTimeUnit val="months"/>
        <c:majorUnit val="6"/>
        <c:majorTimeUnit val="months"/>
        <c:minorUnit val="6"/>
        <c:minorTimeUnit val="months"/>
      </c:dateAx>
      <c:valAx>
        <c:axId val="396668808"/>
        <c:scaling>
          <c:orientation val="minMax"/>
        </c:scaling>
        <c:delete val="0"/>
        <c:axPos val="l"/>
        <c:title>
          <c:tx>
            <c:rich>
              <a:bodyPr rot="0"/>
              <a:lstStyle/>
              <a:p>
                <a:pPr>
                  <a:defRPr/>
                </a:pPr>
                <a:r>
                  <a:rPr lang="en-NZ"/>
                  <a:t>Percentage</a:t>
                </a:r>
              </a:p>
            </c:rich>
          </c:tx>
          <c:layout>
            <c:manualLayout>
              <c:xMode val="edge"/>
              <c:yMode val="edge"/>
              <c:x val="0"/>
              <c:y val="2.855245683930988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96679000"/>
        <c:crosses val="autoZero"/>
        <c:crossBetween val="between"/>
      </c:valAx>
      <c:spPr>
        <a:noFill/>
        <a:ln>
          <a:noFill/>
        </a:ln>
        <a:effectLst/>
      </c:spPr>
    </c:plotArea>
    <c:legend>
      <c:legendPos val="r"/>
      <c:layout>
        <c:manualLayout>
          <c:xMode val="edge"/>
          <c:yMode val="edge"/>
          <c:x val="0.69508250524672077"/>
          <c:y val="0.51994554082395417"/>
          <c:w val="0.30295705231507419"/>
          <c:h val="0.2760313598474386"/>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83665505380991E-2"/>
          <c:y val="9.1354292392283099E-2"/>
          <c:w val="0.90207531261311269"/>
          <c:h val="0.7214792599945522"/>
        </c:manualLayout>
      </c:layout>
      <c:lineChart>
        <c:grouping val="standard"/>
        <c:varyColors val="0"/>
        <c:ser>
          <c:idx val="0"/>
          <c:order val="0"/>
          <c:tx>
            <c:strRef>
              <c:f>'Fig 12 and 13'!$A$38</c:f>
              <c:strCache>
                <c:ptCount val="1"/>
                <c:pt idx="0">
                  <c:v>Canterbury</c:v>
                </c:pt>
              </c:strCache>
            </c:strRef>
          </c:tx>
          <c:spPr>
            <a:ln w="34925" cap="rnd">
              <a:solidFill>
                <a:sysClr val="windowText" lastClr="000000"/>
              </a:solidFill>
              <a:round/>
            </a:ln>
            <a:effectLst/>
          </c:spPr>
          <c:marker>
            <c:symbol val="none"/>
          </c:marker>
          <c:dPt>
            <c:idx val="4"/>
            <c:bubble3D val="0"/>
          </c:dPt>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13'!$B$38:$I$38</c:f>
              <c:numCache>
                <c:formatCode>0.00%</c:formatCode>
                <c:ptCount val="8"/>
                <c:pt idx="0">
                  <c:v>0.46</c:v>
                </c:pt>
                <c:pt idx="1">
                  <c:v>0.54</c:v>
                </c:pt>
                <c:pt idx="2">
                  <c:v>0.52900000000000003</c:v>
                </c:pt>
                <c:pt idx="3">
                  <c:v>0.5</c:v>
                </c:pt>
                <c:pt idx="4">
                  <c:v>0.48</c:v>
                </c:pt>
                <c:pt idx="5">
                  <c:v>0.621</c:v>
                </c:pt>
                <c:pt idx="6">
                  <c:v>0.41</c:v>
                </c:pt>
                <c:pt idx="7">
                  <c:v>0.41346153846153844</c:v>
                </c:pt>
              </c:numCache>
            </c:numRef>
          </c:val>
          <c:smooth val="0"/>
        </c:ser>
        <c:ser>
          <c:idx val="1"/>
          <c:order val="1"/>
          <c:tx>
            <c:strRef>
              <c:f>'Fig 12 and 13'!$A$39</c:f>
              <c:strCache>
                <c:ptCount val="1"/>
                <c:pt idx="0">
                  <c:v>Capital &amp; Coast</c:v>
                </c:pt>
              </c:strCache>
            </c:strRef>
          </c:tx>
          <c:spPr>
            <a:ln w="34925" cap="rnd">
              <a:solidFill>
                <a:sysClr val="window" lastClr="FFFFFF">
                  <a:lumMod val="65000"/>
                </a:sysClr>
              </a:solidFill>
              <a:prstDash val="solid"/>
              <a:round/>
            </a:ln>
            <a:effectLst/>
          </c:spPr>
          <c:marker>
            <c:symbol val="none"/>
          </c:marker>
          <c:dPt>
            <c:idx val="4"/>
            <c:bubble3D val="0"/>
          </c:dPt>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13'!$B$39:$I$39</c:f>
              <c:numCache>
                <c:formatCode>0.00%</c:formatCode>
                <c:ptCount val="8"/>
                <c:pt idx="0">
                  <c:v>0.48</c:v>
                </c:pt>
                <c:pt idx="1">
                  <c:v>0.48</c:v>
                </c:pt>
                <c:pt idx="2">
                  <c:v>0.41099999999999998</c:v>
                </c:pt>
                <c:pt idx="3">
                  <c:v>0.53700000000000003</c:v>
                </c:pt>
                <c:pt idx="4">
                  <c:v>0.45</c:v>
                </c:pt>
                <c:pt idx="5">
                  <c:v>0.41199999999999998</c:v>
                </c:pt>
                <c:pt idx="6">
                  <c:v>0.49</c:v>
                </c:pt>
                <c:pt idx="7">
                  <c:v>0.4854368932038835</c:v>
                </c:pt>
              </c:numCache>
            </c:numRef>
          </c:val>
          <c:smooth val="0"/>
        </c:ser>
        <c:ser>
          <c:idx val="2"/>
          <c:order val="2"/>
          <c:tx>
            <c:strRef>
              <c:f>'Fig 12 and 13'!$A$41</c:f>
              <c:strCache>
                <c:ptCount val="1"/>
                <c:pt idx="0">
                  <c:v>Hawke's Bay</c:v>
                </c:pt>
              </c:strCache>
            </c:strRef>
          </c:tx>
          <c:spPr>
            <a:ln w="34925" cap="rnd">
              <a:solidFill>
                <a:sysClr val="window" lastClr="FFFFFF">
                  <a:lumMod val="85000"/>
                </a:sysClr>
              </a:solidFill>
              <a:prstDash val="solid"/>
              <a:round/>
            </a:ln>
            <a:effectLst/>
          </c:spPr>
          <c:marker>
            <c:symbol val="none"/>
          </c:marker>
          <c:dPt>
            <c:idx val="4"/>
            <c:bubble3D val="0"/>
          </c:dPt>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13'!$B$41:$I$41</c:f>
              <c:numCache>
                <c:formatCode>0.00%</c:formatCode>
                <c:ptCount val="8"/>
                <c:pt idx="0">
                  <c:v>0.39</c:v>
                </c:pt>
                <c:pt idx="1">
                  <c:v>0.46</c:v>
                </c:pt>
                <c:pt idx="2">
                  <c:v>0.39500000000000002</c:v>
                </c:pt>
                <c:pt idx="3">
                  <c:v>0.55800000000000005</c:v>
                </c:pt>
                <c:pt idx="4">
                  <c:v>0.62</c:v>
                </c:pt>
                <c:pt idx="5">
                  <c:v>0.63500000000000001</c:v>
                </c:pt>
                <c:pt idx="6">
                  <c:v>0.46</c:v>
                </c:pt>
                <c:pt idx="7">
                  <c:v>0.4642857142857143</c:v>
                </c:pt>
              </c:numCache>
            </c:numRef>
          </c:val>
          <c:smooth val="0"/>
        </c:ser>
        <c:ser>
          <c:idx val="3"/>
          <c:order val="3"/>
          <c:tx>
            <c:strRef>
              <c:f>'Fig 12 and 13'!$A$42</c:f>
              <c:strCache>
                <c:ptCount val="1"/>
                <c:pt idx="0">
                  <c:v>Hutt Valley</c:v>
                </c:pt>
              </c:strCache>
            </c:strRef>
          </c:tx>
          <c:spPr>
            <a:ln w="34925" cap="rnd">
              <a:solidFill>
                <a:sysClr val="window" lastClr="FFFFFF">
                  <a:lumMod val="65000"/>
                </a:sysClr>
              </a:solidFill>
              <a:prstDash val="sysDot"/>
              <a:round/>
            </a:ln>
            <a:effectLst/>
          </c:spPr>
          <c:marker>
            <c:symbol val="none"/>
          </c:marker>
          <c:dPt>
            <c:idx val="4"/>
            <c:bubble3D val="0"/>
          </c:dPt>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13'!$B$42:$I$42</c:f>
              <c:numCache>
                <c:formatCode>0.00%</c:formatCode>
                <c:ptCount val="8"/>
                <c:pt idx="0">
                  <c:v>0.53</c:v>
                </c:pt>
                <c:pt idx="1">
                  <c:v>0.46</c:v>
                </c:pt>
                <c:pt idx="2">
                  <c:v>0.434</c:v>
                </c:pt>
                <c:pt idx="3">
                  <c:v>0.36699999999999999</c:v>
                </c:pt>
                <c:pt idx="4">
                  <c:v>0.5</c:v>
                </c:pt>
                <c:pt idx="5">
                  <c:v>0.40500000000000003</c:v>
                </c:pt>
                <c:pt idx="6">
                  <c:v>0.46</c:v>
                </c:pt>
                <c:pt idx="7">
                  <c:v>0.46052631578947367</c:v>
                </c:pt>
              </c:numCache>
            </c:numRef>
          </c:val>
          <c:smooth val="0"/>
        </c:ser>
        <c:ser>
          <c:idx val="4"/>
          <c:order val="4"/>
          <c:tx>
            <c:strRef>
              <c:f>'Fig 12 and 13'!$A$43</c:f>
              <c:strCache>
                <c:ptCount val="1"/>
                <c:pt idx="0">
                  <c:v>Waikato</c:v>
                </c:pt>
              </c:strCache>
            </c:strRef>
          </c:tx>
          <c:spPr>
            <a:ln w="34925" cap="rnd">
              <a:solidFill>
                <a:sysClr val="window" lastClr="FFFFFF">
                  <a:lumMod val="85000"/>
                </a:sysClr>
              </a:solidFill>
              <a:prstDash val="sysDot"/>
              <a:round/>
            </a:ln>
            <a:effectLst/>
          </c:spPr>
          <c:marker>
            <c:symbol val="none"/>
          </c:marker>
          <c:dPt>
            <c:idx val="4"/>
            <c:bubble3D val="0"/>
          </c:dPt>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13'!$B$43:$I$43</c:f>
              <c:numCache>
                <c:formatCode>0.00%</c:formatCode>
                <c:ptCount val="8"/>
                <c:pt idx="0">
                  <c:v>0.56999999999999995</c:v>
                </c:pt>
                <c:pt idx="1">
                  <c:v>0.47</c:v>
                </c:pt>
                <c:pt idx="2">
                  <c:v>0.48099999999999998</c:v>
                </c:pt>
                <c:pt idx="3">
                  <c:v>0.45500000000000002</c:v>
                </c:pt>
                <c:pt idx="4">
                  <c:v>0.5</c:v>
                </c:pt>
                <c:pt idx="5">
                  <c:v>0.46300000000000002</c:v>
                </c:pt>
                <c:pt idx="6">
                  <c:v>0.53</c:v>
                </c:pt>
                <c:pt idx="7">
                  <c:v>0.53409090909090906</c:v>
                </c:pt>
              </c:numCache>
            </c:numRef>
          </c:val>
          <c:smooth val="0"/>
        </c:ser>
        <c:ser>
          <c:idx val="5"/>
          <c:order val="5"/>
          <c:tx>
            <c:strRef>
              <c:f>'Fig 12 and 13'!$A$45</c:f>
              <c:strCache>
                <c:ptCount val="1"/>
                <c:pt idx="0">
                  <c:v>Target</c:v>
                </c:pt>
              </c:strCache>
            </c:strRef>
          </c:tx>
          <c:spPr>
            <a:ln w="34925" cap="rnd">
              <a:solidFill>
                <a:srgbClr val="FF0000"/>
              </a:solidFill>
              <a:round/>
            </a:ln>
            <a:effectLst/>
          </c:spPr>
          <c:marker>
            <c:symbol val="none"/>
          </c:marker>
          <c:cat>
            <c:numRef>
              <c:f>'Fig 12 and 13'!$B$36:$I$36</c:f>
              <c:numCache>
                <c:formatCode>mmm\-yy</c:formatCode>
                <c:ptCount val="8"/>
                <c:pt idx="0">
                  <c:v>41426</c:v>
                </c:pt>
                <c:pt idx="1">
                  <c:v>41609</c:v>
                </c:pt>
                <c:pt idx="2">
                  <c:v>41791</c:v>
                </c:pt>
                <c:pt idx="3">
                  <c:v>41974</c:v>
                </c:pt>
                <c:pt idx="4">
                  <c:v>42156</c:v>
                </c:pt>
                <c:pt idx="5">
                  <c:v>42339</c:v>
                </c:pt>
                <c:pt idx="6">
                  <c:v>42522</c:v>
                </c:pt>
                <c:pt idx="7">
                  <c:v>42705</c:v>
                </c:pt>
              </c:numCache>
            </c:numRef>
          </c:cat>
          <c:val>
            <c:numRef>
              <c:f>'Fig 12 and 13'!$B$45:$I$45</c:f>
              <c:numCache>
                <c:formatCode>0.00%</c:formatCode>
                <c:ptCount val="8"/>
                <c:pt idx="0">
                  <c:v>0.6</c:v>
                </c:pt>
                <c:pt idx="1">
                  <c:v>0.6</c:v>
                </c:pt>
                <c:pt idx="2">
                  <c:v>0.6</c:v>
                </c:pt>
                <c:pt idx="3">
                  <c:v>0.6</c:v>
                </c:pt>
                <c:pt idx="4">
                  <c:v>0.6</c:v>
                </c:pt>
                <c:pt idx="5">
                  <c:v>0.6</c:v>
                </c:pt>
                <c:pt idx="6">
                  <c:v>0.6</c:v>
                </c:pt>
                <c:pt idx="7">
                  <c:v>0.6</c:v>
                </c:pt>
              </c:numCache>
            </c:numRef>
          </c:val>
          <c:smooth val="0"/>
        </c:ser>
        <c:dLbls>
          <c:showLegendKey val="0"/>
          <c:showVal val="0"/>
          <c:showCatName val="0"/>
          <c:showSerName val="0"/>
          <c:showPercent val="0"/>
          <c:showBubbleSize val="0"/>
        </c:dLbls>
        <c:smooth val="0"/>
        <c:axId val="396679784"/>
        <c:axId val="396674688"/>
      </c:lineChart>
      <c:dateAx>
        <c:axId val="396679784"/>
        <c:scaling>
          <c:orientation val="minMax"/>
        </c:scaling>
        <c:delete val="0"/>
        <c:axPos val="b"/>
        <c:title>
          <c:tx>
            <c:rich>
              <a:bodyPr rot="0" vert="horz"/>
              <a:lstStyle/>
              <a:p>
                <a:pPr>
                  <a:defRPr/>
                </a:pPr>
                <a:r>
                  <a:rPr lang="en-NZ"/>
                  <a:t>Final month of period</a:t>
                </a:r>
              </a:p>
            </c:rich>
          </c:tx>
          <c:layout>
            <c:manualLayout>
              <c:xMode val="edge"/>
              <c:yMode val="edge"/>
              <c:x val="0.38606758619216014"/>
              <c:y val="0.93474720769392872"/>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60000000" vert="horz"/>
          <a:lstStyle/>
          <a:p>
            <a:pPr>
              <a:defRPr/>
            </a:pPr>
            <a:endParaRPr lang="en-US"/>
          </a:p>
        </c:txPr>
        <c:crossAx val="396674688"/>
        <c:crosses val="autoZero"/>
        <c:auto val="0"/>
        <c:lblOffset val="100"/>
        <c:baseTimeUnit val="months"/>
        <c:majorUnit val="6"/>
        <c:majorTimeUnit val="months"/>
        <c:minorUnit val="6"/>
        <c:minorTimeUnit val="months"/>
      </c:dateAx>
      <c:valAx>
        <c:axId val="396674688"/>
        <c:scaling>
          <c:orientation val="minMax"/>
        </c:scaling>
        <c:delete val="0"/>
        <c:axPos val="l"/>
        <c:title>
          <c:tx>
            <c:rich>
              <a:bodyPr rot="0"/>
              <a:lstStyle/>
              <a:p>
                <a:pPr>
                  <a:defRPr/>
                </a:pPr>
                <a:r>
                  <a:rPr lang="en-NZ"/>
                  <a:t>Percentage</a:t>
                </a:r>
              </a:p>
            </c:rich>
          </c:tx>
          <c:layout>
            <c:manualLayout>
              <c:xMode val="edge"/>
              <c:yMode val="edge"/>
              <c:x val="0"/>
              <c:y val="2.855245683930988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96679784"/>
        <c:crosses val="autoZero"/>
        <c:crossBetween val="between"/>
      </c:valAx>
      <c:spPr>
        <a:noFill/>
        <a:ln>
          <a:noFill/>
        </a:ln>
        <a:effectLst/>
      </c:spPr>
    </c:plotArea>
    <c:legend>
      <c:legendPos val="r"/>
      <c:layout>
        <c:manualLayout>
          <c:xMode val="edge"/>
          <c:yMode val="edge"/>
          <c:x val="0.72023236424443582"/>
          <c:y val="0.46161311952794221"/>
          <c:w val="0.27584504150155148"/>
          <c:h val="0.3593482384045059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28698853541559E-2"/>
          <c:y val="0.11184571756116693"/>
          <c:w val="0.89966036796497484"/>
          <c:h val="0.71476679639183038"/>
        </c:manualLayout>
      </c:layout>
      <c:lineChart>
        <c:grouping val="standard"/>
        <c:varyColors val="0"/>
        <c:ser>
          <c:idx val="0"/>
          <c:order val="0"/>
          <c:tx>
            <c:strRef>
              <c:f>'Fig 14 and 15'!$A$40</c:f>
              <c:strCache>
                <c:ptCount val="1"/>
                <c:pt idx="0">
                  <c:v>Pacific</c:v>
                </c:pt>
              </c:strCache>
            </c:strRef>
          </c:tx>
          <c:spPr>
            <a:ln w="34925" cap="rnd">
              <a:solidFill>
                <a:schemeClr val="bg1">
                  <a:lumMod val="65000"/>
                </a:schemeClr>
              </a:solidFill>
              <a:round/>
            </a:ln>
            <a:effectLst/>
          </c:spPr>
          <c:marker>
            <c:symbol val="none"/>
          </c:marker>
          <c:cat>
            <c:numRef>
              <c:f>'Fig 14 and 15'!$B$39:$E$39</c:f>
              <c:numCache>
                <c:formatCode>mmm\-yy</c:formatCode>
                <c:ptCount val="4"/>
                <c:pt idx="0">
                  <c:v>42522</c:v>
                </c:pt>
                <c:pt idx="1">
                  <c:v>42583</c:v>
                </c:pt>
                <c:pt idx="2">
                  <c:v>42675</c:v>
                </c:pt>
                <c:pt idx="3">
                  <c:v>42767</c:v>
                </c:pt>
              </c:numCache>
            </c:numRef>
          </c:cat>
          <c:val>
            <c:numRef>
              <c:f>'Fig 14 and 15'!$B$40:$E$40</c:f>
              <c:numCache>
                <c:formatCode>0.00%</c:formatCode>
                <c:ptCount val="4"/>
                <c:pt idx="0">
                  <c:v>0.37</c:v>
                </c:pt>
                <c:pt idx="1">
                  <c:v>0.49</c:v>
                </c:pt>
                <c:pt idx="2">
                  <c:v>0.79</c:v>
                </c:pt>
                <c:pt idx="3">
                  <c:v>0.93</c:v>
                </c:pt>
              </c:numCache>
            </c:numRef>
          </c:val>
          <c:smooth val="0"/>
        </c:ser>
        <c:ser>
          <c:idx val="1"/>
          <c:order val="1"/>
          <c:tx>
            <c:strRef>
              <c:f>'Fig 14 and 15'!$A$41</c:f>
              <c:strCache>
                <c:ptCount val="1"/>
                <c:pt idx="0">
                  <c:v>Total New Zealand</c:v>
                </c:pt>
              </c:strCache>
            </c:strRef>
          </c:tx>
          <c:spPr>
            <a:ln w="34925" cap="rnd">
              <a:solidFill>
                <a:schemeClr val="tx1"/>
              </a:solidFill>
              <a:prstDash val="solid"/>
              <a:round/>
            </a:ln>
            <a:effectLst/>
          </c:spPr>
          <c:marker>
            <c:symbol val="none"/>
          </c:marker>
          <c:cat>
            <c:numRef>
              <c:f>'Fig 14 and 15'!$B$39:$E$39</c:f>
              <c:numCache>
                <c:formatCode>mmm\-yy</c:formatCode>
                <c:ptCount val="4"/>
                <c:pt idx="0">
                  <c:v>42522</c:v>
                </c:pt>
                <c:pt idx="1">
                  <c:v>42583</c:v>
                </c:pt>
                <c:pt idx="2">
                  <c:v>42675</c:v>
                </c:pt>
                <c:pt idx="3">
                  <c:v>42767</c:v>
                </c:pt>
              </c:numCache>
            </c:numRef>
          </c:cat>
          <c:val>
            <c:numRef>
              <c:f>'Fig 14 and 15'!$B$41:$E$41</c:f>
              <c:numCache>
                <c:formatCode>0.00%</c:formatCode>
                <c:ptCount val="4"/>
                <c:pt idx="0">
                  <c:v>0.36</c:v>
                </c:pt>
                <c:pt idx="1">
                  <c:v>0.49</c:v>
                </c:pt>
                <c:pt idx="2">
                  <c:v>0.72</c:v>
                </c:pt>
                <c:pt idx="3">
                  <c:v>0.86</c:v>
                </c:pt>
              </c:numCache>
            </c:numRef>
          </c:val>
          <c:smooth val="0"/>
        </c:ser>
        <c:ser>
          <c:idx val="2"/>
          <c:order val="2"/>
          <c:tx>
            <c:strRef>
              <c:f>'Fig 14 and 15'!$A$42</c:f>
              <c:strCache>
                <c:ptCount val="1"/>
                <c:pt idx="0">
                  <c:v>Target</c:v>
                </c:pt>
              </c:strCache>
            </c:strRef>
          </c:tx>
          <c:spPr>
            <a:ln w="31750" cap="rnd">
              <a:solidFill>
                <a:srgbClr val="FF0000"/>
              </a:solidFill>
              <a:round/>
            </a:ln>
            <a:effectLst/>
          </c:spPr>
          <c:marker>
            <c:symbol val="none"/>
          </c:marker>
          <c:cat>
            <c:numRef>
              <c:f>'Fig 14 and 15'!$B$39:$E$39</c:f>
              <c:numCache>
                <c:formatCode>mmm\-yy</c:formatCode>
                <c:ptCount val="4"/>
                <c:pt idx="0">
                  <c:v>42522</c:v>
                </c:pt>
                <c:pt idx="1">
                  <c:v>42583</c:v>
                </c:pt>
                <c:pt idx="2">
                  <c:v>42675</c:v>
                </c:pt>
                <c:pt idx="3">
                  <c:v>42767</c:v>
                </c:pt>
              </c:numCache>
            </c:numRef>
          </c:cat>
          <c:val>
            <c:numRef>
              <c:f>'Fig 14 and 15'!$B$42:$E$42</c:f>
              <c:numCache>
                <c:formatCode>0.00%</c:formatCode>
                <c:ptCount val="4"/>
                <c:pt idx="0">
                  <c:v>0.95</c:v>
                </c:pt>
                <c:pt idx="1">
                  <c:v>0.95</c:v>
                </c:pt>
                <c:pt idx="2">
                  <c:v>0.95</c:v>
                </c:pt>
                <c:pt idx="3">
                  <c:v>0.95</c:v>
                </c:pt>
              </c:numCache>
            </c:numRef>
          </c:val>
          <c:smooth val="0"/>
        </c:ser>
        <c:dLbls>
          <c:showLegendKey val="0"/>
          <c:showVal val="0"/>
          <c:showCatName val="0"/>
          <c:showSerName val="0"/>
          <c:showPercent val="0"/>
          <c:showBubbleSize val="0"/>
        </c:dLbls>
        <c:smooth val="0"/>
        <c:axId val="396676648"/>
        <c:axId val="396673512"/>
      </c:lineChart>
      <c:catAx>
        <c:axId val="396676648"/>
        <c:scaling>
          <c:orientation val="minMax"/>
        </c:scaling>
        <c:delete val="0"/>
        <c:axPos val="b"/>
        <c:title>
          <c:tx>
            <c:rich>
              <a:bodyPr rot="0" vert="horz"/>
              <a:lstStyle/>
              <a:p>
                <a:pPr>
                  <a:defRPr/>
                </a:pPr>
                <a:r>
                  <a:rPr lang="en-NZ"/>
                  <a:t>Final month of reporting period</a:t>
                </a:r>
              </a:p>
            </c:rich>
          </c:tx>
          <c:layout>
            <c:manualLayout>
              <c:xMode val="edge"/>
              <c:yMode val="edge"/>
              <c:x val="0.36157617468988146"/>
              <c:y val="0.93188071318671373"/>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396673512"/>
        <c:crosses val="autoZero"/>
        <c:auto val="0"/>
        <c:lblAlgn val="ctr"/>
        <c:lblOffset val="100"/>
        <c:tickMarkSkip val="3"/>
        <c:noMultiLvlLbl val="1"/>
      </c:catAx>
      <c:valAx>
        <c:axId val="396673512"/>
        <c:scaling>
          <c:orientation val="minMax"/>
          <c:max val="1"/>
        </c:scaling>
        <c:delete val="0"/>
        <c:axPos val="l"/>
        <c:title>
          <c:tx>
            <c:rich>
              <a:bodyPr rot="0"/>
              <a:lstStyle/>
              <a:p>
                <a:pPr>
                  <a:defRPr/>
                </a:pPr>
                <a:r>
                  <a:rPr lang="en-NZ"/>
                  <a:t>Percentage</a:t>
                </a:r>
              </a:p>
            </c:rich>
          </c:tx>
          <c:layout>
            <c:manualLayout>
              <c:xMode val="edge"/>
              <c:yMode val="edge"/>
              <c:x val="0"/>
              <c:y val="8.4094368340943988E-3"/>
            </c:manualLayout>
          </c:layout>
          <c:overlay val="0"/>
          <c:spPr>
            <a:noFill/>
            <a:ln>
              <a:noFill/>
            </a:ln>
            <a:effectLst/>
          </c:spPr>
        </c:title>
        <c:numFmt formatCode="0%" sourceLinked="0"/>
        <c:majorTickMark val="out"/>
        <c:minorTickMark val="none"/>
        <c:tickLblPos val="nextTo"/>
        <c:spPr>
          <a:noFill/>
          <a:ln>
            <a:solidFill>
              <a:schemeClr val="bg1">
                <a:lumMod val="50000"/>
              </a:schemeClr>
            </a:solidFill>
          </a:ln>
          <a:effectLst/>
        </c:spPr>
        <c:txPr>
          <a:bodyPr rot="-60000000" vert="horz"/>
          <a:lstStyle/>
          <a:p>
            <a:pPr>
              <a:defRPr/>
            </a:pPr>
            <a:endParaRPr lang="en-US"/>
          </a:p>
        </c:txPr>
        <c:crossAx val="396676648"/>
        <c:crosses val="autoZero"/>
        <c:crossBetween val="between"/>
      </c:valAx>
      <c:spPr>
        <a:noFill/>
        <a:ln>
          <a:noFill/>
        </a:ln>
        <a:effectLst/>
      </c:spPr>
    </c:plotArea>
    <c:legend>
      <c:legendPos val="r"/>
      <c:layout>
        <c:manualLayout>
          <c:xMode val="edge"/>
          <c:yMode val="edge"/>
          <c:x val="0.70994484050969375"/>
          <c:y val="0.60516449452439136"/>
          <c:w val="0.28924555535019281"/>
          <c:h val="0.2186310224153015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534706993284963E-2"/>
          <c:y val="0.1052401366696054"/>
          <c:w val="0.90556350046759748"/>
          <c:h val="0.72707302245893335"/>
        </c:manualLayout>
      </c:layout>
      <c:lineChart>
        <c:grouping val="standard"/>
        <c:varyColors val="0"/>
        <c:ser>
          <c:idx val="0"/>
          <c:order val="0"/>
          <c:tx>
            <c:strRef>
              <c:f>'Fig 26 and 27'!$A$4</c:f>
              <c:strCache>
                <c:ptCount val="1"/>
                <c:pt idx="0">
                  <c:v>Pacific</c:v>
                </c:pt>
              </c:strCache>
            </c:strRef>
          </c:tx>
          <c:spPr>
            <a:ln w="34925" cap="rnd">
              <a:solidFill>
                <a:schemeClr val="bg1">
                  <a:lumMod val="65000"/>
                </a:schemeClr>
              </a:solidFill>
              <a:prstDash val="solid"/>
              <a:round/>
            </a:ln>
            <a:effectLst/>
          </c:spPr>
          <c:marker>
            <c:symbol val="none"/>
          </c:marker>
          <c:dPt>
            <c:idx val="0"/>
            <c:marker>
              <c:symbol val="diamond"/>
              <c:size val="7"/>
              <c:spPr>
                <a:solidFill>
                  <a:schemeClr val="bg1">
                    <a:lumMod val="65000"/>
                  </a:schemeClr>
                </a:solidFill>
                <a:ln w="9525">
                  <a:solidFill>
                    <a:schemeClr val="bg1">
                      <a:lumMod val="65000"/>
                    </a:schemeClr>
                  </a:solidFill>
                </a:ln>
                <a:effectLst/>
              </c:spPr>
            </c:marker>
            <c:bubble3D val="0"/>
          </c:dPt>
          <c:dPt>
            <c:idx val="1"/>
            <c:bubble3D val="0"/>
            <c:spPr>
              <a:ln w="34925" cap="rnd">
                <a:noFill/>
                <a:prstDash val="solid"/>
                <a:round/>
              </a:ln>
              <a:effectLst/>
            </c:spPr>
          </c:dPt>
          <c:cat>
            <c:strRef>
              <c:f>'Fig 26 and 27'!$B$3:$G$3</c:f>
              <c:strCache>
                <c:ptCount val="6"/>
                <c:pt idx="0">
                  <c:v>2006/07</c:v>
                </c:pt>
                <c:pt idx="1">
                  <c:v>2011/12</c:v>
                </c:pt>
                <c:pt idx="2">
                  <c:v>2012/13</c:v>
                </c:pt>
                <c:pt idx="3">
                  <c:v>2013/14</c:v>
                </c:pt>
                <c:pt idx="4">
                  <c:v>2014/15</c:v>
                </c:pt>
                <c:pt idx="5">
                  <c:v>2015/16</c:v>
                </c:pt>
              </c:strCache>
            </c:strRef>
          </c:cat>
          <c:val>
            <c:numRef>
              <c:f>'Fig 26 and 27'!$B$4:$G$4</c:f>
              <c:numCache>
                <c:formatCode>0.00%</c:formatCode>
                <c:ptCount val="6"/>
                <c:pt idx="0">
                  <c:v>0.23100000000000001</c:v>
                </c:pt>
                <c:pt idx="1">
                  <c:v>0.25</c:v>
                </c:pt>
                <c:pt idx="2">
                  <c:v>0.26500000000000001</c:v>
                </c:pt>
                <c:pt idx="3">
                  <c:v>0.24099999999999999</c:v>
                </c:pt>
                <c:pt idx="4">
                  <c:v>0.29699999999999999</c:v>
                </c:pt>
                <c:pt idx="5">
                  <c:v>0.29799999999999999</c:v>
                </c:pt>
              </c:numCache>
            </c:numRef>
          </c:val>
          <c:smooth val="0"/>
        </c:ser>
        <c:ser>
          <c:idx val="1"/>
          <c:order val="1"/>
          <c:tx>
            <c:strRef>
              <c:f>'Fig 26 and 27'!$A$5</c:f>
              <c:strCache>
                <c:ptCount val="1"/>
                <c:pt idx="0">
                  <c:v>Total New Zealand</c:v>
                </c:pt>
              </c:strCache>
            </c:strRef>
          </c:tx>
          <c:spPr>
            <a:ln w="34925" cap="rnd">
              <a:solidFill>
                <a:schemeClr val="tx1"/>
              </a:solidFill>
              <a:prstDash val="solid"/>
              <a:round/>
            </a:ln>
            <a:effectLst/>
          </c:spPr>
          <c:marker>
            <c:symbol val="none"/>
          </c:marker>
          <c:dPt>
            <c:idx val="0"/>
            <c:marker>
              <c:symbol val="diamond"/>
              <c:size val="7"/>
              <c:spPr>
                <a:solidFill>
                  <a:schemeClr val="tx1"/>
                </a:solidFill>
                <a:ln w="9525">
                  <a:solidFill>
                    <a:schemeClr val="tx1"/>
                  </a:solidFill>
                </a:ln>
                <a:effectLst/>
              </c:spPr>
            </c:marker>
            <c:bubble3D val="0"/>
          </c:dPt>
          <c:dPt>
            <c:idx val="1"/>
            <c:bubble3D val="0"/>
            <c:spPr>
              <a:ln w="34925" cap="rnd">
                <a:noFill/>
                <a:prstDash val="solid"/>
                <a:round/>
              </a:ln>
              <a:effectLst/>
            </c:spPr>
          </c:dPt>
          <c:cat>
            <c:strRef>
              <c:f>'Fig 26 and 27'!$B$3:$G$3</c:f>
              <c:strCache>
                <c:ptCount val="6"/>
                <c:pt idx="0">
                  <c:v>2006/07</c:v>
                </c:pt>
                <c:pt idx="1">
                  <c:v>2011/12</c:v>
                </c:pt>
                <c:pt idx="2">
                  <c:v>2012/13</c:v>
                </c:pt>
                <c:pt idx="3">
                  <c:v>2013/14</c:v>
                </c:pt>
                <c:pt idx="4">
                  <c:v>2014/15</c:v>
                </c:pt>
                <c:pt idx="5">
                  <c:v>2015/16</c:v>
                </c:pt>
              </c:strCache>
            </c:strRef>
          </c:cat>
          <c:val>
            <c:numRef>
              <c:f>'Fig 26 and 27'!$B$5:$G$5</c:f>
              <c:numCache>
                <c:formatCode>0.00%</c:formatCode>
                <c:ptCount val="6"/>
                <c:pt idx="0">
                  <c:v>8.4000000000000005E-2</c:v>
                </c:pt>
                <c:pt idx="1">
                  <c:v>0.107</c:v>
                </c:pt>
                <c:pt idx="2">
                  <c:v>0.105</c:v>
                </c:pt>
                <c:pt idx="3">
                  <c:v>9.9000000000000005E-2</c:v>
                </c:pt>
                <c:pt idx="4">
                  <c:v>0.108</c:v>
                </c:pt>
                <c:pt idx="5">
                  <c:v>0.107</c:v>
                </c:pt>
              </c:numCache>
            </c:numRef>
          </c:val>
          <c:smooth val="0"/>
        </c:ser>
        <c:dLbls>
          <c:showLegendKey val="0"/>
          <c:showVal val="0"/>
          <c:showCatName val="0"/>
          <c:showSerName val="0"/>
          <c:showPercent val="0"/>
          <c:showBubbleSize val="0"/>
        </c:dLbls>
        <c:smooth val="0"/>
        <c:axId val="396676256"/>
        <c:axId val="396677040"/>
      </c:lineChart>
      <c:catAx>
        <c:axId val="396676256"/>
        <c:scaling>
          <c:orientation val="minMax"/>
        </c:scaling>
        <c:delete val="0"/>
        <c:axPos val="b"/>
        <c:title>
          <c:tx>
            <c:rich>
              <a:bodyPr rot="0" vert="horz"/>
              <a:lstStyle/>
              <a:p>
                <a:pPr>
                  <a:defRPr/>
                </a:pPr>
                <a:r>
                  <a:rPr lang="en-NZ"/>
                  <a:t>Financial year</a:t>
                </a:r>
              </a:p>
            </c:rich>
          </c:tx>
          <c:layout>
            <c:manualLayout>
              <c:xMode val="edge"/>
              <c:yMode val="edge"/>
              <c:x val="0.44190812970452914"/>
              <c:y val="0.93395853749900681"/>
            </c:manualLayout>
          </c:layout>
          <c:overlay val="0"/>
          <c:spPr>
            <a:noFill/>
            <a:ln>
              <a:noFill/>
            </a:ln>
            <a:effectLst/>
          </c:spPr>
        </c:title>
        <c:numFmt formatCode="0%" sourceLinked="0"/>
        <c:majorTickMark val="none"/>
        <c:minorTickMark val="none"/>
        <c:tickLblPos val="nextTo"/>
        <c:spPr>
          <a:noFill/>
          <a:ln w="9525" cap="flat" cmpd="sng" algn="ctr">
            <a:solidFill>
              <a:schemeClr val="bg2">
                <a:lumMod val="50000"/>
              </a:schemeClr>
            </a:solidFill>
            <a:round/>
          </a:ln>
          <a:effectLst/>
        </c:spPr>
        <c:txPr>
          <a:bodyPr rot="-60000000" vert="horz"/>
          <a:lstStyle/>
          <a:p>
            <a:pPr>
              <a:defRPr/>
            </a:pPr>
            <a:endParaRPr lang="en-US"/>
          </a:p>
        </c:txPr>
        <c:crossAx val="396677040"/>
        <c:crosses val="autoZero"/>
        <c:auto val="1"/>
        <c:lblAlgn val="ctr"/>
        <c:lblOffset val="100"/>
        <c:noMultiLvlLbl val="0"/>
      </c:catAx>
      <c:valAx>
        <c:axId val="396677040"/>
        <c:scaling>
          <c:orientation val="minMax"/>
        </c:scaling>
        <c:delete val="0"/>
        <c:axPos val="l"/>
        <c:title>
          <c:tx>
            <c:rich>
              <a:bodyPr rot="0"/>
              <a:lstStyle/>
              <a:p>
                <a:pPr>
                  <a:defRPr/>
                </a:pPr>
                <a:r>
                  <a:rPr lang="en-NZ"/>
                  <a:t>Percentage</a:t>
                </a:r>
              </a:p>
            </c:rich>
          </c:tx>
          <c:layout>
            <c:manualLayout>
              <c:xMode val="edge"/>
              <c:yMode val="edge"/>
              <c:x val="0"/>
              <c:y val="7.8489914788048756E-3"/>
            </c:manualLayout>
          </c:layout>
          <c:overlay val="0"/>
          <c:spPr>
            <a:noFill/>
            <a:ln>
              <a:noFill/>
            </a:ln>
            <a:effectLst/>
          </c:spPr>
        </c:title>
        <c:numFmt formatCode="0%" sourceLinked="0"/>
        <c:majorTickMark val="out"/>
        <c:minorTickMark val="none"/>
        <c:tickLblPos val="nextTo"/>
        <c:spPr>
          <a:noFill/>
          <a:ln>
            <a:solidFill>
              <a:schemeClr val="bg2">
                <a:lumMod val="50000"/>
              </a:schemeClr>
            </a:solidFill>
          </a:ln>
          <a:effectLst/>
        </c:spPr>
        <c:txPr>
          <a:bodyPr rot="-60000000" vert="horz"/>
          <a:lstStyle/>
          <a:p>
            <a:pPr>
              <a:defRPr/>
            </a:pPr>
            <a:endParaRPr lang="en-US"/>
          </a:p>
        </c:txPr>
        <c:crossAx val="396676256"/>
        <c:crosses val="autoZero"/>
        <c:crossBetween val="between"/>
      </c:valAx>
      <c:spPr>
        <a:noFill/>
        <a:ln>
          <a:noFill/>
        </a:ln>
        <a:effectLst/>
      </c:spPr>
    </c:plotArea>
    <c:legend>
      <c:legendPos val="r"/>
      <c:layout>
        <c:manualLayout>
          <c:xMode val="edge"/>
          <c:yMode val="edge"/>
          <c:x val="0.70394817534231802"/>
          <c:y val="0.68790443722165673"/>
          <c:w val="0.29393742528140215"/>
          <c:h val="0.12328853413871213"/>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163656013586538E-2"/>
          <c:y val="0.10834525369217843"/>
          <c:w val="0.90082589395111767"/>
          <c:h val="0.73001520259601982"/>
        </c:manualLayout>
      </c:layout>
      <c:lineChart>
        <c:grouping val="standard"/>
        <c:varyColors val="0"/>
        <c:ser>
          <c:idx val="0"/>
          <c:order val="0"/>
          <c:tx>
            <c:strRef>
              <c:f>'Fig 16 and 17'!$A$5</c:f>
              <c:strCache>
                <c:ptCount val="1"/>
                <c:pt idx="0">
                  <c:v>Pacific</c:v>
                </c:pt>
              </c:strCache>
            </c:strRef>
          </c:tx>
          <c:spPr>
            <a:ln w="34925" cap="rnd">
              <a:solidFill>
                <a:sysClr val="window" lastClr="FFFFFF">
                  <a:lumMod val="65000"/>
                </a:sysClr>
              </a:solidFill>
              <a:round/>
            </a:ln>
            <a:effectLst/>
          </c:spPr>
          <c:marker>
            <c:symbol val="none"/>
          </c:marker>
          <c:cat>
            <c:numRef>
              <c:f>'Fig 16 and 17'!$B$4:$J$4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17'!$B$5:$J$5</c:f>
              <c:numCache>
                <c:formatCode>0.00%</c:formatCode>
                <c:ptCount val="9"/>
                <c:pt idx="0">
                  <c:v>0.28100000000000003</c:v>
                </c:pt>
                <c:pt idx="1">
                  <c:v>0.30199999999999999</c:v>
                </c:pt>
                <c:pt idx="2">
                  <c:v>0.32200000000000001</c:v>
                </c:pt>
                <c:pt idx="3">
                  <c:v>0.49099999999999999</c:v>
                </c:pt>
                <c:pt idx="4">
                  <c:v>0.59399999999999997</c:v>
                </c:pt>
                <c:pt idx="5">
                  <c:v>0.66300000000000003</c:v>
                </c:pt>
                <c:pt idx="6">
                  <c:v>0.67800000000000005</c:v>
                </c:pt>
                <c:pt idx="7">
                  <c:v>0.747</c:v>
                </c:pt>
                <c:pt idx="8">
                  <c:v>0.75600000000000001</c:v>
                </c:pt>
              </c:numCache>
            </c:numRef>
          </c:val>
          <c:smooth val="0"/>
        </c:ser>
        <c:ser>
          <c:idx val="1"/>
          <c:order val="1"/>
          <c:tx>
            <c:strRef>
              <c:f>'Fig 16 and 17'!$A$6</c:f>
              <c:strCache>
                <c:ptCount val="1"/>
                <c:pt idx="0">
                  <c:v>Total New Zealand</c:v>
                </c:pt>
              </c:strCache>
            </c:strRef>
          </c:tx>
          <c:spPr>
            <a:ln w="34925" cap="rnd">
              <a:solidFill>
                <a:sysClr val="windowText" lastClr="000000"/>
              </a:solidFill>
              <a:prstDash val="solid"/>
              <a:round/>
            </a:ln>
            <a:effectLst/>
          </c:spPr>
          <c:marker>
            <c:symbol val="none"/>
          </c:marker>
          <c:cat>
            <c:numRef>
              <c:f>'Fig 16 and 17'!$B$4:$J$4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17'!$B$6:$J$6</c:f>
              <c:numCache>
                <c:formatCode>0.00%</c:formatCode>
                <c:ptCount val="9"/>
                <c:pt idx="0">
                  <c:v>0.432</c:v>
                </c:pt>
                <c:pt idx="1">
                  <c:v>0.43</c:v>
                </c:pt>
                <c:pt idx="2">
                  <c:v>0.48899999999999999</c:v>
                </c:pt>
                <c:pt idx="3">
                  <c:v>0.59799999999999998</c:v>
                </c:pt>
                <c:pt idx="4">
                  <c:v>0.626</c:v>
                </c:pt>
                <c:pt idx="5">
                  <c:v>0.69499999999999995</c:v>
                </c:pt>
                <c:pt idx="6">
                  <c:v>0.72899999999999998</c:v>
                </c:pt>
                <c:pt idx="7">
                  <c:v>0.75600000000000001</c:v>
                </c:pt>
                <c:pt idx="8">
                  <c:v>0.80100000000000005</c:v>
                </c:pt>
              </c:numCache>
            </c:numRef>
          </c:val>
          <c:smooth val="0"/>
        </c:ser>
        <c:ser>
          <c:idx val="2"/>
          <c:order val="2"/>
          <c:tx>
            <c:strRef>
              <c:f>'Fig 16 and 17'!$A$7</c:f>
              <c:strCache>
                <c:ptCount val="1"/>
                <c:pt idx="0">
                  <c:v>Target</c:v>
                </c:pt>
              </c:strCache>
            </c:strRef>
          </c:tx>
          <c:spPr>
            <a:ln w="34925" cap="rnd">
              <a:solidFill>
                <a:srgbClr val="FF0000"/>
              </a:solidFill>
              <a:round/>
            </a:ln>
            <a:effectLst/>
          </c:spPr>
          <c:marker>
            <c:symbol val="none"/>
          </c:marker>
          <c:cat>
            <c:numRef>
              <c:f>'Fig 16 and 17'!$B$4:$J$4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17'!$B$7:$J$7</c:f>
              <c:numCache>
                <c:formatCode>0.00%</c:formatCode>
                <c:ptCount val="9"/>
                <c:pt idx="0">
                  <c:v>0.95</c:v>
                </c:pt>
                <c:pt idx="1">
                  <c:v>0.95</c:v>
                </c:pt>
                <c:pt idx="2">
                  <c:v>0.95</c:v>
                </c:pt>
                <c:pt idx="3">
                  <c:v>0.95</c:v>
                </c:pt>
                <c:pt idx="4">
                  <c:v>0.95</c:v>
                </c:pt>
                <c:pt idx="5">
                  <c:v>0.95</c:v>
                </c:pt>
                <c:pt idx="6">
                  <c:v>0.95</c:v>
                </c:pt>
                <c:pt idx="7">
                  <c:v>0.95</c:v>
                </c:pt>
                <c:pt idx="8">
                  <c:v>0.95</c:v>
                </c:pt>
              </c:numCache>
            </c:numRef>
          </c:val>
          <c:smooth val="0"/>
        </c:ser>
        <c:dLbls>
          <c:showLegendKey val="0"/>
          <c:showVal val="0"/>
          <c:showCatName val="0"/>
          <c:showSerName val="0"/>
          <c:showPercent val="0"/>
          <c:showBubbleSize val="0"/>
        </c:dLbls>
        <c:smooth val="0"/>
        <c:axId val="396677824"/>
        <c:axId val="396680176"/>
      </c:lineChart>
      <c:catAx>
        <c:axId val="396677824"/>
        <c:scaling>
          <c:orientation val="minMax"/>
        </c:scaling>
        <c:delete val="0"/>
        <c:axPos val="b"/>
        <c:title>
          <c:tx>
            <c:rich>
              <a:bodyPr rot="0" vert="horz"/>
              <a:lstStyle/>
              <a:p>
                <a:pPr>
                  <a:defRPr/>
                </a:pPr>
                <a:r>
                  <a:rPr lang="en-NZ"/>
                  <a:t>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396680176"/>
        <c:crosses val="autoZero"/>
        <c:auto val="1"/>
        <c:lblAlgn val="ctr"/>
        <c:lblOffset val="100"/>
        <c:noMultiLvlLbl val="0"/>
      </c:catAx>
      <c:valAx>
        <c:axId val="396680176"/>
        <c:scaling>
          <c:orientation val="minMax"/>
        </c:scaling>
        <c:delete val="0"/>
        <c:axPos val="l"/>
        <c:title>
          <c:tx>
            <c:rich>
              <a:bodyPr rot="0"/>
              <a:lstStyle/>
              <a:p>
                <a:pPr>
                  <a:defRPr/>
                </a:pPr>
                <a:r>
                  <a:rPr lang="en-NZ"/>
                  <a:t>Percentage</a:t>
                </a:r>
              </a:p>
            </c:rich>
          </c:tx>
          <c:layout>
            <c:manualLayout>
              <c:xMode val="edge"/>
              <c:yMode val="edge"/>
              <c:x val="0"/>
              <c:y val="2.841070388023129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96677824"/>
        <c:crosses val="autoZero"/>
        <c:crossBetween val="between"/>
      </c:valAx>
      <c:spPr>
        <a:noFill/>
        <a:ln>
          <a:noFill/>
        </a:ln>
        <a:effectLst/>
      </c:spPr>
    </c:plotArea>
    <c:legend>
      <c:legendPos val="r"/>
      <c:layout>
        <c:manualLayout>
          <c:xMode val="edge"/>
          <c:yMode val="edge"/>
          <c:x val="0.69371400226210111"/>
          <c:y val="0.59496348454932557"/>
          <c:w val="0.30368939331249722"/>
          <c:h val="0.2187749053409080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163656013586538E-2"/>
          <c:y val="0.11178986757637663"/>
          <c:w val="0.89153286316197278"/>
          <c:h val="0.74221092975393421"/>
        </c:manualLayout>
      </c:layout>
      <c:lineChart>
        <c:grouping val="standard"/>
        <c:varyColors val="0"/>
        <c:ser>
          <c:idx val="3"/>
          <c:order val="0"/>
          <c:tx>
            <c:strRef>
              <c:f>'Fig 16 and 17'!$A$14</c:f>
              <c:strCache>
                <c:ptCount val="1"/>
                <c:pt idx="0">
                  <c:v>Auckland</c:v>
                </c:pt>
              </c:strCache>
            </c:strRef>
          </c:tx>
          <c:spPr>
            <a:ln w="34925" cap="rnd">
              <a:solidFill>
                <a:sysClr val="windowText" lastClr="000000"/>
              </a:solidFill>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17'!$B$14:$J$14</c:f>
              <c:numCache>
                <c:formatCode>0.00%</c:formatCode>
                <c:ptCount val="9"/>
                <c:pt idx="0">
                  <c:v>0.28599999999999998</c:v>
                </c:pt>
                <c:pt idx="1">
                  <c:v>0.36799999999999999</c:v>
                </c:pt>
                <c:pt idx="2">
                  <c:v>0.38600000000000001</c:v>
                </c:pt>
                <c:pt idx="3">
                  <c:v>0.58199999999999996</c:v>
                </c:pt>
                <c:pt idx="4">
                  <c:v>0.70499999999999996</c:v>
                </c:pt>
                <c:pt idx="5">
                  <c:v>0.746</c:v>
                </c:pt>
                <c:pt idx="6">
                  <c:v>0.72599999999999998</c:v>
                </c:pt>
                <c:pt idx="7">
                  <c:v>0.79</c:v>
                </c:pt>
                <c:pt idx="8">
                  <c:v>0.76400000000000001</c:v>
                </c:pt>
              </c:numCache>
            </c:numRef>
          </c:val>
          <c:smooth val="0"/>
        </c:ser>
        <c:ser>
          <c:idx val="0"/>
          <c:order val="1"/>
          <c:tx>
            <c:strRef>
              <c:f>'Fig 16 and 17'!$A$17</c:f>
              <c:strCache>
                <c:ptCount val="1"/>
                <c:pt idx="0">
                  <c:v>Counties Manukau</c:v>
                </c:pt>
              </c:strCache>
            </c:strRef>
          </c:tx>
          <c:spPr>
            <a:ln w="34925" cap="rnd">
              <a:solidFill>
                <a:sysClr val="window" lastClr="FFFFFF">
                  <a:lumMod val="65000"/>
                </a:sysClr>
              </a:solidFill>
              <a:prstDash val="solid"/>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17'!$B$17:$J$17</c:f>
              <c:numCache>
                <c:formatCode>0.00%</c:formatCode>
                <c:ptCount val="9"/>
                <c:pt idx="0">
                  <c:v>0.36899999999999999</c:v>
                </c:pt>
                <c:pt idx="1">
                  <c:v>0.35299999999999998</c:v>
                </c:pt>
                <c:pt idx="2">
                  <c:v>0.39300000000000002</c:v>
                </c:pt>
                <c:pt idx="3">
                  <c:v>0.56000000000000005</c:v>
                </c:pt>
                <c:pt idx="4">
                  <c:v>0.65600000000000003</c:v>
                </c:pt>
                <c:pt idx="5">
                  <c:v>0.72099999999999997</c:v>
                </c:pt>
                <c:pt idx="6">
                  <c:v>0.73499999999999999</c:v>
                </c:pt>
                <c:pt idx="7">
                  <c:v>0.79</c:v>
                </c:pt>
                <c:pt idx="8">
                  <c:v>0.755</c:v>
                </c:pt>
              </c:numCache>
            </c:numRef>
          </c:val>
          <c:smooth val="0"/>
        </c:ser>
        <c:ser>
          <c:idx val="1"/>
          <c:order val="2"/>
          <c:tx>
            <c:strRef>
              <c:f>'Fig 16 and 17'!$A$20</c:f>
              <c:strCache>
                <c:ptCount val="1"/>
                <c:pt idx="0">
                  <c:v>Waitemata</c:v>
                </c:pt>
              </c:strCache>
            </c:strRef>
          </c:tx>
          <c:spPr>
            <a:ln w="34925" cap="rnd">
              <a:solidFill>
                <a:sysClr val="window" lastClr="FFFFFF">
                  <a:lumMod val="85000"/>
                </a:sysClr>
              </a:solidFill>
              <a:prstDash val="solid"/>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17'!$B$20:$J$20</c:f>
              <c:numCache>
                <c:formatCode>0.00%</c:formatCode>
                <c:ptCount val="9"/>
                <c:pt idx="0">
                  <c:v>0.308</c:v>
                </c:pt>
                <c:pt idx="1">
                  <c:v>0.318</c:v>
                </c:pt>
                <c:pt idx="2">
                  <c:v>0.34699999999999998</c:v>
                </c:pt>
                <c:pt idx="3">
                  <c:v>0.498</c:v>
                </c:pt>
                <c:pt idx="4">
                  <c:v>0.63500000000000001</c:v>
                </c:pt>
                <c:pt idx="5">
                  <c:v>0.65600000000000003</c:v>
                </c:pt>
                <c:pt idx="6">
                  <c:v>0.66600000000000004</c:v>
                </c:pt>
                <c:pt idx="7">
                  <c:v>0.75</c:v>
                </c:pt>
                <c:pt idx="8">
                  <c:v>0.73599999999999999</c:v>
                </c:pt>
              </c:numCache>
            </c:numRef>
          </c:val>
          <c:smooth val="0"/>
        </c:ser>
        <c:ser>
          <c:idx val="2"/>
          <c:order val="3"/>
          <c:tx>
            <c:strRef>
              <c:f>'Fig 16 and 17'!$A$21</c:f>
              <c:strCache>
                <c:ptCount val="1"/>
                <c:pt idx="0">
                  <c:v>Target</c:v>
                </c:pt>
              </c:strCache>
            </c:strRef>
          </c:tx>
          <c:spPr>
            <a:ln w="34925" cap="rnd">
              <a:solidFill>
                <a:srgbClr val="FF0000"/>
              </a:solidFill>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17'!$B$21:$J$21</c:f>
              <c:numCache>
                <c:formatCode>0.00%</c:formatCode>
                <c:ptCount val="9"/>
                <c:pt idx="0">
                  <c:v>0.95</c:v>
                </c:pt>
                <c:pt idx="1">
                  <c:v>0.95</c:v>
                </c:pt>
                <c:pt idx="2">
                  <c:v>0.95</c:v>
                </c:pt>
                <c:pt idx="3">
                  <c:v>0.95</c:v>
                </c:pt>
                <c:pt idx="4">
                  <c:v>0.95</c:v>
                </c:pt>
                <c:pt idx="5">
                  <c:v>0.95</c:v>
                </c:pt>
                <c:pt idx="6">
                  <c:v>0.95</c:v>
                </c:pt>
                <c:pt idx="7">
                  <c:v>0.95</c:v>
                </c:pt>
                <c:pt idx="8">
                  <c:v>0.95</c:v>
                </c:pt>
              </c:numCache>
            </c:numRef>
          </c:val>
          <c:smooth val="0"/>
        </c:ser>
        <c:dLbls>
          <c:showLegendKey val="0"/>
          <c:showVal val="0"/>
          <c:showCatName val="0"/>
          <c:showSerName val="0"/>
          <c:showPercent val="0"/>
          <c:showBubbleSize val="0"/>
        </c:dLbls>
        <c:smooth val="0"/>
        <c:axId val="396680960"/>
        <c:axId val="396669200"/>
      </c:lineChart>
      <c:catAx>
        <c:axId val="396680960"/>
        <c:scaling>
          <c:orientation val="minMax"/>
        </c:scaling>
        <c:delete val="0"/>
        <c:axPos val="b"/>
        <c:title>
          <c:tx>
            <c:rich>
              <a:bodyPr rot="0" vert="horz"/>
              <a:lstStyle/>
              <a:p>
                <a:pPr>
                  <a:defRPr/>
                </a:pPr>
                <a:r>
                  <a:rPr lang="en-NZ"/>
                  <a:t>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396669200"/>
        <c:crosses val="autoZero"/>
        <c:auto val="1"/>
        <c:lblAlgn val="ctr"/>
        <c:lblOffset val="100"/>
        <c:noMultiLvlLbl val="0"/>
      </c:catAx>
      <c:valAx>
        <c:axId val="396669200"/>
        <c:scaling>
          <c:orientation val="minMax"/>
        </c:scaling>
        <c:delete val="0"/>
        <c:axPos val="l"/>
        <c:title>
          <c:tx>
            <c:rich>
              <a:bodyPr rot="0"/>
              <a:lstStyle/>
              <a:p>
                <a:pPr>
                  <a:defRPr/>
                </a:pPr>
                <a:r>
                  <a:rPr lang="en-NZ"/>
                  <a:t>Percentage</a:t>
                </a:r>
              </a:p>
            </c:rich>
          </c:tx>
          <c:layout>
            <c:manualLayout>
              <c:xMode val="edge"/>
              <c:yMode val="edge"/>
              <c:x val="0"/>
              <c:y val="2.841070388023129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96680960"/>
        <c:crosses val="autoZero"/>
        <c:crossBetween val="between"/>
      </c:valAx>
      <c:spPr>
        <a:noFill/>
        <a:ln>
          <a:noFill/>
        </a:ln>
        <a:effectLst/>
      </c:spPr>
    </c:plotArea>
    <c:legend>
      <c:legendPos val="r"/>
      <c:layout>
        <c:manualLayout>
          <c:xMode val="edge"/>
          <c:yMode val="edge"/>
          <c:x val="0.69023980351841385"/>
          <c:y val="0.58605349177978516"/>
          <c:w val="0.30118778604574187"/>
          <c:h val="0.2430966869920879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163656013586538E-2"/>
          <c:y val="0.1130818921607402"/>
          <c:w val="0.88614385286282527"/>
          <c:h val="0.7476740280858476"/>
        </c:manualLayout>
      </c:layout>
      <c:lineChart>
        <c:grouping val="standard"/>
        <c:varyColors val="0"/>
        <c:ser>
          <c:idx val="3"/>
          <c:order val="0"/>
          <c:tx>
            <c:strRef>
              <c:f>'Fig 16 and 17'!$A$15</c:f>
              <c:strCache>
                <c:ptCount val="1"/>
                <c:pt idx="0">
                  <c:v>Canterbury</c:v>
                </c:pt>
              </c:strCache>
            </c:strRef>
          </c:tx>
          <c:spPr>
            <a:ln w="34925" cap="rnd">
              <a:solidFill>
                <a:sysClr val="windowText" lastClr="000000"/>
              </a:solidFill>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17'!$B$15:$J$15</c:f>
              <c:numCache>
                <c:formatCode>General</c:formatCode>
                <c:ptCount val="9"/>
                <c:pt idx="3" formatCode="0.00%">
                  <c:v>0.56399999999999995</c:v>
                </c:pt>
                <c:pt idx="4" formatCode="0.00%">
                  <c:v>0.47799999999999998</c:v>
                </c:pt>
                <c:pt idx="5" formatCode="0.00%">
                  <c:v>0.52600000000000002</c:v>
                </c:pt>
                <c:pt idx="6" formatCode="0.00%">
                  <c:v>0.52100000000000002</c:v>
                </c:pt>
                <c:pt idx="7" formatCode="0.00%">
                  <c:v>0.54</c:v>
                </c:pt>
                <c:pt idx="8" formatCode="0.00%">
                  <c:v>0.505</c:v>
                </c:pt>
              </c:numCache>
            </c:numRef>
          </c:val>
          <c:smooth val="0"/>
        </c:ser>
        <c:ser>
          <c:idx val="0"/>
          <c:order val="1"/>
          <c:tx>
            <c:strRef>
              <c:f>'Fig 16 and 17'!$A$16</c:f>
              <c:strCache>
                <c:ptCount val="1"/>
                <c:pt idx="0">
                  <c:v>Capital &amp; Coast</c:v>
                </c:pt>
              </c:strCache>
            </c:strRef>
          </c:tx>
          <c:spPr>
            <a:ln w="34925" cap="rnd">
              <a:solidFill>
                <a:sysClr val="window" lastClr="FFFFFF">
                  <a:lumMod val="65000"/>
                </a:sysClr>
              </a:solidFill>
              <a:prstDash val="solid"/>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17'!$B$16:$J$16</c:f>
              <c:numCache>
                <c:formatCode>0.00%</c:formatCode>
                <c:ptCount val="9"/>
                <c:pt idx="0">
                  <c:v>0.22700000000000001</c:v>
                </c:pt>
                <c:pt idx="1">
                  <c:v>0.17899999999999999</c:v>
                </c:pt>
                <c:pt idx="2">
                  <c:v>0.184</c:v>
                </c:pt>
                <c:pt idx="3">
                  <c:v>0.246</c:v>
                </c:pt>
                <c:pt idx="4">
                  <c:v>0.29199999999999998</c:v>
                </c:pt>
                <c:pt idx="5">
                  <c:v>0.32700000000000001</c:v>
                </c:pt>
                <c:pt idx="6">
                  <c:v>0.34200000000000003</c:v>
                </c:pt>
                <c:pt idx="7">
                  <c:v>0.65</c:v>
                </c:pt>
                <c:pt idx="8">
                  <c:v>0.874</c:v>
                </c:pt>
              </c:numCache>
            </c:numRef>
          </c:val>
          <c:smooth val="0"/>
        </c:ser>
        <c:ser>
          <c:idx val="1"/>
          <c:order val="2"/>
          <c:tx>
            <c:strRef>
              <c:f>'Fig 16 and 17'!$A$18</c:f>
              <c:strCache>
                <c:ptCount val="1"/>
                <c:pt idx="0">
                  <c:v>Hawke's Bay</c:v>
                </c:pt>
              </c:strCache>
            </c:strRef>
          </c:tx>
          <c:spPr>
            <a:ln w="34925" cap="rnd">
              <a:solidFill>
                <a:sysClr val="window" lastClr="FFFFFF">
                  <a:lumMod val="85000"/>
                </a:sysClr>
              </a:solidFill>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17'!$B$18:$J$18</c:f>
              <c:numCache>
                <c:formatCode>0.00%</c:formatCode>
                <c:ptCount val="9"/>
                <c:pt idx="1">
                  <c:v>0.45100000000000001</c:v>
                </c:pt>
                <c:pt idx="2">
                  <c:v>0.27100000000000002</c:v>
                </c:pt>
                <c:pt idx="3">
                  <c:v>0.38300000000000001</c:v>
                </c:pt>
                <c:pt idx="5">
                  <c:v>0.63300000000000001</c:v>
                </c:pt>
                <c:pt idx="6">
                  <c:v>0.67400000000000004</c:v>
                </c:pt>
                <c:pt idx="7">
                  <c:v>0.72</c:v>
                </c:pt>
                <c:pt idx="8">
                  <c:v>0.74199999999999999</c:v>
                </c:pt>
              </c:numCache>
            </c:numRef>
          </c:val>
          <c:smooth val="0"/>
        </c:ser>
        <c:ser>
          <c:idx val="2"/>
          <c:order val="3"/>
          <c:tx>
            <c:strRef>
              <c:f>'Fig 16 and 17'!$A$19</c:f>
              <c:strCache>
                <c:ptCount val="1"/>
                <c:pt idx="0">
                  <c:v>Hutt Valley</c:v>
                </c:pt>
              </c:strCache>
            </c:strRef>
          </c:tx>
          <c:spPr>
            <a:ln w="34925" cap="rnd">
              <a:solidFill>
                <a:sysClr val="window" lastClr="FFFFFF">
                  <a:lumMod val="65000"/>
                </a:sysClr>
              </a:solidFill>
              <a:prstDash val="sysDot"/>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17'!$B$19:$J$19</c:f>
              <c:numCache>
                <c:formatCode>0.00%</c:formatCode>
                <c:ptCount val="9"/>
                <c:pt idx="0">
                  <c:v>0.22900000000000001</c:v>
                </c:pt>
                <c:pt idx="1">
                  <c:v>0.216</c:v>
                </c:pt>
                <c:pt idx="2">
                  <c:v>0.20100000000000001</c:v>
                </c:pt>
                <c:pt idx="3">
                  <c:v>0.3</c:v>
                </c:pt>
                <c:pt idx="4">
                  <c:v>0.34399999999999997</c:v>
                </c:pt>
                <c:pt idx="5">
                  <c:v>0.42799999999999999</c:v>
                </c:pt>
                <c:pt idx="6">
                  <c:v>0.41099999999999998</c:v>
                </c:pt>
                <c:pt idx="7">
                  <c:v>0.51</c:v>
                </c:pt>
                <c:pt idx="8">
                  <c:v>0.88800000000000001</c:v>
                </c:pt>
              </c:numCache>
            </c:numRef>
          </c:val>
          <c:smooth val="0"/>
        </c:ser>
        <c:ser>
          <c:idx val="4"/>
          <c:order val="4"/>
          <c:tx>
            <c:strRef>
              <c:f>'Fig 16 and 17'!$A$21</c:f>
              <c:strCache>
                <c:ptCount val="1"/>
                <c:pt idx="0">
                  <c:v>Target</c:v>
                </c:pt>
              </c:strCache>
            </c:strRef>
          </c:tx>
          <c:spPr>
            <a:ln w="34925" cap="rnd">
              <a:solidFill>
                <a:srgbClr val="FF0000"/>
              </a:solidFill>
              <a:round/>
            </a:ln>
            <a:effectLst/>
          </c:spPr>
          <c:marker>
            <c:symbol val="none"/>
          </c:marker>
          <c:cat>
            <c:numRef>
              <c:f>'Fig 16 and 17'!$B$13:$J$13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16 and 17'!$B$21:$J$21</c:f>
              <c:numCache>
                <c:formatCode>0.00%</c:formatCode>
                <c:ptCount val="9"/>
                <c:pt idx="0">
                  <c:v>0.95</c:v>
                </c:pt>
                <c:pt idx="1">
                  <c:v>0.95</c:v>
                </c:pt>
                <c:pt idx="2">
                  <c:v>0.95</c:v>
                </c:pt>
                <c:pt idx="3">
                  <c:v>0.95</c:v>
                </c:pt>
                <c:pt idx="4">
                  <c:v>0.95</c:v>
                </c:pt>
                <c:pt idx="5">
                  <c:v>0.95</c:v>
                </c:pt>
                <c:pt idx="6">
                  <c:v>0.95</c:v>
                </c:pt>
                <c:pt idx="7">
                  <c:v>0.95</c:v>
                </c:pt>
                <c:pt idx="8">
                  <c:v>0.95</c:v>
                </c:pt>
              </c:numCache>
            </c:numRef>
          </c:val>
          <c:smooth val="0"/>
        </c:ser>
        <c:dLbls>
          <c:showLegendKey val="0"/>
          <c:showVal val="0"/>
          <c:showCatName val="0"/>
          <c:showSerName val="0"/>
          <c:showPercent val="0"/>
          <c:showBubbleSize val="0"/>
        </c:dLbls>
        <c:smooth val="0"/>
        <c:axId val="396684488"/>
        <c:axId val="396682136"/>
      </c:lineChart>
      <c:catAx>
        <c:axId val="396684488"/>
        <c:scaling>
          <c:orientation val="minMax"/>
        </c:scaling>
        <c:delete val="0"/>
        <c:axPos val="b"/>
        <c:title>
          <c:tx>
            <c:rich>
              <a:bodyPr rot="0" vert="horz"/>
              <a:lstStyle/>
              <a:p>
                <a:pPr>
                  <a:defRPr/>
                </a:pPr>
                <a:r>
                  <a:rPr lang="en-NZ"/>
                  <a:t>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396682136"/>
        <c:crosses val="autoZero"/>
        <c:auto val="1"/>
        <c:lblAlgn val="ctr"/>
        <c:lblOffset val="100"/>
        <c:noMultiLvlLbl val="0"/>
      </c:catAx>
      <c:valAx>
        <c:axId val="396682136"/>
        <c:scaling>
          <c:orientation val="minMax"/>
        </c:scaling>
        <c:delete val="0"/>
        <c:axPos val="l"/>
        <c:title>
          <c:tx>
            <c:rich>
              <a:bodyPr rot="0"/>
              <a:lstStyle/>
              <a:p>
                <a:pPr>
                  <a:defRPr/>
                </a:pPr>
                <a:r>
                  <a:rPr lang="en-NZ"/>
                  <a:t>Percentage</a:t>
                </a:r>
              </a:p>
            </c:rich>
          </c:tx>
          <c:layout>
            <c:manualLayout>
              <c:xMode val="edge"/>
              <c:yMode val="edge"/>
              <c:x val="0"/>
              <c:y val="2.841070388023129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96684488"/>
        <c:crosses val="autoZero"/>
        <c:crossBetween val="between"/>
      </c:valAx>
      <c:spPr>
        <a:noFill/>
        <a:ln>
          <a:noFill/>
        </a:ln>
        <a:effectLst/>
      </c:spPr>
    </c:plotArea>
    <c:legend>
      <c:legendPos val="r"/>
      <c:layout>
        <c:manualLayout>
          <c:xMode val="edge"/>
          <c:yMode val="edge"/>
          <c:x val="0.7333004453667219"/>
          <c:y val="0.5918702457369357"/>
          <c:w val="0.26649815119546411"/>
          <c:h val="0.2624057025409784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80347012254405E-2"/>
          <c:y val="9.6727984923793434E-2"/>
          <c:w val="0.89438204503953578"/>
          <c:h val="0.73413961713536491"/>
        </c:manualLayout>
      </c:layout>
      <c:lineChart>
        <c:grouping val="standard"/>
        <c:varyColors val="0"/>
        <c:ser>
          <c:idx val="0"/>
          <c:order val="0"/>
          <c:tx>
            <c:strRef>
              <c:f>'Fig 18 and 19'!$A$3</c:f>
              <c:strCache>
                <c:ptCount val="1"/>
                <c:pt idx="0">
                  <c:v>Pacific</c:v>
                </c:pt>
              </c:strCache>
            </c:strRef>
          </c:tx>
          <c:spPr>
            <a:ln w="34925" cap="rnd">
              <a:solidFill>
                <a:sysClr val="window" lastClr="FFFFFF">
                  <a:lumMod val="65000"/>
                </a:sysClr>
              </a:solidFill>
              <a:round/>
            </a:ln>
            <a:effectLst/>
          </c:spPr>
          <c:marker>
            <c:symbol val="none"/>
          </c:marker>
          <c:cat>
            <c:numRef>
              <c:f>'Fig 18 and 19'!$B$2:$J$2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18 and 19'!$B$3:$J$3</c:f>
              <c:numCache>
                <c:formatCode>0.00%</c:formatCode>
                <c:ptCount val="9"/>
                <c:pt idx="0">
                  <c:v>0.28799999999999998</c:v>
                </c:pt>
                <c:pt idx="1">
                  <c:v>0.32800000000000001</c:v>
                </c:pt>
                <c:pt idx="2">
                  <c:v>0.31900000000000001</c:v>
                </c:pt>
                <c:pt idx="3">
                  <c:v>0.32800000000000001</c:v>
                </c:pt>
                <c:pt idx="4">
                  <c:v>0.35299999999999998</c:v>
                </c:pt>
                <c:pt idx="5">
                  <c:v>0.37</c:v>
                </c:pt>
                <c:pt idx="6">
                  <c:v>0.36299999999999999</c:v>
                </c:pt>
                <c:pt idx="7">
                  <c:v>0.35299999999999998</c:v>
                </c:pt>
                <c:pt idx="8" formatCode="0.0%">
                  <c:v>0.32669999999999999</c:v>
                </c:pt>
              </c:numCache>
            </c:numRef>
          </c:val>
          <c:smooth val="0"/>
        </c:ser>
        <c:ser>
          <c:idx val="1"/>
          <c:order val="1"/>
          <c:tx>
            <c:strRef>
              <c:f>'Fig 18 and 19'!$A$4</c:f>
              <c:strCache>
                <c:ptCount val="1"/>
                <c:pt idx="0">
                  <c:v>Total New Zealand</c:v>
                </c:pt>
              </c:strCache>
            </c:strRef>
          </c:tx>
          <c:spPr>
            <a:ln w="34925" cap="rnd">
              <a:solidFill>
                <a:sysClr val="windowText" lastClr="000000"/>
              </a:solidFill>
              <a:prstDash val="solid"/>
              <a:round/>
            </a:ln>
            <a:effectLst/>
          </c:spPr>
          <c:marker>
            <c:symbol val="none"/>
          </c:marker>
          <c:cat>
            <c:numRef>
              <c:f>'Fig 18 and 19'!$B$2:$J$2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18 and 19'!$B$4:$J$4</c:f>
              <c:numCache>
                <c:formatCode>0.00%</c:formatCode>
                <c:ptCount val="9"/>
                <c:pt idx="0">
                  <c:v>0.51400000000000001</c:v>
                </c:pt>
                <c:pt idx="1">
                  <c:v>0.56999999999999995</c:v>
                </c:pt>
                <c:pt idx="2">
                  <c:v>0.55600000000000005</c:v>
                </c:pt>
                <c:pt idx="3">
                  <c:v>0.57199999999999995</c:v>
                </c:pt>
                <c:pt idx="4">
                  <c:v>0.59599999999999997</c:v>
                </c:pt>
                <c:pt idx="5">
                  <c:v>0.58899999999999997</c:v>
                </c:pt>
                <c:pt idx="6">
                  <c:v>0.57499999999999996</c:v>
                </c:pt>
                <c:pt idx="7">
                  <c:v>0.58599999999999997</c:v>
                </c:pt>
                <c:pt idx="8" formatCode="0.0%">
                  <c:v>0.59470000000000001</c:v>
                </c:pt>
              </c:numCache>
            </c:numRef>
          </c:val>
          <c:smooth val="0"/>
        </c:ser>
        <c:ser>
          <c:idx val="2"/>
          <c:order val="2"/>
          <c:tx>
            <c:strRef>
              <c:f>'Fig 18 and 19'!$A$5</c:f>
              <c:strCache>
                <c:ptCount val="1"/>
                <c:pt idx="0">
                  <c:v>Target</c:v>
                </c:pt>
              </c:strCache>
            </c:strRef>
          </c:tx>
          <c:spPr>
            <a:ln w="34925" cap="rnd">
              <a:solidFill>
                <a:srgbClr val="FF0000"/>
              </a:solidFill>
              <a:round/>
            </a:ln>
            <a:effectLst/>
          </c:spPr>
          <c:marker>
            <c:symbol val="none"/>
          </c:marker>
          <c:cat>
            <c:numRef>
              <c:f>'Fig 18 and 19'!$B$2:$J$2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18 and 19'!$B$5:$J$5</c:f>
              <c:numCache>
                <c:formatCode>0.00%</c:formatCode>
                <c:ptCount val="9"/>
                <c:pt idx="0">
                  <c:v>0.65</c:v>
                </c:pt>
                <c:pt idx="1">
                  <c:v>0.65</c:v>
                </c:pt>
                <c:pt idx="2">
                  <c:v>0.65</c:v>
                </c:pt>
                <c:pt idx="3">
                  <c:v>0.65</c:v>
                </c:pt>
                <c:pt idx="4">
                  <c:v>0.65</c:v>
                </c:pt>
                <c:pt idx="5">
                  <c:v>0.65</c:v>
                </c:pt>
                <c:pt idx="6">
                  <c:v>0.65</c:v>
                </c:pt>
                <c:pt idx="7">
                  <c:v>0.65</c:v>
                </c:pt>
                <c:pt idx="8" formatCode="0.0%">
                  <c:v>0.65</c:v>
                </c:pt>
              </c:numCache>
            </c:numRef>
          </c:val>
          <c:smooth val="0"/>
        </c:ser>
        <c:dLbls>
          <c:showLegendKey val="0"/>
          <c:showVal val="0"/>
          <c:showCatName val="0"/>
          <c:showSerName val="0"/>
          <c:showPercent val="0"/>
          <c:showBubbleSize val="0"/>
        </c:dLbls>
        <c:smooth val="0"/>
        <c:axId val="396681352"/>
        <c:axId val="396683312"/>
      </c:lineChart>
      <c:catAx>
        <c:axId val="396681352"/>
        <c:scaling>
          <c:orientation val="minMax"/>
        </c:scaling>
        <c:delete val="0"/>
        <c:axPos val="b"/>
        <c:title>
          <c:tx>
            <c:rich>
              <a:bodyPr rot="0" vert="horz"/>
              <a:lstStyle/>
              <a:p>
                <a:pPr>
                  <a:defRPr/>
                </a:pPr>
                <a:r>
                  <a:rPr lang="en-NZ"/>
                  <a:t>Calendar year</a:t>
                </a:r>
              </a:p>
            </c:rich>
          </c:tx>
          <c:layout>
            <c:manualLayout>
              <c:xMode val="edge"/>
              <c:yMode val="edge"/>
              <c:x val="0.44352173665926936"/>
              <c:y val="0.9356710563023440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396683312"/>
        <c:crosses val="autoZero"/>
        <c:auto val="1"/>
        <c:lblAlgn val="ctr"/>
        <c:lblOffset val="100"/>
        <c:noMultiLvlLbl val="0"/>
      </c:catAx>
      <c:valAx>
        <c:axId val="396683312"/>
        <c:scaling>
          <c:orientation val="minMax"/>
        </c:scaling>
        <c:delete val="0"/>
        <c:axPos val="l"/>
        <c:title>
          <c:tx>
            <c:rich>
              <a:bodyPr rot="0"/>
              <a:lstStyle/>
              <a:p>
                <a:pPr>
                  <a:defRPr/>
                </a:pPr>
                <a:r>
                  <a:rPr lang="en-NZ"/>
                  <a:t>Percentage</a:t>
                </a:r>
              </a:p>
            </c:rich>
          </c:tx>
          <c:layout>
            <c:manualLayout>
              <c:xMode val="edge"/>
              <c:yMode val="edge"/>
              <c:x val="1.6025415026198347E-3"/>
              <c:y val="2.2317762426935896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96681352"/>
        <c:crosses val="autoZero"/>
        <c:crossBetween val="between"/>
      </c:valAx>
      <c:spPr>
        <a:noFill/>
        <a:ln>
          <a:noFill/>
        </a:ln>
        <a:effectLst/>
      </c:spPr>
    </c:plotArea>
    <c:legend>
      <c:legendPos val="r"/>
      <c:layout>
        <c:manualLayout>
          <c:xMode val="edge"/>
          <c:yMode val="edge"/>
          <c:x val="0.70791052946689226"/>
          <c:y val="0.61925859585941523"/>
          <c:w val="0.28894518103825895"/>
          <c:h val="0.19846201437401673"/>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163656013586538E-2"/>
          <c:y val="0.10781023372366723"/>
          <c:w val="0.92605317959191169"/>
          <c:h val="0.73594708739305514"/>
        </c:manualLayout>
      </c:layout>
      <c:lineChart>
        <c:grouping val="standard"/>
        <c:varyColors val="0"/>
        <c:ser>
          <c:idx val="0"/>
          <c:order val="0"/>
          <c:tx>
            <c:strRef>
              <c:f>'[''Ala Mo''ui Progress Report - Complete Dataset.xlsx]Fig 18 and 19'!$A$33</c:f>
              <c:strCache>
                <c:ptCount val="1"/>
                <c:pt idx="0">
                  <c:v>Auckland</c:v>
                </c:pt>
              </c:strCache>
            </c:strRef>
          </c:tx>
          <c:spPr>
            <a:ln w="34925" cap="rnd">
              <a:solidFill>
                <a:sysClr val="windowText" lastClr="000000"/>
              </a:solidFill>
              <a:round/>
            </a:ln>
            <a:effectLst/>
          </c:spPr>
          <c:marker>
            <c:symbol val="none"/>
          </c:marker>
          <c:cat>
            <c:numRef>
              <c:f>'[''Ala Mo''ui Progress Report - Complete Dataset.xlsx]Fig 18 and 19'!$B$32:$J$32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19'!$B$33:$J$33</c:f>
              <c:numCache>
                <c:formatCode>0.00%</c:formatCode>
                <c:ptCount val="9"/>
                <c:pt idx="0">
                  <c:v>0.33600000000000002</c:v>
                </c:pt>
                <c:pt idx="1">
                  <c:v>0.35599999999999998</c:v>
                </c:pt>
                <c:pt idx="2">
                  <c:v>0.36199999999999999</c:v>
                </c:pt>
                <c:pt idx="3">
                  <c:v>0.33600000000000002</c:v>
                </c:pt>
                <c:pt idx="4">
                  <c:v>0.34799999999999998</c:v>
                </c:pt>
                <c:pt idx="5">
                  <c:v>0.38</c:v>
                </c:pt>
                <c:pt idx="6">
                  <c:v>0.38400000000000001</c:v>
                </c:pt>
                <c:pt idx="7">
                  <c:v>0.30499999999999999</c:v>
                </c:pt>
                <c:pt idx="8" formatCode="0.0%">
                  <c:v>0.28079999999999999</c:v>
                </c:pt>
              </c:numCache>
            </c:numRef>
          </c:val>
          <c:smooth val="0"/>
        </c:ser>
        <c:ser>
          <c:idx val="1"/>
          <c:order val="1"/>
          <c:tx>
            <c:strRef>
              <c:f>'[''Ala Mo''ui Progress Report - Complete Dataset.xlsx]Fig 18 and 19'!$A$34</c:f>
              <c:strCache>
                <c:ptCount val="1"/>
                <c:pt idx="0">
                  <c:v>Counties Manukau</c:v>
                </c:pt>
              </c:strCache>
            </c:strRef>
          </c:tx>
          <c:spPr>
            <a:ln w="34925" cap="rnd">
              <a:solidFill>
                <a:sysClr val="window" lastClr="FFFFFF">
                  <a:lumMod val="65000"/>
                </a:sysClr>
              </a:solidFill>
              <a:prstDash val="solid"/>
              <a:round/>
            </a:ln>
            <a:effectLst/>
          </c:spPr>
          <c:marker>
            <c:symbol val="none"/>
          </c:marker>
          <c:cat>
            <c:numRef>
              <c:f>'[''Ala Mo''ui Progress Report - Complete Dataset.xlsx]Fig 18 and 19'!$B$32:$J$32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19'!$B$34:$J$34</c:f>
              <c:numCache>
                <c:formatCode>0.00%</c:formatCode>
                <c:ptCount val="9"/>
                <c:pt idx="0">
                  <c:v>0.252</c:v>
                </c:pt>
                <c:pt idx="1">
                  <c:v>0.29599999999999999</c:v>
                </c:pt>
                <c:pt idx="2">
                  <c:v>0.26700000000000002</c:v>
                </c:pt>
                <c:pt idx="3">
                  <c:v>0.28100000000000003</c:v>
                </c:pt>
                <c:pt idx="4">
                  <c:v>0.32200000000000001</c:v>
                </c:pt>
                <c:pt idx="5">
                  <c:v>0.32100000000000001</c:v>
                </c:pt>
                <c:pt idx="6">
                  <c:v>0.34699999999999998</c:v>
                </c:pt>
                <c:pt idx="7">
                  <c:v>0.34</c:v>
                </c:pt>
                <c:pt idx="8" formatCode="0.0%">
                  <c:v>0.29780000000000001</c:v>
                </c:pt>
              </c:numCache>
            </c:numRef>
          </c:val>
          <c:smooth val="0"/>
        </c:ser>
        <c:ser>
          <c:idx val="2"/>
          <c:order val="2"/>
          <c:tx>
            <c:strRef>
              <c:f>'[''Ala Mo''ui Progress Report - Complete Dataset.xlsx]Fig 18 and 19'!$A$35</c:f>
              <c:strCache>
                <c:ptCount val="1"/>
                <c:pt idx="0">
                  <c:v>Waitemata</c:v>
                </c:pt>
              </c:strCache>
            </c:strRef>
          </c:tx>
          <c:spPr>
            <a:ln w="34925" cap="rnd">
              <a:solidFill>
                <a:sysClr val="window" lastClr="FFFFFF">
                  <a:lumMod val="85000"/>
                </a:sysClr>
              </a:solidFill>
              <a:prstDash val="solid"/>
              <a:round/>
            </a:ln>
            <a:effectLst/>
          </c:spPr>
          <c:marker>
            <c:symbol val="none"/>
          </c:marker>
          <c:cat>
            <c:numRef>
              <c:f>'[''Ala Mo''ui Progress Report - Complete Dataset.xlsx]Fig 18 and 19'!$B$32:$J$32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19'!$B$35:$J$35</c:f>
              <c:numCache>
                <c:formatCode>0.00%</c:formatCode>
                <c:ptCount val="9"/>
                <c:pt idx="0">
                  <c:v>0.309</c:v>
                </c:pt>
                <c:pt idx="1">
                  <c:v>0.34799999999999998</c:v>
                </c:pt>
                <c:pt idx="2">
                  <c:v>0.39100000000000001</c:v>
                </c:pt>
                <c:pt idx="3">
                  <c:v>0.40799999999999997</c:v>
                </c:pt>
                <c:pt idx="4">
                  <c:v>0.42799999999999999</c:v>
                </c:pt>
                <c:pt idx="5">
                  <c:v>0.44400000000000001</c:v>
                </c:pt>
                <c:pt idx="6">
                  <c:v>0.42799999999999999</c:v>
                </c:pt>
                <c:pt idx="7">
                  <c:v>0.42499999999999999</c:v>
                </c:pt>
                <c:pt idx="8" formatCode="0.0%">
                  <c:v>0.37730000000000002</c:v>
                </c:pt>
              </c:numCache>
            </c:numRef>
          </c:val>
          <c:smooth val="0"/>
        </c:ser>
        <c:ser>
          <c:idx val="3"/>
          <c:order val="3"/>
          <c:tx>
            <c:strRef>
              <c:f>'[''Ala Mo''ui Progress Report - Complete Dataset.xlsx]Fig 18 and 19'!$A$36</c:f>
              <c:strCache>
                <c:ptCount val="1"/>
                <c:pt idx="0">
                  <c:v>Target</c:v>
                </c:pt>
              </c:strCache>
            </c:strRef>
          </c:tx>
          <c:spPr>
            <a:ln w="34925" cap="rnd">
              <a:solidFill>
                <a:srgbClr val="FF0000"/>
              </a:solidFill>
              <a:round/>
            </a:ln>
            <a:effectLst/>
          </c:spPr>
          <c:marker>
            <c:symbol val="none"/>
          </c:marker>
          <c:cat>
            <c:numRef>
              <c:f>'[''Ala Mo''ui Progress Report - Complete Dataset.xlsx]Fig 18 and 19'!$B$32:$J$32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19'!$B$36:$J$36</c:f>
              <c:numCache>
                <c:formatCode>0.00%</c:formatCode>
                <c:ptCount val="9"/>
                <c:pt idx="0">
                  <c:v>0.65</c:v>
                </c:pt>
                <c:pt idx="1">
                  <c:v>0.65</c:v>
                </c:pt>
                <c:pt idx="2">
                  <c:v>0.65</c:v>
                </c:pt>
                <c:pt idx="3">
                  <c:v>0.65</c:v>
                </c:pt>
                <c:pt idx="4">
                  <c:v>0.65</c:v>
                </c:pt>
                <c:pt idx="5">
                  <c:v>0.65</c:v>
                </c:pt>
                <c:pt idx="6">
                  <c:v>0.65</c:v>
                </c:pt>
                <c:pt idx="7">
                  <c:v>0.65</c:v>
                </c:pt>
                <c:pt idx="8" formatCode="0.0%">
                  <c:v>0.65</c:v>
                </c:pt>
              </c:numCache>
            </c:numRef>
          </c:val>
          <c:smooth val="0"/>
        </c:ser>
        <c:dLbls>
          <c:showLegendKey val="0"/>
          <c:showVal val="0"/>
          <c:showCatName val="0"/>
          <c:showSerName val="0"/>
          <c:showPercent val="0"/>
          <c:showBubbleSize val="0"/>
        </c:dLbls>
        <c:smooth val="0"/>
        <c:axId val="402843816"/>
        <c:axId val="402848520"/>
      </c:lineChart>
      <c:catAx>
        <c:axId val="402843816"/>
        <c:scaling>
          <c:orientation val="minMax"/>
        </c:scaling>
        <c:delete val="0"/>
        <c:axPos val="b"/>
        <c:title>
          <c:tx>
            <c:rich>
              <a:bodyPr rot="0" vert="horz"/>
              <a:lstStyle/>
              <a:p>
                <a:pPr>
                  <a:defRPr/>
                </a:pPr>
                <a:r>
                  <a:rPr lang="en-NZ"/>
                  <a:t>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402848520"/>
        <c:crosses val="autoZero"/>
        <c:auto val="1"/>
        <c:lblAlgn val="ctr"/>
        <c:lblOffset val="100"/>
        <c:noMultiLvlLbl val="0"/>
      </c:catAx>
      <c:valAx>
        <c:axId val="402848520"/>
        <c:scaling>
          <c:orientation val="minMax"/>
        </c:scaling>
        <c:delete val="0"/>
        <c:axPos val="l"/>
        <c:title>
          <c:tx>
            <c:rich>
              <a:bodyPr rot="0"/>
              <a:lstStyle/>
              <a:p>
                <a:pPr>
                  <a:defRPr/>
                </a:pPr>
                <a:r>
                  <a:rPr lang="en-NZ"/>
                  <a:t>Percentage</a:t>
                </a:r>
              </a:p>
            </c:rich>
          </c:tx>
          <c:layout>
            <c:manualLayout>
              <c:xMode val="edge"/>
              <c:yMode val="edge"/>
              <c:x val="0"/>
              <c:y val="2.841070388023129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402843816"/>
        <c:crosses val="autoZero"/>
        <c:crossBetween val="between"/>
      </c:valAx>
      <c:spPr>
        <a:noFill/>
        <a:ln>
          <a:noFill/>
        </a:ln>
        <a:effectLst/>
      </c:spPr>
    </c:plotArea>
    <c:legend>
      <c:legendPos val="r"/>
      <c:layout>
        <c:manualLayout>
          <c:xMode val="edge"/>
          <c:yMode val="edge"/>
          <c:x val="0.71832085274011104"/>
          <c:y val="0.57543901064591296"/>
          <c:w val="0.27875673251900457"/>
          <c:h val="0.2576547008026317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679024496937881E-2"/>
          <c:y val="8.8738738738738734E-2"/>
          <c:w val="0.89309608357778802"/>
          <c:h val="0.69709465658119718"/>
        </c:manualLayout>
      </c:layout>
      <c:lineChart>
        <c:grouping val="standard"/>
        <c:varyColors val="0"/>
        <c:ser>
          <c:idx val="0"/>
          <c:order val="0"/>
          <c:tx>
            <c:strRef>
              <c:f>'Fig 6 and 7'!$A$39</c:f>
              <c:strCache>
                <c:ptCount val="1"/>
                <c:pt idx="0">
                  <c:v>Auckland</c:v>
                </c:pt>
              </c:strCache>
            </c:strRef>
          </c:tx>
          <c:spPr>
            <a:ln w="34925" cap="rnd">
              <a:solidFill>
                <a:schemeClr val="tx1"/>
              </a:solidFill>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7'!$B$39:$H$39</c:f>
              <c:numCache>
                <c:formatCode>0.00%</c:formatCode>
                <c:ptCount val="7"/>
                <c:pt idx="0">
                  <c:v>0.61</c:v>
                </c:pt>
                <c:pt idx="1">
                  <c:v>0.71499999999999997</c:v>
                </c:pt>
                <c:pt idx="2">
                  <c:v>0.54</c:v>
                </c:pt>
                <c:pt idx="3">
                  <c:v>0.70099999999999996</c:v>
                </c:pt>
                <c:pt idx="4">
                  <c:v>0.68899999999999995</c:v>
                </c:pt>
                <c:pt idx="5">
                  <c:v>0.70454545454545459</c:v>
                </c:pt>
                <c:pt idx="6">
                  <c:v>0.64840182648401823</c:v>
                </c:pt>
              </c:numCache>
            </c:numRef>
          </c:val>
          <c:smooth val="0"/>
        </c:ser>
        <c:ser>
          <c:idx val="1"/>
          <c:order val="1"/>
          <c:tx>
            <c:strRef>
              <c:f>'Fig 6 and 7'!$A$42</c:f>
              <c:strCache>
                <c:ptCount val="1"/>
                <c:pt idx="0">
                  <c:v>Counties Manukau</c:v>
                </c:pt>
              </c:strCache>
            </c:strRef>
          </c:tx>
          <c:spPr>
            <a:ln w="34925" cap="rnd">
              <a:solidFill>
                <a:schemeClr val="bg1">
                  <a:lumMod val="65000"/>
                </a:schemeClr>
              </a:solidFill>
              <a:prstDash val="solid"/>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7'!$B$42:$H$42</c:f>
              <c:numCache>
                <c:formatCode>0.00%</c:formatCode>
                <c:ptCount val="7"/>
                <c:pt idx="0">
                  <c:v>0.66</c:v>
                </c:pt>
                <c:pt idx="1">
                  <c:v>0.79100000000000004</c:v>
                </c:pt>
                <c:pt idx="2">
                  <c:v>0.61</c:v>
                </c:pt>
                <c:pt idx="3">
                  <c:v>0.77500000000000002</c:v>
                </c:pt>
                <c:pt idx="4">
                  <c:v>0.629</c:v>
                </c:pt>
                <c:pt idx="5">
                  <c:v>0.78647686832740216</c:v>
                </c:pt>
                <c:pt idx="6">
                  <c:v>0.69298245614035092</c:v>
                </c:pt>
              </c:numCache>
            </c:numRef>
          </c:val>
          <c:smooth val="0"/>
        </c:ser>
        <c:ser>
          <c:idx val="2"/>
          <c:order val="2"/>
          <c:tx>
            <c:strRef>
              <c:f>'Fig 6 and 7'!$A$46</c:f>
              <c:strCache>
                <c:ptCount val="1"/>
                <c:pt idx="0">
                  <c:v>Waitemata</c:v>
                </c:pt>
              </c:strCache>
            </c:strRef>
          </c:tx>
          <c:spPr>
            <a:ln w="34925" cap="rnd">
              <a:solidFill>
                <a:schemeClr val="bg1">
                  <a:lumMod val="85000"/>
                </a:schemeClr>
              </a:solidFill>
              <a:prstDash val="solid"/>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7'!$B$46:$H$46</c:f>
              <c:numCache>
                <c:formatCode>0.00%</c:formatCode>
                <c:ptCount val="7"/>
                <c:pt idx="0">
                  <c:v>0.59</c:v>
                </c:pt>
                <c:pt idx="1">
                  <c:v>0.70499999999999996</c:v>
                </c:pt>
                <c:pt idx="2">
                  <c:v>0.55000000000000004</c:v>
                </c:pt>
                <c:pt idx="3">
                  <c:v>0.58199999999999996</c:v>
                </c:pt>
                <c:pt idx="4">
                  <c:v>0.59199999999999997</c:v>
                </c:pt>
                <c:pt idx="5">
                  <c:v>0.7831325301204819</c:v>
                </c:pt>
                <c:pt idx="6">
                  <c:v>0.62337662337662336</c:v>
                </c:pt>
              </c:numCache>
            </c:numRef>
          </c:val>
          <c:smooth val="0"/>
        </c:ser>
        <c:ser>
          <c:idx val="3"/>
          <c:order val="3"/>
          <c:tx>
            <c:strRef>
              <c:f>'Fig 6 and 7'!$A$47</c:f>
              <c:strCache>
                <c:ptCount val="1"/>
                <c:pt idx="0">
                  <c:v>Target</c:v>
                </c:pt>
              </c:strCache>
            </c:strRef>
          </c:tx>
          <c:spPr>
            <a:ln w="34925" cap="rnd">
              <a:solidFill>
                <a:srgbClr val="FF0000"/>
              </a:solidFill>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7'!$B$47:$H$47</c:f>
              <c:numCache>
                <c:formatCode>0.00%</c:formatCode>
                <c:ptCount val="7"/>
                <c:pt idx="0">
                  <c:v>0.88</c:v>
                </c:pt>
                <c:pt idx="1">
                  <c:v>0.88</c:v>
                </c:pt>
                <c:pt idx="2">
                  <c:v>0.98</c:v>
                </c:pt>
                <c:pt idx="3">
                  <c:v>0.98</c:v>
                </c:pt>
                <c:pt idx="4">
                  <c:v>0.98</c:v>
                </c:pt>
                <c:pt idx="5">
                  <c:v>0.98</c:v>
                </c:pt>
                <c:pt idx="6">
                  <c:v>0.98</c:v>
                </c:pt>
              </c:numCache>
            </c:numRef>
          </c:val>
          <c:smooth val="0"/>
        </c:ser>
        <c:dLbls>
          <c:showLegendKey val="0"/>
          <c:showVal val="0"/>
          <c:showCatName val="0"/>
          <c:showSerName val="0"/>
          <c:showPercent val="0"/>
          <c:showBubbleSize val="0"/>
        </c:dLbls>
        <c:smooth val="0"/>
        <c:axId val="763080496"/>
        <c:axId val="763083632"/>
      </c:lineChart>
      <c:dateAx>
        <c:axId val="76308049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Report</a:t>
                </a:r>
                <a:r>
                  <a:rPr lang="en-NZ" sz="900" baseline="0"/>
                  <a:t> date</a:t>
                </a:r>
                <a:endParaRPr lang="en-NZ" sz="900"/>
              </a:p>
            </c:rich>
          </c:tx>
          <c:layout>
            <c:manualLayout>
              <c:xMode val="edge"/>
              <c:yMode val="edge"/>
              <c:x val="0.46965759182063027"/>
              <c:y val="0.93548233924851432"/>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83632"/>
        <c:crosses val="autoZero"/>
        <c:auto val="1"/>
        <c:lblOffset val="100"/>
        <c:baseTimeUnit val="months"/>
        <c:majorUnit val="6"/>
        <c:majorTimeUnit val="months"/>
        <c:minorUnit val="6"/>
        <c:minorTimeUnit val="months"/>
      </c:dateAx>
      <c:valAx>
        <c:axId val="763083632"/>
        <c:scaling>
          <c:orientation val="minMax"/>
          <c:max val="1"/>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1.4978213507625268E-3"/>
              <c:y val="2.5977749402946253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80496"/>
        <c:crosses val="autoZero"/>
        <c:crossBetween val="between"/>
      </c:valAx>
      <c:spPr>
        <a:noFill/>
        <a:ln>
          <a:noFill/>
        </a:ln>
        <a:effectLst/>
      </c:spPr>
    </c:plotArea>
    <c:legend>
      <c:legendPos val="r"/>
      <c:layout>
        <c:manualLayout>
          <c:xMode val="edge"/>
          <c:yMode val="edge"/>
          <c:x val="0.71394228294992534"/>
          <c:y val="0.52773470761178654"/>
          <c:w val="0.2860577170500746"/>
          <c:h val="0.23940008352996192"/>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402654933842977E-2"/>
          <c:y val="9.8881675637269698E-2"/>
          <c:w val="0.90648328929522703"/>
          <c:h val="0.7554329954445349"/>
        </c:manualLayout>
      </c:layout>
      <c:lineChart>
        <c:grouping val="standard"/>
        <c:varyColors val="0"/>
        <c:ser>
          <c:idx val="0"/>
          <c:order val="0"/>
          <c:tx>
            <c:strRef>
              <c:f>'[''Ala Mo''ui Progress Report - Complete Dataset.xlsx]Fig 18 and 19'!$A$65</c:f>
              <c:strCache>
                <c:ptCount val="1"/>
                <c:pt idx="0">
                  <c:v>Canterbury</c:v>
                </c:pt>
              </c:strCache>
            </c:strRef>
          </c:tx>
          <c:spPr>
            <a:ln w="34925" cap="rnd">
              <a:solidFill>
                <a:sysClr val="windowText" lastClr="000000"/>
              </a:solidFill>
              <a:round/>
            </a:ln>
            <a:effectLst/>
          </c:spPr>
          <c:marker>
            <c:symbol val="none"/>
          </c:marker>
          <c:cat>
            <c:numRef>
              <c:f>'[''Ala Mo''ui Progress Report - Complete Dataset.xlsx]Fig 18 and 19'!$B$64:$J$64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19'!$B$65:$J$65</c:f>
              <c:numCache>
                <c:formatCode>0%</c:formatCode>
                <c:ptCount val="9"/>
                <c:pt idx="0">
                  <c:v>0.20300000000000001</c:v>
                </c:pt>
                <c:pt idx="1">
                  <c:v>0.26600000000000001</c:v>
                </c:pt>
                <c:pt idx="2">
                  <c:v>0.26800000000000002</c:v>
                </c:pt>
                <c:pt idx="3">
                  <c:v>0.307</c:v>
                </c:pt>
                <c:pt idx="4">
                  <c:v>0.34100000000000003</c:v>
                </c:pt>
                <c:pt idx="5">
                  <c:v>0.56100000000000005</c:v>
                </c:pt>
                <c:pt idx="6">
                  <c:v>0.26600000000000001</c:v>
                </c:pt>
                <c:pt idx="7">
                  <c:v>0.318</c:v>
                </c:pt>
                <c:pt idx="8">
                  <c:v>0.37740000000000001</c:v>
                </c:pt>
              </c:numCache>
            </c:numRef>
          </c:val>
          <c:smooth val="0"/>
        </c:ser>
        <c:ser>
          <c:idx val="1"/>
          <c:order val="1"/>
          <c:tx>
            <c:strRef>
              <c:f>'[''Ala Mo''ui Progress Report - Complete Dataset.xlsx]Fig 18 and 19'!$A$66</c:f>
              <c:strCache>
                <c:ptCount val="1"/>
                <c:pt idx="0">
                  <c:v>Capital &amp; Coast</c:v>
                </c:pt>
              </c:strCache>
            </c:strRef>
          </c:tx>
          <c:spPr>
            <a:ln w="34925" cap="rnd">
              <a:solidFill>
                <a:sysClr val="window" lastClr="FFFFFF">
                  <a:lumMod val="65000"/>
                </a:sysClr>
              </a:solidFill>
              <a:prstDash val="solid"/>
              <a:round/>
            </a:ln>
            <a:effectLst/>
          </c:spPr>
          <c:marker>
            <c:symbol val="none"/>
          </c:marker>
          <c:cat>
            <c:numRef>
              <c:f>'[''Ala Mo''ui Progress Report - Complete Dataset.xlsx]Fig 18 and 19'!$B$64:$J$64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19'!$B$66:$J$66</c:f>
              <c:numCache>
                <c:formatCode>0%</c:formatCode>
                <c:ptCount val="9"/>
                <c:pt idx="0">
                  <c:v>0.29099999999999998</c:v>
                </c:pt>
                <c:pt idx="1">
                  <c:v>0.36299999999999999</c:v>
                </c:pt>
                <c:pt idx="2">
                  <c:v>0.38500000000000001</c:v>
                </c:pt>
                <c:pt idx="3">
                  <c:v>0.39900000000000002</c:v>
                </c:pt>
                <c:pt idx="4">
                  <c:v>0.41</c:v>
                </c:pt>
                <c:pt idx="5">
                  <c:v>0.39600000000000002</c:v>
                </c:pt>
                <c:pt idx="6">
                  <c:v>0.32400000000000001</c:v>
                </c:pt>
                <c:pt idx="7">
                  <c:v>0.36399999999999999</c:v>
                </c:pt>
                <c:pt idx="8">
                  <c:v>0.40920000000000001</c:v>
                </c:pt>
              </c:numCache>
            </c:numRef>
          </c:val>
          <c:smooth val="0"/>
        </c:ser>
        <c:ser>
          <c:idx val="2"/>
          <c:order val="2"/>
          <c:tx>
            <c:strRef>
              <c:f>'[''Ala Mo''ui Progress Report - Complete Dataset.xlsx]Fig 18 and 19'!$A$67</c:f>
              <c:strCache>
                <c:ptCount val="1"/>
                <c:pt idx="0">
                  <c:v>Hawke's Bay</c:v>
                </c:pt>
              </c:strCache>
            </c:strRef>
          </c:tx>
          <c:spPr>
            <a:ln w="34925" cap="rnd">
              <a:solidFill>
                <a:sysClr val="window" lastClr="FFFFFF">
                  <a:lumMod val="85000"/>
                </a:sysClr>
              </a:solidFill>
              <a:round/>
            </a:ln>
            <a:effectLst/>
          </c:spPr>
          <c:marker>
            <c:symbol val="none"/>
          </c:marker>
          <c:cat>
            <c:numRef>
              <c:f>'[''Ala Mo''ui Progress Report - Complete Dataset.xlsx]Fig 18 and 19'!$B$64:$J$64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19'!$B$67:$J$67</c:f>
              <c:numCache>
                <c:formatCode>0%</c:formatCode>
                <c:ptCount val="9"/>
                <c:pt idx="0">
                  <c:v>0.28999999999999998</c:v>
                </c:pt>
                <c:pt idx="1">
                  <c:v>0.151</c:v>
                </c:pt>
                <c:pt idx="2">
                  <c:v>0.23400000000000001</c:v>
                </c:pt>
                <c:pt idx="3">
                  <c:v>0.34200000000000003</c:v>
                </c:pt>
                <c:pt idx="4">
                  <c:v>0.39800000000000002</c:v>
                </c:pt>
                <c:pt idx="5">
                  <c:v>0.39200000000000002</c:v>
                </c:pt>
                <c:pt idx="6">
                  <c:v>0.312</c:v>
                </c:pt>
                <c:pt idx="7">
                  <c:v>0.38</c:v>
                </c:pt>
                <c:pt idx="8">
                  <c:v>0.30509999999999998</c:v>
                </c:pt>
              </c:numCache>
            </c:numRef>
          </c:val>
          <c:smooth val="0"/>
        </c:ser>
        <c:ser>
          <c:idx val="3"/>
          <c:order val="3"/>
          <c:tx>
            <c:strRef>
              <c:f>'[''Ala Mo''ui Progress Report - Complete Dataset.xlsx]Fig 18 and 19'!$A$68</c:f>
              <c:strCache>
                <c:ptCount val="1"/>
                <c:pt idx="0">
                  <c:v>Hutt Valley</c:v>
                </c:pt>
              </c:strCache>
            </c:strRef>
          </c:tx>
          <c:spPr>
            <a:ln w="34925" cap="rnd">
              <a:solidFill>
                <a:sysClr val="window" lastClr="FFFFFF">
                  <a:lumMod val="85000"/>
                </a:sysClr>
              </a:solidFill>
              <a:prstDash val="sysDot"/>
              <a:round/>
            </a:ln>
            <a:effectLst/>
          </c:spPr>
          <c:marker>
            <c:symbol val="none"/>
          </c:marker>
          <c:cat>
            <c:numRef>
              <c:f>'[''Ala Mo''ui Progress Report - Complete Dataset.xlsx]Fig 18 and 19'!$B$64:$J$64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19'!$B$68:$J$68</c:f>
              <c:numCache>
                <c:formatCode>0%</c:formatCode>
                <c:ptCount val="9"/>
                <c:pt idx="0">
                  <c:v>0.28999999999999998</c:v>
                </c:pt>
                <c:pt idx="1">
                  <c:v>0.40200000000000002</c:v>
                </c:pt>
                <c:pt idx="2">
                  <c:v>0.247</c:v>
                </c:pt>
                <c:pt idx="3">
                  <c:v>0.32200000000000001</c:v>
                </c:pt>
                <c:pt idx="4">
                  <c:v>0.312</c:v>
                </c:pt>
                <c:pt idx="5">
                  <c:v>0.45</c:v>
                </c:pt>
                <c:pt idx="6">
                  <c:v>0.39400000000000002</c:v>
                </c:pt>
                <c:pt idx="7">
                  <c:v>0.36099999999999999</c:v>
                </c:pt>
                <c:pt idx="8">
                  <c:v>0.3483</c:v>
                </c:pt>
              </c:numCache>
            </c:numRef>
          </c:val>
          <c:smooth val="0"/>
        </c:ser>
        <c:ser>
          <c:idx val="4"/>
          <c:order val="4"/>
          <c:tx>
            <c:strRef>
              <c:f>'[''Ala Mo''ui Progress Report - Complete Dataset.xlsx]Fig 18 and 19'!$A$69</c:f>
              <c:strCache>
                <c:ptCount val="1"/>
                <c:pt idx="0">
                  <c:v>Waikato</c:v>
                </c:pt>
              </c:strCache>
            </c:strRef>
          </c:tx>
          <c:spPr>
            <a:ln w="34925" cap="rnd">
              <a:solidFill>
                <a:sysClr val="window" lastClr="FFFFFF">
                  <a:lumMod val="65000"/>
                </a:sysClr>
              </a:solidFill>
              <a:prstDash val="sysDot"/>
              <a:round/>
            </a:ln>
            <a:effectLst/>
          </c:spPr>
          <c:marker>
            <c:symbol val="none"/>
          </c:marker>
          <c:cat>
            <c:numRef>
              <c:f>'[''Ala Mo''ui Progress Report - Complete Dataset.xlsx]Fig 18 and 19'!$B$64:$J$64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19'!$B$69:$J$69</c:f>
              <c:numCache>
                <c:formatCode>0%</c:formatCode>
                <c:ptCount val="9"/>
                <c:pt idx="0">
                  <c:v>0.40899999999999997</c:v>
                </c:pt>
                <c:pt idx="1">
                  <c:v>0.29599999999999999</c:v>
                </c:pt>
                <c:pt idx="2">
                  <c:v>0.24099999999999999</c:v>
                </c:pt>
                <c:pt idx="3">
                  <c:v>0.28599999999999998</c:v>
                </c:pt>
                <c:pt idx="4">
                  <c:v>0.51300000000000001</c:v>
                </c:pt>
                <c:pt idx="5">
                  <c:v>0.32600000000000001</c:v>
                </c:pt>
                <c:pt idx="6">
                  <c:v>0.51500000000000001</c:v>
                </c:pt>
                <c:pt idx="7">
                  <c:v>0.40899999999999997</c:v>
                </c:pt>
                <c:pt idx="8">
                  <c:v>0.37759999999999999</c:v>
                </c:pt>
              </c:numCache>
            </c:numRef>
          </c:val>
          <c:smooth val="0"/>
        </c:ser>
        <c:ser>
          <c:idx val="5"/>
          <c:order val="5"/>
          <c:tx>
            <c:strRef>
              <c:f>'[''Ala Mo''ui Progress Report - Complete Dataset.xlsx]Fig 18 and 19'!$A$70</c:f>
              <c:strCache>
                <c:ptCount val="1"/>
                <c:pt idx="0">
                  <c:v>Target</c:v>
                </c:pt>
              </c:strCache>
            </c:strRef>
          </c:tx>
          <c:spPr>
            <a:ln w="34925" cap="rnd">
              <a:solidFill>
                <a:srgbClr val="FF0000"/>
              </a:solidFill>
              <a:round/>
            </a:ln>
            <a:effectLst/>
          </c:spPr>
          <c:marker>
            <c:symbol val="none"/>
          </c:marker>
          <c:cat>
            <c:numRef>
              <c:f>'[''Ala Mo''ui Progress Report - Complete Dataset.xlsx]Fig 18 and 19'!$B$64:$J$64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'[''Ala Mo''ui Progress Report - Complete Dataset.xlsx]Fig 18 and 19'!$B$70:$J$70</c:f>
              <c:numCache>
                <c:formatCode>0%</c:formatCode>
                <c:ptCount val="9"/>
                <c:pt idx="0">
                  <c:v>0.65</c:v>
                </c:pt>
                <c:pt idx="1">
                  <c:v>0.65</c:v>
                </c:pt>
                <c:pt idx="2">
                  <c:v>0.65</c:v>
                </c:pt>
                <c:pt idx="3">
                  <c:v>0.65</c:v>
                </c:pt>
                <c:pt idx="4">
                  <c:v>0.65</c:v>
                </c:pt>
                <c:pt idx="5">
                  <c:v>0.65</c:v>
                </c:pt>
                <c:pt idx="6">
                  <c:v>0.65</c:v>
                </c:pt>
                <c:pt idx="7">
                  <c:v>0.65</c:v>
                </c:pt>
                <c:pt idx="8">
                  <c:v>0.65</c:v>
                </c:pt>
              </c:numCache>
            </c:numRef>
          </c:val>
          <c:smooth val="0"/>
        </c:ser>
        <c:dLbls>
          <c:showLegendKey val="0"/>
          <c:showVal val="0"/>
          <c:showCatName val="0"/>
          <c:showSerName val="0"/>
          <c:showPercent val="0"/>
          <c:showBubbleSize val="0"/>
        </c:dLbls>
        <c:smooth val="0"/>
        <c:axId val="402846952"/>
        <c:axId val="402847736"/>
      </c:lineChart>
      <c:catAx>
        <c:axId val="402846952"/>
        <c:scaling>
          <c:orientation val="minMax"/>
        </c:scaling>
        <c:delete val="0"/>
        <c:axPos val="b"/>
        <c:title>
          <c:tx>
            <c:rich>
              <a:bodyPr rot="0" vert="horz"/>
              <a:lstStyle/>
              <a:p>
                <a:pPr>
                  <a:defRPr/>
                </a:pPr>
                <a:r>
                  <a:rPr lang="en-NZ"/>
                  <a:t>Calendar year</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vert="horz"/>
          <a:lstStyle/>
          <a:p>
            <a:pPr>
              <a:defRPr/>
            </a:pPr>
            <a:endParaRPr lang="en-US"/>
          </a:p>
        </c:txPr>
        <c:crossAx val="402847736"/>
        <c:crosses val="autoZero"/>
        <c:auto val="1"/>
        <c:lblAlgn val="ctr"/>
        <c:lblOffset val="100"/>
        <c:noMultiLvlLbl val="0"/>
      </c:catAx>
      <c:valAx>
        <c:axId val="402847736"/>
        <c:scaling>
          <c:orientation val="minMax"/>
        </c:scaling>
        <c:delete val="0"/>
        <c:axPos val="l"/>
        <c:title>
          <c:tx>
            <c:rich>
              <a:bodyPr rot="0"/>
              <a:lstStyle/>
              <a:p>
                <a:pPr>
                  <a:defRPr/>
                </a:pPr>
                <a:r>
                  <a:rPr lang="en-NZ"/>
                  <a:t>Percentage</a:t>
                </a:r>
              </a:p>
            </c:rich>
          </c:tx>
          <c:layout>
            <c:manualLayout>
              <c:xMode val="edge"/>
              <c:yMode val="edge"/>
              <c:x val="0"/>
              <c:y val="3.4257590805731122E-4"/>
            </c:manualLayout>
          </c:layout>
          <c:overlay val="0"/>
          <c:spPr>
            <a:noFill/>
            <a:ln>
              <a:noFill/>
            </a:ln>
            <a:effectLst/>
          </c:spPr>
        </c:title>
        <c:numFmt formatCode="0%" sourceLinked="1"/>
        <c:majorTickMark val="out"/>
        <c:minorTickMark val="none"/>
        <c:tickLblPos val="nextTo"/>
        <c:spPr>
          <a:noFill/>
          <a:ln>
            <a:solidFill>
              <a:sysClr val="windowText" lastClr="000000"/>
            </a:solidFill>
          </a:ln>
          <a:effectLst/>
        </c:spPr>
        <c:txPr>
          <a:bodyPr rot="-60000000" vert="horz"/>
          <a:lstStyle/>
          <a:p>
            <a:pPr>
              <a:defRPr/>
            </a:pPr>
            <a:endParaRPr lang="en-US"/>
          </a:p>
        </c:txPr>
        <c:crossAx val="402846952"/>
        <c:crosses val="autoZero"/>
        <c:crossBetween val="between"/>
      </c:valAx>
      <c:spPr>
        <a:noFill/>
        <a:ln>
          <a:noFill/>
        </a:ln>
        <a:effectLst/>
      </c:spPr>
    </c:plotArea>
    <c:legend>
      <c:legendPos val="r"/>
      <c:layout>
        <c:manualLayout>
          <c:xMode val="edge"/>
          <c:yMode val="edge"/>
          <c:x val="0.42548411753809595"/>
          <c:y val="0.55692785169095238"/>
          <c:w val="0.30871912035873827"/>
          <c:h val="0.29627530394907531"/>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16689591735052E-2"/>
          <c:y val="9.7663734978938085E-2"/>
          <c:w val="0.89860073826445042"/>
          <c:h val="0.75688073222050678"/>
        </c:manualLayout>
      </c:layout>
      <c:lineChart>
        <c:grouping val="standard"/>
        <c:varyColors val="0"/>
        <c:ser>
          <c:idx val="0"/>
          <c:order val="0"/>
          <c:tx>
            <c:strRef>
              <c:f>'Fig 20 and 21'!$A$4</c:f>
              <c:strCache>
                <c:ptCount val="1"/>
                <c:pt idx="0">
                  <c:v>Pacific</c:v>
                </c:pt>
              </c:strCache>
            </c:strRef>
          </c:tx>
          <c:spPr>
            <a:ln w="34925" cap="rnd">
              <a:solidFill>
                <a:sysClr val="window" lastClr="FFFFFF">
                  <a:lumMod val="65000"/>
                </a:sysClr>
              </a:solidFill>
              <a:round/>
            </a:ln>
            <a:effectLst/>
          </c:spPr>
          <c:marker>
            <c:symbol val="none"/>
          </c:marker>
          <c:cat>
            <c:numRef>
              <c:f>'Fig 20 and 21'!$B$3:$J$3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21'!$B$4:$J$4</c:f>
              <c:numCache>
                <c:formatCode>0.00</c:formatCode>
                <c:ptCount val="9"/>
                <c:pt idx="0">
                  <c:v>1.79</c:v>
                </c:pt>
                <c:pt idx="1">
                  <c:v>1.55</c:v>
                </c:pt>
                <c:pt idx="2">
                  <c:v>1.73</c:v>
                </c:pt>
                <c:pt idx="3">
                  <c:v>1.67</c:v>
                </c:pt>
                <c:pt idx="4">
                  <c:v>1.85</c:v>
                </c:pt>
                <c:pt idx="5">
                  <c:v>1.68</c:v>
                </c:pt>
                <c:pt idx="6">
                  <c:v>1.63</c:v>
                </c:pt>
                <c:pt idx="7">
                  <c:v>1.53</c:v>
                </c:pt>
                <c:pt idx="8">
                  <c:v>1.3863000000000001</c:v>
                </c:pt>
              </c:numCache>
            </c:numRef>
          </c:val>
          <c:smooth val="0"/>
        </c:ser>
        <c:ser>
          <c:idx val="1"/>
          <c:order val="1"/>
          <c:tx>
            <c:strRef>
              <c:f>'Fig 20 and 21'!$A$5</c:f>
              <c:strCache>
                <c:ptCount val="1"/>
                <c:pt idx="0">
                  <c:v>Total New Zealand</c:v>
                </c:pt>
              </c:strCache>
            </c:strRef>
          </c:tx>
          <c:spPr>
            <a:ln w="34925" cap="rnd">
              <a:solidFill>
                <a:sysClr val="windowText" lastClr="000000"/>
              </a:solidFill>
              <a:prstDash val="solid"/>
              <a:round/>
            </a:ln>
            <a:effectLst/>
          </c:spPr>
          <c:marker>
            <c:symbol val="none"/>
          </c:marker>
          <c:cat>
            <c:numRef>
              <c:f>'Fig 20 and 21'!$B$3:$J$3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21'!$B$5:$J$5</c:f>
              <c:numCache>
                <c:formatCode>0.00</c:formatCode>
                <c:ptCount val="9"/>
                <c:pt idx="0">
                  <c:v>1.53</c:v>
                </c:pt>
                <c:pt idx="1">
                  <c:v>1.42</c:v>
                </c:pt>
                <c:pt idx="2">
                  <c:v>1.36</c:v>
                </c:pt>
                <c:pt idx="3">
                  <c:v>1.23</c:v>
                </c:pt>
                <c:pt idx="4">
                  <c:v>1.24</c:v>
                </c:pt>
                <c:pt idx="5">
                  <c:v>1.1599999999999999</c:v>
                </c:pt>
                <c:pt idx="6">
                  <c:v>1.1399999999999999</c:v>
                </c:pt>
                <c:pt idx="7">
                  <c:v>1.02</c:v>
                </c:pt>
                <c:pt idx="8">
                  <c:v>0.89580000000000004</c:v>
                </c:pt>
              </c:numCache>
            </c:numRef>
          </c:val>
          <c:smooth val="0"/>
        </c:ser>
        <c:dLbls>
          <c:showLegendKey val="0"/>
          <c:showVal val="0"/>
          <c:showCatName val="0"/>
          <c:showSerName val="0"/>
          <c:showPercent val="0"/>
          <c:showBubbleSize val="0"/>
        </c:dLbls>
        <c:smooth val="0"/>
        <c:axId val="402845384"/>
        <c:axId val="402844208"/>
      </c:lineChart>
      <c:catAx>
        <c:axId val="402845384"/>
        <c:scaling>
          <c:orientation val="minMax"/>
        </c:scaling>
        <c:delete val="0"/>
        <c:axPos val="b"/>
        <c:title>
          <c:tx>
            <c:rich>
              <a:bodyPr rot="0" vert="horz"/>
              <a:lstStyle/>
              <a:p>
                <a:pPr>
                  <a:defRPr/>
                </a:pPr>
                <a:r>
                  <a:rPr lang="en-NZ"/>
                  <a:t>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402844208"/>
        <c:crosses val="autoZero"/>
        <c:auto val="1"/>
        <c:lblAlgn val="ctr"/>
        <c:lblOffset val="100"/>
        <c:noMultiLvlLbl val="0"/>
      </c:catAx>
      <c:valAx>
        <c:axId val="402844208"/>
        <c:scaling>
          <c:orientation val="minMax"/>
        </c:scaling>
        <c:delete val="0"/>
        <c:axPos val="l"/>
        <c:title>
          <c:tx>
            <c:rich>
              <a:bodyPr rot="0"/>
              <a:lstStyle/>
              <a:p>
                <a:pPr>
                  <a:defRPr/>
                </a:pPr>
                <a:r>
                  <a:rPr lang="en-NZ"/>
                  <a:t>Mean number</a:t>
                </a:r>
              </a:p>
            </c:rich>
          </c:tx>
          <c:layout>
            <c:manualLayout>
              <c:xMode val="edge"/>
              <c:yMode val="edge"/>
              <c:x val="1.6436534423042123E-3"/>
              <c:y val="4.3136953157728248E-3"/>
            </c:manualLayout>
          </c:layout>
          <c:overlay val="0"/>
          <c:spPr>
            <a:noFill/>
            <a:ln>
              <a:noFill/>
            </a:ln>
            <a:effectLst/>
          </c:spPr>
        </c:title>
        <c:numFmt formatCode="0.00" sourceLinked="1"/>
        <c:majorTickMark val="out"/>
        <c:minorTickMark val="none"/>
        <c:tickLblPos val="nextTo"/>
        <c:spPr>
          <a:noFill/>
          <a:ln>
            <a:solidFill>
              <a:schemeClr val="tx1"/>
            </a:solidFill>
          </a:ln>
          <a:effectLst/>
        </c:spPr>
        <c:txPr>
          <a:bodyPr rot="-60000000" vert="horz"/>
          <a:lstStyle/>
          <a:p>
            <a:pPr>
              <a:defRPr/>
            </a:pPr>
            <a:endParaRPr lang="en-US"/>
          </a:p>
        </c:txPr>
        <c:crossAx val="402845384"/>
        <c:crosses val="autoZero"/>
        <c:crossBetween val="between"/>
      </c:valAx>
      <c:spPr>
        <a:noFill/>
        <a:ln>
          <a:noFill/>
        </a:ln>
        <a:effectLst/>
      </c:spPr>
    </c:plotArea>
    <c:legend>
      <c:legendPos val="r"/>
      <c:layout>
        <c:manualLayout>
          <c:xMode val="edge"/>
          <c:yMode val="edge"/>
          <c:x val="0.66210721548426332"/>
          <c:y val="0.67907290090367367"/>
          <c:w val="0.33670024278795435"/>
          <c:h val="0.1470151383063547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75473441698641E-2"/>
          <c:y val="0.10831354790073282"/>
          <c:w val="0.89519919449672125"/>
          <c:h val="0.74847914808611571"/>
        </c:manualLayout>
      </c:layout>
      <c:lineChart>
        <c:grouping val="standard"/>
        <c:varyColors val="0"/>
        <c:ser>
          <c:idx val="0"/>
          <c:order val="0"/>
          <c:tx>
            <c:strRef>
              <c:f>'Fig 20 and 21'!$A$34</c:f>
              <c:strCache>
                <c:ptCount val="1"/>
                <c:pt idx="0">
                  <c:v>Auckland</c:v>
                </c:pt>
              </c:strCache>
            </c:strRef>
          </c:tx>
          <c:spPr>
            <a:ln w="34925" cap="rnd">
              <a:solidFill>
                <a:sysClr val="windowText" lastClr="000000"/>
              </a:solidFill>
              <a:round/>
            </a:ln>
            <a:effectLst/>
          </c:spPr>
          <c:marker>
            <c:symbol val="none"/>
          </c:marker>
          <c:cat>
            <c:numRef>
              <c:f>'Fig 20 and 21'!$B$33:$J$33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21'!$B$34:$J$34</c:f>
              <c:numCache>
                <c:formatCode>0.00</c:formatCode>
                <c:ptCount val="9"/>
                <c:pt idx="0">
                  <c:v>1.79</c:v>
                </c:pt>
                <c:pt idx="1">
                  <c:v>1.26</c:v>
                </c:pt>
                <c:pt idx="2">
                  <c:v>1.67</c:v>
                </c:pt>
                <c:pt idx="3">
                  <c:v>1.57</c:v>
                </c:pt>
                <c:pt idx="4">
                  <c:v>1.74</c:v>
                </c:pt>
                <c:pt idx="5">
                  <c:v>1.76</c:v>
                </c:pt>
                <c:pt idx="6">
                  <c:v>1.57</c:v>
                </c:pt>
                <c:pt idx="7">
                  <c:v>1.49</c:v>
                </c:pt>
                <c:pt idx="8">
                  <c:v>1.3893</c:v>
                </c:pt>
              </c:numCache>
            </c:numRef>
          </c:val>
          <c:smooth val="0"/>
        </c:ser>
        <c:ser>
          <c:idx val="1"/>
          <c:order val="1"/>
          <c:tx>
            <c:strRef>
              <c:f>'Fig 20 and 21'!$A$35</c:f>
              <c:strCache>
                <c:ptCount val="1"/>
                <c:pt idx="0">
                  <c:v>Counties Manukau</c:v>
                </c:pt>
              </c:strCache>
            </c:strRef>
          </c:tx>
          <c:spPr>
            <a:ln w="34925" cap="rnd">
              <a:solidFill>
                <a:sysClr val="window" lastClr="FFFFFF">
                  <a:lumMod val="65000"/>
                </a:sysClr>
              </a:solidFill>
              <a:prstDash val="solid"/>
              <a:round/>
            </a:ln>
            <a:effectLst/>
          </c:spPr>
          <c:marker>
            <c:symbol val="none"/>
          </c:marker>
          <c:cat>
            <c:numRef>
              <c:f>'Fig 20 and 21'!$B$33:$J$33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21'!$B$35:$J$35</c:f>
              <c:numCache>
                <c:formatCode>0.00</c:formatCode>
                <c:ptCount val="9"/>
                <c:pt idx="0">
                  <c:v>1.65</c:v>
                </c:pt>
                <c:pt idx="1">
                  <c:v>1.35</c:v>
                </c:pt>
                <c:pt idx="2">
                  <c:v>1.61</c:v>
                </c:pt>
                <c:pt idx="3">
                  <c:v>1.72</c:v>
                </c:pt>
                <c:pt idx="4">
                  <c:v>1.99</c:v>
                </c:pt>
                <c:pt idx="5">
                  <c:v>1.88</c:v>
                </c:pt>
                <c:pt idx="6">
                  <c:v>1.79</c:v>
                </c:pt>
                <c:pt idx="7">
                  <c:v>1.69</c:v>
                </c:pt>
                <c:pt idx="8">
                  <c:v>1.5138</c:v>
                </c:pt>
              </c:numCache>
            </c:numRef>
          </c:val>
          <c:smooth val="0"/>
        </c:ser>
        <c:ser>
          <c:idx val="2"/>
          <c:order val="2"/>
          <c:tx>
            <c:strRef>
              <c:f>'Fig 20 and 21'!$A$36</c:f>
              <c:strCache>
                <c:ptCount val="1"/>
                <c:pt idx="0">
                  <c:v>Waitemata</c:v>
                </c:pt>
              </c:strCache>
            </c:strRef>
          </c:tx>
          <c:spPr>
            <a:ln w="34925" cap="rnd">
              <a:solidFill>
                <a:sysClr val="window" lastClr="FFFFFF">
                  <a:lumMod val="85000"/>
                </a:sysClr>
              </a:solidFill>
              <a:prstDash val="solid"/>
              <a:round/>
            </a:ln>
            <a:effectLst/>
          </c:spPr>
          <c:marker>
            <c:symbol val="none"/>
          </c:marker>
          <c:cat>
            <c:numRef>
              <c:f>'Fig 20 and 21'!$B$33:$J$33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21'!$B$36:$J$36</c:f>
              <c:numCache>
                <c:formatCode>0.00</c:formatCode>
                <c:ptCount val="9"/>
                <c:pt idx="0">
                  <c:v>1.4</c:v>
                </c:pt>
                <c:pt idx="1">
                  <c:v>1.47</c:v>
                </c:pt>
                <c:pt idx="2">
                  <c:v>1.55</c:v>
                </c:pt>
                <c:pt idx="3">
                  <c:v>1.56</c:v>
                </c:pt>
                <c:pt idx="4">
                  <c:v>1.76</c:v>
                </c:pt>
                <c:pt idx="5">
                  <c:v>1.56</c:v>
                </c:pt>
                <c:pt idx="6">
                  <c:v>1.52</c:v>
                </c:pt>
                <c:pt idx="7">
                  <c:v>1.43</c:v>
                </c:pt>
                <c:pt idx="8">
                  <c:v>1.25</c:v>
                </c:pt>
              </c:numCache>
            </c:numRef>
          </c:val>
          <c:smooth val="0"/>
        </c:ser>
        <c:ser>
          <c:idx val="3"/>
          <c:order val="3"/>
          <c:tx>
            <c:strRef>
              <c:f>'Fig 20 and 21'!$A$37</c:f>
              <c:strCache>
                <c:ptCount val="1"/>
                <c:pt idx="0">
                  <c:v>Total New Zealand</c:v>
                </c:pt>
              </c:strCache>
            </c:strRef>
          </c:tx>
          <c:spPr>
            <a:ln w="34925" cap="rnd">
              <a:solidFill>
                <a:sysClr val="windowText" lastClr="000000"/>
              </a:solidFill>
              <a:prstDash val="sysDot"/>
              <a:round/>
            </a:ln>
            <a:effectLst/>
          </c:spPr>
          <c:marker>
            <c:symbol val="none"/>
          </c:marker>
          <c:cat>
            <c:numRef>
              <c:f>'Fig 20 and 21'!$B$33:$J$33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21'!$B$37:$J$37</c:f>
              <c:numCache>
                <c:formatCode>0.00</c:formatCode>
                <c:ptCount val="9"/>
                <c:pt idx="0">
                  <c:v>1.53</c:v>
                </c:pt>
                <c:pt idx="1">
                  <c:v>1.42</c:v>
                </c:pt>
                <c:pt idx="2">
                  <c:v>1.36</c:v>
                </c:pt>
                <c:pt idx="3">
                  <c:v>1.23</c:v>
                </c:pt>
                <c:pt idx="4">
                  <c:v>1.24</c:v>
                </c:pt>
                <c:pt idx="5">
                  <c:v>1.1599999999999999</c:v>
                </c:pt>
                <c:pt idx="6">
                  <c:v>1.1399999999999999</c:v>
                </c:pt>
                <c:pt idx="7">
                  <c:v>1.02</c:v>
                </c:pt>
                <c:pt idx="8">
                  <c:v>0.9</c:v>
                </c:pt>
              </c:numCache>
            </c:numRef>
          </c:val>
          <c:smooth val="0"/>
        </c:ser>
        <c:dLbls>
          <c:showLegendKey val="0"/>
          <c:showVal val="0"/>
          <c:showCatName val="0"/>
          <c:showSerName val="0"/>
          <c:showPercent val="0"/>
          <c:showBubbleSize val="0"/>
        </c:dLbls>
        <c:smooth val="0"/>
        <c:axId val="402842640"/>
        <c:axId val="402844992"/>
      </c:lineChart>
      <c:catAx>
        <c:axId val="402842640"/>
        <c:scaling>
          <c:orientation val="minMax"/>
        </c:scaling>
        <c:delete val="0"/>
        <c:axPos val="b"/>
        <c:title>
          <c:tx>
            <c:rich>
              <a:bodyPr rot="0" vert="horz"/>
              <a:lstStyle/>
              <a:p>
                <a:pPr>
                  <a:defRPr/>
                </a:pPr>
                <a:r>
                  <a:rPr lang="en-NZ"/>
                  <a:t>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402844992"/>
        <c:crosses val="autoZero"/>
        <c:auto val="1"/>
        <c:lblAlgn val="ctr"/>
        <c:lblOffset val="100"/>
        <c:noMultiLvlLbl val="0"/>
      </c:catAx>
      <c:valAx>
        <c:axId val="402844992"/>
        <c:scaling>
          <c:orientation val="minMax"/>
        </c:scaling>
        <c:delete val="0"/>
        <c:axPos val="l"/>
        <c:title>
          <c:tx>
            <c:rich>
              <a:bodyPr rot="0"/>
              <a:lstStyle/>
              <a:p>
                <a:pPr>
                  <a:defRPr/>
                </a:pPr>
                <a:r>
                  <a:rPr lang="en-NZ"/>
                  <a:t>Mean number</a:t>
                </a:r>
              </a:p>
            </c:rich>
          </c:tx>
          <c:layout>
            <c:manualLayout>
              <c:xMode val="edge"/>
              <c:yMode val="edge"/>
              <c:x val="0"/>
              <c:y val="6.4657878217200251E-3"/>
            </c:manualLayout>
          </c:layout>
          <c:overlay val="0"/>
          <c:spPr>
            <a:noFill/>
            <a:ln>
              <a:noFill/>
            </a:ln>
            <a:effectLst/>
          </c:spPr>
        </c:title>
        <c:numFmt formatCode="0.00" sourceLinked="1"/>
        <c:majorTickMark val="out"/>
        <c:minorTickMark val="none"/>
        <c:tickLblPos val="nextTo"/>
        <c:spPr>
          <a:noFill/>
          <a:ln>
            <a:solidFill>
              <a:schemeClr val="tx1"/>
            </a:solidFill>
          </a:ln>
          <a:effectLst/>
        </c:spPr>
        <c:txPr>
          <a:bodyPr rot="-60000000" vert="horz"/>
          <a:lstStyle/>
          <a:p>
            <a:pPr>
              <a:defRPr/>
            </a:pPr>
            <a:endParaRPr lang="en-US"/>
          </a:p>
        </c:txPr>
        <c:crossAx val="402842640"/>
        <c:crosses val="autoZero"/>
        <c:crossBetween val="between"/>
      </c:valAx>
      <c:spPr>
        <a:noFill/>
        <a:ln>
          <a:noFill/>
        </a:ln>
        <a:effectLst/>
      </c:spPr>
    </c:plotArea>
    <c:legend>
      <c:legendPos val="r"/>
      <c:layout>
        <c:manualLayout>
          <c:xMode val="edge"/>
          <c:yMode val="edge"/>
          <c:x val="0.66412097368125766"/>
          <c:y val="0.59301877518847557"/>
          <c:w val="0.32136289886425096"/>
          <c:h val="0.24991549231218763"/>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893138357705284E-2"/>
          <c:y val="9.6185299172628802E-2"/>
          <c:w val="0.90932074149070419"/>
          <c:h val="0.76534991564188981"/>
        </c:manualLayout>
      </c:layout>
      <c:lineChart>
        <c:grouping val="standard"/>
        <c:varyColors val="0"/>
        <c:ser>
          <c:idx val="0"/>
          <c:order val="0"/>
          <c:tx>
            <c:strRef>
              <c:f>'Fig 20 and 21'!$A$65</c:f>
              <c:strCache>
                <c:ptCount val="1"/>
                <c:pt idx="0">
                  <c:v>Canterbury</c:v>
                </c:pt>
              </c:strCache>
            </c:strRef>
          </c:tx>
          <c:spPr>
            <a:ln w="34925" cap="rnd">
              <a:solidFill>
                <a:sysClr val="windowText" lastClr="000000"/>
              </a:solidFill>
              <a:round/>
            </a:ln>
            <a:effectLst/>
          </c:spPr>
          <c:marker>
            <c:symbol val="none"/>
          </c:marker>
          <c:cat>
            <c:numRef>
              <c:f>'Fig 20 and 21'!$B$64:$J$64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21'!$B$65:$J$65</c:f>
              <c:numCache>
                <c:formatCode>0.00</c:formatCode>
                <c:ptCount val="9"/>
                <c:pt idx="0">
                  <c:v>2.38</c:v>
                </c:pt>
                <c:pt idx="1">
                  <c:v>2.12</c:v>
                </c:pt>
                <c:pt idx="2">
                  <c:v>2.5499999999999998</c:v>
                </c:pt>
                <c:pt idx="3">
                  <c:v>1.52</c:v>
                </c:pt>
                <c:pt idx="4">
                  <c:v>1.57</c:v>
                </c:pt>
                <c:pt idx="5">
                  <c:v>0.81</c:v>
                </c:pt>
                <c:pt idx="6">
                  <c:v>1.39</c:v>
                </c:pt>
                <c:pt idx="7">
                  <c:v>1.82</c:v>
                </c:pt>
                <c:pt idx="8">
                  <c:v>1.2765</c:v>
                </c:pt>
              </c:numCache>
            </c:numRef>
          </c:val>
          <c:smooth val="0"/>
        </c:ser>
        <c:ser>
          <c:idx val="1"/>
          <c:order val="1"/>
          <c:tx>
            <c:strRef>
              <c:f>'Fig 20 and 21'!$A$66</c:f>
              <c:strCache>
                <c:ptCount val="1"/>
                <c:pt idx="0">
                  <c:v>Capital &amp; Coast</c:v>
                </c:pt>
              </c:strCache>
            </c:strRef>
          </c:tx>
          <c:spPr>
            <a:ln w="34925" cap="rnd">
              <a:solidFill>
                <a:sysClr val="window" lastClr="FFFFFF">
                  <a:lumMod val="65000"/>
                </a:sysClr>
              </a:solidFill>
              <a:prstDash val="solid"/>
              <a:round/>
            </a:ln>
            <a:effectLst/>
          </c:spPr>
          <c:marker>
            <c:symbol val="none"/>
          </c:marker>
          <c:cat>
            <c:numRef>
              <c:f>'Fig 20 and 21'!$B$64:$J$64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21'!$B$66:$J$66</c:f>
              <c:numCache>
                <c:formatCode>0.00</c:formatCode>
                <c:ptCount val="9"/>
                <c:pt idx="0">
                  <c:v>1.19</c:v>
                </c:pt>
                <c:pt idx="1">
                  <c:v>1.24</c:v>
                </c:pt>
                <c:pt idx="2">
                  <c:v>1.39</c:v>
                </c:pt>
                <c:pt idx="3">
                  <c:v>1.25</c:v>
                </c:pt>
                <c:pt idx="4">
                  <c:v>1.1299999999999999</c:v>
                </c:pt>
                <c:pt idx="5">
                  <c:v>1.08</c:v>
                </c:pt>
                <c:pt idx="6">
                  <c:v>1.24</c:v>
                </c:pt>
                <c:pt idx="7">
                  <c:v>1.0900000000000001</c:v>
                </c:pt>
                <c:pt idx="8">
                  <c:v>1.123</c:v>
                </c:pt>
              </c:numCache>
            </c:numRef>
          </c:val>
          <c:smooth val="0"/>
        </c:ser>
        <c:ser>
          <c:idx val="2"/>
          <c:order val="2"/>
          <c:tx>
            <c:strRef>
              <c:f>'Fig 20 and 21'!$A$67</c:f>
              <c:strCache>
                <c:ptCount val="1"/>
                <c:pt idx="0">
                  <c:v>Hawke's Bay</c:v>
                </c:pt>
              </c:strCache>
            </c:strRef>
          </c:tx>
          <c:spPr>
            <a:ln w="34925" cap="rnd">
              <a:solidFill>
                <a:sysClr val="window" lastClr="FFFFFF">
                  <a:lumMod val="85000"/>
                </a:sysClr>
              </a:solidFill>
              <a:round/>
            </a:ln>
            <a:effectLst/>
          </c:spPr>
          <c:marker>
            <c:symbol val="none"/>
          </c:marker>
          <c:cat>
            <c:numRef>
              <c:f>'Fig 20 and 21'!$B$64:$J$64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21'!$B$67:$J$67</c:f>
              <c:numCache>
                <c:formatCode>0.00</c:formatCode>
                <c:ptCount val="9"/>
                <c:pt idx="0">
                  <c:v>2.69</c:v>
                </c:pt>
                <c:pt idx="1">
                  <c:v>2.23</c:v>
                </c:pt>
                <c:pt idx="2">
                  <c:v>3.07</c:v>
                </c:pt>
                <c:pt idx="3">
                  <c:v>1.38</c:v>
                </c:pt>
                <c:pt idx="4">
                  <c:v>2.16</c:v>
                </c:pt>
                <c:pt idx="5">
                  <c:v>1.61</c:v>
                </c:pt>
                <c:pt idx="6">
                  <c:v>1.92</c:v>
                </c:pt>
                <c:pt idx="7">
                  <c:v>1.85</c:v>
                </c:pt>
                <c:pt idx="8">
                  <c:v>1.0434000000000001</c:v>
                </c:pt>
              </c:numCache>
            </c:numRef>
          </c:val>
          <c:smooth val="0"/>
        </c:ser>
        <c:ser>
          <c:idx val="3"/>
          <c:order val="3"/>
          <c:tx>
            <c:strRef>
              <c:f>'Fig 20 and 21'!$A$68</c:f>
              <c:strCache>
                <c:ptCount val="1"/>
                <c:pt idx="0">
                  <c:v>Hutt Valley</c:v>
                </c:pt>
              </c:strCache>
            </c:strRef>
          </c:tx>
          <c:spPr>
            <a:ln w="34925" cap="rnd">
              <a:solidFill>
                <a:sysClr val="window" lastClr="FFFFFF">
                  <a:lumMod val="65000"/>
                </a:sysClr>
              </a:solidFill>
              <a:prstDash val="sysDot"/>
              <a:round/>
            </a:ln>
            <a:effectLst/>
          </c:spPr>
          <c:marker>
            <c:symbol val="none"/>
          </c:marker>
          <c:cat>
            <c:numRef>
              <c:f>'Fig 20 and 21'!$B$64:$J$64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21'!$B$68:$J$68</c:f>
              <c:numCache>
                <c:formatCode>0.00</c:formatCode>
                <c:ptCount val="9"/>
                <c:pt idx="0">
                  <c:v>1.36</c:v>
                </c:pt>
                <c:pt idx="1">
                  <c:v>1.2</c:v>
                </c:pt>
                <c:pt idx="2">
                  <c:v>1.76</c:v>
                </c:pt>
                <c:pt idx="3">
                  <c:v>1.78</c:v>
                </c:pt>
                <c:pt idx="4">
                  <c:v>1.67</c:v>
                </c:pt>
                <c:pt idx="5">
                  <c:v>1.1200000000000001</c:v>
                </c:pt>
                <c:pt idx="6">
                  <c:v>0.99</c:v>
                </c:pt>
                <c:pt idx="7">
                  <c:v>0.98</c:v>
                </c:pt>
                <c:pt idx="8">
                  <c:v>1.3332999999999999</c:v>
                </c:pt>
              </c:numCache>
            </c:numRef>
          </c:val>
          <c:smooth val="0"/>
        </c:ser>
        <c:ser>
          <c:idx val="4"/>
          <c:order val="4"/>
          <c:tx>
            <c:strRef>
              <c:f>'Fig 20 and 21'!$A$69</c:f>
              <c:strCache>
                <c:ptCount val="1"/>
                <c:pt idx="0">
                  <c:v>Waikato</c:v>
                </c:pt>
              </c:strCache>
            </c:strRef>
          </c:tx>
          <c:spPr>
            <a:ln w="34925" cap="rnd">
              <a:solidFill>
                <a:sysClr val="window" lastClr="FFFFFF">
                  <a:lumMod val="85000"/>
                </a:sysClr>
              </a:solidFill>
              <a:prstDash val="sysDot"/>
              <a:round/>
            </a:ln>
            <a:effectLst/>
          </c:spPr>
          <c:marker>
            <c:symbol val="none"/>
          </c:marker>
          <c:cat>
            <c:numRef>
              <c:f>'Fig 20 and 21'!$B$64:$J$64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21'!$B$69:$J$69</c:f>
              <c:numCache>
                <c:formatCode>0.00</c:formatCode>
                <c:ptCount val="9"/>
                <c:pt idx="0">
                  <c:v>2.27</c:v>
                </c:pt>
                <c:pt idx="1">
                  <c:v>2.58</c:v>
                </c:pt>
                <c:pt idx="2">
                  <c:v>2.38</c:v>
                </c:pt>
                <c:pt idx="3">
                  <c:v>2.27</c:v>
                </c:pt>
                <c:pt idx="4">
                  <c:v>2.35</c:v>
                </c:pt>
                <c:pt idx="5">
                  <c:v>1.98</c:v>
                </c:pt>
                <c:pt idx="6">
                  <c:v>1.66</c:v>
                </c:pt>
                <c:pt idx="7">
                  <c:v>1.4</c:v>
                </c:pt>
                <c:pt idx="8">
                  <c:v>1.3720000000000001</c:v>
                </c:pt>
              </c:numCache>
            </c:numRef>
          </c:val>
          <c:smooth val="0"/>
        </c:ser>
        <c:ser>
          <c:idx val="5"/>
          <c:order val="5"/>
          <c:tx>
            <c:strRef>
              <c:f>'Fig 20 and 21'!$A$70</c:f>
              <c:strCache>
                <c:ptCount val="1"/>
                <c:pt idx="0">
                  <c:v>Total New Zealand</c:v>
                </c:pt>
              </c:strCache>
            </c:strRef>
          </c:tx>
          <c:spPr>
            <a:ln w="34925" cap="rnd">
              <a:solidFill>
                <a:sysClr val="windowText" lastClr="000000"/>
              </a:solidFill>
              <a:prstDash val="sysDot"/>
              <a:round/>
            </a:ln>
            <a:effectLst/>
          </c:spPr>
          <c:marker>
            <c:symbol val="none"/>
          </c:marker>
          <c:cat>
            <c:numRef>
              <c:f>'Fig 20 and 21'!$B$64:$J$64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'Fig 20 and 21'!$B$70:$J$70</c:f>
              <c:numCache>
                <c:formatCode>0.00</c:formatCode>
                <c:ptCount val="9"/>
                <c:pt idx="0">
                  <c:v>1.53</c:v>
                </c:pt>
                <c:pt idx="1">
                  <c:v>1.42</c:v>
                </c:pt>
                <c:pt idx="2">
                  <c:v>1.36</c:v>
                </c:pt>
                <c:pt idx="3">
                  <c:v>1.23</c:v>
                </c:pt>
                <c:pt idx="4">
                  <c:v>1.24</c:v>
                </c:pt>
                <c:pt idx="5">
                  <c:v>1.1599999999999999</c:v>
                </c:pt>
                <c:pt idx="6">
                  <c:v>1.1399999999999999</c:v>
                </c:pt>
                <c:pt idx="7">
                  <c:v>1.02</c:v>
                </c:pt>
                <c:pt idx="8">
                  <c:v>0.9</c:v>
                </c:pt>
              </c:numCache>
            </c:numRef>
          </c:val>
          <c:smooth val="0"/>
        </c:ser>
        <c:dLbls>
          <c:showLegendKey val="0"/>
          <c:showVal val="0"/>
          <c:showCatName val="0"/>
          <c:showSerName val="0"/>
          <c:showPercent val="0"/>
          <c:showBubbleSize val="0"/>
        </c:dLbls>
        <c:smooth val="0"/>
        <c:axId val="402842248"/>
        <c:axId val="402848128"/>
      </c:lineChart>
      <c:catAx>
        <c:axId val="402842248"/>
        <c:scaling>
          <c:orientation val="minMax"/>
        </c:scaling>
        <c:delete val="0"/>
        <c:axPos val="b"/>
        <c:title>
          <c:tx>
            <c:rich>
              <a:bodyPr rot="0" vert="horz"/>
              <a:lstStyle/>
              <a:p>
                <a:pPr>
                  <a:defRPr/>
                </a:pPr>
                <a:r>
                  <a:rPr lang="en-NZ"/>
                  <a:t>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402848128"/>
        <c:crosses val="autoZero"/>
        <c:auto val="1"/>
        <c:lblAlgn val="ctr"/>
        <c:lblOffset val="100"/>
        <c:noMultiLvlLbl val="0"/>
      </c:catAx>
      <c:valAx>
        <c:axId val="402848128"/>
        <c:scaling>
          <c:orientation val="minMax"/>
        </c:scaling>
        <c:delete val="0"/>
        <c:axPos val="l"/>
        <c:title>
          <c:tx>
            <c:rich>
              <a:bodyPr rot="0"/>
              <a:lstStyle/>
              <a:p>
                <a:pPr>
                  <a:defRPr/>
                </a:pPr>
                <a:r>
                  <a:rPr lang="en-NZ"/>
                  <a:t>Mean number</a:t>
                </a:r>
              </a:p>
            </c:rich>
          </c:tx>
          <c:layout>
            <c:manualLayout>
              <c:xMode val="edge"/>
              <c:yMode val="edge"/>
              <c:x val="0"/>
              <c:y val="6.4657878217200251E-3"/>
            </c:manualLayout>
          </c:layout>
          <c:overlay val="0"/>
          <c:spPr>
            <a:noFill/>
            <a:ln>
              <a:noFill/>
            </a:ln>
            <a:effectLst/>
          </c:spPr>
        </c:title>
        <c:numFmt formatCode="0.00" sourceLinked="1"/>
        <c:majorTickMark val="out"/>
        <c:minorTickMark val="none"/>
        <c:tickLblPos val="nextTo"/>
        <c:spPr>
          <a:noFill/>
          <a:ln>
            <a:solidFill>
              <a:schemeClr val="tx1"/>
            </a:solidFill>
          </a:ln>
          <a:effectLst/>
        </c:spPr>
        <c:txPr>
          <a:bodyPr rot="-60000000" vert="horz"/>
          <a:lstStyle/>
          <a:p>
            <a:pPr>
              <a:defRPr/>
            </a:pPr>
            <a:endParaRPr lang="en-US"/>
          </a:p>
        </c:txPr>
        <c:crossAx val="402842248"/>
        <c:crosses val="autoZero"/>
        <c:crossBetween val="between"/>
      </c:valAx>
      <c:spPr>
        <a:noFill/>
        <a:ln>
          <a:noFill/>
        </a:ln>
        <a:effectLst/>
      </c:spPr>
    </c:plotArea>
    <c:legend>
      <c:legendPos val="r"/>
      <c:layout>
        <c:manualLayout>
          <c:xMode val="edge"/>
          <c:yMode val="edge"/>
          <c:x val="0.68299069529670187"/>
          <c:y val="2.9595793112390786E-2"/>
          <c:w val="0.29898229262445675"/>
          <c:h val="0.3588594857342023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68025039011356E-2"/>
          <c:y val="0.10068674405390048"/>
          <c:w val="0.89137479955754406"/>
          <c:h val="0.48406077577570239"/>
        </c:manualLayout>
      </c:layout>
      <c:lineChart>
        <c:grouping val="standard"/>
        <c:varyColors val="0"/>
        <c:ser>
          <c:idx val="0"/>
          <c:order val="0"/>
          <c:tx>
            <c:strRef>
              <c:f>'Fig 39 and 40'!$B$4</c:f>
              <c:strCache>
                <c:ptCount val="1"/>
                <c:pt idx="0">
                  <c:v>Pacific</c:v>
                </c:pt>
              </c:strCache>
            </c:strRef>
          </c:tx>
          <c:spPr>
            <a:ln w="34925" cap="rnd">
              <a:solidFill>
                <a:schemeClr val="bg1">
                  <a:lumMod val="65000"/>
                </a:schemeClr>
              </a:solidFill>
              <a:round/>
            </a:ln>
            <a:effectLst/>
          </c:spPr>
          <c:marker>
            <c:symbol val="none"/>
          </c:marker>
          <c:cat>
            <c:numRef>
              <c:f>'Fig 39 and 40'!$C$3:$O$3</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40'!$C$4:$O$4</c:f>
              <c:numCache>
                <c:formatCode>0.0%</c:formatCode>
                <c:ptCount val="13"/>
                <c:pt idx="0">
                  <c:v>0.93400000000000005</c:v>
                </c:pt>
                <c:pt idx="1">
                  <c:v>0.94699999999999995</c:v>
                </c:pt>
                <c:pt idx="2">
                  <c:v>0.96299999999999997</c:v>
                </c:pt>
                <c:pt idx="3">
                  <c:v>0.96399999999999997</c:v>
                </c:pt>
                <c:pt idx="4">
                  <c:v>0.94899999999999995</c:v>
                </c:pt>
                <c:pt idx="5">
                  <c:v>0.95099999999999996</c:v>
                </c:pt>
                <c:pt idx="6">
                  <c:v>0.96299999999999997</c:v>
                </c:pt>
                <c:pt idx="7">
                  <c:v>0.96299999999999997</c:v>
                </c:pt>
                <c:pt idx="8">
                  <c:v>0.95599999999999996</c:v>
                </c:pt>
                <c:pt idx="9">
                  <c:v>0.96199999999999997</c:v>
                </c:pt>
                <c:pt idx="10">
                  <c:v>0.95799999999999996</c:v>
                </c:pt>
                <c:pt idx="11">
                  <c:v>0.965034965034965</c:v>
                </c:pt>
                <c:pt idx="12">
                  <c:v>0.94499999999999995</c:v>
                </c:pt>
              </c:numCache>
            </c:numRef>
          </c:val>
          <c:smooth val="0"/>
        </c:ser>
        <c:ser>
          <c:idx val="1"/>
          <c:order val="1"/>
          <c:tx>
            <c:strRef>
              <c:f>'Fig 39 and 40'!$B$5</c:f>
              <c:strCache>
                <c:ptCount val="1"/>
                <c:pt idx="0">
                  <c:v>Total New Zealand </c:v>
                </c:pt>
              </c:strCache>
            </c:strRef>
          </c:tx>
          <c:spPr>
            <a:ln w="34925" cap="rnd">
              <a:solidFill>
                <a:schemeClr val="tx1"/>
              </a:solidFill>
              <a:prstDash val="solid"/>
              <a:round/>
            </a:ln>
            <a:effectLst/>
          </c:spPr>
          <c:marker>
            <c:symbol val="none"/>
          </c:marker>
          <c:cat>
            <c:numRef>
              <c:f>'Fig 39 and 40'!$C$3:$O$3</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40'!$C$5:$O$5</c:f>
              <c:numCache>
                <c:formatCode>0.0%</c:formatCode>
                <c:ptCount val="13"/>
                <c:pt idx="0">
                  <c:v>0.91400000000000003</c:v>
                </c:pt>
                <c:pt idx="1">
                  <c:v>0.91600000000000004</c:v>
                </c:pt>
                <c:pt idx="2">
                  <c:v>0.92400000000000004</c:v>
                </c:pt>
                <c:pt idx="3">
                  <c:v>0.93500000000000005</c:v>
                </c:pt>
                <c:pt idx="4">
                  <c:v>0.92900000000000005</c:v>
                </c:pt>
                <c:pt idx="5">
                  <c:v>0.92900000000000005</c:v>
                </c:pt>
                <c:pt idx="6">
                  <c:v>0.93400000000000005</c:v>
                </c:pt>
                <c:pt idx="7">
                  <c:v>0.93700000000000006</c:v>
                </c:pt>
                <c:pt idx="8">
                  <c:v>0.93500000000000005</c:v>
                </c:pt>
                <c:pt idx="9">
                  <c:v>0.92800000000000005</c:v>
                </c:pt>
                <c:pt idx="10">
                  <c:v>0.93200000000000005</c:v>
                </c:pt>
                <c:pt idx="11">
                  <c:v>0.93300000000000005</c:v>
                </c:pt>
                <c:pt idx="12">
                  <c:v>0.92299999999999993</c:v>
                </c:pt>
              </c:numCache>
            </c:numRef>
          </c:val>
          <c:smooth val="0"/>
        </c:ser>
        <c:ser>
          <c:idx val="2"/>
          <c:order val="2"/>
          <c:tx>
            <c:strRef>
              <c:f>'Fig 39 and 40'!$B$6</c:f>
              <c:strCache>
                <c:ptCount val="1"/>
                <c:pt idx="0">
                  <c:v>Target</c:v>
                </c:pt>
              </c:strCache>
            </c:strRef>
          </c:tx>
          <c:spPr>
            <a:ln w="34925" cap="rnd">
              <a:solidFill>
                <a:srgbClr val="FF0000"/>
              </a:solidFill>
              <a:round/>
            </a:ln>
            <a:effectLst/>
          </c:spPr>
          <c:marker>
            <c:symbol val="none"/>
          </c:marker>
          <c:cat>
            <c:numRef>
              <c:f>'Fig 39 and 40'!$C$3:$O$3</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40'!$C$6:$O$6</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formatCode="0.0%">
                  <c:v>0.95</c:v>
                </c:pt>
                <c:pt idx="12" formatCode="0.0%">
                  <c:v>0.95</c:v>
                </c:pt>
              </c:numCache>
            </c:numRef>
          </c:val>
          <c:smooth val="0"/>
        </c:ser>
        <c:dLbls>
          <c:showLegendKey val="0"/>
          <c:showVal val="0"/>
          <c:showCatName val="0"/>
          <c:showSerName val="0"/>
          <c:showPercent val="0"/>
          <c:showBubbleSize val="0"/>
        </c:dLbls>
        <c:smooth val="0"/>
        <c:axId val="402841856"/>
        <c:axId val="402843424"/>
      </c:lineChart>
      <c:catAx>
        <c:axId val="402841856"/>
        <c:scaling>
          <c:orientation val="minMax"/>
        </c:scaling>
        <c:delete val="0"/>
        <c:axPos val="b"/>
        <c:title>
          <c:tx>
            <c:rich>
              <a:bodyPr rot="0" vert="horz"/>
              <a:lstStyle/>
              <a:p>
                <a:pPr>
                  <a:defRPr/>
                </a:pPr>
                <a:r>
                  <a:rPr lang="en-NZ"/>
                  <a:t>Quarter</a:t>
                </a:r>
              </a:p>
            </c:rich>
          </c:tx>
          <c:layout>
            <c:manualLayout>
              <c:xMode val="edge"/>
              <c:yMode val="edge"/>
              <c:x val="0.48604636529332657"/>
              <c:y val="0.93568645289594232"/>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402843424"/>
        <c:crosses val="autoZero"/>
        <c:auto val="0"/>
        <c:lblAlgn val="ctr"/>
        <c:lblOffset val="100"/>
        <c:noMultiLvlLbl val="1"/>
      </c:catAx>
      <c:valAx>
        <c:axId val="402843424"/>
        <c:scaling>
          <c:orientation val="minMax"/>
          <c:max val="1"/>
          <c:min val="0.8"/>
        </c:scaling>
        <c:delete val="0"/>
        <c:axPos val="l"/>
        <c:title>
          <c:tx>
            <c:rich>
              <a:bodyPr rot="0"/>
              <a:lstStyle/>
              <a:p>
                <a:pPr>
                  <a:defRPr/>
                </a:pPr>
                <a:r>
                  <a:rPr lang="en-NZ"/>
                  <a:t>Percentage</a:t>
                </a:r>
              </a:p>
            </c:rich>
          </c:tx>
          <c:layout>
            <c:manualLayout>
              <c:xMode val="edge"/>
              <c:yMode val="edge"/>
              <c:x val="5.8501162869819623E-4"/>
              <c:y val="6.0051771879030581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402841856"/>
        <c:crosses val="autoZero"/>
        <c:crossBetween val="between"/>
      </c:valAx>
      <c:spPr>
        <a:noFill/>
        <a:ln>
          <a:noFill/>
        </a:ln>
        <a:effectLst/>
      </c:spPr>
    </c:plotArea>
    <c:legend>
      <c:legendPos val="r"/>
      <c:layout>
        <c:manualLayout>
          <c:xMode val="edge"/>
          <c:yMode val="edge"/>
          <c:x val="0.67618566591686924"/>
          <c:y val="0.38890203941898566"/>
          <c:w val="0.32012273354087545"/>
          <c:h val="0.1790675217676491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05866771266138E-2"/>
          <c:y val="8.3286486198284174E-2"/>
          <c:w val="0.88643940399003662"/>
          <c:h val="0.54696762904636909"/>
        </c:manualLayout>
      </c:layout>
      <c:lineChart>
        <c:grouping val="standard"/>
        <c:varyColors val="0"/>
        <c:ser>
          <c:idx val="0"/>
          <c:order val="0"/>
          <c:tx>
            <c:strRef>
              <c:f>'Fig 39 and 40'!$B$36</c:f>
              <c:strCache>
                <c:ptCount val="1"/>
                <c:pt idx="0">
                  <c:v>Auckland</c:v>
                </c:pt>
              </c:strCache>
            </c:strRef>
          </c:tx>
          <c:spPr>
            <a:ln w="34925" cap="rnd">
              <a:solidFill>
                <a:schemeClr val="tx1"/>
              </a:solidFill>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40'!$C$36:$O$36</c:f>
              <c:numCache>
                <c:formatCode>0.0%</c:formatCode>
                <c:ptCount val="13"/>
                <c:pt idx="0">
                  <c:v>0.91900000000000004</c:v>
                </c:pt>
                <c:pt idx="1">
                  <c:v>0.95499999999999996</c:v>
                </c:pt>
                <c:pt idx="2">
                  <c:v>0.97899999999999998</c:v>
                </c:pt>
                <c:pt idx="3">
                  <c:v>0.94899999999999995</c:v>
                </c:pt>
                <c:pt idx="4">
                  <c:v>0.90900000000000003</c:v>
                </c:pt>
                <c:pt idx="5">
                  <c:v>0.93500000000000005</c:v>
                </c:pt>
                <c:pt idx="6">
                  <c:v>0.97</c:v>
                </c:pt>
                <c:pt idx="7">
                  <c:v>0.92900000000000005</c:v>
                </c:pt>
                <c:pt idx="8">
                  <c:v>0.95699999999999996</c:v>
                </c:pt>
                <c:pt idx="9">
                  <c:v>0.96680497925311204</c:v>
                </c:pt>
                <c:pt idx="10">
                  <c:v>0.95089285714285698</c:v>
                </c:pt>
                <c:pt idx="11">
                  <c:v>0.94495412844036697</c:v>
                </c:pt>
                <c:pt idx="12">
                  <c:v>0.93400000000000005</c:v>
                </c:pt>
              </c:numCache>
            </c:numRef>
          </c:val>
          <c:smooth val="0"/>
        </c:ser>
        <c:ser>
          <c:idx val="1"/>
          <c:order val="1"/>
          <c:tx>
            <c:strRef>
              <c:f>'Fig 39 and 40'!$B$39</c:f>
              <c:strCache>
                <c:ptCount val="1"/>
                <c:pt idx="0">
                  <c:v>Counties Manukau</c:v>
                </c:pt>
              </c:strCache>
            </c:strRef>
          </c:tx>
          <c:spPr>
            <a:ln w="34925" cap="rnd">
              <a:solidFill>
                <a:schemeClr val="bg1">
                  <a:lumMod val="65000"/>
                </a:schemeClr>
              </a:solidFill>
              <a:prstDash val="solid"/>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40'!$C$39:$O$39</c:f>
              <c:numCache>
                <c:formatCode>0.0%</c:formatCode>
                <c:ptCount val="13"/>
                <c:pt idx="0">
                  <c:v>0.94099999999999995</c:v>
                </c:pt>
                <c:pt idx="1">
                  <c:v>0.94799999999999995</c:v>
                </c:pt>
                <c:pt idx="2">
                  <c:v>0.97</c:v>
                </c:pt>
                <c:pt idx="3">
                  <c:v>0.96599999999999997</c:v>
                </c:pt>
                <c:pt idx="4">
                  <c:v>0.94699999999999995</c:v>
                </c:pt>
                <c:pt idx="5">
                  <c:v>0.97299999999999998</c:v>
                </c:pt>
                <c:pt idx="6">
                  <c:v>0.97099999999999997</c:v>
                </c:pt>
                <c:pt idx="7">
                  <c:v>0.97299999999999998</c:v>
                </c:pt>
                <c:pt idx="8">
                  <c:v>0.96099999999999997</c:v>
                </c:pt>
                <c:pt idx="9">
                  <c:v>0.968277945619335</c:v>
                </c:pt>
                <c:pt idx="10">
                  <c:v>0.96084828711256098</c:v>
                </c:pt>
                <c:pt idx="11">
                  <c:v>0.97260273972602695</c:v>
                </c:pt>
                <c:pt idx="12">
                  <c:v>0.95199999999999996</c:v>
                </c:pt>
              </c:numCache>
            </c:numRef>
          </c:val>
          <c:smooth val="0"/>
        </c:ser>
        <c:ser>
          <c:idx val="2"/>
          <c:order val="2"/>
          <c:tx>
            <c:strRef>
              <c:f>'Fig 39 and 40'!$B$43</c:f>
              <c:strCache>
                <c:ptCount val="1"/>
                <c:pt idx="0">
                  <c:v>Waitemata</c:v>
                </c:pt>
              </c:strCache>
            </c:strRef>
          </c:tx>
          <c:spPr>
            <a:ln w="34925" cap="rnd">
              <a:solidFill>
                <a:schemeClr val="bg1">
                  <a:lumMod val="85000"/>
                </a:schemeClr>
              </a:solidFill>
              <a:prstDash val="solid"/>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40'!$C$43:$O$43</c:f>
              <c:numCache>
                <c:formatCode>0.0%</c:formatCode>
                <c:ptCount val="13"/>
                <c:pt idx="0">
                  <c:v>0.95099999999999996</c:v>
                </c:pt>
                <c:pt idx="1">
                  <c:v>0.94199999999999995</c:v>
                </c:pt>
                <c:pt idx="2">
                  <c:v>0.95799999999999996</c:v>
                </c:pt>
                <c:pt idx="3">
                  <c:v>0.98</c:v>
                </c:pt>
                <c:pt idx="4">
                  <c:v>0.95</c:v>
                </c:pt>
                <c:pt idx="5">
                  <c:v>0.94199999999999995</c:v>
                </c:pt>
                <c:pt idx="6">
                  <c:v>0.96299999999999997</c:v>
                </c:pt>
                <c:pt idx="7">
                  <c:v>0.96799999999999997</c:v>
                </c:pt>
                <c:pt idx="8">
                  <c:v>0.94899999999999995</c:v>
                </c:pt>
                <c:pt idx="9">
                  <c:v>0.953917050691244</c:v>
                </c:pt>
                <c:pt idx="10">
                  <c:v>0.95789473684210502</c:v>
                </c:pt>
                <c:pt idx="11">
                  <c:v>0.95744680851063801</c:v>
                </c:pt>
                <c:pt idx="12">
                  <c:v>0.93700000000000006</c:v>
                </c:pt>
              </c:numCache>
            </c:numRef>
          </c:val>
          <c:smooth val="0"/>
        </c:ser>
        <c:ser>
          <c:idx val="3"/>
          <c:order val="3"/>
          <c:tx>
            <c:strRef>
              <c:f>'Fig 39 and 40'!$B$44</c:f>
              <c:strCache>
                <c:ptCount val="1"/>
                <c:pt idx="0">
                  <c:v>Target</c:v>
                </c:pt>
              </c:strCache>
            </c:strRef>
          </c:tx>
          <c:spPr>
            <a:ln w="34925" cap="rnd">
              <a:solidFill>
                <a:srgbClr val="FF0000"/>
              </a:solidFill>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40'!$C$44:$O$44</c:f>
              <c:numCache>
                <c:formatCode>0.0%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ser>
        <c:dLbls>
          <c:showLegendKey val="0"/>
          <c:showVal val="0"/>
          <c:showCatName val="0"/>
          <c:showSerName val="0"/>
          <c:showPercent val="0"/>
          <c:showBubbleSize val="0"/>
        </c:dLbls>
        <c:smooth val="0"/>
        <c:axId val="560464920"/>
        <c:axId val="560466488"/>
      </c:lineChart>
      <c:catAx>
        <c:axId val="560464920"/>
        <c:scaling>
          <c:orientation val="minMax"/>
        </c:scaling>
        <c:delete val="0"/>
        <c:axPos val="b"/>
        <c:title>
          <c:tx>
            <c:rich>
              <a:bodyPr rot="0" vert="horz"/>
              <a:lstStyle/>
              <a:p>
                <a:pPr>
                  <a:defRPr/>
                </a:pPr>
                <a:r>
                  <a:rPr lang="en-NZ"/>
                  <a:t>Quarter</a:t>
                </a:r>
              </a:p>
            </c:rich>
          </c:tx>
          <c:layout>
            <c:manualLayout>
              <c:xMode val="edge"/>
              <c:yMode val="edge"/>
              <c:x val="0.47816814258577273"/>
              <c:y val="0.93971920176644586"/>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560466488"/>
        <c:crosses val="autoZero"/>
        <c:auto val="0"/>
        <c:lblAlgn val="ctr"/>
        <c:lblOffset val="100"/>
        <c:noMultiLvlLbl val="1"/>
      </c:catAx>
      <c:valAx>
        <c:axId val="560466488"/>
        <c:scaling>
          <c:orientation val="minMax"/>
          <c:max val="1"/>
          <c:min val="0.8"/>
        </c:scaling>
        <c:delete val="0"/>
        <c:axPos val="l"/>
        <c:title>
          <c:tx>
            <c:rich>
              <a:bodyPr rot="0"/>
              <a:lstStyle/>
              <a:p>
                <a:pPr>
                  <a:defRPr/>
                </a:pPr>
                <a:r>
                  <a:rPr lang="en-NZ"/>
                  <a:t>Percentage</a:t>
                </a:r>
              </a:p>
            </c:rich>
          </c:tx>
          <c:layout>
            <c:manualLayout>
              <c:xMode val="edge"/>
              <c:yMode val="edge"/>
              <c:x val="5.6703662895380422E-4"/>
              <c:y val="2.5368049296213787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560464920"/>
        <c:crosses val="autoZero"/>
        <c:crossBetween val="between"/>
      </c:valAx>
      <c:spPr>
        <a:noFill/>
        <a:ln>
          <a:noFill/>
        </a:ln>
        <a:effectLst/>
      </c:spPr>
    </c:plotArea>
    <c:legend>
      <c:legendPos val="r"/>
      <c:layout>
        <c:manualLayout>
          <c:xMode val="edge"/>
          <c:yMode val="edge"/>
          <c:x val="0.69149053254665049"/>
          <c:y val="0.40264787671677948"/>
          <c:w val="0.29375105846840849"/>
          <c:h val="0.2184940215806357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05866771266138E-2"/>
          <c:y val="6.1118245412456487E-2"/>
          <c:w val="0.88588974694446565"/>
          <c:h val="0.56177359004450667"/>
        </c:manualLayout>
      </c:layout>
      <c:lineChart>
        <c:grouping val="standard"/>
        <c:varyColors val="0"/>
        <c:ser>
          <c:idx val="0"/>
          <c:order val="0"/>
          <c:tx>
            <c:strRef>
              <c:f>'Fig 39 and 40'!$B$37</c:f>
              <c:strCache>
                <c:ptCount val="1"/>
                <c:pt idx="0">
                  <c:v>Canterbury</c:v>
                </c:pt>
              </c:strCache>
            </c:strRef>
          </c:tx>
          <c:spPr>
            <a:ln w="34925" cap="rnd">
              <a:solidFill>
                <a:schemeClr val="tx1"/>
              </a:solidFill>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40'!$C$37:$O$37</c:f>
              <c:numCache>
                <c:formatCode>0.0%</c:formatCode>
                <c:ptCount val="13"/>
                <c:pt idx="0">
                  <c:v>0.95499999999999996</c:v>
                </c:pt>
                <c:pt idx="1">
                  <c:v>0.88300000000000001</c:v>
                </c:pt>
                <c:pt idx="2">
                  <c:v>0.96099999999999997</c:v>
                </c:pt>
                <c:pt idx="3">
                  <c:v>0.96699999999999997</c:v>
                </c:pt>
                <c:pt idx="4">
                  <c:v>1</c:v>
                </c:pt>
                <c:pt idx="5">
                  <c:v>0.91800000000000004</c:v>
                </c:pt>
                <c:pt idx="6">
                  <c:v>0.98799999999999999</c:v>
                </c:pt>
                <c:pt idx="7">
                  <c:v>0.96399999999999997</c:v>
                </c:pt>
                <c:pt idx="8">
                  <c:v>1</c:v>
                </c:pt>
                <c:pt idx="9">
                  <c:v>0.97872340425531901</c:v>
                </c:pt>
                <c:pt idx="10">
                  <c:v>0.97590361445783103</c:v>
                </c:pt>
                <c:pt idx="11">
                  <c:v>0.96341463414634099</c:v>
                </c:pt>
                <c:pt idx="12">
                  <c:v>0.95599999999999996</c:v>
                </c:pt>
              </c:numCache>
            </c:numRef>
          </c:val>
          <c:smooth val="0"/>
        </c:ser>
        <c:ser>
          <c:idx val="1"/>
          <c:order val="1"/>
          <c:tx>
            <c:strRef>
              <c:f>'Fig 39 and 40'!$B$38</c:f>
              <c:strCache>
                <c:ptCount val="1"/>
                <c:pt idx="0">
                  <c:v>Capital &amp; Coast</c:v>
                </c:pt>
              </c:strCache>
            </c:strRef>
          </c:tx>
          <c:spPr>
            <a:ln w="34925" cap="rnd">
              <a:solidFill>
                <a:schemeClr val="bg1">
                  <a:lumMod val="65000"/>
                </a:schemeClr>
              </a:solidFill>
              <a:prstDash val="solid"/>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40'!$C$38:$O$38</c:f>
              <c:numCache>
                <c:formatCode>0.0%</c:formatCode>
                <c:ptCount val="13"/>
                <c:pt idx="0">
                  <c:v>0.92</c:v>
                </c:pt>
                <c:pt idx="1">
                  <c:v>0.92500000000000004</c:v>
                </c:pt>
                <c:pt idx="2">
                  <c:v>0.95399999999999996</c:v>
                </c:pt>
                <c:pt idx="3">
                  <c:v>0.94099999999999995</c:v>
                </c:pt>
                <c:pt idx="4">
                  <c:v>0.98799999999999999</c:v>
                </c:pt>
                <c:pt idx="5">
                  <c:v>0.91500000000000004</c:v>
                </c:pt>
                <c:pt idx="6">
                  <c:v>0.871</c:v>
                </c:pt>
                <c:pt idx="7">
                  <c:v>0.95399999999999996</c:v>
                </c:pt>
                <c:pt idx="8">
                  <c:v>0.93400000000000005</c:v>
                </c:pt>
                <c:pt idx="9">
                  <c:v>0.92631578947368398</c:v>
                </c:pt>
                <c:pt idx="10">
                  <c:v>0.934782608695652</c:v>
                </c:pt>
                <c:pt idx="11">
                  <c:v>0.96428571428571397</c:v>
                </c:pt>
                <c:pt idx="12">
                  <c:v>0.94499999999999995</c:v>
                </c:pt>
              </c:numCache>
            </c:numRef>
          </c:val>
          <c:smooth val="0"/>
        </c:ser>
        <c:ser>
          <c:idx val="2"/>
          <c:order val="2"/>
          <c:tx>
            <c:strRef>
              <c:f>'Fig 39 and 40'!$B$40</c:f>
              <c:strCache>
                <c:ptCount val="1"/>
                <c:pt idx="0">
                  <c:v>Hawke's Bay</c:v>
                </c:pt>
              </c:strCache>
            </c:strRef>
          </c:tx>
          <c:spPr>
            <a:ln w="34925" cap="rnd">
              <a:solidFill>
                <a:schemeClr val="bg1">
                  <a:lumMod val="85000"/>
                </a:schemeClr>
              </a:solidFill>
              <a:prstDash val="solid"/>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40'!$C$40:$O$40</c:f>
              <c:numCache>
                <c:formatCode>0.0%</c:formatCode>
                <c:ptCount val="13"/>
                <c:pt idx="0">
                  <c:v>0.92</c:v>
                </c:pt>
                <c:pt idx="1">
                  <c:v>1</c:v>
                </c:pt>
                <c:pt idx="2">
                  <c:v>1</c:v>
                </c:pt>
                <c:pt idx="3">
                  <c:v>1</c:v>
                </c:pt>
                <c:pt idx="4">
                  <c:v>1</c:v>
                </c:pt>
                <c:pt idx="5">
                  <c:v>0.96699999999999997</c:v>
                </c:pt>
                <c:pt idx="6">
                  <c:v>1</c:v>
                </c:pt>
                <c:pt idx="7">
                  <c:v>1</c:v>
                </c:pt>
                <c:pt idx="8">
                  <c:v>0.97599999999999998</c:v>
                </c:pt>
                <c:pt idx="9">
                  <c:v>1</c:v>
                </c:pt>
                <c:pt idx="10">
                  <c:v>0.96428571428571397</c:v>
                </c:pt>
                <c:pt idx="11">
                  <c:v>1</c:v>
                </c:pt>
                <c:pt idx="12">
                  <c:v>0.94599999999999995</c:v>
                </c:pt>
              </c:numCache>
            </c:numRef>
          </c:val>
          <c:smooth val="0"/>
        </c:ser>
        <c:ser>
          <c:idx val="3"/>
          <c:order val="3"/>
          <c:tx>
            <c:strRef>
              <c:f>'Fig 39 and 40'!$B$41</c:f>
              <c:strCache>
                <c:ptCount val="1"/>
                <c:pt idx="0">
                  <c:v>Hutt Valley</c:v>
                </c:pt>
              </c:strCache>
            </c:strRef>
          </c:tx>
          <c:spPr>
            <a:ln w="34925" cap="rnd">
              <a:solidFill>
                <a:schemeClr val="bg1">
                  <a:lumMod val="85000"/>
                </a:schemeClr>
              </a:solidFill>
              <a:prstDash val="sysDot"/>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40'!$C$41:$O$41</c:f>
              <c:numCache>
                <c:formatCode>0.0%</c:formatCode>
                <c:ptCount val="13"/>
                <c:pt idx="0">
                  <c:v>0.92500000000000004</c:v>
                </c:pt>
                <c:pt idx="1">
                  <c:v>0.93899999999999995</c:v>
                </c:pt>
                <c:pt idx="2">
                  <c:v>0.95799999999999996</c:v>
                </c:pt>
                <c:pt idx="3">
                  <c:v>0.95799999999999996</c:v>
                </c:pt>
                <c:pt idx="4">
                  <c:v>0.96899999999999997</c:v>
                </c:pt>
                <c:pt idx="5">
                  <c:v>0.94</c:v>
                </c:pt>
                <c:pt idx="6">
                  <c:v>0.97399999999999998</c:v>
                </c:pt>
                <c:pt idx="7">
                  <c:v>0.94499999999999995</c:v>
                </c:pt>
                <c:pt idx="8">
                  <c:v>0.91800000000000004</c:v>
                </c:pt>
                <c:pt idx="9">
                  <c:v>1</c:v>
                </c:pt>
                <c:pt idx="10">
                  <c:v>0.98305084745762705</c:v>
                </c:pt>
                <c:pt idx="11">
                  <c:v>1</c:v>
                </c:pt>
                <c:pt idx="12">
                  <c:v>0.93899999999999995</c:v>
                </c:pt>
              </c:numCache>
            </c:numRef>
          </c:val>
          <c:smooth val="0"/>
        </c:ser>
        <c:ser>
          <c:idx val="4"/>
          <c:order val="4"/>
          <c:tx>
            <c:strRef>
              <c:f>'Fig 39 and 40'!$B$42</c:f>
              <c:strCache>
                <c:ptCount val="1"/>
                <c:pt idx="0">
                  <c:v>Waikato</c:v>
                </c:pt>
              </c:strCache>
            </c:strRef>
          </c:tx>
          <c:spPr>
            <a:ln w="34925" cap="rnd">
              <a:solidFill>
                <a:schemeClr val="bg1">
                  <a:lumMod val="65000"/>
                </a:schemeClr>
              </a:solidFill>
              <a:prstDash val="sysDot"/>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40'!$C$42:$O$42</c:f>
              <c:numCache>
                <c:formatCode>0.0%</c:formatCode>
                <c:ptCount val="13"/>
                <c:pt idx="0">
                  <c:v>0.94099999999999995</c:v>
                </c:pt>
                <c:pt idx="1">
                  <c:v>0.96</c:v>
                </c:pt>
                <c:pt idx="2">
                  <c:v>0.94899999999999995</c:v>
                </c:pt>
                <c:pt idx="3">
                  <c:v>0.96199999999999997</c:v>
                </c:pt>
                <c:pt idx="4">
                  <c:v>0.96599999999999997</c:v>
                </c:pt>
                <c:pt idx="5">
                  <c:v>0.95299999999999996</c:v>
                </c:pt>
                <c:pt idx="6">
                  <c:v>0.92200000000000004</c:v>
                </c:pt>
                <c:pt idx="7">
                  <c:v>0.97799999999999998</c:v>
                </c:pt>
                <c:pt idx="8">
                  <c:v>0.91700000000000004</c:v>
                </c:pt>
                <c:pt idx="9">
                  <c:v>0.92307692307692302</c:v>
                </c:pt>
                <c:pt idx="10">
                  <c:v>0.95744680851063801</c:v>
                </c:pt>
                <c:pt idx="11">
                  <c:v>0.98360655737704905</c:v>
                </c:pt>
                <c:pt idx="12">
                  <c:v>0.95499999999999996</c:v>
                </c:pt>
              </c:numCache>
            </c:numRef>
          </c:val>
          <c:smooth val="0"/>
        </c:ser>
        <c:ser>
          <c:idx val="5"/>
          <c:order val="5"/>
          <c:tx>
            <c:strRef>
              <c:f>'Fig 39 and 40'!$B$44</c:f>
              <c:strCache>
                <c:ptCount val="1"/>
                <c:pt idx="0">
                  <c:v>Target</c:v>
                </c:pt>
              </c:strCache>
            </c:strRef>
          </c:tx>
          <c:spPr>
            <a:ln w="34925" cap="rnd">
              <a:solidFill>
                <a:srgbClr val="FF0000"/>
              </a:solidFill>
              <a:round/>
            </a:ln>
            <a:effectLst/>
          </c:spPr>
          <c:marker>
            <c:symbol val="none"/>
          </c:marker>
          <c:cat>
            <c:numRef>
              <c:f>'Fig 39 and 40'!$C$35:$O$35</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39 and 40'!$C$44:$O$44</c:f>
              <c:numCache>
                <c:formatCode>0.0%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ser>
        <c:dLbls>
          <c:showLegendKey val="0"/>
          <c:showVal val="0"/>
          <c:showCatName val="0"/>
          <c:showSerName val="0"/>
          <c:showPercent val="0"/>
          <c:showBubbleSize val="0"/>
        </c:dLbls>
        <c:smooth val="0"/>
        <c:axId val="560464528"/>
        <c:axId val="560462960"/>
      </c:lineChart>
      <c:catAx>
        <c:axId val="560464528"/>
        <c:scaling>
          <c:orientation val="minMax"/>
        </c:scaling>
        <c:delete val="0"/>
        <c:axPos val="b"/>
        <c:title>
          <c:tx>
            <c:rich>
              <a:bodyPr rot="0" vert="horz"/>
              <a:lstStyle/>
              <a:p>
                <a:pPr>
                  <a:defRPr/>
                </a:pPr>
                <a:r>
                  <a:rPr lang="en-NZ"/>
                  <a:t>Quarter</a:t>
                </a:r>
              </a:p>
            </c:rich>
          </c:tx>
          <c:layout>
            <c:manualLayout>
              <c:xMode val="edge"/>
              <c:yMode val="edge"/>
              <c:x val="0.47711191375780709"/>
              <c:y val="0.93901186171471052"/>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560462960"/>
        <c:crosses val="autoZero"/>
        <c:auto val="0"/>
        <c:lblAlgn val="ctr"/>
        <c:lblOffset val="100"/>
        <c:noMultiLvlLbl val="1"/>
      </c:catAx>
      <c:valAx>
        <c:axId val="560462960"/>
        <c:scaling>
          <c:orientation val="minMax"/>
          <c:max val="1.01"/>
          <c:min val="0.8"/>
        </c:scaling>
        <c:delete val="0"/>
        <c:axPos val="l"/>
        <c:title>
          <c:tx>
            <c:rich>
              <a:bodyPr rot="0"/>
              <a:lstStyle/>
              <a:p>
                <a:pPr>
                  <a:defRPr/>
                </a:pPr>
                <a:r>
                  <a:rPr lang="en-NZ"/>
                  <a:t>Percentage</a:t>
                </a:r>
              </a:p>
            </c:rich>
          </c:tx>
          <c:layout>
            <c:manualLayout>
              <c:xMode val="edge"/>
              <c:yMode val="edge"/>
              <c:x val="5.6703662895380422E-4"/>
              <c:y val="2.5368049296213787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560464528"/>
        <c:crosses val="autoZero"/>
        <c:crossBetween val="between"/>
      </c:valAx>
      <c:spPr>
        <a:noFill/>
        <a:ln>
          <a:noFill/>
        </a:ln>
        <a:effectLst/>
      </c:spPr>
    </c:plotArea>
    <c:legend>
      <c:legendPos val="r"/>
      <c:layout>
        <c:manualLayout>
          <c:xMode val="edge"/>
          <c:yMode val="edge"/>
          <c:x val="0.6592252160555313"/>
          <c:y val="0.32036531377783789"/>
          <c:w val="0.32596228193946297"/>
          <c:h val="0.3014576605320594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679024496937881E-2"/>
          <c:y val="0.1"/>
          <c:w val="0.89714438268745822"/>
          <c:h val="0.69579586258313619"/>
        </c:manualLayout>
      </c:layout>
      <c:lineChart>
        <c:grouping val="standard"/>
        <c:varyColors val="0"/>
        <c:ser>
          <c:idx val="0"/>
          <c:order val="0"/>
          <c:tx>
            <c:strRef>
              <c:f>'Fig 6 and 7'!$A$40</c:f>
              <c:strCache>
                <c:ptCount val="1"/>
                <c:pt idx="0">
                  <c:v>Canterbury</c:v>
                </c:pt>
              </c:strCache>
            </c:strRef>
          </c:tx>
          <c:spPr>
            <a:ln w="34925" cap="rnd">
              <a:solidFill>
                <a:sysClr val="windowText" lastClr="000000"/>
              </a:solidFill>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7'!$B$40:$H$40</c:f>
              <c:numCache>
                <c:formatCode>0.00%</c:formatCode>
                <c:ptCount val="7"/>
                <c:pt idx="0">
                  <c:v>0.6</c:v>
                </c:pt>
                <c:pt idx="1">
                  <c:v>0.754</c:v>
                </c:pt>
                <c:pt idx="2">
                  <c:v>0.6</c:v>
                </c:pt>
                <c:pt idx="3">
                  <c:v>0.75</c:v>
                </c:pt>
                <c:pt idx="4">
                  <c:v>0.621</c:v>
                </c:pt>
                <c:pt idx="5">
                  <c:v>0.95890410958904104</c:v>
                </c:pt>
                <c:pt idx="6">
                  <c:v>0.77631578947368418</c:v>
                </c:pt>
              </c:numCache>
            </c:numRef>
          </c:val>
          <c:smooth val="0"/>
        </c:ser>
        <c:ser>
          <c:idx val="1"/>
          <c:order val="1"/>
          <c:tx>
            <c:strRef>
              <c:f>'Fig 6 and 7'!$A$41</c:f>
              <c:strCache>
                <c:ptCount val="1"/>
                <c:pt idx="0">
                  <c:v>Capital &amp; Coast</c:v>
                </c:pt>
              </c:strCache>
            </c:strRef>
          </c:tx>
          <c:spPr>
            <a:ln w="34925" cap="rnd">
              <a:solidFill>
                <a:sysClr val="window" lastClr="FFFFFF">
                  <a:lumMod val="65000"/>
                </a:sysClr>
              </a:solidFill>
              <a:prstDash val="solid"/>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7'!$B$41:$H$41</c:f>
              <c:numCache>
                <c:formatCode>0.00%</c:formatCode>
                <c:ptCount val="7"/>
                <c:pt idx="0">
                  <c:v>0.7</c:v>
                </c:pt>
                <c:pt idx="1">
                  <c:v>0.69799999999999995</c:v>
                </c:pt>
                <c:pt idx="2">
                  <c:v>0.72</c:v>
                </c:pt>
                <c:pt idx="3">
                  <c:v>0.80300000000000005</c:v>
                </c:pt>
                <c:pt idx="4">
                  <c:v>0.72599999999999998</c:v>
                </c:pt>
                <c:pt idx="5">
                  <c:v>0.73333333333333328</c:v>
                </c:pt>
                <c:pt idx="6">
                  <c:v>0.68674698795180722</c:v>
                </c:pt>
              </c:numCache>
            </c:numRef>
          </c:val>
          <c:smooth val="0"/>
        </c:ser>
        <c:ser>
          <c:idx val="2"/>
          <c:order val="2"/>
          <c:tx>
            <c:strRef>
              <c:f>'Fig 6 and 7'!$A$43</c:f>
              <c:strCache>
                <c:ptCount val="1"/>
                <c:pt idx="0">
                  <c:v>Hawke's Bay</c:v>
                </c:pt>
              </c:strCache>
            </c:strRef>
          </c:tx>
          <c:spPr>
            <a:ln w="34925" cap="rnd">
              <a:solidFill>
                <a:sysClr val="window" lastClr="FFFFFF">
                  <a:lumMod val="85000"/>
                </a:sysClr>
              </a:solidFill>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7'!$B$43:$H$43</c:f>
              <c:numCache>
                <c:formatCode>0.00%</c:formatCode>
                <c:ptCount val="7"/>
                <c:pt idx="0">
                  <c:v>0.47</c:v>
                </c:pt>
                <c:pt idx="1">
                  <c:v>0.58299999999999996</c:v>
                </c:pt>
                <c:pt idx="2">
                  <c:v>0.82</c:v>
                </c:pt>
                <c:pt idx="4">
                  <c:v>0.85</c:v>
                </c:pt>
                <c:pt idx="5">
                  <c:v>0.73684210526315785</c:v>
                </c:pt>
                <c:pt idx="6">
                  <c:v>0.91304347826086951</c:v>
                </c:pt>
              </c:numCache>
            </c:numRef>
          </c:val>
          <c:smooth val="0"/>
        </c:ser>
        <c:ser>
          <c:idx val="3"/>
          <c:order val="3"/>
          <c:tx>
            <c:strRef>
              <c:f>'Fig 6 and 7'!$A$44</c:f>
              <c:strCache>
                <c:ptCount val="1"/>
                <c:pt idx="0">
                  <c:v>Hutt Valley</c:v>
                </c:pt>
              </c:strCache>
            </c:strRef>
          </c:tx>
          <c:spPr>
            <a:ln w="34925" cap="rnd">
              <a:solidFill>
                <a:sysClr val="window" lastClr="FFFFFF">
                  <a:lumMod val="65000"/>
                </a:sysClr>
              </a:solidFill>
              <a:prstDash val="sysDot"/>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7'!$B$44:$H$44</c:f>
              <c:numCache>
                <c:formatCode>0.00%</c:formatCode>
                <c:ptCount val="7"/>
                <c:pt idx="0">
                  <c:v>0.6</c:v>
                </c:pt>
                <c:pt idx="1">
                  <c:v>0.83299999999999996</c:v>
                </c:pt>
                <c:pt idx="2">
                  <c:v>0.85</c:v>
                </c:pt>
                <c:pt idx="3">
                  <c:v>0.94299999999999995</c:v>
                </c:pt>
                <c:pt idx="4">
                  <c:v>0.61699999999999999</c:v>
                </c:pt>
                <c:pt idx="5">
                  <c:v>0.93023255813953487</c:v>
                </c:pt>
                <c:pt idx="6">
                  <c:v>0.94117647058823528</c:v>
                </c:pt>
              </c:numCache>
            </c:numRef>
          </c:val>
          <c:smooth val="0"/>
        </c:ser>
        <c:ser>
          <c:idx val="4"/>
          <c:order val="4"/>
          <c:tx>
            <c:strRef>
              <c:f>'Fig 6 and 7'!$A$45</c:f>
              <c:strCache>
                <c:ptCount val="1"/>
                <c:pt idx="0">
                  <c:v>Waikato</c:v>
                </c:pt>
              </c:strCache>
            </c:strRef>
          </c:tx>
          <c:spPr>
            <a:ln w="34925" cap="rnd">
              <a:solidFill>
                <a:sysClr val="window" lastClr="FFFFFF">
                  <a:lumMod val="85000"/>
                </a:sysClr>
              </a:solidFill>
              <a:prstDash val="sysDot"/>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7'!$B$45:$H$45</c:f>
              <c:numCache>
                <c:formatCode>0.00%</c:formatCode>
                <c:ptCount val="7"/>
                <c:pt idx="0">
                  <c:v>0.45</c:v>
                </c:pt>
                <c:pt idx="1">
                  <c:v>0.64400000000000002</c:v>
                </c:pt>
                <c:pt idx="2">
                  <c:v>0.55000000000000004</c:v>
                </c:pt>
                <c:pt idx="3">
                  <c:v>0.52500000000000002</c:v>
                </c:pt>
                <c:pt idx="4">
                  <c:v>0.83699999999999997</c:v>
                </c:pt>
                <c:pt idx="5">
                  <c:v>0.81632653061224492</c:v>
                </c:pt>
                <c:pt idx="6">
                  <c:v>0.55769230769230771</c:v>
                </c:pt>
              </c:numCache>
            </c:numRef>
          </c:val>
          <c:smooth val="0"/>
        </c:ser>
        <c:ser>
          <c:idx val="5"/>
          <c:order val="5"/>
          <c:tx>
            <c:strRef>
              <c:f>'Fig 6 and 7'!$A$47</c:f>
              <c:strCache>
                <c:ptCount val="1"/>
                <c:pt idx="0">
                  <c:v>Target</c:v>
                </c:pt>
              </c:strCache>
            </c:strRef>
          </c:tx>
          <c:spPr>
            <a:ln w="34925" cap="rnd">
              <a:solidFill>
                <a:srgbClr val="FF0000"/>
              </a:solidFill>
              <a:round/>
            </a:ln>
            <a:effectLst/>
          </c:spPr>
          <c:marker>
            <c:symbol val="none"/>
          </c:marker>
          <c:cat>
            <c:numRef>
              <c:f>'Fig 6 and 7'!$B$38:$H$38</c:f>
              <c:numCache>
                <c:formatCode>mmm\-yy</c:formatCode>
                <c:ptCount val="7"/>
                <c:pt idx="0">
                  <c:v>41699</c:v>
                </c:pt>
                <c:pt idx="1">
                  <c:v>41883</c:v>
                </c:pt>
                <c:pt idx="2">
                  <c:v>42064</c:v>
                </c:pt>
                <c:pt idx="3">
                  <c:v>42248</c:v>
                </c:pt>
                <c:pt idx="4">
                  <c:v>42430</c:v>
                </c:pt>
                <c:pt idx="5">
                  <c:v>42614</c:v>
                </c:pt>
                <c:pt idx="6">
                  <c:v>42795</c:v>
                </c:pt>
              </c:numCache>
            </c:numRef>
          </c:cat>
          <c:val>
            <c:numRef>
              <c:f>'Fig 6 and 7'!$B$47:$H$47</c:f>
              <c:numCache>
                <c:formatCode>0.00%</c:formatCode>
                <c:ptCount val="7"/>
                <c:pt idx="0">
                  <c:v>0.88</c:v>
                </c:pt>
                <c:pt idx="1">
                  <c:v>0.88</c:v>
                </c:pt>
                <c:pt idx="2">
                  <c:v>0.98</c:v>
                </c:pt>
                <c:pt idx="3">
                  <c:v>0.98</c:v>
                </c:pt>
                <c:pt idx="4">
                  <c:v>0.98</c:v>
                </c:pt>
                <c:pt idx="5">
                  <c:v>0.98</c:v>
                </c:pt>
                <c:pt idx="6">
                  <c:v>0.98</c:v>
                </c:pt>
              </c:numCache>
            </c:numRef>
          </c:val>
          <c:smooth val="0"/>
        </c:ser>
        <c:dLbls>
          <c:showLegendKey val="0"/>
          <c:showVal val="0"/>
          <c:showCatName val="0"/>
          <c:showSerName val="0"/>
          <c:showPercent val="0"/>
          <c:showBubbleSize val="0"/>
        </c:dLbls>
        <c:smooth val="0"/>
        <c:axId val="763073440"/>
        <c:axId val="763074224"/>
      </c:lineChart>
      <c:dateAx>
        <c:axId val="76307344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Report date</a:t>
                </a:r>
              </a:p>
            </c:rich>
          </c:tx>
          <c:layout>
            <c:manualLayout>
              <c:xMode val="edge"/>
              <c:yMode val="edge"/>
              <c:x val="0.46557262450036885"/>
              <c:y val="0.91849753159539327"/>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4224"/>
        <c:crosses val="autoZero"/>
        <c:auto val="1"/>
        <c:lblOffset val="100"/>
        <c:baseTimeUnit val="months"/>
        <c:majorUnit val="6"/>
        <c:majorTimeUnit val="months"/>
        <c:minorUnit val="6"/>
        <c:minorTimeUnit val="months"/>
      </c:dateAx>
      <c:valAx>
        <c:axId val="763074224"/>
        <c:scaling>
          <c:orientation val="minMax"/>
          <c:max val="1"/>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2.9699106239171086E-4"/>
              <c:y val="3.4637500069624049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3440"/>
        <c:crosses val="autoZero"/>
        <c:crossBetween val="between"/>
      </c:valAx>
      <c:spPr>
        <a:noFill/>
        <a:ln>
          <a:noFill/>
        </a:ln>
        <a:effectLst/>
      </c:spPr>
    </c:plotArea>
    <c:legend>
      <c:legendPos val="r"/>
      <c:layout>
        <c:manualLayout>
          <c:xMode val="edge"/>
          <c:yMode val="edge"/>
          <c:x val="0.72486319112071773"/>
          <c:y val="0.43475595378448478"/>
          <c:w val="0.2724134973324413"/>
          <c:h val="0.3569396032560509"/>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679024496937881E-2"/>
          <c:y val="0.1"/>
          <c:w val="0.88632763170546691"/>
          <c:h val="0.69910700817570204"/>
        </c:manualLayout>
      </c:layout>
      <c:lineChart>
        <c:grouping val="standard"/>
        <c:varyColors val="0"/>
        <c:ser>
          <c:idx val="0"/>
          <c:order val="0"/>
          <c:tx>
            <c:strRef>
              <c:f>'Fig 8 and 9'!$A$7</c:f>
              <c:strCache>
                <c:ptCount val="1"/>
                <c:pt idx="0">
                  <c:v>Pacific peoples</c:v>
                </c:pt>
              </c:strCache>
            </c:strRef>
          </c:tx>
          <c:spPr>
            <a:ln w="34925" cap="rnd">
              <a:solidFill>
                <a:srgbClr val="A6A6A6"/>
              </a:solidFill>
              <a:round/>
            </a:ln>
            <a:effectLst/>
          </c:spPr>
          <c:marker>
            <c:symbol val="none"/>
          </c:marker>
          <c:dPt>
            <c:idx val="4"/>
            <c:bubble3D val="0"/>
          </c:dPt>
          <c:cat>
            <c:numRef>
              <c:f>'Fig 8 and 9'!$B$6:$H$6</c:f>
              <c:numCache>
                <c:formatCode>mmm\-yy</c:formatCode>
                <c:ptCount val="7"/>
                <c:pt idx="0">
                  <c:v>41426</c:v>
                </c:pt>
                <c:pt idx="1">
                  <c:v>41609</c:v>
                </c:pt>
                <c:pt idx="2">
                  <c:v>41791</c:v>
                </c:pt>
                <c:pt idx="3">
                  <c:v>41974</c:v>
                </c:pt>
                <c:pt idx="4">
                  <c:v>42156</c:v>
                </c:pt>
                <c:pt idx="5">
                  <c:v>42339</c:v>
                </c:pt>
                <c:pt idx="6">
                  <c:v>42522</c:v>
                </c:pt>
              </c:numCache>
            </c:numRef>
          </c:cat>
          <c:val>
            <c:numRef>
              <c:f>'Fig 8 and 9'!$B$7:$H$7</c:f>
              <c:numCache>
                <c:formatCode>0.00%</c:formatCode>
                <c:ptCount val="7"/>
                <c:pt idx="0">
                  <c:v>0.65</c:v>
                </c:pt>
                <c:pt idx="1">
                  <c:v>0.65</c:v>
                </c:pt>
                <c:pt idx="2">
                  <c:v>0.61</c:v>
                </c:pt>
                <c:pt idx="3">
                  <c:v>0.63</c:v>
                </c:pt>
                <c:pt idx="4">
                  <c:v>0.53</c:v>
                </c:pt>
                <c:pt idx="5">
                  <c:v>0.58599999999999997</c:v>
                </c:pt>
                <c:pt idx="6">
                  <c:v>0.67</c:v>
                </c:pt>
              </c:numCache>
            </c:numRef>
          </c:val>
          <c:smooth val="0"/>
        </c:ser>
        <c:ser>
          <c:idx val="1"/>
          <c:order val="1"/>
          <c:tx>
            <c:strRef>
              <c:f>'Fig 8 and 9'!$A$8</c:f>
              <c:strCache>
                <c:ptCount val="1"/>
                <c:pt idx="0">
                  <c:v>Total New Zealand</c:v>
                </c:pt>
              </c:strCache>
            </c:strRef>
          </c:tx>
          <c:spPr>
            <a:ln w="34925" cap="rnd">
              <a:solidFill>
                <a:sysClr val="windowText" lastClr="000000"/>
              </a:solidFill>
              <a:prstDash val="solid"/>
              <a:round/>
            </a:ln>
            <a:effectLst/>
          </c:spPr>
          <c:marker>
            <c:symbol val="none"/>
          </c:marker>
          <c:dPt>
            <c:idx val="4"/>
            <c:bubble3D val="0"/>
          </c:dPt>
          <c:cat>
            <c:numRef>
              <c:f>'Fig 8 and 9'!$B$6:$H$6</c:f>
              <c:numCache>
                <c:formatCode>mmm\-yy</c:formatCode>
                <c:ptCount val="7"/>
                <c:pt idx="0">
                  <c:v>41426</c:v>
                </c:pt>
                <c:pt idx="1">
                  <c:v>41609</c:v>
                </c:pt>
                <c:pt idx="2">
                  <c:v>41791</c:v>
                </c:pt>
                <c:pt idx="3">
                  <c:v>41974</c:v>
                </c:pt>
                <c:pt idx="4">
                  <c:v>42156</c:v>
                </c:pt>
                <c:pt idx="5">
                  <c:v>42339</c:v>
                </c:pt>
                <c:pt idx="6">
                  <c:v>42522</c:v>
                </c:pt>
              </c:numCache>
            </c:numRef>
          </c:cat>
          <c:val>
            <c:numRef>
              <c:f>'Fig 8 and 9'!$B$8:$H$8</c:f>
              <c:numCache>
                <c:formatCode>0.00%</c:formatCode>
                <c:ptCount val="7"/>
                <c:pt idx="0">
                  <c:v>0.74</c:v>
                </c:pt>
                <c:pt idx="1">
                  <c:v>0.74</c:v>
                </c:pt>
                <c:pt idx="2">
                  <c:v>0.76</c:v>
                </c:pt>
                <c:pt idx="3">
                  <c:v>0.76</c:v>
                </c:pt>
                <c:pt idx="4">
                  <c:v>0.68</c:v>
                </c:pt>
                <c:pt idx="5">
                  <c:v>0.72</c:v>
                </c:pt>
                <c:pt idx="6">
                  <c:v>0.77</c:v>
                </c:pt>
              </c:numCache>
            </c:numRef>
          </c:val>
          <c:smooth val="0"/>
        </c:ser>
        <c:ser>
          <c:idx val="2"/>
          <c:order val="2"/>
          <c:tx>
            <c:strRef>
              <c:f>'Fig 8 and 9'!$A$9</c:f>
              <c:strCache>
                <c:ptCount val="1"/>
                <c:pt idx="0">
                  <c:v>Target</c:v>
                </c:pt>
              </c:strCache>
            </c:strRef>
          </c:tx>
          <c:spPr>
            <a:ln w="34925" cap="rnd">
              <a:solidFill>
                <a:srgbClr val="FF0000"/>
              </a:solidFill>
              <a:round/>
            </a:ln>
            <a:effectLst/>
          </c:spPr>
          <c:marker>
            <c:symbol val="none"/>
          </c:marker>
          <c:cat>
            <c:numRef>
              <c:f>'Fig 8 and 9'!$B$6:$H$6</c:f>
              <c:numCache>
                <c:formatCode>mmm\-yy</c:formatCode>
                <c:ptCount val="7"/>
                <c:pt idx="0">
                  <c:v>41426</c:v>
                </c:pt>
                <c:pt idx="1">
                  <c:v>41609</c:v>
                </c:pt>
                <c:pt idx="2">
                  <c:v>41791</c:v>
                </c:pt>
                <c:pt idx="3">
                  <c:v>41974</c:v>
                </c:pt>
                <c:pt idx="4">
                  <c:v>42156</c:v>
                </c:pt>
                <c:pt idx="5">
                  <c:v>42339</c:v>
                </c:pt>
                <c:pt idx="6">
                  <c:v>42522</c:v>
                </c:pt>
              </c:numCache>
            </c:numRef>
          </c:cat>
          <c:val>
            <c:numRef>
              <c:f>'Fig 8 and 9'!$B$9:$H$9</c:f>
              <c:numCache>
                <c:formatCode>0.00%</c:formatCode>
                <c:ptCount val="7"/>
                <c:pt idx="0">
                  <c:v>0.95</c:v>
                </c:pt>
                <c:pt idx="1">
                  <c:v>0.95</c:v>
                </c:pt>
                <c:pt idx="2">
                  <c:v>0.95</c:v>
                </c:pt>
                <c:pt idx="3">
                  <c:v>0.95</c:v>
                </c:pt>
                <c:pt idx="4">
                  <c:v>0.95</c:v>
                </c:pt>
                <c:pt idx="5">
                  <c:v>0.95</c:v>
                </c:pt>
                <c:pt idx="6">
                  <c:v>0.95</c:v>
                </c:pt>
              </c:numCache>
            </c:numRef>
          </c:val>
          <c:smooth val="0"/>
        </c:ser>
        <c:dLbls>
          <c:showLegendKey val="0"/>
          <c:showVal val="0"/>
          <c:showCatName val="0"/>
          <c:showSerName val="0"/>
          <c:showPercent val="0"/>
          <c:showBubbleSize val="0"/>
        </c:dLbls>
        <c:smooth val="0"/>
        <c:axId val="763074616"/>
        <c:axId val="763077360"/>
      </c:lineChart>
      <c:dateAx>
        <c:axId val="76307461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Final</a:t>
                </a:r>
                <a:r>
                  <a:rPr lang="en-NZ" sz="900" baseline="0"/>
                  <a:t> month of period</a:t>
                </a:r>
                <a:endParaRPr lang="en-NZ" sz="900"/>
              </a:p>
            </c:rich>
          </c:tx>
          <c:layout>
            <c:manualLayout>
              <c:xMode val="edge"/>
              <c:yMode val="edge"/>
              <c:x val="0.40465838310238361"/>
              <c:y val="0.93608697619694092"/>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7360"/>
        <c:crosses val="autoZero"/>
        <c:auto val="1"/>
        <c:lblOffset val="100"/>
        <c:baseTimeUnit val="months"/>
        <c:majorUnit val="6"/>
        <c:majorTimeUnit val="months"/>
        <c:minorUnit val="6"/>
        <c:minorTimeUnit val="months"/>
      </c:dateAx>
      <c:valAx>
        <c:axId val="763077360"/>
        <c:scaling>
          <c:orientation val="minMax"/>
          <c:max val="1"/>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6.8460572991919347E-4"/>
              <c:y val="3.5271508987942389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4616"/>
        <c:crosses val="autoZero"/>
        <c:crossBetween val="between"/>
      </c:valAx>
      <c:spPr>
        <a:noFill/>
        <a:ln>
          <a:noFill/>
        </a:ln>
        <a:effectLst/>
      </c:spPr>
    </c:plotArea>
    <c:legend>
      <c:legendPos val="r"/>
      <c:layout>
        <c:manualLayout>
          <c:xMode val="edge"/>
          <c:yMode val="edge"/>
          <c:x val="0.71359485101278486"/>
          <c:y val="0.60572638549491653"/>
          <c:w val="0.28639809780460362"/>
          <c:h val="0.18126715841554289"/>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679024496937881E-2"/>
          <c:y val="0.1003956288030108"/>
          <c:w val="0.88629116412779518"/>
          <c:h val="0.68277752951432591"/>
        </c:manualLayout>
      </c:layout>
      <c:lineChart>
        <c:grouping val="standard"/>
        <c:varyColors val="0"/>
        <c:ser>
          <c:idx val="0"/>
          <c:order val="0"/>
          <c:tx>
            <c:strRef>
              <c:f>'Fig 8 and 9'!$A$17</c:f>
              <c:strCache>
                <c:ptCount val="1"/>
                <c:pt idx="0">
                  <c:v>Auckland</c:v>
                </c:pt>
              </c:strCache>
            </c:strRef>
          </c:tx>
          <c:spPr>
            <a:ln w="34925" cap="rnd">
              <a:solidFill>
                <a:sysClr val="windowText" lastClr="000000"/>
              </a:solidFill>
              <a:round/>
            </a:ln>
            <a:effectLst/>
          </c:spPr>
          <c:marker>
            <c:symbol val="none"/>
          </c:marker>
          <c:dPt>
            <c:idx val="4"/>
            <c:bubble3D val="0"/>
          </c:dPt>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9'!$B$17:$H$17</c:f>
              <c:numCache>
                <c:formatCode>0.00%</c:formatCode>
                <c:ptCount val="7"/>
                <c:pt idx="0">
                  <c:v>0.62</c:v>
                </c:pt>
                <c:pt idx="1">
                  <c:v>0.7</c:v>
                </c:pt>
                <c:pt idx="2">
                  <c:v>0.71</c:v>
                </c:pt>
                <c:pt idx="3">
                  <c:v>0.7</c:v>
                </c:pt>
                <c:pt idx="4">
                  <c:v>0.51</c:v>
                </c:pt>
                <c:pt idx="5">
                  <c:v>0.60499999999999998</c:v>
                </c:pt>
                <c:pt idx="6">
                  <c:v>0.68</c:v>
                </c:pt>
              </c:numCache>
            </c:numRef>
          </c:val>
          <c:smooth val="0"/>
        </c:ser>
        <c:ser>
          <c:idx val="1"/>
          <c:order val="1"/>
          <c:tx>
            <c:strRef>
              <c:f>'Fig 8 and 9'!$A$20</c:f>
              <c:strCache>
                <c:ptCount val="1"/>
                <c:pt idx="0">
                  <c:v>Counties Manukau</c:v>
                </c:pt>
              </c:strCache>
            </c:strRef>
          </c:tx>
          <c:spPr>
            <a:ln w="34925" cap="rnd">
              <a:solidFill>
                <a:sysClr val="window" lastClr="FFFFFF">
                  <a:lumMod val="65000"/>
                </a:sysClr>
              </a:solidFill>
              <a:prstDash val="solid"/>
              <a:round/>
            </a:ln>
            <a:effectLst/>
          </c:spPr>
          <c:marker>
            <c:symbol val="none"/>
          </c:marker>
          <c:dPt>
            <c:idx val="4"/>
            <c:bubble3D val="0"/>
          </c:dPt>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9'!$B$20:$H$20</c:f>
              <c:numCache>
                <c:formatCode>0.00%</c:formatCode>
                <c:ptCount val="7"/>
                <c:pt idx="0">
                  <c:v>0.66</c:v>
                </c:pt>
                <c:pt idx="1">
                  <c:v>0.61</c:v>
                </c:pt>
                <c:pt idx="2">
                  <c:v>0.55000000000000004</c:v>
                </c:pt>
                <c:pt idx="3">
                  <c:v>0.55000000000000004</c:v>
                </c:pt>
                <c:pt idx="4">
                  <c:v>0.51</c:v>
                </c:pt>
                <c:pt idx="5">
                  <c:v>0.56699999999999995</c:v>
                </c:pt>
                <c:pt idx="6">
                  <c:v>0.68</c:v>
                </c:pt>
              </c:numCache>
            </c:numRef>
          </c:val>
          <c:smooth val="0"/>
        </c:ser>
        <c:ser>
          <c:idx val="2"/>
          <c:order val="2"/>
          <c:tx>
            <c:strRef>
              <c:f>'Fig 8 and 9'!$A$24</c:f>
              <c:strCache>
                <c:ptCount val="1"/>
                <c:pt idx="0">
                  <c:v>Waitemata</c:v>
                </c:pt>
              </c:strCache>
            </c:strRef>
          </c:tx>
          <c:spPr>
            <a:ln w="34925" cap="rnd">
              <a:solidFill>
                <a:sysClr val="window" lastClr="FFFFFF">
                  <a:lumMod val="85000"/>
                </a:sysClr>
              </a:solidFill>
              <a:prstDash val="solid"/>
              <a:round/>
            </a:ln>
            <a:effectLst/>
          </c:spPr>
          <c:marker>
            <c:symbol val="none"/>
          </c:marker>
          <c:dPt>
            <c:idx val="4"/>
            <c:bubble3D val="0"/>
          </c:dPt>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9'!$B$24:$H$24</c:f>
              <c:numCache>
                <c:formatCode>0.00%</c:formatCode>
                <c:ptCount val="7"/>
                <c:pt idx="0">
                  <c:v>0.62</c:v>
                </c:pt>
                <c:pt idx="1">
                  <c:v>0.69</c:v>
                </c:pt>
                <c:pt idx="2">
                  <c:v>0.64</c:v>
                </c:pt>
                <c:pt idx="3">
                  <c:v>0.7</c:v>
                </c:pt>
                <c:pt idx="4">
                  <c:v>0.7</c:v>
                </c:pt>
                <c:pt idx="5">
                  <c:v>0.64600000000000002</c:v>
                </c:pt>
                <c:pt idx="6">
                  <c:v>0.62</c:v>
                </c:pt>
              </c:numCache>
            </c:numRef>
          </c:val>
          <c:smooth val="0"/>
        </c:ser>
        <c:ser>
          <c:idx val="3"/>
          <c:order val="3"/>
          <c:tx>
            <c:strRef>
              <c:f>'Fig 8 and 9'!$A$25</c:f>
              <c:strCache>
                <c:ptCount val="1"/>
                <c:pt idx="0">
                  <c:v>Target</c:v>
                </c:pt>
              </c:strCache>
            </c:strRef>
          </c:tx>
          <c:spPr>
            <a:ln w="34925" cap="rnd">
              <a:solidFill>
                <a:srgbClr val="FF0000"/>
              </a:solidFill>
              <a:round/>
            </a:ln>
            <a:effectLst/>
          </c:spPr>
          <c:marker>
            <c:symbol val="none"/>
          </c:marker>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9'!$B$25:$H$25</c:f>
              <c:numCache>
                <c:formatCode>0.00%</c:formatCode>
                <c:ptCount val="7"/>
                <c:pt idx="0">
                  <c:v>0.95</c:v>
                </c:pt>
                <c:pt idx="1">
                  <c:v>0.95</c:v>
                </c:pt>
                <c:pt idx="2">
                  <c:v>0.95</c:v>
                </c:pt>
                <c:pt idx="3">
                  <c:v>0.95</c:v>
                </c:pt>
                <c:pt idx="4">
                  <c:v>0.95</c:v>
                </c:pt>
                <c:pt idx="5">
                  <c:v>0.95</c:v>
                </c:pt>
                <c:pt idx="6">
                  <c:v>0.95</c:v>
                </c:pt>
              </c:numCache>
            </c:numRef>
          </c:val>
          <c:smooth val="0"/>
        </c:ser>
        <c:dLbls>
          <c:showLegendKey val="0"/>
          <c:showVal val="0"/>
          <c:showCatName val="0"/>
          <c:showSerName val="0"/>
          <c:showPercent val="0"/>
          <c:showBubbleSize val="0"/>
        </c:dLbls>
        <c:smooth val="0"/>
        <c:axId val="763075008"/>
        <c:axId val="763075400"/>
      </c:lineChart>
      <c:dateAx>
        <c:axId val="76307500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Final month</a:t>
                </a:r>
                <a:r>
                  <a:rPr lang="en-NZ" sz="900" baseline="0"/>
                  <a:t> of period</a:t>
                </a:r>
                <a:endParaRPr lang="en-NZ" sz="900"/>
              </a:p>
            </c:rich>
          </c:tx>
          <c:layout>
            <c:manualLayout>
              <c:xMode val="edge"/>
              <c:yMode val="edge"/>
              <c:x val="0.41250873612254224"/>
              <c:y val="0.91544803226726923"/>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5400"/>
        <c:crossesAt val="0"/>
        <c:auto val="1"/>
        <c:lblOffset val="100"/>
        <c:baseTimeUnit val="months"/>
        <c:majorUnit val="6"/>
        <c:majorTimeUnit val="months"/>
        <c:minorUnit val="6"/>
        <c:minorTimeUnit val="months"/>
      </c:dateAx>
      <c:valAx>
        <c:axId val="763075400"/>
        <c:scaling>
          <c:orientation val="minMax"/>
          <c:max val="1"/>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6.8464957082566425E-4"/>
              <c:y val="2.0906608575945308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5008"/>
        <c:crosses val="autoZero"/>
        <c:crossBetween val="between"/>
      </c:valAx>
      <c:spPr>
        <a:noFill/>
        <a:ln>
          <a:noFill/>
        </a:ln>
        <a:effectLst/>
      </c:spPr>
    </c:plotArea>
    <c:legend>
      <c:legendPos val="r"/>
      <c:layout>
        <c:manualLayout>
          <c:xMode val="edge"/>
          <c:yMode val="edge"/>
          <c:x val="0.71445123799379762"/>
          <c:y val="0.51523016650342801"/>
          <c:w val="0.28554876200620238"/>
          <c:h val="0.26346223026090282"/>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679024496937881E-2"/>
          <c:y val="9.2663908690687496E-2"/>
          <c:w val="0.88085395129604982"/>
          <c:h val="0.73437402735678969"/>
        </c:manualLayout>
      </c:layout>
      <c:lineChart>
        <c:grouping val="standard"/>
        <c:varyColors val="0"/>
        <c:ser>
          <c:idx val="0"/>
          <c:order val="0"/>
          <c:tx>
            <c:strRef>
              <c:f>'Fig 8 and 9'!$A$18</c:f>
              <c:strCache>
                <c:ptCount val="1"/>
                <c:pt idx="0">
                  <c:v>Canterbury</c:v>
                </c:pt>
              </c:strCache>
            </c:strRef>
          </c:tx>
          <c:spPr>
            <a:ln w="34925" cap="rnd">
              <a:solidFill>
                <a:sysClr val="windowText" lastClr="000000"/>
              </a:solidFill>
              <a:round/>
            </a:ln>
            <a:effectLst/>
          </c:spPr>
          <c:marker>
            <c:symbol val="none"/>
          </c:marker>
          <c:dPt>
            <c:idx val="4"/>
            <c:bubble3D val="0"/>
            <c:spPr>
              <a:ln w="34925" cap="rnd">
                <a:noFill/>
                <a:round/>
              </a:ln>
              <a:effectLst/>
            </c:spPr>
          </c:dPt>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9'!$B$18:$H$18</c:f>
              <c:numCache>
                <c:formatCode>0.00%</c:formatCode>
                <c:ptCount val="7"/>
                <c:pt idx="0">
                  <c:v>0.59</c:v>
                </c:pt>
                <c:pt idx="1">
                  <c:v>0.57999999999999996</c:v>
                </c:pt>
                <c:pt idx="2">
                  <c:v>0.56000000000000005</c:v>
                </c:pt>
                <c:pt idx="3">
                  <c:v>0.62</c:v>
                </c:pt>
                <c:pt idx="4">
                  <c:v>0.54</c:v>
                </c:pt>
                <c:pt idx="5">
                  <c:v>0.41099999999999998</c:v>
                </c:pt>
                <c:pt idx="6">
                  <c:v>0.68</c:v>
                </c:pt>
              </c:numCache>
            </c:numRef>
          </c:val>
          <c:smooth val="0"/>
        </c:ser>
        <c:ser>
          <c:idx val="1"/>
          <c:order val="1"/>
          <c:tx>
            <c:strRef>
              <c:f>'Fig 8 and 9'!$A$19</c:f>
              <c:strCache>
                <c:ptCount val="1"/>
                <c:pt idx="0">
                  <c:v>Capital &amp; Coast</c:v>
                </c:pt>
              </c:strCache>
            </c:strRef>
          </c:tx>
          <c:spPr>
            <a:ln w="34925" cap="rnd">
              <a:solidFill>
                <a:sysClr val="window" lastClr="FFFFFF">
                  <a:lumMod val="65000"/>
                </a:sysClr>
              </a:solidFill>
              <a:prstDash val="solid"/>
              <a:round/>
            </a:ln>
            <a:effectLst/>
          </c:spPr>
          <c:marker>
            <c:symbol val="none"/>
          </c:marker>
          <c:dPt>
            <c:idx val="4"/>
            <c:bubble3D val="0"/>
            <c:spPr>
              <a:ln w="34925" cap="rnd">
                <a:noFill/>
                <a:prstDash val="solid"/>
                <a:round/>
              </a:ln>
              <a:effectLst/>
            </c:spPr>
          </c:dPt>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9'!$B$19:$H$19</c:f>
              <c:numCache>
                <c:formatCode>0.00%</c:formatCode>
                <c:ptCount val="7"/>
                <c:pt idx="0">
                  <c:v>0.79</c:v>
                </c:pt>
                <c:pt idx="1">
                  <c:v>0.82</c:v>
                </c:pt>
                <c:pt idx="2">
                  <c:v>0.68</c:v>
                </c:pt>
                <c:pt idx="3">
                  <c:v>0.76</c:v>
                </c:pt>
                <c:pt idx="4">
                  <c:v>0.44</c:v>
                </c:pt>
                <c:pt idx="5">
                  <c:v>0.55900000000000005</c:v>
                </c:pt>
                <c:pt idx="6">
                  <c:v>0.57999999999999996</c:v>
                </c:pt>
              </c:numCache>
            </c:numRef>
          </c:val>
          <c:smooth val="0"/>
        </c:ser>
        <c:ser>
          <c:idx val="2"/>
          <c:order val="2"/>
          <c:tx>
            <c:strRef>
              <c:f>'Fig 8 and 9'!$A$21</c:f>
              <c:strCache>
                <c:ptCount val="1"/>
                <c:pt idx="0">
                  <c:v>Hawke's Bay</c:v>
                </c:pt>
              </c:strCache>
            </c:strRef>
          </c:tx>
          <c:spPr>
            <a:ln w="34925" cap="rnd">
              <a:solidFill>
                <a:sysClr val="window" lastClr="FFFFFF">
                  <a:lumMod val="85000"/>
                </a:sysClr>
              </a:solidFill>
              <a:round/>
            </a:ln>
            <a:effectLst/>
          </c:spPr>
          <c:marker>
            <c:symbol val="none"/>
          </c:marker>
          <c:dPt>
            <c:idx val="3"/>
            <c:bubble3D val="0"/>
          </c:dPt>
          <c:dPt>
            <c:idx val="4"/>
            <c:bubble3D val="0"/>
            <c:spPr>
              <a:ln w="34925" cap="rnd">
                <a:noFill/>
                <a:round/>
              </a:ln>
              <a:effectLst/>
            </c:spPr>
          </c:dPt>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9'!$B$21:$H$21</c:f>
              <c:numCache>
                <c:formatCode>0.00%</c:formatCode>
                <c:ptCount val="7"/>
                <c:pt idx="0">
                  <c:v>0.61</c:v>
                </c:pt>
                <c:pt idx="1">
                  <c:v>0.78</c:v>
                </c:pt>
                <c:pt idx="2">
                  <c:v>0.69</c:v>
                </c:pt>
                <c:pt idx="3">
                  <c:v>0.6</c:v>
                </c:pt>
                <c:pt idx="4">
                  <c:v>0.44</c:v>
                </c:pt>
                <c:pt idx="5">
                  <c:v>0.61099999999999999</c:v>
                </c:pt>
              </c:numCache>
            </c:numRef>
          </c:val>
          <c:smooth val="0"/>
        </c:ser>
        <c:ser>
          <c:idx val="3"/>
          <c:order val="3"/>
          <c:tx>
            <c:strRef>
              <c:f>'Fig 8 and 9'!$A$22</c:f>
              <c:strCache>
                <c:ptCount val="1"/>
                <c:pt idx="0">
                  <c:v>Hutt Valley</c:v>
                </c:pt>
              </c:strCache>
            </c:strRef>
          </c:tx>
          <c:spPr>
            <a:ln w="34925" cap="rnd">
              <a:solidFill>
                <a:sysClr val="window" lastClr="FFFFFF">
                  <a:lumMod val="65000"/>
                </a:sysClr>
              </a:solidFill>
              <a:prstDash val="sysDot"/>
              <a:round/>
            </a:ln>
            <a:effectLst/>
          </c:spPr>
          <c:marker>
            <c:symbol val="none"/>
          </c:marker>
          <c:dPt>
            <c:idx val="4"/>
            <c:bubble3D val="0"/>
            <c:spPr>
              <a:ln w="34925" cap="rnd">
                <a:noFill/>
                <a:prstDash val="sysDot"/>
                <a:round/>
              </a:ln>
              <a:effectLst/>
            </c:spPr>
          </c:dPt>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9'!$B$22:$H$22</c:f>
              <c:numCache>
                <c:formatCode>0.00%</c:formatCode>
                <c:ptCount val="7"/>
                <c:pt idx="0">
                  <c:v>0.55000000000000004</c:v>
                </c:pt>
                <c:pt idx="1">
                  <c:v>0.56000000000000005</c:v>
                </c:pt>
                <c:pt idx="2">
                  <c:v>0.8</c:v>
                </c:pt>
                <c:pt idx="3">
                  <c:v>0.71</c:v>
                </c:pt>
                <c:pt idx="4">
                  <c:v>0.56000000000000005</c:v>
                </c:pt>
                <c:pt idx="5">
                  <c:v>0.72499999999999998</c:v>
                </c:pt>
                <c:pt idx="6">
                  <c:v>0.48</c:v>
                </c:pt>
              </c:numCache>
            </c:numRef>
          </c:val>
          <c:smooth val="0"/>
        </c:ser>
        <c:ser>
          <c:idx val="4"/>
          <c:order val="4"/>
          <c:tx>
            <c:strRef>
              <c:f>'Fig 8 and 9'!$A$23</c:f>
              <c:strCache>
                <c:ptCount val="1"/>
                <c:pt idx="0">
                  <c:v>Waikato</c:v>
                </c:pt>
              </c:strCache>
            </c:strRef>
          </c:tx>
          <c:spPr>
            <a:ln w="34925" cap="rnd">
              <a:solidFill>
                <a:sysClr val="window" lastClr="FFFFFF">
                  <a:lumMod val="85000"/>
                </a:sysClr>
              </a:solidFill>
              <a:prstDash val="sysDot"/>
              <a:round/>
            </a:ln>
            <a:effectLst/>
          </c:spPr>
          <c:marker>
            <c:symbol val="none"/>
          </c:marker>
          <c:dPt>
            <c:idx val="4"/>
            <c:bubble3D val="0"/>
            <c:spPr>
              <a:ln w="34925" cap="rnd">
                <a:noFill/>
                <a:prstDash val="sysDot"/>
                <a:round/>
              </a:ln>
              <a:effectLst/>
            </c:spPr>
          </c:dPt>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9'!$B$23:$H$23</c:f>
              <c:numCache>
                <c:formatCode>0.00%</c:formatCode>
                <c:ptCount val="7"/>
                <c:pt idx="0">
                  <c:v>0.61</c:v>
                </c:pt>
                <c:pt idx="1">
                  <c:v>0.68</c:v>
                </c:pt>
                <c:pt idx="2">
                  <c:v>0.63</c:v>
                </c:pt>
                <c:pt idx="3">
                  <c:v>0.77</c:v>
                </c:pt>
                <c:pt idx="4">
                  <c:v>0.41</c:v>
                </c:pt>
                <c:pt idx="5">
                  <c:v>0.50900000000000001</c:v>
                </c:pt>
                <c:pt idx="6">
                  <c:v>0.72</c:v>
                </c:pt>
              </c:numCache>
            </c:numRef>
          </c:val>
          <c:smooth val="0"/>
        </c:ser>
        <c:ser>
          <c:idx val="5"/>
          <c:order val="5"/>
          <c:tx>
            <c:strRef>
              <c:f>'Fig 8 and 9'!$A$25</c:f>
              <c:strCache>
                <c:ptCount val="1"/>
                <c:pt idx="0">
                  <c:v>Target</c:v>
                </c:pt>
              </c:strCache>
            </c:strRef>
          </c:tx>
          <c:spPr>
            <a:ln w="34925" cap="rnd">
              <a:solidFill>
                <a:srgbClr val="FF0000"/>
              </a:solidFill>
              <a:round/>
            </a:ln>
            <a:effectLst/>
          </c:spPr>
          <c:marker>
            <c:symbol val="none"/>
          </c:marker>
          <c:cat>
            <c:numRef>
              <c:f>'Fig 8 and 9'!$B$16:$H$16</c:f>
              <c:numCache>
                <c:formatCode>mmm\-yy</c:formatCode>
                <c:ptCount val="7"/>
                <c:pt idx="0">
                  <c:v>41426</c:v>
                </c:pt>
                <c:pt idx="1">
                  <c:v>41609</c:v>
                </c:pt>
                <c:pt idx="2">
                  <c:v>41791</c:v>
                </c:pt>
                <c:pt idx="3">
                  <c:v>41974</c:v>
                </c:pt>
                <c:pt idx="4">
                  <c:v>42156</c:v>
                </c:pt>
                <c:pt idx="5">
                  <c:v>42339</c:v>
                </c:pt>
                <c:pt idx="6">
                  <c:v>42522</c:v>
                </c:pt>
              </c:numCache>
            </c:numRef>
          </c:cat>
          <c:val>
            <c:numRef>
              <c:f>'Fig 8 and 9'!$B$25:$H$25</c:f>
              <c:numCache>
                <c:formatCode>0.00%</c:formatCode>
                <c:ptCount val="7"/>
                <c:pt idx="0">
                  <c:v>0.95</c:v>
                </c:pt>
                <c:pt idx="1">
                  <c:v>0.95</c:v>
                </c:pt>
                <c:pt idx="2">
                  <c:v>0.95</c:v>
                </c:pt>
                <c:pt idx="3">
                  <c:v>0.95</c:v>
                </c:pt>
                <c:pt idx="4">
                  <c:v>0.95</c:v>
                </c:pt>
                <c:pt idx="5">
                  <c:v>0.95</c:v>
                </c:pt>
                <c:pt idx="6">
                  <c:v>0.95</c:v>
                </c:pt>
              </c:numCache>
            </c:numRef>
          </c:val>
          <c:smooth val="0"/>
        </c:ser>
        <c:dLbls>
          <c:showLegendKey val="0"/>
          <c:showVal val="0"/>
          <c:showCatName val="0"/>
          <c:showSerName val="0"/>
          <c:showPercent val="0"/>
          <c:showBubbleSize val="0"/>
        </c:dLbls>
        <c:smooth val="0"/>
        <c:axId val="763076968"/>
        <c:axId val="763075792"/>
      </c:lineChart>
      <c:dateAx>
        <c:axId val="76307696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Final</a:t>
                </a:r>
                <a:r>
                  <a:rPr lang="en-NZ" sz="900" baseline="0"/>
                  <a:t> month of period</a:t>
                </a:r>
                <a:endParaRPr lang="en-NZ" sz="900"/>
              </a:p>
            </c:rich>
          </c:tx>
          <c:layout>
            <c:manualLayout>
              <c:xMode val="edge"/>
              <c:yMode val="edge"/>
              <c:x val="0.40232720672047295"/>
              <c:y val="0.93378684200977424"/>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5792"/>
        <c:crosses val="autoZero"/>
        <c:auto val="1"/>
        <c:lblOffset val="100"/>
        <c:baseTimeUnit val="months"/>
        <c:majorUnit val="6"/>
        <c:majorTimeUnit val="months"/>
        <c:minorUnit val="6"/>
        <c:minorTimeUnit val="months"/>
      </c:dateAx>
      <c:valAx>
        <c:axId val="763075792"/>
        <c:scaling>
          <c:orientation val="minMax"/>
          <c:max val="1"/>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6.4537966434674294E-4"/>
              <c:y val="7.4909106018739733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76968"/>
        <c:crosses val="autoZero"/>
        <c:crossBetween val="between"/>
      </c:valAx>
      <c:spPr>
        <a:noFill/>
        <a:ln>
          <a:noFill/>
        </a:ln>
        <a:effectLst/>
      </c:spPr>
    </c:plotArea>
    <c:legend>
      <c:legendPos val="r"/>
      <c:layout>
        <c:manualLayout>
          <c:xMode val="edge"/>
          <c:yMode val="edge"/>
          <c:x val="9.1950086391572095E-2"/>
          <c:y val="0.4815098974263598"/>
          <c:w val="0.27192881813931902"/>
          <c:h val="0.34784280997133421"/>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544556670540917E-2"/>
          <c:y val="0.11666411490230386"/>
          <c:w val="0.89687258617134591"/>
          <c:h val="0.73881278881072754"/>
        </c:manualLayout>
      </c:layout>
      <c:lineChart>
        <c:grouping val="standard"/>
        <c:varyColors val="0"/>
        <c:ser>
          <c:idx val="0"/>
          <c:order val="0"/>
          <c:tx>
            <c:strRef>
              <c:f>'Fig 10 and 11'!$A$6</c:f>
              <c:strCache>
                <c:ptCount val="1"/>
                <c:pt idx="0">
                  <c:v>Pacific</c:v>
                </c:pt>
              </c:strCache>
            </c:strRef>
          </c:tx>
          <c:spPr>
            <a:ln w="34925" cap="rnd">
              <a:solidFill>
                <a:schemeClr val="bg1">
                  <a:lumMod val="65000"/>
                </a:schemeClr>
              </a:solidFill>
              <a:round/>
            </a:ln>
            <a:effectLst/>
          </c:spPr>
          <c:marker>
            <c:symbol val="none"/>
          </c:marker>
          <c:cat>
            <c:strRef>
              <c:f>'Fig 10 and 11'!$B$5:$E$5</c:f>
              <c:strCache>
                <c:ptCount val="4"/>
                <c:pt idx="0">
                  <c:v>2012/13</c:v>
                </c:pt>
                <c:pt idx="1">
                  <c:v>2013/14</c:v>
                </c:pt>
                <c:pt idx="2">
                  <c:v>2014/15</c:v>
                </c:pt>
                <c:pt idx="3">
                  <c:v>2015/16</c:v>
                </c:pt>
              </c:strCache>
            </c:strRef>
          </c:cat>
          <c:val>
            <c:numRef>
              <c:f>'Fig 10 and 11'!$B$6:$E$6</c:f>
              <c:numCache>
                <c:formatCode>0%</c:formatCode>
                <c:ptCount val="4"/>
                <c:pt idx="0">
                  <c:v>0.68</c:v>
                </c:pt>
                <c:pt idx="1">
                  <c:v>0.8</c:v>
                </c:pt>
                <c:pt idx="2">
                  <c:v>0.88</c:v>
                </c:pt>
                <c:pt idx="3">
                  <c:v>0.89</c:v>
                </c:pt>
              </c:numCache>
            </c:numRef>
          </c:val>
          <c:smooth val="0"/>
        </c:ser>
        <c:ser>
          <c:idx val="1"/>
          <c:order val="1"/>
          <c:tx>
            <c:strRef>
              <c:f>'Fig 10 and 11'!$A$7</c:f>
              <c:strCache>
                <c:ptCount val="1"/>
                <c:pt idx="0">
                  <c:v>Total New Zealand</c:v>
                </c:pt>
              </c:strCache>
            </c:strRef>
          </c:tx>
          <c:spPr>
            <a:ln w="34925" cap="rnd">
              <a:solidFill>
                <a:schemeClr val="tx1"/>
              </a:solidFill>
              <a:prstDash val="solid"/>
              <a:round/>
            </a:ln>
            <a:effectLst/>
          </c:spPr>
          <c:marker>
            <c:symbol val="none"/>
          </c:marker>
          <c:cat>
            <c:strRef>
              <c:f>'Fig 10 and 11'!$B$5:$E$5</c:f>
              <c:strCache>
                <c:ptCount val="4"/>
                <c:pt idx="0">
                  <c:v>2012/13</c:v>
                </c:pt>
                <c:pt idx="1">
                  <c:v>2013/14</c:v>
                </c:pt>
                <c:pt idx="2">
                  <c:v>2014/15</c:v>
                </c:pt>
                <c:pt idx="3">
                  <c:v>2015/16</c:v>
                </c:pt>
              </c:strCache>
            </c:strRef>
          </c:cat>
          <c:val>
            <c:numRef>
              <c:f>'Fig 10 and 11'!$B$7:$E$7</c:f>
              <c:numCache>
                <c:formatCode>0%</c:formatCode>
                <c:ptCount val="4"/>
                <c:pt idx="0">
                  <c:v>0.8</c:v>
                </c:pt>
                <c:pt idx="1">
                  <c:v>0.91</c:v>
                </c:pt>
                <c:pt idx="2">
                  <c:v>0.92</c:v>
                </c:pt>
                <c:pt idx="3">
                  <c:v>0.92</c:v>
                </c:pt>
              </c:numCache>
            </c:numRef>
          </c:val>
          <c:smooth val="0"/>
        </c:ser>
        <c:ser>
          <c:idx val="2"/>
          <c:order val="2"/>
          <c:tx>
            <c:strRef>
              <c:f>'Fig 10 and 11'!$A$8</c:f>
              <c:strCache>
                <c:ptCount val="1"/>
                <c:pt idx="0">
                  <c:v>Target</c:v>
                </c:pt>
              </c:strCache>
            </c:strRef>
          </c:tx>
          <c:spPr>
            <a:ln w="34925" cap="rnd">
              <a:solidFill>
                <a:srgbClr val="FF0000"/>
              </a:solidFill>
              <a:round/>
            </a:ln>
            <a:effectLst/>
          </c:spPr>
          <c:marker>
            <c:symbol val="none"/>
          </c:marker>
          <c:cat>
            <c:strRef>
              <c:f>'Fig 10 and 11'!$B$5:$E$5</c:f>
              <c:strCache>
                <c:ptCount val="4"/>
                <c:pt idx="0">
                  <c:v>2012/13</c:v>
                </c:pt>
                <c:pt idx="1">
                  <c:v>2013/14</c:v>
                </c:pt>
                <c:pt idx="2">
                  <c:v>2014/15</c:v>
                </c:pt>
                <c:pt idx="3">
                  <c:v>2015/16</c:v>
                </c:pt>
              </c:strCache>
            </c:strRef>
          </c:cat>
          <c:val>
            <c:numRef>
              <c:f>'Fig 10 and 11'!$B$8:$E$8</c:f>
              <c:numCache>
                <c:formatCode>0%</c:formatCode>
                <c:ptCount val="4"/>
                <c:pt idx="0">
                  <c:v>0.9</c:v>
                </c:pt>
                <c:pt idx="1">
                  <c:v>0.9</c:v>
                </c:pt>
                <c:pt idx="2">
                  <c:v>0.9</c:v>
                </c:pt>
                <c:pt idx="3">
                  <c:v>0.9</c:v>
                </c:pt>
              </c:numCache>
            </c:numRef>
          </c:val>
          <c:smooth val="0"/>
        </c:ser>
        <c:dLbls>
          <c:showLegendKey val="0"/>
          <c:showVal val="0"/>
          <c:showCatName val="0"/>
          <c:showSerName val="0"/>
          <c:showPercent val="0"/>
          <c:showBubbleSize val="0"/>
        </c:dLbls>
        <c:smooth val="0"/>
        <c:axId val="763087944"/>
        <c:axId val="763088336"/>
      </c:lineChart>
      <c:dateAx>
        <c:axId val="76308794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Financial 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88336"/>
        <c:crosses val="autoZero"/>
        <c:auto val="1"/>
        <c:lblOffset val="100"/>
        <c:baseTimeUnit val="months"/>
        <c:majorTimeUnit val="months"/>
        <c:minorUnit val="2"/>
        <c:minorTimeUnit val="months"/>
      </c:dateAx>
      <c:valAx>
        <c:axId val="763088336"/>
        <c:scaling>
          <c:orientation val="minMax"/>
          <c:min val="0"/>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0"/>
              <c:y val="8.7167070217917687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87944"/>
        <c:crossesAt val="1"/>
        <c:crossBetween val="between"/>
      </c:valAx>
      <c:spPr>
        <a:noFill/>
        <a:ln>
          <a:noFill/>
        </a:ln>
        <a:effectLst/>
      </c:spPr>
    </c:plotArea>
    <c:legend>
      <c:legendPos val="r"/>
      <c:layout>
        <c:manualLayout>
          <c:xMode val="edge"/>
          <c:yMode val="edge"/>
          <c:x val="0.71415119234455082"/>
          <c:y val="0.64146253258056829"/>
          <c:w val="0.28250857380954925"/>
          <c:h val="0.1900534803449425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837024789780698E-2"/>
          <c:y val="0.10620880869400788"/>
          <c:w val="0.89500460221951594"/>
          <c:h val="0.75087744249200972"/>
        </c:manualLayout>
      </c:layout>
      <c:lineChart>
        <c:grouping val="standard"/>
        <c:varyColors val="0"/>
        <c:ser>
          <c:idx val="0"/>
          <c:order val="0"/>
          <c:tx>
            <c:strRef>
              <c:f>'Fig 10 and 11'!$A$34</c:f>
              <c:strCache>
                <c:ptCount val="1"/>
                <c:pt idx="0">
                  <c:v>Auckland</c:v>
                </c:pt>
              </c:strCache>
            </c:strRef>
          </c:tx>
          <c:spPr>
            <a:ln w="34925" cap="rnd">
              <a:solidFill>
                <a:schemeClr val="tx1"/>
              </a:solidFill>
              <a:round/>
            </a:ln>
            <a:effectLst/>
          </c:spPr>
          <c:marker>
            <c:symbol val="none"/>
          </c:marker>
          <c:cat>
            <c:strRef>
              <c:f>'Fig 10 and 11'!$B$33:$E$33</c:f>
              <c:strCache>
                <c:ptCount val="4"/>
                <c:pt idx="0">
                  <c:v>2012/13</c:v>
                </c:pt>
                <c:pt idx="1">
                  <c:v>2013/14</c:v>
                </c:pt>
                <c:pt idx="2">
                  <c:v>2014/15</c:v>
                </c:pt>
                <c:pt idx="3">
                  <c:v>2015/16</c:v>
                </c:pt>
              </c:strCache>
            </c:strRef>
          </c:cat>
          <c:val>
            <c:numRef>
              <c:f>'Fig 10 and 11'!$B$34:$E$34</c:f>
              <c:numCache>
                <c:formatCode>0.00%</c:formatCode>
                <c:ptCount val="4"/>
                <c:pt idx="0">
                  <c:v>0.54</c:v>
                </c:pt>
                <c:pt idx="1">
                  <c:v>0.63</c:v>
                </c:pt>
                <c:pt idx="2">
                  <c:v>0.93</c:v>
                </c:pt>
                <c:pt idx="3">
                  <c:v>0.98</c:v>
                </c:pt>
              </c:numCache>
            </c:numRef>
          </c:val>
          <c:smooth val="0"/>
        </c:ser>
        <c:ser>
          <c:idx val="1"/>
          <c:order val="1"/>
          <c:tx>
            <c:strRef>
              <c:f>'Fig 10 and 11'!$A$37</c:f>
              <c:strCache>
                <c:ptCount val="1"/>
                <c:pt idx="0">
                  <c:v>Counties Manukau</c:v>
                </c:pt>
              </c:strCache>
            </c:strRef>
          </c:tx>
          <c:spPr>
            <a:ln w="34925" cap="rnd">
              <a:solidFill>
                <a:schemeClr val="bg1">
                  <a:lumMod val="65000"/>
                </a:schemeClr>
              </a:solidFill>
              <a:prstDash val="solid"/>
              <a:round/>
            </a:ln>
            <a:effectLst/>
          </c:spPr>
          <c:marker>
            <c:symbol val="none"/>
          </c:marker>
          <c:cat>
            <c:strRef>
              <c:f>'Fig 10 and 11'!$B$33:$E$33</c:f>
              <c:strCache>
                <c:ptCount val="4"/>
                <c:pt idx="0">
                  <c:v>2012/13</c:v>
                </c:pt>
                <c:pt idx="1">
                  <c:v>2013/14</c:v>
                </c:pt>
                <c:pt idx="2">
                  <c:v>2014/15</c:v>
                </c:pt>
                <c:pt idx="3">
                  <c:v>2015/16</c:v>
                </c:pt>
              </c:strCache>
            </c:strRef>
          </c:cat>
          <c:val>
            <c:numRef>
              <c:f>'Fig 10 and 11'!$B$37:$E$37</c:f>
              <c:numCache>
                <c:formatCode>0.00%</c:formatCode>
                <c:ptCount val="4"/>
                <c:pt idx="0">
                  <c:v>0.73</c:v>
                </c:pt>
                <c:pt idx="1">
                  <c:v>0.84</c:v>
                </c:pt>
                <c:pt idx="2">
                  <c:v>0.82</c:v>
                </c:pt>
                <c:pt idx="3">
                  <c:v>0.81</c:v>
                </c:pt>
              </c:numCache>
            </c:numRef>
          </c:val>
          <c:smooth val="0"/>
        </c:ser>
        <c:ser>
          <c:idx val="2"/>
          <c:order val="2"/>
          <c:tx>
            <c:strRef>
              <c:f>'Fig 10 and 11'!$A$41</c:f>
              <c:strCache>
                <c:ptCount val="1"/>
                <c:pt idx="0">
                  <c:v>Waitemata</c:v>
                </c:pt>
              </c:strCache>
            </c:strRef>
          </c:tx>
          <c:spPr>
            <a:ln w="34925" cap="rnd">
              <a:solidFill>
                <a:schemeClr val="bg1">
                  <a:lumMod val="85000"/>
                </a:schemeClr>
              </a:solidFill>
              <a:prstDash val="solid"/>
              <a:round/>
            </a:ln>
            <a:effectLst/>
          </c:spPr>
          <c:marker>
            <c:symbol val="none"/>
          </c:marker>
          <c:cat>
            <c:strRef>
              <c:f>'Fig 10 and 11'!$B$33:$E$33</c:f>
              <c:strCache>
                <c:ptCount val="4"/>
                <c:pt idx="0">
                  <c:v>2012/13</c:v>
                </c:pt>
                <c:pt idx="1">
                  <c:v>2013/14</c:v>
                </c:pt>
                <c:pt idx="2">
                  <c:v>2014/15</c:v>
                </c:pt>
                <c:pt idx="3">
                  <c:v>2015/16</c:v>
                </c:pt>
              </c:strCache>
            </c:strRef>
          </c:cat>
          <c:val>
            <c:numRef>
              <c:f>'Fig 10 and 11'!$B$41:$E$41</c:f>
              <c:numCache>
                <c:formatCode>0.00%</c:formatCode>
                <c:ptCount val="4"/>
                <c:pt idx="0">
                  <c:v>0.54</c:v>
                </c:pt>
                <c:pt idx="1">
                  <c:v>0.81</c:v>
                </c:pt>
                <c:pt idx="2">
                  <c:v>0.92</c:v>
                </c:pt>
                <c:pt idx="3">
                  <c:v>0.99</c:v>
                </c:pt>
              </c:numCache>
            </c:numRef>
          </c:val>
          <c:smooth val="0"/>
        </c:ser>
        <c:ser>
          <c:idx val="3"/>
          <c:order val="3"/>
          <c:tx>
            <c:strRef>
              <c:f>'Fig 10 and 11'!$A$42</c:f>
              <c:strCache>
                <c:ptCount val="1"/>
                <c:pt idx="0">
                  <c:v>Target</c:v>
                </c:pt>
              </c:strCache>
            </c:strRef>
          </c:tx>
          <c:spPr>
            <a:ln w="34925" cap="rnd">
              <a:solidFill>
                <a:srgbClr val="FF0000"/>
              </a:solidFill>
              <a:round/>
            </a:ln>
            <a:effectLst/>
          </c:spPr>
          <c:marker>
            <c:symbol val="none"/>
          </c:marker>
          <c:cat>
            <c:strRef>
              <c:f>'Fig 10 and 11'!$B$33:$E$33</c:f>
              <c:strCache>
                <c:ptCount val="4"/>
                <c:pt idx="0">
                  <c:v>2012/13</c:v>
                </c:pt>
                <c:pt idx="1">
                  <c:v>2013/14</c:v>
                </c:pt>
                <c:pt idx="2">
                  <c:v>2014/15</c:v>
                </c:pt>
                <c:pt idx="3">
                  <c:v>2015/16</c:v>
                </c:pt>
              </c:strCache>
            </c:strRef>
          </c:cat>
          <c:val>
            <c:numRef>
              <c:f>'Fig 10 and 11'!$B$42:$E$42</c:f>
              <c:numCache>
                <c:formatCode>0.00%</c:formatCode>
                <c:ptCount val="4"/>
                <c:pt idx="0">
                  <c:v>0.9</c:v>
                </c:pt>
                <c:pt idx="1">
                  <c:v>0.9</c:v>
                </c:pt>
                <c:pt idx="2">
                  <c:v>0.9</c:v>
                </c:pt>
                <c:pt idx="3">
                  <c:v>0.9</c:v>
                </c:pt>
              </c:numCache>
            </c:numRef>
          </c:val>
          <c:smooth val="0"/>
        </c:ser>
        <c:dLbls>
          <c:showLegendKey val="0"/>
          <c:showVal val="0"/>
          <c:showCatName val="0"/>
          <c:showSerName val="0"/>
          <c:showPercent val="0"/>
          <c:showBubbleSize val="0"/>
        </c:dLbls>
        <c:smooth val="0"/>
        <c:axId val="763085200"/>
        <c:axId val="763085592"/>
      </c:lineChart>
      <c:dateAx>
        <c:axId val="76308520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Financial 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85592"/>
        <c:crosses val="autoZero"/>
        <c:auto val="1"/>
        <c:lblOffset val="100"/>
        <c:baseTimeUnit val="months"/>
        <c:majorTimeUnit val="months"/>
        <c:minorUnit val="6"/>
        <c:minorTimeUnit val="months"/>
      </c:dateAx>
      <c:valAx>
        <c:axId val="763085592"/>
        <c:scaling>
          <c:orientation val="minMax"/>
          <c:max val="1"/>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1.4930341128862221E-3"/>
              <c:y val="6.3292906940520561E-4"/>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85200"/>
        <c:crosses val="autoZero"/>
        <c:crossBetween val="between"/>
      </c:valAx>
      <c:spPr>
        <a:noFill/>
        <a:ln>
          <a:noFill/>
        </a:ln>
        <a:effectLst/>
      </c:spPr>
    </c:plotArea>
    <c:legend>
      <c:legendPos val="r"/>
      <c:layout>
        <c:manualLayout>
          <c:xMode val="edge"/>
          <c:yMode val="edge"/>
          <c:x val="0.70023833160894777"/>
          <c:y val="0.57594420043322458"/>
          <c:w val="0.29034634851897667"/>
          <c:h val="0.2590137973051147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837024789780698E-2"/>
          <c:y val="0.1069743392792164"/>
          <c:w val="0.90036866246995506"/>
          <c:h val="0.75359318519348784"/>
        </c:manualLayout>
      </c:layout>
      <c:lineChart>
        <c:grouping val="standard"/>
        <c:varyColors val="0"/>
        <c:ser>
          <c:idx val="0"/>
          <c:order val="0"/>
          <c:tx>
            <c:strRef>
              <c:f>'Fig 10 and 11'!$A$35</c:f>
              <c:strCache>
                <c:ptCount val="1"/>
                <c:pt idx="0">
                  <c:v>Canterbury</c:v>
                </c:pt>
              </c:strCache>
            </c:strRef>
          </c:tx>
          <c:spPr>
            <a:ln w="34925" cap="rnd">
              <a:solidFill>
                <a:schemeClr val="tx1"/>
              </a:solidFill>
              <a:round/>
            </a:ln>
            <a:effectLst/>
          </c:spPr>
          <c:marker>
            <c:symbol val="none"/>
          </c:marker>
          <c:cat>
            <c:strRef>
              <c:f>'Fig 10 and 11'!$B$33:$E$33</c:f>
              <c:strCache>
                <c:ptCount val="4"/>
                <c:pt idx="0">
                  <c:v>2012/13</c:v>
                </c:pt>
                <c:pt idx="1">
                  <c:v>2013/14</c:v>
                </c:pt>
                <c:pt idx="2">
                  <c:v>2014/15</c:v>
                </c:pt>
                <c:pt idx="3">
                  <c:v>2015/16</c:v>
                </c:pt>
              </c:strCache>
            </c:strRef>
          </c:cat>
          <c:val>
            <c:numRef>
              <c:f>'Fig 10 and 11'!$B$35:$E$35</c:f>
              <c:numCache>
                <c:formatCode>0.00%</c:formatCode>
                <c:ptCount val="4"/>
                <c:pt idx="0">
                  <c:v>0.73</c:v>
                </c:pt>
                <c:pt idx="1">
                  <c:v>0.75</c:v>
                </c:pt>
                <c:pt idx="2">
                  <c:v>0.93</c:v>
                </c:pt>
                <c:pt idx="3">
                  <c:v>0.92</c:v>
                </c:pt>
              </c:numCache>
            </c:numRef>
          </c:val>
          <c:smooth val="0"/>
        </c:ser>
        <c:ser>
          <c:idx val="1"/>
          <c:order val="1"/>
          <c:tx>
            <c:strRef>
              <c:f>'Fig 10 and 11'!$A$36</c:f>
              <c:strCache>
                <c:ptCount val="1"/>
                <c:pt idx="0">
                  <c:v>Capital &amp; Coast</c:v>
                </c:pt>
              </c:strCache>
            </c:strRef>
          </c:tx>
          <c:spPr>
            <a:ln w="34925" cap="rnd">
              <a:solidFill>
                <a:schemeClr val="bg1">
                  <a:lumMod val="65000"/>
                </a:schemeClr>
              </a:solidFill>
              <a:prstDash val="solid"/>
              <a:round/>
            </a:ln>
            <a:effectLst/>
          </c:spPr>
          <c:marker>
            <c:symbol val="none"/>
          </c:marker>
          <c:cat>
            <c:strRef>
              <c:f>'Fig 10 and 11'!$B$33:$E$33</c:f>
              <c:strCache>
                <c:ptCount val="4"/>
                <c:pt idx="0">
                  <c:v>2012/13</c:v>
                </c:pt>
                <c:pt idx="1">
                  <c:v>2013/14</c:v>
                </c:pt>
                <c:pt idx="2">
                  <c:v>2014/15</c:v>
                </c:pt>
                <c:pt idx="3">
                  <c:v>2015/16</c:v>
                </c:pt>
              </c:strCache>
            </c:strRef>
          </c:cat>
          <c:val>
            <c:numRef>
              <c:f>'Fig 10 and 11'!$B$36:$E$36</c:f>
              <c:numCache>
                <c:formatCode>0.00%</c:formatCode>
                <c:ptCount val="4"/>
                <c:pt idx="0">
                  <c:v>0.68</c:v>
                </c:pt>
                <c:pt idx="1">
                  <c:v>0.77</c:v>
                </c:pt>
                <c:pt idx="2">
                  <c:v>0.85</c:v>
                </c:pt>
                <c:pt idx="3">
                  <c:v>0.82</c:v>
                </c:pt>
              </c:numCache>
            </c:numRef>
          </c:val>
          <c:smooth val="0"/>
        </c:ser>
        <c:ser>
          <c:idx val="2"/>
          <c:order val="2"/>
          <c:tx>
            <c:strRef>
              <c:f>'Fig 10 and 11'!$A$38</c:f>
              <c:strCache>
                <c:ptCount val="1"/>
                <c:pt idx="0">
                  <c:v>Hawke's Bay</c:v>
                </c:pt>
              </c:strCache>
            </c:strRef>
          </c:tx>
          <c:spPr>
            <a:ln w="34925" cap="rnd">
              <a:solidFill>
                <a:schemeClr val="bg1">
                  <a:lumMod val="85000"/>
                </a:schemeClr>
              </a:solidFill>
              <a:prstDash val="solid"/>
              <a:round/>
            </a:ln>
            <a:effectLst/>
          </c:spPr>
          <c:marker>
            <c:symbol val="none"/>
          </c:marker>
          <c:cat>
            <c:strRef>
              <c:f>'Fig 10 and 11'!$B$33:$E$33</c:f>
              <c:strCache>
                <c:ptCount val="4"/>
                <c:pt idx="0">
                  <c:v>2012/13</c:v>
                </c:pt>
                <c:pt idx="1">
                  <c:v>2013/14</c:v>
                </c:pt>
                <c:pt idx="2">
                  <c:v>2014/15</c:v>
                </c:pt>
                <c:pt idx="3">
                  <c:v>2015/16</c:v>
                </c:pt>
              </c:strCache>
            </c:strRef>
          </c:cat>
          <c:val>
            <c:numRef>
              <c:f>'Fig 10 and 11'!$B$38:$E$38</c:f>
              <c:numCache>
                <c:formatCode>0.00%</c:formatCode>
                <c:ptCount val="4"/>
                <c:pt idx="0">
                  <c:v>0.74</c:v>
                </c:pt>
                <c:pt idx="1">
                  <c:v>0.87</c:v>
                </c:pt>
                <c:pt idx="2">
                  <c:v>0.92</c:v>
                </c:pt>
                <c:pt idx="3">
                  <c:v>0.91</c:v>
                </c:pt>
              </c:numCache>
            </c:numRef>
          </c:val>
          <c:smooth val="0"/>
        </c:ser>
        <c:ser>
          <c:idx val="3"/>
          <c:order val="3"/>
          <c:tx>
            <c:strRef>
              <c:f>'Fig 10 and 11'!$A$39</c:f>
              <c:strCache>
                <c:ptCount val="1"/>
                <c:pt idx="0">
                  <c:v>Hutt Valley</c:v>
                </c:pt>
              </c:strCache>
            </c:strRef>
          </c:tx>
          <c:spPr>
            <a:ln w="34925" cap="rnd">
              <a:solidFill>
                <a:schemeClr val="bg1">
                  <a:lumMod val="65000"/>
                </a:schemeClr>
              </a:solidFill>
              <a:prstDash val="sysDot"/>
              <a:round/>
            </a:ln>
            <a:effectLst/>
          </c:spPr>
          <c:marker>
            <c:symbol val="none"/>
          </c:marker>
          <c:cat>
            <c:strRef>
              <c:f>'Fig 10 and 11'!$B$33:$E$33</c:f>
              <c:strCache>
                <c:ptCount val="4"/>
                <c:pt idx="0">
                  <c:v>2012/13</c:v>
                </c:pt>
                <c:pt idx="1">
                  <c:v>2013/14</c:v>
                </c:pt>
                <c:pt idx="2">
                  <c:v>2014/15</c:v>
                </c:pt>
                <c:pt idx="3">
                  <c:v>2015/16</c:v>
                </c:pt>
              </c:strCache>
            </c:strRef>
          </c:cat>
          <c:val>
            <c:numRef>
              <c:f>'Fig 10 and 11'!$B$39:$E$39</c:f>
              <c:numCache>
                <c:formatCode>0.00%</c:formatCode>
                <c:ptCount val="4"/>
                <c:pt idx="0">
                  <c:v>0.75</c:v>
                </c:pt>
                <c:pt idx="1">
                  <c:v>0.83</c:v>
                </c:pt>
                <c:pt idx="2">
                  <c:v>0.94</c:v>
                </c:pt>
                <c:pt idx="3">
                  <c:v>0.89</c:v>
                </c:pt>
              </c:numCache>
            </c:numRef>
          </c:val>
          <c:smooth val="0"/>
        </c:ser>
        <c:ser>
          <c:idx val="4"/>
          <c:order val="4"/>
          <c:tx>
            <c:strRef>
              <c:f>'Fig 10 and 11'!$A$40</c:f>
              <c:strCache>
                <c:ptCount val="1"/>
                <c:pt idx="0">
                  <c:v>Waikato</c:v>
                </c:pt>
              </c:strCache>
            </c:strRef>
          </c:tx>
          <c:spPr>
            <a:ln w="34925" cap="rnd">
              <a:solidFill>
                <a:schemeClr val="bg1">
                  <a:lumMod val="85000"/>
                </a:schemeClr>
              </a:solidFill>
              <a:prstDash val="sysDot"/>
              <a:round/>
            </a:ln>
            <a:effectLst/>
          </c:spPr>
          <c:marker>
            <c:symbol val="none"/>
          </c:marker>
          <c:cat>
            <c:strRef>
              <c:f>'Fig 10 and 11'!$B$33:$E$33</c:f>
              <c:strCache>
                <c:ptCount val="4"/>
                <c:pt idx="0">
                  <c:v>2012/13</c:v>
                </c:pt>
                <c:pt idx="1">
                  <c:v>2013/14</c:v>
                </c:pt>
                <c:pt idx="2">
                  <c:v>2014/15</c:v>
                </c:pt>
                <c:pt idx="3">
                  <c:v>2015/16</c:v>
                </c:pt>
              </c:strCache>
            </c:strRef>
          </c:cat>
          <c:val>
            <c:numRef>
              <c:f>'Fig 10 and 11'!$B$40:$E$40</c:f>
              <c:numCache>
                <c:formatCode>0.00%</c:formatCode>
                <c:ptCount val="4"/>
                <c:pt idx="0">
                  <c:v>0.78</c:v>
                </c:pt>
                <c:pt idx="1">
                  <c:v>0.79</c:v>
                </c:pt>
                <c:pt idx="2">
                  <c:v>0.83</c:v>
                </c:pt>
                <c:pt idx="3">
                  <c:v>0.76</c:v>
                </c:pt>
              </c:numCache>
            </c:numRef>
          </c:val>
          <c:smooth val="0"/>
        </c:ser>
        <c:ser>
          <c:idx val="5"/>
          <c:order val="5"/>
          <c:tx>
            <c:strRef>
              <c:f>'Fig 10 and 11'!$A$42</c:f>
              <c:strCache>
                <c:ptCount val="1"/>
                <c:pt idx="0">
                  <c:v>Target</c:v>
                </c:pt>
              </c:strCache>
            </c:strRef>
          </c:tx>
          <c:spPr>
            <a:ln w="34925" cap="rnd">
              <a:solidFill>
                <a:srgbClr val="FF0000"/>
              </a:solidFill>
              <a:round/>
            </a:ln>
            <a:effectLst/>
          </c:spPr>
          <c:marker>
            <c:symbol val="none"/>
          </c:marker>
          <c:cat>
            <c:strRef>
              <c:f>'Fig 10 and 11'!$B$33:$E$33</c:f>
              <c:strCache>
                <c:ptCount val="4"/>
                <c:pt idx="0">
                  <c:v>2012/13</c:v>
                </c:pt>
                <c:pt idx="1">
                  <c:v>2013/14</c:v>
                </c:pt>
                <c:pt idx="2">
                  <c:v>2014/15</c:v>
                </c:pt>
                <c:pt idx="3">
                  <c:v>2015/16</c:v>
                </c:pt>
              </c:strCache>
            </c:strRef>
          </c:cat>
          <c:val>
            <c:numRef>
              <c:f>'Fig 10 and 11'!$B$42:$E$42</c:f>
              <c:numCache>
                <c:formatCode>0.00%</c:formatCode>
                <c:ptCount val="4"/>
                <c:pt idx="0">
                  <c:v>0.9</c:v>
                </c:pt>
                <c:pt idx="1">
                  <c:v>0.9</c:v>
                </c:pt>
                <c:pt idx="2">
                  <c:v>0.9</c:v>
                </c:pt>
                <c:pt idx="3">
                  <c:v>0.9</c:v>
                </c:pt>
              </c:numCache>
            </c:numRef>
          </c:val>
          <c:smooth val="0"/>
        </c:ser>
        <c:dLbls>
          <c:showLegendKey val="0"/>
          <c:showVal val="0"/>
          <c:showCatName val="0"/>
          <c:showSerName val="0"/>
          <c:showPercent val="0"/>
          <c:showBubbleSize val="0"/>
        </c:dLbls>
        <c:smooth val="0"/>
        <c:axId val="763084416"/>
        <c:axId val="763086768"/>
      </c:lineChart>
      <c:dateAx>
        <c:axId val="76308441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Financial 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86768"/>
        <c:crosses val="autoZero"/>
        <c:auto val="1"/>
        <c:lblOffset val="100"/>
        <c:baseTimeUnit val="months"/>
        <c:majorTimeUnit val="months"/>
        <c:minorUnit val="6"/>
        <c:minorTimeUnit val="months"/>
      </c:dateAx>
      <c:valAx>
        <c:axId val="763086768"/>
        <c:scaling>
          <c:orientation val="minMax"/>
          <c:max val="1"/>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8.3237308751040232E-4"/>
              <c:y val="9.9041533546325878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84416"/>
        <c:crosses val="autoZero"/>
        <c:crossBetween val="between"/>
      </c:valAx>
      <c:spPr>
        <a:noFill/>
        <a:ln>
          <a:noFill/>
        </a:ln>
        <a:effectLst/>
      </c:spPr>
    </c:plotArea>
    <c:legend>
      <c:legendPos val="r"/>
      <c:layout>
        <c:manualLayout>
          <c:xMode val="edge"/>
          <c:yMode val="edge"/>
          <c:x val="0.69767996412437039"/>
          <c:y val="0.47075202357531554"/>
          <c:w val="0.3004743615512207"/>
          <c:h val="0.3860401079758268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0.89165</cdr:x>
      <cdr:y>0.07077</cdr:y>
    </cdr:from>
    <cdr:to>
      <cdr:x>1</cdr:x>
      <cdr:y>0.14666</cdr:y>
    </cdr:to>
    <cdr:sp macro="" textlink="">
      <cdr:nvSpPr>
        <cdr:cNvPr id="3" name="Text Box 1"/>
        <cdr:cNvSpPr txBox="1"/>
      </cdr:nvSpPr>
      <cdr:spPr>
        <a:xfrm xmlns:a="http://schemas.openxmlformats.org/drawingml/2006/main">
          <a:off x="4223673" y="217054"/>
          <a:ext cx="507077" cy="232757"/>
        </a:xfrm>
        <a:prstGeom xmlns:a="http://schemas.openxmlformats.org/drawingml/2006/main" prst="rect">
          <a:avLst/>
        </a:prstGeom>
      </cdr:spPr>
    </cdr:sp>
  </cdr:relSizeAnchor>
  <cdr:relSizeAnchor xmlns:cdr="http://schemas.openxmlformats.org/drawingml/2006/chartDrawing">
    <cdr:from>
      <cdr:x>0.89165</cdr:x>
      <cdr:y>0.1575</cdr:y>
    </cdr:from>
    <cdr:to>
      <cdr:x>1</cdr:x>
      <cdr:y>0.23339</cdr:y>
    </cdr:to>
    <cdr:sp macro="" textlink="">
      <cdr:nvSpPr>
        <cdr:cNvPr id="4" name="Text Box 1"/>
        <cdr:cNvSpPr txBox="1"/>
      </cdr:nvSpPr>
      <cdr:spPr>
        <a:xfrm xmlns:a="http://schemas.openxmlformats.org/drawingml/2006/main">
          <a:off x="4172988" y="483061"/>
          <a:ext cx="507077" cy="232757"/>
        </a:xfrm>
        <a:prstGeom xmlns:a="http://schemas.openxmlformats.org/drawingml/2006/main" prst="rect">
          <a:avLst/>
        </a:prstGeom>
      </cdr:spPr>
    </cdr:sp>
  </cdr:relSizeAnchor>
  <cdr:relSizeAnchor xmlns:cdr="http://schemas.openxmlformats.org/drawingml/2006/chartDrawing">
    <cdr:from>
      <cdr:x>0.01954</cdr:x>
      <cdr:y>0.8131</cdr:y>
    </cdr:from>
    <cdr:to>
      <cdr:x>0.95917</cdr:x>
      <cdr:y>0.86731</cdr:y>
    </cdr:to>
    <cdr:sp macro="" textlink="">
      <cdr:nvSpPr>
        <cdr:cNvPr id="7" name="Rectangle 6"/>
        <cdr:cNvSpPr/>
      </cdr:nvSpPr>
      <cdr:spPr>
        <a:xfrm xmlns:a="http://schemas.openxmlformats.org/drawingml/2006/main">
          <a:off x="91440" y="2493818"/>
          <a:ext cx="4397432" cy="16625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0.06927</cdr:x>
      <cdr:y>0.79142</cdr:y>
    </cdr:from>
    <cdr:to>
      <cdr:x>0.15631</cdr:x>
      <cdr:y>0.92151</cdr:y>
    </cdr:to>
    <cdr:sp macro="" textlink="">
      <cdr:nvSpPr>
        <cdr:cNvPr id="8" name="Text Box 7"/>
        <cdr:cNvSpPr txBox="1"/>
      </cdr:nvSpPr>
      <cdr:spPr>
        <a:xfrm xmlns:a="http://schemas.openxmlformats.org/drawingml/2006/main">
          <a:off x="324197" y="2427316"/>
          <a:ext cx="407324" cy="399011"/>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2014</a:t>
          </a:r>
        </a:p>
      </cdr:txBody>
    </cdr:sp>
  </cdr:relSizeAnchor>
  <cdr:relSizeAnchor xmlns:cdr="http://schemas.openxmlformats.org/drawingml/2006/chartDrawing">
    <cdr:from>
      <cdr:x>0.18848</cdr:x>
      <cdr:y>0.81069</cdr:y>
    </cdr:from>
    <cdr:to>
      <cdr:x>0.29328</cdr:x>
      <cdr:y>0.94079</cdr:y>
    </cdr:to>
    <cdr:sp macro="" textlink="">
      <cdr:nvSpPr>
        <cdr:cNvPr id="10" name="Text Box 1"/>
        <cdr:cNvSpPr txBox="1"/>
      </cdr:nvSpPr>
      <cdr:spPr>
        <a:xfrm xmlns:a="http://schemas.openxmlformats.org/drawingml/2006/main">
          <a:off x="882071" y="2486428"/>
          <a:ext cx="490451" cy="399011"/>
        </a:xfrm>
        <a:prstGeom xmlns:a="http://schemas.openxmlformats.org/drawingml/2006/main" prst="rect">
          <a:avLst/>
        </a:prstGeom>
      </cdr:spPr>
    </cdr:sp>
  </cdr:relSizeAnchor>
  <cdr:relSizeAnchor xmlns:cdr="http://schemas.openxmlformats.org/drawingml/2006/chartDrawing">
    <cdr:from>
      <cdr:x>0.17052</cdr:x>
      <cdr:y>0.79142</cdr:y>
    </cdr:from>
    <cdr:to>
      <cdr:x>0.31972</cdr:x>
      <cdr:y>0.91067</cdr:y>
    </cdr:to>
    <cdr:sp macro="" textlink="">
      <cdr:nvSpPr>
        <cdr:cNvPr id="11" name="Text Box 10"/>
        <cdr:cNvSpPr txBox="1"/>
      </cdr:nvSpPr>
      <cdr:spPr>
        <a:xfrm xmlns:a="http://schemas.openxmlformats.org/drawingml/2006/main">
          <a:off x="798017" y="2427325"/>
          <a:ext cx="698274" cy="36574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2014</a:t>
          </a:r>
        </a:p>
      </cdr:txBody>
    </cdr:sp>
  </cdr:relSizeAnchor>
  <cdr:relSizeAnchor xmlns:cdr="http://schemas.openxmlformats.org/drawingml/2006/chartDrawing">
    <cdr:from>
      <cdr:x>0.33926</cdr:x>
      <cdr:y>0.79142</cdr:y>
    </cdr:from>
    <cdr:to>
      <cdr:x>0.43873</cdr:x>
      <cdr:y>0.90796</cdr:y>
    </cdr:to>
    <cdr:sp macro="" textlink="">
      <cdr:nvSpPr>
        <cdr:cNvPr id="12" name="Text Box 11"/>
        <cdr:cNvSpPr txBox="1"/>
      </cdr:nvSpPr>
      <cdr:spPr>
        <a:xfrm xmlns:a="http://schemas.openxmlformats.org/drawingml/2006/main">
          <a:off x="1587730" y="2427325"/>
          <a:ext cx="465512" cy="35743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2015</a:t>
          </a:r>
        </a:p>
      </cdr:txBody>
    </cdr:sp>
  </cdr:relSizeAnchor>
  <cdr:relSizeAnchor xmlns:cdr="http://schemas.openxmlformats.org/drawingml/2006/chartDrawing">
    <cdr:from>
      <cdr:x>0.46182</cdr:x>
      <cdr:y>0.79142</cdr:y>
    </cdr:from>
    <cdr:to>
      <cdr:x>0.62879</cdr:x>
      <cdr:y>0.90796</cdr:y>
    </cdr:to>
    <cdr:sp macro="" textlink="">
      <cdr:nvSpPr>
        <cdr:cNvPr id="13" name="Text Box 12"/>
        <cdr:cNvSpPr txBox="1"/>
      </cdr:nvSpPr>
      <cdr:spPr>
        <a:xfrm xmlns:a="http://schemas.openxmlformats.org/drawingml/2006/main">
          <a:off x="2161308" y="2427325"/>
          <a:ext cx="781397" cy="3574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2015</a:t>
          </a:r>
        </a:p>
      </cdr:txBody>
    </cdr:sp>
  </cdr:relSizeAnchor>
  <cdr:relSizeAnchor xmlns:cdr="http://schemas.openxmlformats.org/drawingml/2006/chartDrawing">
    <cdr:from>
      <cdr:x>0.62168</cdr:x>
      <cdr:y>0.79142</cdr:y>
    </cdr:from>
    <cdr:to>
      <cdr:x>0.73714</cdr:x>
      <cdr:y>0.92422</cdr:y>
    </cdr:to>
    <cdr:sp macro="" textlink="">
      <cdr:nvSpPr>
        <cdr:cNvPr id="14" name="Text Box 13"/>
        <cdr:cNvSpPr txBox="1"/>
      </cdr:nvSpPr>
      <cdr:spPr>
        <a:xfrm xmlns:a="http://schemas.openxmlformats.org/drawingml/2006/main">
          <a:off x="2909454" y="2427325"/>
          <a:ext cx="540328" cy="4073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2016</a:t>
          </a:r>
        </a:p>
      </cdr:txBody>
    </cdr:sp>
  </cdr:relSizeAnchor>
  <cdr:relSizeAnchor xmlns:cdr="http://schemas.openxmlformats.org/drawingml/2006/chartDrawing">
    <cdr:from>
      <cdr:x>0.73892</cdr:x>
      <cdr:y>0.79142</cdr:y>
    </cdr:from>
    <cdr:to>
      <cdr:x>0.90588</cdr:x>
      <cdr:y>0.92422</cdr:y>
    </cdr:to>
    <cdr:sp macro="" textlink="">
      <cdr:nvSpPr>
        <cdr:cNvPr id="15" name="Text Box 14"/>
        <cdr:cNvSpPr txBox="1"/>
      </cdr:nvSpPr>
      <cdr:spPr>
        <a:xfrm xmlns:a="http://schemas.openxmlformats.org/drawingml/2006/main">
          <a:off x="3458094" y="2427325"/>
          <a:ext cx="781396" cy="4073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a:t>
          </a:r>
          <a:r>
            <a:rPr lang="en-NZ" sz="900" baseline="0">
              <a:latin typeface="Arial" panose="020B0604020202020204" pitchFamily="34" charset="0"/>
              <a:cs typeface="Arial" panose="020B0604020202020204" pitchFamily="34" charset="0"/>
            </a:rPr>
            <a:t> 2016</a:t>
          </a:r>
          <a:endParaRPr lang="en-NZ"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0.90766</cdr:x>
      <cdr:y>0.79142</cdr:y>
    </cdr:from>
    <cdr:to>
      <cdr:x>1</cdr:x>
      <cdr:y>0.92151</cdr:y>
    </cdr:to>
    <cdr:sp macro="" textlink="">
      <cdr:nvSpPr>
        <cdr:cNvPr id="16" name="Text Box 15"/>
        <cdr:cNvSpPr txBox="1"/>
      </cdr:nvSpPr>
      <cdr:spPr>
        <a:xfrm xmlns:a="http://schemas.openxmlformats.org/drawingml/2006/main">
          <a:off x="4247802" y="2427325"/>
          <a:ext cx="432147" cy="398992"/>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2017</a:t>
          </a:r>
        </a:p>
      </cdr:txBody>
    </cdr:sp>
  </cdr:relSizeAnchor>
</c:userShapes>
</file>

<file path=word/drawings/drawing2.xml><?xml version="1.0" encoding="utf-8"?>
<c:userShapes xmlns:c="http://schemas.openxmlformats.org/drawingml/2006/chart">
  <cdr:relSizeAnchor xmlns:cdr="http://schemas.openxmlformats.org/drawingml/2006/chartDrawing">
    <cdr:from>
      <cdr:x>0.082</cdr:x>
      <cdr:y>0.7835</cdr:y>
    </cdr:from>
    <cdr:to>
      <cdr:x>0.27094</cdr:x>
      <cdr:y>0.92001</cdr:y>
    </cdr:to>
    <cdr:sp macro="" textlink="">
      <cdr:nvSpPr>
        <cdr:cNvPr id="7" name="Text Box 6"/>
        <cdr:cNvSpPr txBox="1"/>
      </cdr:nvSpPr>
      <cdr:spPr>
        <a:xfrm xmlns:a="http://schemas.openxmlformats.org/drawingml/2006/main">
          <a:off x="382386" y="2194560"/>
          <a:ext cx="881149" cy="382386"/>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endParaRPr lang="en-NZ"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0.05169</cdr:x>
      <cdr:y>0.7835</cdr:y>
    </cdr:from>
    <cdr:to>
      <cdr:x>0.18182</cdr:x>
      <cdr:y>0.94079</cdr:y>
    </cdr:to>
    <cdr:sp macro="" textlink="">
      <cdr:nvSpPr>
        <cdr:cNvPr id="8" name="Text Box 7"/>
        <cdr:cNvSpPr txBox="1"/>
      </cdr:nvSpPr>
      <cdr:spPr>
        <a:xfrm xmlns:a="http://schemas.openxmlformats.org/drawingml/2006/main">
          <a:off x="241070" y="2194560"/>
          <a:ext cx="606829" cy="440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2014</a:t>
          </a:r>
        </a:p>
      </cdr:txBody>
    </cdr:sp>
  </cdr:relSizeAnchor>
  <cdr:relSizeAnchor xmlns:cdr="http://schemas.openxmlformats.org/drawingml/2006/chartDrawing">
    <cdr:from>
      <cdr:x>0.17291</cdr:x>
      <cdr:y>0.7835</cdr:y>
    </cdr:from>
    <cdr:to>
      <cdr:x>0.31194</cdr:x>
      <cdr:y>0.91111</cdr:y>
    </cdr:to>
    <cdr:sp macro="" textlink="">
      <cdr:nvSpPr>
        <cdr:cNvPr id="9" name="Text Box 8"/>
        <cdr:cNvSpPr txBox="1"/>
      </cdr:nvSpPr>
      <cdr:spPr>
        <a:xfrm xmlns:a="http://schemas.openxmlformats.org/drawingml/2006/main">
          <a:off x="806334" y="2194560"/>
          <a:ext cx="648393" cy="35744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a:t>
          </a:r>
          <a:r>
            <a:rPr lang="en-NZ" sz="900" baseline="0">
              <a:latin typeface="Arial" panose="020B0604020202020204" pitchFamily="34" charset="0"/>
              <a:cs typeface="Arial" panose="020B0604020202020204" pitchFamily="34" charset="0"/>
            </a:rPr>
            <a:t> 2014</a:t>
          </a:r>
          <a:endParaRPr lang="en-NZ"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0.33333</cdr:x>
      <cdr:y>0.7835</cdr:y>
    </cdr:from>
    <cdr:to>
      <cdr:x>0.44385</cdr:x>
      <cdr:y>0.94672</cdr:y>
    </cdr:to>
    <cdr:sp macro="" textlink="">
      <cdr:nvSpPr>
        <cdr:cNvPr id="10" name="Text Box 9"/>
        <cdr:cNvSpPr txBox="1"/>
      </cdr:nvSpPr>
      <cdr:spPr>
        <a:xfrm xmlns:a="http://schemas.openxmlformats.org/drawingml/2006/main">
          <a:off x="1554480" y="2194560"/>
          <a:ext cx="515390" cy="45720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2015</a:t>
          </a:r>
        </a:p>
      </cdr:txBody>
    </cdr:sp>
  </cdr:relSizeAnchor>
  <cdr:relSizeAnchor xmlns:cdr="http://schemas.openxmlformats.org/drawingml/2006/chartDrawing">
    <cdr:from>
      <cdr:x>0.45455</cdr:x>
      <cdr:y>0.7835</cdr:y>
    </cdr:from>
    <cdr:to>
      <cdr:x>0.62389</cdr:x>
      <cdr:y>0.93485</cdr:y>
    </cdr:to>
    <cdr:sp macro="" textlink="">
      <cdr:nvSpPr>
        <cdr:cNvPr id="11" name="Text Box 10"/>
        <cdr:cNvSpPr txBox="1"/>
      </cdr:nvSpPr>
      <cdr:spPr>
        <a:xfrm xmlns:a="http://schemas.openxmlformats.org/drawingml/2006/main">
          <a:off x="2119746" y="2194560"/>
          <a:ext cx="789709" cy="42395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2015</a:t>
          </a:r>
        </a:p>
      </cdr:txBody>
    </cdr:sp>
  </cdr:relSizeAnchor>
  <cdr:relSizeAnchor xmlns:cdr="http://schemas.openxmlformats.org/drawingml/2006/chartDrawing">
    <cdr:from>
      <cdr:x>0.6221</cdr:x>
      <cdr:y>0.7835</cdr:y>
    </cdr:from>
    <cdr:to>
      <cdr:x>0.7451</cdr:x>
      <cdr:y>0.91408</cdr:y>
    </cdr:to>
    <cdr:sp macro="" textlink="">
      <cdr:nvSpPr>
        <cdr:cNvPr id="12" name="Text Box 11"/>
        <cdr:cNvSpPr txBox="1"/>
      </cdr:nvSpPr>
      <cdr:spPr>
        <a:xfrm xmlns:a="http://schemas.openxmlformats.org/drawingml/2006/main">
          <a:off x="2901141" y="2194560"/>
          <a:ext cx="573578" cy="36576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2016</a:t>
          </a:r>
        </a:p>
      </cdr:txBody>
    </cdr:sp>
  </cdr:relSizeAnchor>
  <cdr:relSizeAnchor xmlns:cdr="http://schemas.openxmlformats.org/drawingml/2006/chartDrawing">
    <cdr:from>
      <cdr:x>0.74688</cdr:x>
      <cdr:y>0.7835</cdr:y>
    </cdr:from>
    <cdr:to>
      <cdr:x>0.8877</cdr:x>
      <cdr:y>0.96453</cdr:y>
    </cdr:to>
    <cdr:sp macro="" textlink="">
      <cdr:nvSpPr>
        <cdr:cNvPr id="13" name="Text Box 12"/>
        <cdr:cNvSpPr txBox="1"/>
      </cdr:nvSpPr>
      <cdr:spPr>
        <a:xfrm xmlns:a="http://schemas.openxmlformats.org/drawingml/2006/main">
          <a:off x="3483032" y="2194560"/>
          <a:ext cx="656706" cy="50707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2016</a:t>
          </a:r>
        </a:p>
      </cdr:txBody>
    </cdr:sp>
  </cdr:relSizeAnchor>
  <cdr:relSizeAnchor xmlns:cdr="http://schemas.openxmlformats.org/drawingml/2006/chartDrawing">
    <cdr:from>
      <cdr:x>0.91444</cdr:x>
      <cdr:y>0.7835</cdr:y>
    </cdr:from>
    <cdr:to>
      <cdr:x>1</cdr:x>
      <cdr:y>0.91111</cdr:y>
    </cdr:to>
    <cdr:sp macro="" textlink="">
      <cdr:nvSpPr>
        <cdr:cNvPr id="14" name="Text Box 13"/>
        <cdr:cNvSpPr txBox="1"/>
      </cdr:nvSpPr>
      <cdr:spPr>
        <a:xfrm xmlns:a="http://schemas.openxmlformats.org/drawingml/2006/main">
          <a:off x="4264428" y="2194560"/>
          <a:ext cx="399011" cy="35744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2017</a:t>
          </a:r>
        </a:p>
      </cdr:txBody>
    </cdr:sp>
  </cdr:relSizeAnchor>
</c:userShapes>
</file>

<file path=word/drawings/drawing3.xml><?xml version="1.0" encoding="utf-8"?>
<c:userShapes xmlns:c="http://schemas.openxmlformats.org/drawingml/2006/chart">
  <cdr:relSizeAnchor xmlns:cdr="http://schemas.openxmlformats.org/drawingml/2006/chartDrawing">
    <cdr:from>
      <cdr:x>0.06239</cdr:x>
      <cdr:y>0.79021</cdr:y>
    </cdr:from>
    <cdr:to>
      <cdr:x>0.15508</cdr:x>
      <cdr:y>0.92294</cdr:y>
    </cdr:to>
    <cdr:sp macro="" textlink="">
      <cdr:nvSpPr>
        <cdr:cNvPr id="12" name="Text Box 11"/>
        <cdr:cNvSpPr txBox="1"/>
      </cdr:nvSpPr>
      <cdr:spPr>
        <a:xfrm xmlns:a="http://schemas.openxmlformats.org/drawingml/2006/main">
          <a:off x="290952" y="2128063"/>
          <a:ext cx="432256" cy="35744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a:t>
          </a:r>
          <a:r>
            <a:rPr lang="en-NZ" sz="900" baseline="0">
              <a:latin typeface="Arial" panose="020B0604020202020204" pitchFamily="34" charset="0"/>
              <a:cs typeface="Arial" panose="020B0604020202020204" pitchFamily="34" charset="0"/>
            </a:rPr>
            <a:t> 2014</a:t>
          </a:r>
          <a:endParaRPr lang="en-NZ"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0.17113</cdr:x>
      <cdr:y>0.79021</cdr:y>
    </cdr:from>
    <cdr:to>
      <cdr:x>0.31195</cdr:x>
      <cdr:y>0.93953</cdr:y>
    </cdr:to>
    <cdr:sp macro="" textlink="">
      <cdr:nvSpPr>
        <cdr:cNvPr id="13" name="Text Box 12"/>
        <cdr:cNvSpPr txBox="1"/>
      </cdr:nvSpPr>
      <cdr:spPr>
        <a:xfrm xmlns:a="http://schemas.openxmlformats.org/drawingml/2006/main">
          <a:off x="798044" y="2128063"/>
          <a:ext cx="656705" cy="40212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2014</a:t>
          </a:r>
        </a:p>
      </cdr:txBody>
    </cdr:sp>
  </cdr:relSizeAnchor>
  <cdr:relSizeAnchor xmlns:cdr="http://schemas.openxmlformats.org/drawingml/2006/chartDrawing">
    <cdr:from>
      <cdr:x>0.32436</cdr:x>
      <cdr:y>0.79021</cdr:y>
    </cdr:from>
    <cdr:to>
      <cdr:x>0.45098</cdr:x>
      <cdr:y>0.95612</cdr:y>
    </cdr:to>
    <cdr:sp macro="" textlink="">
      <cdr:nvSpPr>
        <cdr:cNvPr id="14" name="Text Box 13"/>
        <cdr:cNvSpPr txBox="1"/>
      </cdr:nvSpPr>
      <cdr:spPr>
        <a:xfrm xmlns:a="http://schemas.openxmlformats.org/drawingml/2006/main">
          <a:off x="1512625" y="2128063"/>
          <a:ext cx="590484" cy="446802"/>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2015</a:t>
          </a:r>
        </a:p>
      </cdr:txBody>
    </cdr:sp>
  </cdr:relSizeAnchor>
  <cdr:relSizeAnchor xmlns:cdr="http://schemas.openxmlformats.org/drawingml/2006/chartDrawing">
    <cdr:from>
      <cdr:x>0.45805</cdr:x>
      <cdr:y>0.79021</cdr:y>
    </cdr:from>
    <cdr:to>
      <cdr:x>0.62211</cdr:x>
      <cdr:y>0.93529</cdr:y>
    </cdr:to>
    <cdr:sp macro="" textlink="">
      <cdr:nvSpPr>
        <cdr:cNvPr id="15" name="Text Box 14"/>
        <cdr:cNvSpPr txBox="1"/>
      </cdr:nvSpPr>
      <cdr:spPr>
        <a:xfrm xmlns:a="http://schemas.openxmlformats.org/drawingml/2006/main">
          <a:off x="2136082" y="2128063"/>
          <a:ext cx="765084" cy="390706"/>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2015</a:t>
          </a:r>
        </a:p>
      </cdr:txBody>
    </cdr:sp>
  </cdr:relSizeAnchor>
  <cdr:relSizeAnchor xmlns:cdr="http://schemas.openxmlformats.org/drawingml/2006/chartDrawing">
    <cdr:from>
      <cdr:x>0.6221</cdr:x>
      <cdr:y>0.79021</cdr:y>
    </cdr:from>
    <cdr:to>
      <cdr:x>0.73084</cdr:x>
      <cdr:y>0.96856</cdr:y>
    </cdr:to>
    <cdr:sp macro="" textlink="">
      <cdr:nvSpPr>
        <cdr:cNvPr id="16" name="Text Box 15"/>
        <cdr:cNvSpPr txBox="1"/>
      </cdr:nvSpPr>
      <cdr:spPr>
        <a:xfrm xmlns:a="http://schemas.openxmlformats.org/drawingml/2006/main">
          <a:off x="2901131" y="2128063"/>
          <a:ext cx="507103" cy="48030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2016</a:t>
          </a:r>
        </a:p>
      </cdr:txBody>
    </cdr:sp>
  </cdr:relSizeAnchor>
  <cdr:relSizeAnchor xmlns:cdr="http://schemas.openxmlformats.org/drawingml/2006/chartDrawing">
    <cdr:from>
      <cdr:x>0.74688</cdr:x>
      <cdr:y>0.79021</cdr:y>
    </cdr:from>
    <cdr:to>
      <cdr:x>0.91622</cdr:x>
      <cdr:y>0.99345</cdr:y>
    </cdr:to>
    <cdr:sp macro="" textlink="">
      <cdr:nvSpPr>
        <cdr:cNvPr id="17" name="Text Box 16"/>
        <cdr:cNvSpPr txBox="1"/>
      </cdr:nvSpPr>
      <cdr:spPr>
        <a:xfrm xmlns:a="http://schemas.openxmlformats.org/drawingml/2006/main">
          <a:off x="3483015" y="2128063"/>
          <a:ext cx="789707" cy="54733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2016</a:t>
          </a:r>
        </a:p>
      </cdr:txBody>
    </cdr:sp>
  </cdr:relSizeAnchor>
  <cdr:relSizeAnchor xmlns:cdr="http://schemas.openxmlformats.org/drawingml/2006/chartDrawing">
    <cdr:from>
      <cdr:x>0.918</cdr:x>
      <cdr:y>0.79021</cdr:y>
    </cdr:from>
    <cdr:to>
      <cdr:x>1</cdr:x>
      <cdr:y>0.96856</cdr:y>
    </cdr:to>
    <cdr:sp macro="" textlink="">
      <cdr:nvSpPr>
        <cdr:cNvPr id="18" name="Text Box 17"/>
        <cdr:cNvSpPr txBox="1"/>
      </cdr:nvSpPr>
      <cdr:spPr>
        <a:xfrm xmlns:a="http://schemas.openxmlformats.org/drawingml/2006/main">
          <a:off x="4281054" y="2128063"/>
          <a:ext cx="382385" cy="48030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2017</a:t>
          </a:r>
        </a:p>
      </cdr:txBody>
    </cdr:sp>
  </cdr:relSizeAnchor>
</c:userShapes>
</file>

<file path=word/drawings/drawing4.xml><?xml version="1.0" encoding="utf-8"?>
<c:userShapes xmlns:c="http://schemas.openxmlformats.org/drawingml/2006/chart">
  <cdr:relSizeAnchor xmlns:cdr="http://schemas.openxmlformats.org/drawingml/2006/chartDrawing">
    <cdr:from>
      <cdr:x>0.05151</cdr:x>
      <cdr:y>0.7931</cdr:y>
    </cdr:from>
    <cdr:to>
      <cdr:x>0.15098</cdr:x>
      <cdr:y>0.93103</cdr:y>
    </cdr:to>
    <cdr:sp macro="" textlink="">
      <cdr:nvSpPr>
        <cdr:cNvPr id="5" name="Text Box 4"/>
        <cdr:cNvSpPr txBox="1"/>
      </cdr:nvSpPr>
      <cdr:spPr>
        <a:xfrm xmlns:a="http://schemas.openxmlformats.org/drawingml/2006/main">
          <a:off x="241069" y="2103119"/>
          <a:ext cx="465512" cy="36576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2013</a:t>
          </a:r>
        </a:p>
      </cdr:txBody>
    </cdr:sp>
  </cdr:relSizeAnchor>
  <cdr:relSizeAnchor xmlns:cdr="http://schemas.openxmlformats.org/drawingml/2006/chartDrawing">
    <cdr:from>
      <cdr:x>0.18118</cdr:x>
      <cdr:y>0.7931</cdr:y>
    </cdr:from>
    <cdr:to>
      <cdr:x>0.32861</cdr:x>
      <cdr:y>0.9373</cdr:y>
    </cdr:to>
    <cdr:sp macro="" textlink="">
      <cdr:nvSpPr>
        <cdr:cNvPr id="6" name="Text Box 5"/>
        <cdr:cNvSpPr txBox="1"/>
      </cdr:nvSpPr>
      <cdr:spPr>
        <a:xfrm xmlns:a="http://schemas.openxmlformats.org/drawingml/2006/main">
          <a:off x="847898" y="2103119"/>
          <a:ext cx="689957" cy="38238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2013</a:t>
          </a:r>
        </a:p>
      </cdr:txBody>
    </cdr:sp>
  </cdr:relSizeAnchor>
  <cdr:relSizeAnchor xmlns:cdr="http://schemas.openxmlformats.org/drawingml/2006/chartDrawing">
    <cdr:from>
      <cdr:x>0.33216</cdr:x>
      <cdr:y>0.78997</cdr:y>
    </cdr:from>
    <cdr:to>
      <cdr:x>0.44228</cdr:x>
      <cdr:y>0.94984</cdr:y>
    </cdr:to>
    <cdr:sp macro="" textlink="">
      <cdr:nvSpPr>
        <cdr:cNvPr id="7" name="Text Box 6"/>
        <cdr:cNvSpPr txBox="1"/>
      </cdr:nvSpPr>
      <cdr:spPr>
        <a:xfrm xmlns:a="http://schemas.openxmlformats.org/drawingml/2006/main">
          <a:off x="1554481" y="2094806"/>
          <a:ext cx="515388" cy="42395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2014</a:t>
          </a:r>
        </a:p>
      </cdr:txBody>
    </cdr:sp>
  </cdr:relSizeAnchor>
  <cdr:relSizeAnchor xmlns:cdr="http://schemas.openxmlformats.org/drawingml/2006/chartDrawing">
    <cdr:from>
      <cdr:x>0.46005</cdr:x>
      <cdr:y>0.7931</cdr:y>
    </cdr:from>
    <cdr:to>
      <cdr:x>0.61103</cdr:x>
      <cdr:y>0.9373</cdr:y>
    </cdr:to>
    <cdr:sp macro="" textlink="">
      <cdr:nvSpPr>
        <cdr:cNvPr id="8" name="Text Box 7"/>
        <cdr:cNvSpPr txBox="1"/>
      </cdr:nvSpPr>
      <cdr:spPr>
        <a:xfrm xmlns:a="http://schemas.openxmlformats.org/drawingml/2006/main">
          <a:off x="2152997" y="2103119"/>
          <a:ext cx="706581" cy="38238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2014</a:t>
          </a:r>
        </a:p>
      </cdr:txBody>
    </cdr:sp>
  </cdr:relSizeAnchor>
  <cdr:relSizeAnchor xmlns:cdr="http://schemas.openxmlformats.org/drawingml/2006/chartDrawing">
    <cdr:from>
      <cdr:x>0.62169</cdr:x>
      <cdr:y>0.7931</cdr:y>
    </cdr:from>
    <cdr:to>
      <cdr:x>0.73536</cdr:x>
      <cdr:y>0.95925</cdr:y>
    </cdr:to>
    <cdr:sp macro="" textlink="">
      <cdr:nvSpPr>
        <cdr:cNvPr id="9" name="Text Box 8"/>
        <cdr:cNvSpPr txBox="1"/>
      </cdr:nvSpPr>
      <cdr:spPr>
        <a:xfrm xmlns:a="http://schemas.openxmlformats.org/drawingml/2006/main">
          <a:off x="2909457" y="2103119"/>
          <a:ext cx="532014" cy="44057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2015</a:t>
          </a:r>
        </a:p>
      </cdr:txBody>
    </cdr:sp>
  </cdr:relSizeAnchor>
  <cdr:relSizeAnchor xmlns:cdr="http://schemas.openxmlformats.org/drawingml/2006/chartDrawing">
    <cdr:from>
      <cdr:x>0.73714</cdr:x>
      <cdr:y>0.7931</cdr:y>
    </cdr:from>
    <cdr:to>
      <cdr:x>0.90588</cdr:x>
      <cdr:y>0.94671</cdr:y>
    </cdr:to>
    <cdr:sp macro="" textlink="">
      <cdr:nvSpPr>
        <cdr:cNvPr id="10" name="Text Box 9"/>
        <cdr:cNvSpPr txBox="1"/>
      </cdr:nvSpPr>
      <cdr:spPr>
        <a:xfrm xmlns:a="http://schemas.openxmlformats.org/drawingml/2006/main">
          <a:off x="3449780" y="2103119"/>
          <a:ext cx="789710" cy="40732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0.92009</cdr:x>
      <cdr:y>0.7931</cdr:y>
    </cdr:from>
    <cdr:to>
      <cdr:x>1</cdr:x>
      <cdr:y>0.94044</cdr:y>
    </cdr:to>
    <cdr:sp macro="" textlink="">
      <cdr:nvSpPr>
        <cdr:cNvPr id="11" name="Text Box 10"/>
        <cdr:cNvSpPr txBox="1"/>
      </cdr:nvSpPr>
      <cdr:spPr>
        <a:xfrm xmlns:a="http://schemas.openxmlformats.org/drawingml/2006/main">
          <a:off x="4305992" y="2103119"/>
          <a:ext cx="373957" cy="39069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userShapes>
</file>

<file path=word/drawings/drawing5.xml><?xml version="1.0" encoding="utf-8"?>
<c:userShapes xmlns:c="http://schemas.openxmlformats.org/drawingml/2006/chart">
  <cdr:relSizeAnchor xmlns:cdr="http://schemas.openxmlformats.org/drawingml/2006/chartDrawing">
    <cdr:from>
      <cdr:x>0.05694</cdr:x>
      <cdr:y>0.77571</cdr:y>
    </cdr:from>
    <cdr:to>
      <cdr:x>0.15836</cdr:x>
      <cdr:y>0.91995</cdr:y>
    </cdr:to>
    <cdr:sp macro="" textlink="">
      <cdr:nvSpPr>
        <cdr:cNvPr id="6" name="Text Box 5"/>
        <cdr:cNvSpPr txBox="1"/>
      </cdr:nvSpPr>
      <cdr:spPr>
        <a:xfrm xmlns:a="http://schemas.openxmlformats.org/drawingml/2006/main">
          <a:off x="266007" y="2011681"/>
          <a:ext cx="473825" cy="3740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2013</a:t>
          </a:r>
        </a:p>
      </cdr:txBody>
    </cdr:sp>
  </cdr:relSizeAnchor>
  <cdr:relSizeAnchor xmlns:cdr="http://schemas.openxmlformats.org/drawingml/2006/chartDrawing">
    <cdr:from>
      <cdr:x>0.16548</cdr:x>
      <cdr:y>0.77571</cdr:y>
    </cdr:from>
    <cdr:to>
      <cdr:x>0.32563</cdr:x>
      <cdr:y>0.93278</cdr:y>
    </cdr:to>
    <cdr:sp macro="" textlink="">
      <cdr:nvSpPr>
        <cdr:cNvPr id="7" name="Text Box 6"/>
        <cdr:cNvSpPr txBox="1"/>
      </cdr:nvSpPr>
      <cdr:spPr>
        <a:xfrm xmlns:a="http://schemas.openxmlformats.org/drawingml/2006/main">
          <a:off x="773084" y="2011681"/>
          <a:ext cx="748145" cy="4073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2013</a:t>
          </a:r>
        </a:p>
      </cdr:txBody>
    </cdr:sp>
  </cdr:relSizeAnchor>
  <cdr:relSizeAnchor xmlns:cdr="http://schemas.openxmlformats.org/drawingml/2006/chartDrawing">
    <cdr:from>
      <cdr:x>0.33274</cdr:x>
      <cdr:y>0.77571</cdr:y>
    </cdr:from>
    <cdr:to>
      <cdr:x>0.43417</cdr:x>
      <cdr:y>0.9488</cdr:y>
    </cdr:to>
    <cdr:sp macro="" textlink="">
      <cdr:nvSpPr>
        <cdr:cNvPr id="8" name="Text Box 7"/>
        <cdr:cNvSpPr txBox="1"/>
      </cdr:nvSpPr>
      <cdr:spPr>
        <a:xfrm xmlns:a="http://schemas.openxmlformats.org/drawingml/2006/main">
          <a:off x="1554479" y="2011681"/>
          <a:ext cx="473825" cy="4488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2014</a:t>
          </a:r>
        </a:p>
      </cdr:txBody>
    </cdr:sp>
  </cdr:relSizeAnchor>
  <cdr:relSizeAnchor xmlns:cdr="http://schemas.openxmlformats.org/drawingml/2006/chartDrawing">
    <cdr:from>
      <cdr:x>0.45196</cdr:x>
      <cdr:y>0.77571</cdr:y>
    </cdr:from>
    <cdr:to>
      <cdr:x>0.59609</cdr:x>
      <cdr:y>0.91354</cdr:y>
    </cdr:to>
    <cdr:sp macro="" textlink="">
      <cdr:nvSpPr>
        <cdr:cNvPr id="9" name="Text Box 8"/>
        <cdr:cNvSpPr txBox="1"/>
      </cdr:nvSpPr>
      <cdr:spPr>
        <a:xfrm xmlns:a="http://schemas.openxmlformats.org/drawingml/2006/main">
          <a:off x="2111432" y="2011681"/>
          <a:ext cx="673331" cy="35744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2014</a:t>
          </a:r>
        </a:p>
      </cdr:txBody>
    </cdr:sp>
  </cdr:relSizeAnchor>
  <cdr:relSizeAnchor xmlns:cdr="http://schemas.openxmlformats.org/drawingml/2006/chartDrawing">
    <cdr:from>
      <cdr:x>0.64058</cdr:x>
      <cdr:y>0.77571</cdr:y>
    </cdr:from>
    <cdr:to>
      <cdr:x>0.71175</cdr:x>
      <cdr:y>0.92636</cdr:y>
    </cdr:to>
    <cdr:sp macro="" textlink="">
      <cdr:nvSpPr>
        <cdr:cNvPr id="10" name="Text Box 9"/>
        <cdr:cNvSpPr txBox="1"/>
      </cdr:nvSpPr>
      <cdr:spPr>
        <a:xfrm xmlns:a="http://schemas.openxmlformats.org/drawingml/2006/main">
          <a:off x="2992581" y="2011681"/>
          <a:ext cx="332510" cy="39069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2015</a:t>
          </a:r>
        </a:p>
      </cdr:txBody>
    </cdr:sp>
  </cdr:relSizeAnchor>
  <cdr:relSizeAnchor xmlns:cdr="http://schemas.openxmlformats.org/drawingml/2006/chartDrawing">
    <cdr:from>
      <cdr:x>0.76513</cdr:x>
      <cdr:y>0.77571</cdr:y>
    </cdr:from>
    <cdr:to>
      <cdr:x>0.89859</cdr:x>
      <cdr:y>0.92637</cdr:y>
    </cdr:to>
    <cdr:sp macro="" textlink="">
      <cdr:nvSpPr>
        <cdr:cNvPr id="11" name="Text Box 10"/>
        <cdr:cNvSpPr txBox="1"/>
      </cdr:nvSpPr>
      <cdr:spPr>
        <a:xfrm xmlns:a="http://schemas.openxmlformats.org/drawingml/2006/main">
          <a:off x="3574472" y="2011681"/>
          <a:ext cx="623455" cy="390699"/>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0.90926</cdr:x>
      <cdr:y>0.77571</cdr:y>
    </cdr:from>
    <cdr:to>
      <cdr:x>1</cdr:x>
      <cdr:y>0.93919</cdr:y>
    </cdr:to>
    <cdr:sp macro="" textlink="">
      <cdr:nvSpPr>
        <cdr:cNvPr id="12" name="Text Box 11"/>
        <cdr:cNvSpPr txBox="1"/>
      </cdr:nvSpPr>
      <cdr:spPr>
        <a:xfrm xmlns:a="http://schemas.openxmlformats.org/drawingml/2006/main">
          <a:off x="4247803" y="2011681"/>
          <a:ext cx="423892" cy="423949"/>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userShapes>
</file>

<file path=word/drawings/drawing6.xml><?xml version="1.0" encoding="utf-8"?>
<c:userShapes xmlns:c="http://schemas.openxmlformats.org/drawingml/2006/chart">
  <cdr:relSizeAnchor xmlns:cdr="http://schemas.openxmlformats.org/drawingml/2006/chartDrawing">
    <cdr:from>
      <cdr:x>0.06585</cdr:x>
      <cdr:y>0.81902</cdr:y>
    </cdr:from>
    <cdr:to>
      <cdr:x>0.15482</cdr:x>
      <cdr:y>0.98412</cdr:y>
    </cdr:to>
    <cdr:sp macro="" textlink="">
      <cdr:nvSpPr>
        <cdr:cNvPr id="10" name="Text Box 9"/>
        <cdr:cNvSpPr txBox="1"/>
      </cdr:nvSpPr>
      <cdr:spPr>
        <a:xfrm xmlns:a="http://schemas.openxmlformats.org/drawingml/2006/main">
          <a:off x="307627" y="2144278"/>
          <a:ext cx="415637" cy="43226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2013</a:t>
          </a:r>
        </a:p>
      </cdr:txBody>
    </cdr:sp>
  </cdr:relSizeAnchor>
  <cdr:relSizeAnchor xmlns:cdr="http://schemas.openxmlformats.org/drawingml/2006/chartDrawing">
    <cdr:from>
      <cdr:x>0.17083</cdr:x>
      <cdr:y>0.81902</cdr:y>
    </cdr:from>
    <cdr:to>
      <cdr:x>0.31318</cdr:x>
      <cdr:y>0.95872</cdr:y>
    </cdr:to>
    <cdr:sp macro="" textlink="">
      <cdr:nvSpPr>
        <cdr:cNvPr id="11" name="Text Box 10"/>
        <cdr:cNvSpPr txBox="1"/>
      </cdr:nvSpPr>
      <cdr:spPr>
        <a:xfrm xmlns:a="http://schemas.openxmlformats.org/drawingml/2006/main">
          <a:off x="798078" y="2144278"/>
          <a:ext cx="665018" cy="36576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2013</a:t>
          </a:r>
        </a:p>
      </cdr:txBody>
    </cdr:sp>
  </cdr:relSizeAnchor>
  <cdr:relSizeAnchor xmlns:cdr="http://schemas.openxmlformats.org/drawingml/2006/chartDrawing">
    <cdr:from>
      <cdr:x>0.33098</cdr:x>
      <cdr:y>0.81902</cdr:y>
    </cdr:from>
    <cdr:to>
      <cdr:x>0.43062</cdr:x>
      <cdr:y>0.95555</cdr:y>
    </cdr:to>
    <cdr:sp macro="" textlink="">
      <cdr:nvSpPr>
        <cdr:cNvPr id="12" name="Text Box 11"/>
        <cdr:cNvSpPr txBox="1"/>
      </cdr:nvSpPr>
      <cdr:spPr>
        <a:xfrm xmlns:a="http://schemas.openxmlformats.org/drawingml/2006/main">
          <a:off x="1546224" y="2144278"/>
          <a:ext cx="465513" cy="35744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2014</a:t>
          </a:r>
        </a:p>
      </cdr:txBody>
    </cdr:sp>
  </cdr:relSizeAnchor>
  <cdr:relSizeAnchor xmlns:cdr="http://schemas.openxmlformats.org/drawingml/2006/chartDrawing">
    <cdr:from>
      <cdr:x>0.45909</cdr:x>
      <cdr:y>0.81902</cdr:y>
    </cdr:from>
    <cdr:to>
      <cdr:x>0.59611</cdr:x>
      <cdr:y>0.97777</cdr:y>
    </cdr:to>
    <cdr:sp macro="" textlink="">
      <cdr:nvSpPr>
        <cdr:cNvPr id="13" name="Text Box 12"/>
        <cdr:cNvSpPr txBox="1"/>
      </cdr:nvSpPr>
      <cdr:spPr>
        <a:xfrm xmlns:a="http://schemas.openxmlformats.org/drawingml/2006/main">
          <a:off x="2144741" y="2144278"/>
          <a:ext cx="640080" cy="415636"/>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2014</a:t>
          </a:r>
        </a:p>
      </cdr:txBody>
    </cdr:sp>
  </cdr:relSizeAnchor>
  <cdr:relSizeAnchor xmlns:cdr="http://schemas.openxmlformats.org/drawingml/2006/chartDrawing">
    <cdr:from>
      <cdr:x>0.62458</cdr:x>
      <cdr:y>0.81902</cdr:y>
    </cdr:from>
    <cdr:to>
      <cdr:x>0.70821</cdr:x>
      <cdr:y>0.9746</cdr:y>
    </cdr:to>
    <cdr:sp macro="" textlink="">
      <cdr:nvSpPr>
        <cdr:cNvPr id="14" name="Text Box 13"/>
        <cdr:cNvSpPr txBox="1"/>
      </cdr:nvSpPr>
      <cdr:spPr>
        <a:xfrm xmlns:a="http://schemas.openxmlformats.org/drawingml/2006/main">
          <a:off x="2917824" y="2144278"/>
          <a:ext cx="390698" cy="40732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2015</a:t>
          </a:r>
        </a:p>
      </cdr:txBody>
    </cdr:sp>
  </cdr:relSizeAnchor>
  <cdr:relSizeAnchor xmlns:cdr="http://schemas.openxmlformats.org/drawingml/2006/chartDrawing">
    <cdr:from>
      <cdr:x>0.72778</cdr:x>
      <cdr:y>0.81902</cdr:y>
    </cdr:from>
    <cdr:to>
      <cdr:x>0.89504</cdr:x>
      <cdr:y>0.95872</cdr:y>
    </cdr:to>
    <cdr:sp macro="" textlink="">
      <cdr:nvSpPr>
        <cdr:cNvPr id="15" name="Text Box 14"/>
        <cdr:cNvSpPr txBox="1"/>
      </cdr:nvSpPr>
      <cdr:spPr>
        <a:xfrm xmlns:a="http://schemas.openxmlformats.org/drawingml/2006/main">
          <a:off x="3399961" y="2144278"/>
          <a:ext cx="781397" cy="36576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0.92705</cdr:x>
      <cdr:y>0.81902</cdr:y>
    </cdr:from>
    <cdr:to>
      <cdr:x>1</cdr:x>
      <cdr:y>0.95872</cdr:y>
    </cdr:to>
    <cdr:sp macro="" textlink="">
      <cdr:nvSpPr>
        <cdr:cNvPr id="16" name="Text Box 15"/>
        <cdr:cNvSpPr txBox="1"/>
      </cdr:nvSpPr>
      <cdr:spPr>
        <a:xfrm xmlns:a="http://schemas.openxmlformats.org/drawingml/2006/main">
          <a:off x="4330930" y="2144278"/>
          <a:ext cx="340822" cy="36576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userShapes>
</file>

<file path=word/drawings/drawing7.xml><?xml version="1.0" encoding="utf-8"?>
<c:userShapes xmlns:c="http://schemas.openxmlformats.org/drawingml/2006/chart">
  <cdr:relSizeAnchor xmlns:cdr="http://schemas.openxmlformats.org/drawingml/2006/chartDrawing">
    <cdr:from>
      <cdr:x>0.04626</cdr:x>
      <cdr:y>0.78811</cdr:y>
    </cdr:from>
    <cdr:to>
      <cdr:x>0.13167</cdr:x>
      <cdr:y>0.95586</cdr:y>
    </cdr:to>
    <cdr:sp macro="" textlink="">
      <cdr:nvSpPr>
        <cdr:cNvPr id="2" name="Text Box 1"/>
        <cdr:cNvSpPr txBox="1"/>
      </cdr:nvSpPr>
      <cdr:spPr>
        <a:xfrm xmlns:a="http://schemas.openxmlformats.org/drawingml/2006/main">
          <a:off x="216131" y="2069868"/>
          <a:ext cx="399010" cy="440576"/>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2013</a:t>
          </a:r>
        </a:p>
      </cdr:txBody>
    </cdr:sp>
  </cdr:relSizeAnchor>
  <cdr:relSizeAnchor xmlns:cdr="http://schemas.openxmlformats.org/drawingml/2006/chartDrawing">
    <cdr:from>
      <cdr:x>0.15125</cdr:x>
      <cdr:y>0.78811</cdr:y>
    </cdr:from>
    <cdr:to>
      <cdr:x>0.2847</cdr:x>
      <cdr:y>0.93687</cdr:y>
    </cdr:to>
    <cdr:sp macro="" textlink="">
      <cdr:nvSpPr>
        <cdr:cNvPr id="3" name="Text Box 2"/>
        <cdr:cNvSpPr txBox="1"/>
      </cdr:nvSpPr>
      <cdr:spPr>
        <a:xfrm xmlns:a="http://schemas.openxmlformats.org/drawingml/2006/main">
          <a:off x="706581" y="2069868"/>
          <a:ext cx="623455" cy="390699"/>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2013</a:t>
          </a:r>
        </a:p>
      </cdr:txBody>
    </cdr:sp>
  </cdr:relSizeAnchor>
  <cdr:relSizeAnchor xmlns:cdr="http://schemas.openxmlformats.org/drawingml/2006/chartDrawing">
    <cdr:from>
      <cdr:x>0.30605</cdr:x>
      <cdr:y>0.78811</cdr:y>
    </cdr:from>
    <cdr:to>
      <cdr:x>0.37901</cdr:x>
      <cdr:y>0.95903</cdr:y>
    </cdr:to>
    <cdr:sp macro="" textlink="">
      <cdr:nvSpPr>
        <cdr:cNvPr id="4" name="Text Box 3"/>
        <cdr:cNvSpPr txBox="1"/>
      </cdr:nvSpPr>
      <cdr:spPr>
        <a:xfrm xmlns:a="http://schemas.openxmlformats.org/drawingml/2006/main">
          <a:off x="1429790" y="2069868"/>
          <a:ext cx="340821" cy="44888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2014</a:t>
          </a:r>
        </a:p>
      </cdr:txBody>
    </cdr:sp>
  </cdr:relSizeAnchor>
  <cdr:relSizeAnchor xmlns:cdr="http://schemas.openxmlformats.org/drawingml/2006/chartDrawing">
    <cdr:from>
      <cdr:x>0.3968</cdr:x>
      <cdr:y>0.78811</cdr:y>
    </cdr:from>
    <cdr:to>
      <cdr:x>0.53026</cdr:x>
      <cdr:y>0.94637</cdr:y>
    </cdr:to>
    <cdr:sp macro="" textlink="">
      <cdr:nvSpPr>
        <cdr:cNvPr id="5" name="Text Box 4"/>
        <cdr:cNvSpPr txBox="1"/>
      </cdr:nvSpPr>
      <cdr:spPr>
        <a:xfrm xmlns:a="http://schemas.openxmlformats.org/drawingml/2006/main">
          <a:off x="1853738" y="2069868"/>
          <a:ext cx="623455" cy="415636"/>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2014</a:t>
          </a:r>
        </a:p>
      </cdr:txBody>
    </cdr:sp>
  </cdr:relSizeAnchor>
  <cdr:relSizeAnchor xmlns:cdr="http://schemas.openxmlformats.org/drawingml/2006/chartDrawing">
    <cdr:from>
      <cdr:x>0.52848</cdr:x>
      <cdr:y>0.78811</cdr:y>
    </cdr:from>
    <cdr:to>
      <cdr:x>0.63702</cdr:x>
      <cdr:y>0.93054</cdr:y>
    </cdr:to>
    <cdr:sp macro="" textlink="">
      <cdr:nvSpPr>
        <cdr:cNvPr id="6" name="Text Box 5"/>
        <cdr:cNvSpPr txBox="1"/>
      </cdr:nvSpPr>
      <cdr:spPr>
        <a:xfrm xmlns:a="http://schemas.openxmlformats.org/drawingml/2006/main">
          <a:off x="2468880" y="2069868"/>
          <a:ext cx="507076" cy="37407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2015</a:t>
          </a:r>
        </a:p>
      </cdr:txBody>
    </cdr:sp>
  </cdr:relSizeAnchor>
  <cdr:relSizeAnchor xmlns:cdr="http://schemas.openxmlformats.org/drawingml/2006/chartDrawing">
    <cdr:from>
      <cdr:x>0.64058</cdr:x>
      <cdr:y>0.78811</cdr:y>
    </cdr:from>
    <cdr:to>
      <cdr:x>0.77225</cdr:x>
      <cdr:y>0.94637</cdr:y>
    </cdr:to>
    <cdr:sp macro="" textlink="">
      <cdr:nvSpPr>
        <cdr:cNvPr id="7" name="Text Box 6"/>
        <cdr:cNvSpPr txBox="1"/>
      </cdr:nvSpPr>
      <cdr:spPr>
        <a:xfrm xmlns:a="http://schemas.openxmlformats.org/drawingml/2006/main">
          <a:off x="2992582" y="2069868"/>
          <a:ext cx="615141" cy="41563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0.77759</cdr:x>
      <cdr:y>0.78811</cdr:y>
    </cdr:from>
    <cdr:to>
      <cdr:x>0.86299</cdr:x>
      <cdr:y>0.92421</cdr:y>
    </cdr:to>
    <cdr:sp macro="" textlink="">
      <cdr:nvSpPr>
        <cdr:cNvPr id="8" name="Text Box 7"/>
        <cdr:cNvSpPr txBox="1"/>
      </cdr:nvSpPr>
      <cdr:spPr>
        <a:xfrm xmlns:a="http://schemas.openxmlformats.org/drawingml/2006/main">
          <a:off x="3632662" y="2069868"/>
          <a:ext cx="398954" cy="35744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dr:relSizeAnchor xmlns:cdr="http://schemas.openxmlformats.org/drawingml/2006/chartDrawing">
    <cdr:from>
      <cdr:x>0.88079</cdr:x>
      <cdr:y>0.78811</cdr:y>
    </cdr:from>
    <cdr:to>
      <cdr:x>1</cdr:x>
      <cdr:y>0.9432</cdr:y>
    </cdr:to>
    <cdr:sp macro="" textlink="">
      <cdr:nvSpPr>
        <cdr:cNvPr id="11" name="Text Box 10"/>
        <cdr:cNvSpPr txBox="1"/>
      </cdr:nvSpPr>
      <cdr:spPr>
        <a:xfrm xmlns:a="http://schemas.openxmlformats.org/drawingml/2006/main">
          <a:off x="4114800" y="2069868"/>
          <a:ext cx="556895" cy="40732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2016</a:t>
          </a:r>
        </a:p>
      </cdr:txBody>
    </cdr:sp>
  </cdr:relSizeAnchor>
</c:userShapes>
</file>

<file path=word/drawings/drawing8.xml><?xml version="1.0" encoding="utf-8"?>
<c:userShapes xmlns:c="http://schemas.openxmlformats.org/drawingml/2006/chart">
  <cdr:relSizeAnchor xmlns:cdr="http://schemas.openxmlformats.org/drawingml/2006/chartDrawing">
    <cdr:from>
      <cdr:x>0.05684</cdr:x>
      <cdr:y>0.80206</cdr:y>
    </cdr:from>
    <cdr:to>
      <cdr:x>0.13855</cdr:x>
      <cdr:y>0.94675</cdr:y>
    </cdr:to>
    <cdr:sp macro="" textlink="">
      <cdr:nvSpPr>
        <cdr:cNvPr id="2" name="Text Box 1"/>
        <cdr:cNvSpPr txBox="1"/>
      </cdr:nvSpPr>
      <cdr:spPr>
        <a:xfrm xmlns:a="http://schemas.openxmlformats.org/drawingml/2006/main">
          <a:off x="266008" y="2119745"/>
          <a:ext cx="382385" cy="38238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2013</a:t>
          </a:r>
        </a:p>
      </cdr:txBody>
    </cdr:sp>
  </cdr:relSizeAnchor>
  <cdr:relSizeAnchor xmlns:cdr="http://schemas.openxmlformats.org/drawingml/2006/chartDrawing">
    <cdr:from>
      <cdr:x>0.14388</cdr:x>
      <cdr:y>0.80206</cdr:y>
    </cdr:from>
    <cdr:to>
      <cdr:x>0.28953</cdr:x>
      <cdr:y>0.94989</cdr:y>
    </cdr:to>
    <cdr:sp macro="" textlink="">
      <cdr:nvSpPr>
        <cdr:cNvPr id="3" name="Text Box 2"/>
        <cdr:cNvSpPr txBox="1"/>
      </cdr:nvSpPr>
      <cdr:spPr>
        <a:xfrm xmlns:a="http://schemas.openxmlformats.org/drawingml/2006/main">
          <a:off x="673331" y="2119745"/>
          <a:ext cx="681644" cy="39069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2013</a:t>
          </a:r>
        </a:p>
      </cdr:txBody>
    </cdr:sp>
  </cdr:relSizeAnchor>
  <cdr:relSizeAnchor xmlns:cdr="http://schemas.openxmlformats.org/drawingml/2006/chartDrawing">
    <cdr:from>
      <cdr:x>0.30729</cdr:x>
      <cdr:y>0.80206</cdr:y>
    </cdr:from>
    <cdr:to>
      <cdr:x>0.37479</cdr:x>
      <cdr:y>0.95618</cdr:y>
    </cdr:to>
    <cdr:sp macro="" textlink="">
      <cdr:nvSpPr>
        <cdr:cNvPr id="4" name="Text Box 3"/>
        <cdr:cNvSpPr txBox="1"/>
      </cdr:nvSpPr>
      <cdr:spPr>
        <a:xfrm xmlns:a="http://schemas.openxmlformats.org/drawingml/2006/main">
          <a:off x="1438102" y="2119745"/>
          <a:ext cx="315883" cy="40732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2014</a:t>
          </a:r>
        </a:p>
      </cdr:txBody>
    </cdr:sp>
  </cdr:relSizeAnchor>
  <cdr:relSizeAnchor xmlns:cdr="http://schemas.openxmlformats.org/drawingml/2006/chartDrawing">
    <cdr:from>
      <cdr:x>0.39255</cdr:x>
      <cdr:y>0.80206</cdr:y>
    </cdr:from>
    <cdr:to>
      <cdr:x>0.5382</cdr:x>
      <cdr:y>0.93731</cdr:y>
    </cdr:to>
    <cdr:sp macro="" textlink="">
      <cdr:nvSpPr>
        <cdr:cNvPr id="5" name="Text Box 4"/>
        <cdr:cNvSpPr txBox="1"/>
      </cdr:nvSpPr>
      <cdr:spPr>
        <a:xfrm xmlns:a="http://schemas.openxmlformats.org/drawingml/2006/main">
          <a:off x="1837114" y="2119745"/>
          <a:ext cx="681643" cy="35744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2014</a:t>
          </a:r>
        </a:p>
      </cdr:txBody>
    </cdr:sp>
  </cdr:relSizeAnchor>
  <cdr:relSizeAnchor xmlns:cdr="http://schemas.openxmlformats.org/drawingml/2006/chartDrawing">
    <cdr:from>
      <cdr:x>0.5382</cdr:x>
      <cdr:y>0.80206</cdr:y>
    </cdr:from>
    <cdr:to>
      <cdr:x>0.63412</cdr:x>
      <cdr:y>0.94675</cdr:y>
    </cdr:to>
    <cdr:sp macro="" textlink="">
      <cdr:nvSpPr>
        <cdr:cNvPr id="6" name="Text Box 5"/>
        <cdr:cNvSpPr txBox="1"/>
      </cdr:nvSpPr>
      <cdr:spPr>
        <a:xfrm xmlns:a="http://schemas.openxmlformats.org/drawingml/2006/main">
          <a:off x="2518756" y="2119745"/>
          <a:ext cx="448887" cy="38238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2015</a:t>
          </a:r>
        </a:p>
      </cdr:txBody>
    </cdr:sp>
  </cdr:relSizeAnchor>
  <cdr:relSizeAnchor xmlns:cdr="http://schemas.openxmlformats.org/drawingml/2006/chartDrawing">
    <cdr:from>
      <cdr:x>0.62701</cdr:x>
      <cdr:y>0.80206</cdr:y>
    </cdr:from>
    <cdr:to>
      <cdr:x>0.7922</cdr:x>
      <cdr:y>0.9436</cdr:y>
    </cdr:to>
    <cdr:sp macro="" textlink="">
      <cdr:nvSpPr>
        <cdr:cNvPr id="7" name="Text Box 6"/>
        <cdr:cNvSpPr txBox="1"/>
      </cdr:nvSpPr>
      <cdr:spPr>
        <a:xfrm xmlns:a="http://schemas.openxmlformats.org/drawingml/2006/main">
          <a:off x="2934392" y="2119745"/>
          <a:ext cx="773083" cy="374072"/>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0.78155</cdr:x>
      <cdr:y>0.80206</cdr:y>
    </cdr:from>
    <cdr:to>
      <cdr:x>0.87214</cdr:x>
      <cdr:y>0.95618</cdr:y>
    </cdr:to>
    <cdr:sp macro="" textlink="">
      <cdr:nvSpPr>
        <cdr:cNvPr id="8" name="Text Box 7"/>
        <cdr:cNvSpPr txBox="1"/>
      </cdr:nvSpPr>
      <cdr:spPr>
        <a:xfrm xmlns:a="http://schemas.openxmlformats.org/drawingml/2006/main">
          <a:off x="3657601" y="2119745"/>
          <a:ext cx="423949" cy="40732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dr:relSizeAnchor xmlns:cdr="http://schemas.openxmlformats.org/drawingml/2006/chartDrawing">
    <cdr:from>
      <cdr:x>0.87922</cdr:x>
      <cdr:y>0.80206</cdr:y>
    </cdr:from>
    <cdr:to>
      <cdr:x>1</cdr:x>
      <cdr:y>0.94989</cdr:y>
    </cdr:to>
    <cdr:sp macro="" textlink="">
      <cdr:nvSpPr>
        <cdr:cNvPr id="9" name="Text Box 8"/>
        <cdr:cNvSpPr txBox="1"/>
      </cdr:nvSpPr>
      <cdr:spPr>
        <a:xfrm xmlns:a="http://schemas.openxmlformats.org/drawingml/2006/main">
          <a:off x="4114684" y="2119745"/>
          <a:ext cx="565266" cy="39069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2016</a:t>
          </a:r>
        </a:p>
      </cdr:txBody>
    </cdr:sp>
  </cdr:relSizeAnchor>
</c:userShapes>
</file>

<file path=word/drawings/drawing9.xml><?xml version="1.0" encoding="utf-8"?>
<c:userShapes xmlns:c="http://schemas.openxmlformats.org/drawingml/2006/chart">
  <cdr:relSizeAnchor xmlns:cdr="http://schemas.openxmlformats.org/drawingml/2006/chartDrawing">
    <cdr:from>
      <cdr:x>0.04973</cdr:x>
      <cdr:y>0.81221</cdr:y>
    </cdr:from>
    <cdr:to>
      <cdr:x>0.13855</cdr:x>
      <cdr:y>0.95554</cdr:y>
    </cdr:to>
    <cdr:sp macro="" textlink="">
      <cdr:nvSpPr>
        <cdr:cNvPr id="2" name="Text Box 1"/>
        <cdr:cNvSpPr txBox="1"/>
      </cdr:nvSpPr>
      <cdr:spPr>
        <a:xfrm xmlns:a="http://schemas.openxmlformats.org/drawingml/2006/main">
          <a:off x="232757" y="2119746"/>
          <a:ext cx="415637" cy="374072"/>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2013</a:t>
          </a:r>
        </a:p>
      </cdr:txBody>
    </cdr:sp>
  </cdr:relSizeAnchor>
  <cdr:relSizeAnchor xmlns:cdr="http://schemas.openxmlformats.org/drawingml/2006/chartDrawing">
    <cdr:from>
      <cdr:x>0.14032</cdr:x>
      <cdr:y>0.81221</cdr:y>
    </cdr:from>
    <cdr:to>
      <cdr:x>0.26999</cdr:x>
      <cdr:y>0.95873</cdr:y>
    </cdr:to>
    <cdr:sp macro="" textlink="">
      <cdr:nvSpPr>
        <cdr:cNvPr id="3" name="Text Box 2"/>
        <cdr:cNvSpPr txBox="1"/>
      </cdr:nvSpPr>
      <cdr:spPr>
        <a:xfrm xmlns:a="http://schemas.openxmlformats.org/drawingml/2006/main">
          <a:off x="656706" y="2119746"/>
          <a:ext cx="606829" cy="38238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2013</a:t>
          </a:r>
        </a:p>
      </cdr:txBody>
    </cdr:sp>
  </cdr:relSizeAnchor>
  <cdr:relSizeAnchor xmlns:cdr="http://schemas.openxmlformats.org/drawingml/2006/chartDrawing">
    <cdr:from>
      <cdr:x>0.27709</cdr:x>
      <cdr:y>0.81221</cdr:y>
    </cdr:from>
    <cdr:to>
      <cdr:x>0.37834</cdr:x>
      <cdr:y>0.95554</cdr:y>
    </cdr:to>
    <cdr:sp macro="" textlink="">
      <cdr:nvSpPr>
        <cdr:cNvPr id="4" name="Text Box 3"/>
        <cdr:cNvSpPr txBox="1"/>
      </cdr:nvSpPr>
      <cdr:spPr>
        <a:xfrm xmlns:a="http://schemas.openxmlformats.org/drawingml/2006/main">
          <a:off x="1296786" y="2119746"/>
          <a:ext cx="473825" cy="37407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2014</a:t>
          </a:r>
        </a:p>
      </cdr:txBody>
    </cdr:sp>
  </cdr:relSizeAnchor>
  <cdr:relSizeAnchor xmlns:cdr="http://schemas.openxmlformats.org/drawingml/2006/chartDrawing">
    <cdr:from>
      <cdr:x>0.389</cdr:x>
      <cdr:y>0.81221</cdr:y>
    </cdr:from>
    <cdr:to>
      <cdr:x>0.52222</cdr:x>
      <cdr:y>0.96828</cdr:y>
    </cdr:to>
    <cdr:sp macro="" textlink="">
      <cdr:nvSpPr>
        <cdr:cNvPr id="5" name="Text Box 4"/>
        <cdr:cNvSpPr txBox="1"/>
      </cdr:nvSpPr>
      <cdr:spPr>
        <a:xfrm xmlns:a="http://schemas.openxmlformats.org/drawingml/2006/main">
          <a:off x="1820488" y="2119746"/>
          <a:ext cx="623454" cy="40732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2014</a:t>
          </a:r>
        </a:p>
      </cdr:txBody>
    </cdr:sp>
  </cdr:relSizeAnchor>
  <cdr:relSizeAnchor xmlns:cdr="http://schemas.openxmlformats.org/drawingml/2006/chartDrawing">
    <cdr:from>
      <cdr:x>0.5382</cdr:x>
      <cdr:y>0.81221</cdr:y>
    </cdr:from>
    <cdr:to>
      <cdr:x>0.63767</cdr:x>
      <cdr:y>0.94917</cdr:y>
    </cdr:to>
    <cdr:sp macro="" textlink="">
      <cdr:nvSpPr>
        <cdr:cNvPr id="6" name="Text Box 5"/>
        <cdr:cNvSpPr txBox="1"/>
      </cdr:nvSpPr>
      <cdr:spPr>
        <a:xfrm xmlns:a="http://schemas.openxmlformats.org/drawingml/2006/main">
          <a:off x="2518758" y="2119746"/>
          <a:ext cx="465511" cy="35744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2015</a:t>
          </a:r>
        </a:p>
      </cdr:txBody>
    </cdr:sp>
  </cdr:relSizeAnchor>
  <cdr:relSizeAnchor xmlns:cdr="http://schemas.openxmlformats.org/drawingml/2006/chartDrawing">
    <cdr:from>
      <cdr:x>0.64122</cdr:x>
      <cdr:y>0.81221</cdr:y>
    </cdr:from>
    <cdr:to>
      <cdr:x>0.77622</cdr:x>
      <cdr:y>0.98102</cdr:y>
    </cdr:to>
    <cdr:sp macro="" textlink="">
      <cdr:nvSpPr>
        <cdr:cNvPr id="7" name="Text Box 6"/>
        <cdr:cNvSpPr txBox="1"/>
      </cdr:nvSpPr>
      <cdr:spPr>
        <a:xfrm xmlns:a="http://schemas.openxmlformats.org/drawingml/2006/main">
          <a:off x="3000895" y="2119746"/>
          <a:ext cx="631767" cy="44057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0.77799</cdr:x>
      <cdr:y>0.81221</cdr:y>
    </cdr:from>
    <cdr:to>
      <cdr:x>0.86858</cdr:x>
      <cdr:y>0.95873</cdr:y>
    </cdr:to>
    <cdr:sp macro="" textlink="">
      <cdr:nvSpPr>
        <cdr:cNvPr id="8" name="Text Box 7"/>
        <cdr:cNvSpPr txBox="1"/>
      </cdr:nvSpPr>
      <cdr:spPr>
        <a:xfrm xmlns:a="http://schemas.openxmlformats.org/drawingml/2006/main">
          <a:off x="3640975" y="2119746"/>
          <a:ext cx="423949" cy="38238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dr:relSizeAnchor xmlns:cdr="http://schemas.openxmlformats.org/drawingml/2006/chartDrawing">
    <cdr:from>
      <cdr:x>0.86681</cdr:x>
      <cdr:y>0.81221</cdr:y>
    </cdr:from>
    <cdr:to>
      <cdr:x>1</cdr:x>
      <cdr:y>0.95554</cdr:y>
    </cdr:to>
    <cdr:sp macro="" textlink="">
      <cdr:nvSpPr>
        <cdr:cNvPr id="9" name="Text Box 8"/>
        <cdr:cNvSpPr txBox="1"/>
      </cdr:nvSpPr>
      <cdr:spPr>
        <a:xfrm xmlns:a="http://schemas.openxmlformats.org/drawingml/2006/main">
          <a:off x="4056611" y="2119746"/>
          <a:ext cx="623339" cy="37407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7436-464A-42E2-AF35-474C220C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0</TotalTime>
  <Pages>38</Pages>
  <Words>7041</Words>
  <Characters>41987</Characters>
  <Application>Microsoft Office Word</Application>
  <DocSecurity>0</DocSecurity>
  <Lines>349</Lines>
  <Paragraphs>97</Paragraphs>
  <ScaleCrop>false</ScaleCrop>
  <HeadingPairs>
    <vt:vector size="2" baseType="variant">
      <vt:variant>
        <vt:lpstr>Title</vt:lpstr>
      </vt:variant>
      <vt:variant>
        <vt:i4>1</vt:i4>
      </vt:variant>
    </vt:vector>
  </HeadingPairs>
  <TitlesOfParts>
    <vt:vector size="1" baseType="lpstr">
      <vt:lpstr>ʹAla Moʹui Progress Report: Child health</vt:lpstr>
    </vt:vector>
  </TitlesOfParts>
  <Company>Microsoft</Company>
  <LinksUpToDate>false</LinksUpToDate>
  <CharactersWithSpaces>48931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ʹAla Moʹui Progress Report: Child health</dc:title>
  <dc:creator>Ministry of Health</dc:creator>
  <cp:lastModifiedBy>Ministry of Health</cp:lastModifiedBy>
  <cp:revision>2</cp:revision>
  <cp:lastPrinted>2018-08-20T02:01:00Z</cp:lastPrinted>
  <dcterms:created xsi:type="dcterms:W3CDTF">2018-11-29T03:00:00Z</dcterms:created>
  <dcterms:modified xsi:type="dcterms:W3CDTF">2018-11-29T03:00:00Z</dcterms:modified>
</cp:coreProperties>
</file>