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theme/themeOverride2.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theme/themeOverride3.xml" ContentType="application/vnd.openxmlformats-officedocument.themeOverride+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theme/themeOverride4.xml" ContentType="application/vnd.openxmlformats-officedocument.themeOverride+xml"/>
  <Override PartName="/word/drawings/drawing13.xml" ContentType="application/vnd.openxmlformats-officedocument.drawingml.chartshapes+xml"/>
  <Override PartName="/word/charts/chart14.xml" ContentType="application/vnd.openxmlformats-officedocument.drawingml.chart+xml"/>
  <Override PartName="/word/drawings/drawing14.xml" ContentType="application/vnd.openxmlformats-officedocument.drawingml.chartshapes+xml"/>
  <Override PartName="/word/charts/chart15.xml" ContentType="application/vnd.openxmlformats-officedocument.drawingml.chart+xml"/>
  <Override PartName="/word/drawings/drawing15.xml" ContentType="application/vnd.openxmlformats-officedocument.drawingml.chartshapes+xml"/>
  <Override PartName="/word/charts/chart16.xml" ContentType="application/vnd.openxmlformats-officedocument.drawingml.chart+xml"/>
  <Override PartName="/word/theme/themeOverride5.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theme/themeOverride6.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drawings/drawing16.xml" ContentType="application/vnd.openxmlformats-officedocument.drawingml.chartshapes+xml"/>
  <Override PartName="/word/charts/chart23.xml" ContentType="application/vnd.openxmlformats-officedocument.drawingml.chart+xml"/>
  <Override PartName="/word/drawings/drawing17.xml" ContentType="application/vnd.openxmlformats-officedocument.drawingml.chartshapes+xml"/>
  <Override PartName="/word/charts/chart24.xml" ContentType="application/vnd.openxmlformats-officedocument.drawingml.chart+xml"/>
  <Override PartName="/word/drawings/drawing18.xml" ContentType="application/vnd.openxmlformats-officedocument.drawingml.chartshapes+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drawings/drawing19.xml" ContentType="application/vnd.openxmlformats-officedocument.drawingml.chartshapes+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3C07B" w14:textId="41AA6617" w:rsidR="00C86248" w:rsidRPr="00D54D50" w:rsidRDefault="00473BBD" w:rsidP="00D54D50">
      <w:pPr>
        <w:pStyle w:val="Title"/>
      </w:pPr>
      <w:bookmarkStart w:id="0" w:name="_GoBack"/>
      <w:bookmarkEnd w:id="0"/>
      <w:r>
        <w:rPr>
          <w:rFonts w:ascii="Arial" w:hAnsi="Arial" w:cs="Arial"/>
        </w:rPr>
        <w:t>ʹ</w:t>
      </w:r>
      <w:r w:rsidR="00745C7A">
        <w:t>Ala Mo</w:t>
      </w:r>
      <w:r>
        <w:rPr>
          <w:rFonts w:ascii="Arial" w:hAnsi="Arial" w:cs="Arial"/>
        </w:rPr>
        <w:t>ʹ</w:t>
      </w:r>
      <w:r w:rsidR="00745C7A">
        <w:t xml:space="preserve">ui </w:t>
      </w:r>
      <w:r w:rsidR="002601C2">
        <w:t>Progress Report</w:t>
      </w:r>
    </w:p>
    <w:p w14:paraId="267BF98A" w14:textId="646682B9" w:rsidR="00455CC9" w:rsidRDefault="008D69EB" w:rsidP="00455CC9">
      <w:pPr>
        <w:pStyle w:val="Year"/>
      </w:pPr>
      <w:r>
        <w:t xml:space="preserve">Pacific </w:t>
      </w:r>
      <w:r w:rsidR="002601C2">
        <w:t>Health</w:t>
      </w:r>
      <w:r w:rsidR="00C7122E">
        <w:t xml:space="preserve"> Care Utilisation</w:t>
      </w:r>
    </w:p>
    <w:p w14:paraId="7D20E837" w14:textId="1F5EC258" w:rsidR="00C86248" w:rsidRDefault="007B01E7" w:rsidP="00343365">
      <w:pPr>
        <w:pStyle w:val="Subhead"/>
      </w:pPr>
      <w:r>
        <w:t>November</w:t>
      </w:r>
      <w:r w:rsidR="00084815">
        <w:t xml:space="preserve"> 2018</w:t>
      </w:r>
    </w:p>
    <w:p w14:paraId="727971F3" w14:textId="77777777"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14:paraId="4F2F7B0E" w14:textId="77777777" w:rsidR="00473BBD" w:rsidRPr="00054081" w:rsidRDefault="00473BBD" w:rsidP="00473BBD">
      <w:pPr>
        <w:pStyle w:val="Imprint"/>
      </w:pPr>
      <w:r>
        <w:lastRenderedPageBreak/>
        <w:t xml:space="preserve">Acknowledgements: </w:t>
      </w:r>
      <w:r w:rsidRPr="00054081">
        <w:t xml:space="preserve">The authors of this report were Jordan Na'ama and Laura Cleary </w:t>
      </w:r>
      <w:r>
        <w:t xml:space="preserve">     </w:t>
      </w:r>
      <w:r w:rsidRPr="00054081">
        <w:t>from the Ministry of Health.</w:t>
      </w:r>
    </w:p>
    <w:p w14:paraId="38156DBD" w14:textId="223982E7" w:rsidR="00A80363" w:rsidRPr="00442C1C" w:rsidRDefault="00A80363">
      <w:pPr>
        <w:pStyle w:val="Imprint"/>
      </w:pPr>
      <w:r>
        <w:t xml:space="preserve">Citation: </w:t>
      </w:r>
      <w:r w:rsidR="00442C1C">
        <w:t xml:space="preserve">Ministry of Health. </w:t>
      </w:r>
      <w:r w:rsidR="002601C2">
        <w:t>201</w:t>
      </w:r>
      <w:r w:rsidR="00374A2C">
        <w:t>8</w:t>
      </w:r>
      <w:r w:rsidR="00442C1C">
        <w:t xml:space="preserve">. </w:t>
      </w:r>
      <w:r w:rsidR="00473BBD">
        <w:rPr>
          <w:rFonts w:ascii="Arial" w:hAnsi="Arial" w:cs="Arial"/>
          <w:i/>
        </w:rPr>
        <w:t>ʹ</w:t>
      </w:r>
      <w:r w:rsidR="00473BBD">
        <w:rPr>
          <w:i/>
        </w:rPr>
        <w:t>Ala Mo</w:t>
      </w:r>
      <w:r w:rsidR="00473BBD">
        <w:rPr>
          <w:rFonts w:ascii="Arial" w:hAnsi="Arial" w:cs="Arial"/>
          <w:i/>
        </w:rPr>
        <w:t>ʹ</w:t>
      </w:r>
      <w:r w:rsidR="002601C2">
        <w:rPr>
          <w:i/>
        </w:rPr>
        <w:t xml:space="preserve">ui Progress Report: </w:t>
      </w:r>
      <w:r w:rsidR="00C7122E">
        <w:rPr>
          <w:i/>
        </w:rPr>
        <w:t>H</w:t>
      </w:r>
      <w:r w:rsidR="002601C2">
        <w:rPr>
          <w:i/>
        </w:rPr>
        <w:t>ealth</w:t>
      </w:r>
      <w:r w:rsidR="00C7122E">
        <w:rPr>
          <w:i/>
        </w:rPr>
        <w:t xml:space="preserve"> care utilisation</w:t>
      </w:r>
      <w:r w:rsidR="00374A2C">
        <w:rPr>
          <w:i/>
        </w:rPr>
        <w:t xml:space="preserve"> </w:t>
      </w:r>
      <w:r w:rsidR="007B01E7">
        <w:rPr>
          <w:i/>
        </w:rPr>
        <w:t>November</w:t>
      </w:r>
      <w:r w:rsidR="00374A2C">
        <w:rPr>
          <w:i/>
        </w:rPr>
        <w:t xml:space="preserve"> 201</w:t>
      </w:r>
      <w:r w:rsidR="009A62F4">
        <w:rPr>
          <w:i/>
        </w:rPr>
        <w:t>8</w:t>
      </w:r>
      <w:r w:rsidR="00442C1C">
        <w:t>. Wellington:</w:t>
      </w:r>
      <w:r w:rsidR="002601C2">
        <w:t> </w:t>
      </w:r>
      <w:r w:rsidR="00442C1C">
        <w:t>Ministry of Health.</w:t>
      </w:r>
    </w:p>
    <w:p w14:paraId="291FCC3F" w14:textId="4371A97E" w:rsidR="00C86248" w:rsidRDefault="00C86248">
      <w:pPr>
        <w:pStyle w:val="Imprint"/>
      </w:pPr>
      <w:r>
        <w:t xml:space="preserve">Published in </w:t>
      </w:r>
      <w:r w:rsidR="007B01E7">
        <w:t>November</w:t>
      </w:r>
      <w:r w:rsidR="002601C2">
        <w:t xml:space="preserve"> 2018</w:t>
      </w:r>
      <w:r w:rsidR="005019AE">
        <w:br/>
      </w:r>
      <w:r>
        <w:t>by the</w:t>
      </w:r>
      <w:r w:rsidR="00442C1C">
        <w:t xml:space="preserve"> </w:t>
      </w:r>
      <w:r>
        <w:t>Ministry of Health</w:t>
      </w:r>
      <w:r>
        <w:br/>
        <w:t>PO Box 5013, Wellington</w:t>
      </w:r>
      <w:r w:rsidR="00A80363">
        <w:t xml:space="preserve"> 614</w:t>
      </w:r>
      <w:r w:rsidR="006041F0">
        <w:t>0</w:t>
      </w:r>
      <w:r>
        <w:t>, New Zealand</w:t>
      </w:r>
    </w:p>
    <w:p w14:paraId="43EB4588" w14:textId="608B1233" w:rsidR="00082CD6" w:rsidRPr="009C0F2D" w:rsidRDefault="00D863D0" w:rsidP="00082CD6">
      <w:pPr>
        <w:pStyle w:val="Imprint"/>
      </w:pPr>
      <w:r>
        <w:t>ISBN</w:t>
      </w:r>
      <w:r w:rsidR="00442C1C">
        <w:t xml:space="preserve"> </w:t>
      </w:r>
      <w:r w:rsidR="008F6CA3" w:rsidRPr="008F6CA3">
        <w:t>978-1-98-853944-7</w:t>
      </w:r>
      <w:r w:rsidR="00442C1C">
        <w:t xml:space="preserve"> </w:t>
      </w:r>
      <w:r>
        <w:t>(</w:t>
      </w:r>
      <w:r w:rsidR="00442C1C">
        <w:t>online</w:t>
      </w:r>
      <w:r>
        <w:t>)</w:t>
      </w:r>
      <w:r w:rsidR="00082CD6">
        <w:br/>
      </w:r>
      <w:r w:rsidR="00082CD6" w:rsidRPr="009C0F2D">
        <w:t xml:space="preserve">HP </w:t>
      </w:r>
      <w:r w:rsidR="008F6CA3">
        <w:t>6779</w:t>
      </w:r>
    </w:p>
    <w:p w14:paraId="33D75889" w14:textId="34C0B29A" w:rsidR="00C86248" w:rsidRPr="002F7222" w:rsidRDefault="008E3A07">
      <w:pPr>
        <w:pStyle w:val="Imprint"/>
        <w:rPr>
          <w:rStyle w:val="Hyperlink"/>
          <w:rFonts w:eastAsia="MS Gothic"/>
        </w:rPr>
      </w:pPr>
      <w:r>
        <w:t>Th</w:t>
      </w:r>
      <w:r w:rsidR="001A0619">
        <w:t xml:space="preserve">is document is available at </w:t>
      </w:r>
      <w:r>
        <w:t>health.govt.nz</w:t>
      </w:r>
    </w:p>
    <w:p w14:paraId="676C4959" w14:textId="77777777" w:rsidR="00C86248" w:rsidRDefault="008C64C4">
      <w:pPr>
        <w:jc w:val="center"/>
      </w:pPr>
      <w:r>
        <w:rPr>
          <w:noProof/>
          <w:lang w:eastAsia="ja-JP"/>
        </w:rPr>
        <w:drawing>
          <wp:inline distT="0" distB="0" distL="0" distR="0" wp14:anchorId="2B84EE42" wp14:editId="3148B933">
            <wp:extent cx="1670685" cy="681355"/>
            <wp:effectExtent l="0" t="0" r="5715" b="4445"/>
            <wp:docPr id="2" name="Picture 2" descr="Ministry of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14:paraId="4046C368" w14:textId="77777777" w:rsidR="007E74F1" w:rsidRPr="001F45A7" w:rsidRDefault="007E74F1" w:rsidP="001F45A7">
      <w:pPr>
        <w:spacing w:before="240"/>
        <w:ind w:right="-851"/>
        <w:rPr>
          <w:sz w:val="18"/>
          <w:szCs w:val="18"/>
        </w:rPr>
      </w:pPr>
      <w:r w:rsidRPr="001F45A7">
        <w:rPr>
          <w:b/>
          <w:noProof/>
          <w:sz w:val="18"/>
          <w:szCs w:val="18"/>
          <w:lang w:eastAsia="ja-JP"/>
        </w:rPr>
        <w:drawing>
          <wp:inline distT="0" distB="0" distL="0" distR="0" wp14:anchorId="2FA9579B" wp14:editId="0E929706">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ie, copy and redistribute the material in any medium or format; adapt ie, remix, transform and build upon the material. </w:t>
      </w:r>
      <w:r w:rsidRPr="001F45A7">
        <w:rPr>
          <w:bCs/>
          <w:sz w:val="18"/>
          <w:szCs w:val="18"/>
        </w:rPr>
        <w:t>You must give appropriate credit, provide a link to the licence and indicate if changes were made.</w:t>
      </w:r>
    </w:p>
    <w:p w14:paraId="75C35215" w14:textId="77777777"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14:paraId="6130DFA5" w14:textId="77777777" w:rsidR="00C86248" w:rsidRDefault="00C86248" w:rsidP="00025A6F">
      <w:pPr>
        <w:pStyle w:val="IntroHead"/>
      </w:pPr>
      <w:bookmarkStart w:id="1" w:name="_Toc405792991"/>
      <w:bookmarkStart w:id="2" w:name="_Toc405793224"/>
      <w:r>
        <w:lastRenderedPageBreak/>
        <w:t>Contents</w:t>
      </w:r>
      <w:bookmarkEnd w:id="1"/>
      <w:bookmarkEnd w:id="2"/>
    </w:p>
    <w:p w14:paraId="454F3007" w14:textId="77777777" w:rsidR="000A4145" w:rsidRDefault="000A4145">
      <w:pPr>
        <w:pStyle w:val="TOC1"/>
        <w:rPr>
          <w:rFonts w:asciiTheme="minorHAnsi" w:eastAsiaTheme="minorEastAsia" w:hAnsiTheme="minorHAnsi" w:cstheme="minorBidi"/>
          <w:b w:val="0"/>
          <w:noProof/>
          <w:szCs w:val="22"/>
          <w:lang w:eastAsia="en-NZ"/>
        </w:rPr>
      </w:pPr>
      <w:r>
        <w:fldChar w:fldCharType="begin"/>
      </w:r>
      <w:r>
        <w:instrText xml:space="preserve"> TOC \o "1-2" \h \z </w:instrText>
      </w:r>
      <w:r>
        <w:fldChar w:fldCharType="separate"/>
      </w:r>
      <w:hyperlink w:anchor="_Toc531260410" w:history="1">
        <w:r w:rsidRPr="002E0984">
          <w:rPr>
            <w:rStyle w:val="Hyperlink"/>
            <w:noProof/>
          </w:rPr>
          <w:t>Introduction</w:t>
        </w:r>
        <w:r>
          <w:rPr>
            <w:noProof/>
            <w:webHidden/>
          </w:rPr>
          <w:tab/>
        </w:r>
        <w:r>
          <w:rPr>
            <w:noProof/>
            <w:webHidden/>
          </w:rPr>
          <w:fldChar w:fldCharType="begin"/>
        </w:r>
        <w:r>
          <w:rPr>
            <w:noProof/>
            <w:webHidden/>
          </w:rPr>
          <w:instrText xml:space="preserve"> PAGEREF _Toc531260410 \h </w:instrText>
        </w:r>
        <w:r>
          <w:rPr>
            <w:noProof/>
            <w:webHidden/>
          </w:rPr>
        </w:r>
        <w:r>
          <w:rPr>
            <w:noProof/>
            <w:webHidden/>
          </w:rPr>
          <w:fldChar w:fldCharType="separate"/>
        </w:r>
        <w:r>
          <w:rPr>
            <w:noProof/>
            <w:webHidden/>
          </w:rPr>
          <w:t>1</w:t>
        </w:r>
        <w:r>
          <w:rPr>
            <w:noProof/>
            <w:webHidden/>
          </w:rPr>
          <w:fldChar w:fldCharType="end"/>
        </w:r>
      </w:hyperlink>
    </w:p>
    <w:p w14:paraId="09F24C1F" w14:textId="77777777" w:rsidR="000A4145" w:rsidRDefault="00015C06">
      <w:pPr>
        <w:pStyle w:val="TOC1"/>
        <w:rPr>
          <w:rFonts w:asciiTheme="minorHAnsi" w:eastAsiaTheme="minorEastAsia" w:hAnsiTheme="minorHAnsi" w:cstheme="minorBidi"/>
          <w:b w:val="0"/>
          <w:noProof/>
          <w:szCs w:val="22"/>
          <w:lang w:eastAsia="en-NZ"/>
        </w:rPr>
      </w:pPr>
      <w:hyperlink w:anchor="_Toc531260411" w:history="1">
        <w:r w:rsidR="000A4145" w:rsidRPr="002E0984">
          <w:rPr>
            <w:rStyle w:val="Hyperlink"/>
            <w:noProof/>
          </w:rPr>
          <w:t>Purpose statement</w:t>
        </w:r>
        <w:r w:rsidR="000A4145">
          <w:rPr>
            <w:noProof/>
            <w:webHidden/>
          </w:rPr>
          <w:tab/>
        </w:r>
        <w:r w:rsidR="000A4145">
          <w:rPr>
            <w:noProof/>
            <w:webHidden/>
          </w:rPr>
          <w:fldChar w:fldCharType="begin"/>
        </w:r>
        <w:r w:rsidR="000A4145">
          <w:rPr>
            <w:noProof/>
            <w:webHidden/>
          </w:rPr>
          <w:instrText xml:space="preserve"> PAGEREF _Toc531260411 \h </w:instrText>
        </w:r>
        <w:r w:rsidR="000A4145">
          <w:rPr>
            <w:noProof/>
            <w:webHidden/>
          </w:rPr>
        </w:r>
        <w:r w:rsidR="000A4145">
          <w:rPr>
            <w:noProof/>
            <w:webHidden/>
          </w:rPr>
          <w:fldChar w:fldCharType="separate"/>
        </w:r>
        <w:r w:rsidR="000A4145">
          <w:rPr>
            <w:noProof/>
            <w:webHidden/>
          </w:rPr>
          <w:t>2</w:t>
        </w:r>
        <w:r w:rsidR="000A4145">
          <w:rPr>
            <w:noProof/>
            <w:webHidden/>
          </w:rPr>
          <w:fldChar w:fldCharType="end"/>
        </w:r>
      </w:hyperlink>
    </w:p>
    <w:p w14:paraId="2F5EF0FE" w14:textId="77777777" w:rsidR="000A4145" w:rsidRDefault="00015C06">
      <w:pPr>
        <w:pStyle w:val="TOC1"/>
        <w:rPr>
          <w:rFonts w:asciiTheme="minorHAnsi" w:eastAsiaTheme="minorEastAsia" w:hAnsiTheme="minorHAnsi" w:cstheme="minorBidi"/>
          <w:b w:val="0"/>
          <w:noProof/>
          <w:szCs w:val="22"/>
          <w:lang w:eastAsia="en-NZ"/>
        </w:rPr>
      </w:pPr>
      <w:hyperlink w:anchor="_Toc531260412" w:history="1">
        <w:r w:rsidR="000A4145" w:rsidRPr="002E0984">
          <w:rPr>
            <w:rStyle w:val="Hyperlink"/>
            <w:noProof/>
          </w:rPr>
          <w:t>Background</w:t>
        </w:r>
        <w:r w:rsidR="000A4145">
          <w:rPr>
            <w:noProof/>
            <w:webHidden/>
          </w:rPr>
          <w:tab/>
        </w:r>
        <w:r w:rsidR="000A4145">
          <w:rPr>
            <w:noProof/>
            <w:webHidden/>
          </w:rPr>
          <w:fldChar w:fldCharType="begin"/>
        </w:r>
        <w:r w:rsidR="000A4145">
          <w:rPr>
            <w:noProof/>
            <w:webHidden/>
          </w:rPr>
          <w:instrText xml:space="preserve"> PAGEREF _Toc531260412 \h </w:instrText>
        </w:r>
        <w:r w:rsidR="000A4145">
          <w:rPr>
            <w:noProof/>
            <w:webHidden/>
          </w:rPr>
        </w:r>
        <w:r w:rsidR="000A4145">
          <w:rPr>
            <w:noProof/>
            <w:webHidden/>
          </w:rPr>
          <w:fldChar w:fldCharType="separate"/>
        </w:r>
        <w:r w:rsidR="000A4145">
          <w:rPr>
            <w:noProof/>
            <w:webHidden/>
          </w:rPr>
          <w:t>3</w:t>
        </w:r>
        <w:r w:rsidR="000A4145">
          <w:rPr>
            <w:noProof/>
            <w:webHidden/>
          </w:rPr>
          <w:fldChar w:fldCharType="end"/>
        </w:r>
      </w:hyperlink>
    </w:p>
    <w:p w14:paraId="68500ECC" w14:textId="77777777" w:rsidR="000A4145" w:rsidRDefault="00015C06">
      <w:pPr>
        <w:pStyle w:val="TOC1"/>
        <w:rPr>
          <w:rFonts w:asciiTheme="minorHAnsi" w:eastAsiaTheme="minorEastAsia" w:hAnsiTheme="minorHAnsi" w:cstheme="minorBidi"/>
          <w:b w:val="0"/>
          <w:noProof/>
          <w:szCs w:val="22"/>
          <w:lang w:eastAsia="en-NZ"/>
        </w:rPr>
      </w:pPr>
      <w:hyperlink w:anchor="_Toc531260413" w:history="1">
        <w:r w:rsidR="000A4145" w:rsidRPr="002E0984">
          <w:rPr>
            <w:rStyle w:val="Hyperlink"/>
            <w:noProof/>
          </w:rPr>
          <w:t>Notes about the data</w:t>
        </w:r>
        <w:r w:rsidR="000A4145">
          <w:rPr>
            <w:noProof/>
            <w:webHidden/>
          </w:rPr>
          <w:tab/>
        </w:r>
        <w:r w:rsidR="000A4145">
          <w:rPr>
            <w:noProof/>
            <w:webHidden/>
          </w:rPr>
          <w:fldChar w:fldCharType="begin"/>
        </w:r>
        <w:r w:rsidR="000A4145">
          <w:rPr>
            <w:noProof/>
            <w:webHidden/>
          </w:rPr>
          <w:instrText xml:space="preserve"> PAGEREF _Toc531260413 \h </w:instrText>
        </w:r>
        <w:r w:rsidR="000A4145">
          <w:rPr>
            <w:noProof/>
            <w:webHidden/>
          </w:rPr>
        </w:r>
        <w:r w:rsidR="000A4145">
          <w:rPr>
            <w:noProof/>
            <w:webHidden/>
          </w:rPr>
          <w:fldChar w:fldCharType="separate"/>
        </w:r>
        <w:r w:rsidR="000A4145">
          <w:rPr>
            <w:noProof/>
            <w:webHidden/>
          </w:rPr>
          <w:t>4</w:t>
        </w:r>
        <w:r w:rsidR="000A4145">
          <w:rPr>
            <w:noProof/>
            <w:webHidden/>
          </w:rPr>
          <w:fldChar w:fldCharType="end"/>
        </w:r>
      </w:hyperlink>
    </w:p>
    <w:p w14:paraId="62548FBC" w14:textId="77777777" w:rsidR="000A4145" w:rsidRDefault="00015C06">
      <w:pPr>
        <w:pStyle w:val="TOC1"/>
        <w:rPr>
          <w:rFonts w:asciiTheme="minorHAnsi" w:eastAsiaTheme="minorEastAsia" w:hAnsiTheme="minorHAnsi" w:cstheme="minorBidi"/>
          <w:b w:val="0"/>
          <w:noProof/>
          <w:szCs w:val="22"/>
          <w:lang w:eastAsia="en-NZ"/>
        </w:rPr>
      </w:pPr>
      <w:hyperlink w:anchor="_Toc531260414" w:history="1">
        <w:r w:rsidR="000A4145" w:rsidRPr="002E0984">
          <w:rPr>
            <w:rStyle w:val="Hyperlink"/>
            <w:noProof/>
          </w:rPr>
          <w:t>National-level progress</w:t>
        </w:r>
        <w:r w:rsidR="000A4145">
          <w:rPr>
            <w:noProof/>
            <w:webHidden/>
          </w:rPr>
          <w:tab/>
        </w:r>
        <w:r w:rsidR="000A4145">
          <w:rPr>
            <w:noProof/>
            <w:webHidden/>
          </w:rPr>
          <w:fldChar w:fldCharType="begin"/>
        </w:r>
        <w:r w:rsidR="000A4145">
          <w:rPr>
            <w:noProof/>
            <w:webHidden/>
          </w:rPr>
          <w:instrText xml:space="preserve"> PAGEREF _Toc531260414 \h </w:instrText>
        </w:r>
        <w:r w:rsidR="000A4145">
          <w:rPr>
            <w:noProof/>
            <w:webHidden/>
          </w:rPr>
        </w:r>
        <w:r w:rsidR="000A4145">
          <w:rPr>
            <w:noProof/>
            <w:webHidden/>
          </w:rPr>
          <w:fldChar w:fldCharType="separate"/>
        </w:r>
        <w:r w:rsidR="000A4145">
          <w:rPr>
            <w:noProof/>
            <w:webHidden/>
          </w:rPr>
          <w:t>6</w:t>
        </w:r>
        <w:r w:rsidR="000A4145">
          <w:rPr>
            <w:noProof/>
            <w:webHidden/>
          </w:rPr>
          <w:fldChar w:fldCharType="end"/>
        </w:r>
      </w:hyperlink>
    </w:p>
    <w:p w14:paraId="611B0127" w14:textId="77777777" w:rsidR="000A4145" w:rsidRDefault="00015C06">
      <w:pPr>
        <w:pStyle w:val="TOC1"/>
        <w:rPr>
          <w:rFonts w:asciiTheme="minorHAnsi" w:eastAsiaTheme="minorEastAsia" w:hAnsiTheme="minorHAnsi" w:cstheme="minorBidi"/>
          <w:b w:val="0"/>
          <w:noProof/>
          <w:szCs w:val="22"/>
          <w:lang w:eastAsia="en-NZ"/>
        </w:rPr>
      </w:pPr>
      <w:hyperlink w:anchor="_Toc531260415" w:history="1">
        <w:r w:rsidR="000A4145" w:rsidRPr="002E0984">
          <w:rPr>
            <w:rStyle w:val="Hyperlink"/>
            <w:noProof/>
          </w:rPr>
          <w:t>System Level Measures</w:t>
        </w:r>
        <w:r w:rsidR="000A4145">
          <w:rPr>
            <w:noProof/>
            <w:webHidden/>
          </w:rPr>
          <w:tab/>
        </w:r>
        <w:r w:rsidR="000A4145">
          <w:rPr>
            <w:noProof/>
            <w:webHidden/>
          </w:rPr>
          <w:fldChar w:fldCharType="begin"/>
        </w:r>
        <w:r w:rsidR="000A4145">
          <w:rPr>
            <w:noProof/>
            <w:webHidden/>
          </w:rPr>
          <w:instrText xml:space="preserve"> PAGEREF _Toc531260415 \h </w:instrText>
        </w:r>
        <w:r w:rsidR="000A4145">
          <w:rPr>
            <w:noProof/>
            <w:webHidden/>
          </w:rPr>
        </w:r>
        <w:r w:rsidR="000A4145">
          <w:rPr>
            <w:noProof/>
            <w:webHidden/>
          </w:rPr>
          <w:fldChar w:fldCharType="separate"/>
        </w:r>
        <w:r w:rsidR="000A4145">
          <w:rPr>
            <w:noProof/>
            <w:webHidden/>
          </w:rPr>
          <w:t>7</w:t>
        </w:r>
        <w:r w:rsidR="000A4145">
          <w:rPr>
            <w:noProof/>
            <w:webHidden/>
          </w:rPr>
          <w:fldChar w:fldCharType="end"/>
        </w:r>
      </w:hyperlink>
    </w:p>
    <w:p w14:paraId="6408178C" w14:textId="77777777" w:rsidR="000A4145" w:rsidRDefault="00015C06">
      <w:pPr>
        <w:pStyle w:val="TOC1"/>
        <w:rPr>
          <w:rFonts w:asciiTheme="minorHAnsi" w:eastAsiaTheme="minorEastAsia" w:hAnsiTheme="minorHAnsi" w:cstheme="minorBidi"/>
          <w:b w:val="0"/>
          <w:noProof/>
          <w:szCs w:val="22"/>
          <w:lang w:eastAsia="en-NZ"/>
        </w:rPr>
      </w:pPr>
      <w:hyperlink w:anchor="_Toc531260416" w:history="1">
        <w:r w:rsidR="000A4145" w:rsidRPr="002E0984">
          <w:rPr>
            <w:rStyle w:val="Hyperlink"/>
            <w:noProof/>
          </w:rPr>
          <w:t>Ambulatory sensitive hospitalisation rates</w:t>
        </w:r>
        <w:r w:rsidR="000A4145">
          <w:rPr>
            <w:noProof/>
            <w:webHidden/>
          </w:rPr>
          <w:tab/>
        </w:r>
        <w:r w:rsidR="000A4145">
          <w:rPr>
            <w:noProof/>
            <w:webHidden/>
          </w:rPr>
          <w:fldChar w:fldCharType="begin"/>
        </w:r>
        <w:r w:rsidR="000A4145">
          <w:rPr>
            <w:noProof/>
            <w:webHidden/>
          </w:rPr>
          <w:instrText xml:space="preserve"> PAGEREF _Toc531260416 \h </w:instrText>
        </w:r>
        <w:r w:rsidR="000A4145">
          <w:rPr>
            <w:noProof/>
            <w:webHidden/>
          </w:rPr>
        </w:r>
        <w:r w:rsidR="000A4145">
          <w:rPr>
            <w:noProof/>
            <w:webHidden/>
          </w:rPr>
          <w:fldChar w:fldCharType="separate"/>
        </w:r>
        <w:r w:rsidR="000A4145">
          <w:rPr>
            <w:noProof/>
            <w:webHidden/>
          </w:rPr>
          <w:t>8</w:t>
        </w:r>
        <w:r w:rsidR="000A4145">
          <w:rPr>
            <w:noProof/>
            <w:webHidden/>
          </w:rPr>
          <w:fldChar w:fldCharType="end"/>
        </w:r>
      </w:hyperlink>
    </w:p>
    <w:p w14:paraId="257C42A8" w14:textId="77777777" w:rsidR="000A4145" w:rsidRDefault="00015C06">
      <w:pPr>
        <w:pStyle w:val="TOC1"/>
        <w:rPr>
          <w:rFonts w:asciiTheme="minorHAnsi" w:eastAsiaTheme="minorEastAsia" w:hAnsiTheme="minorHAnsi" w:cstheme="minorBidi"/>
          <w:b w:val="0"/>
          <w:noProof/>
          <w:szCs w:val="22"/>
          <w:lang w:eastAsia="en-NZ"/>
        </w:rPr>
      </w:pPr>
      <w:hyperlink w:anchor="_Toc531260417" w:history="1">
        <w:r w:rsidR="000A4145" w:rsidRPr="002E0984">
          <w:rPr>
            <w:rStyle w:val="Hyperlink"/>
            <w:noProof/>
          </w:rPr>
          <w:t>General practitioner and nurse utilisation</w:t>
        </w:r>
        <w:r w:rsidR="000A4145">
          <w:rPr>
            <w:noProof/>
            <w:webHidden/>
          </w:rPr>
          <w:tab/>
        </w:r>
        <w:r w:rsidR="000A4145">
          <w:rPr>
            <w:noProof/>
            <w:webHidden/>
          </w:rPr>
          <w:fldChar w:fldCharType="begin"/>
        </w:r>
        <w:r w:rsidR="000A4145">
          <w:rPr>
            <w:noProof/>
            <w:webHidden/>
          </w:rPr>
          <w:instrText xml:space="preserve"> PAGEREF _Toc531260417 \h </w:instrText>
        </w:r>
        <w:r w:rsidR="000A4145">
          <w:rPr>
            <w:noProof/>
            <w:webHidden/>
          </w:rPr>
        </w:r>
        <w:r w:rsidR="000A4145">
          <w:rPr>
            <w:noProof/>
            <w:webHidden/>
          </w:rPr>
          <w:fldChar w:fldCharType="separate"/>
        </w:r>
        <w:r w:rsidR="000A4145">
          <w:rPr>
            <w:noProof/>
            <w:webHidden/>
          </w:rPr>
          <w:t>12</w:t>
        </w:r>
        <w:r w:rsidR="000A4145">
          <w:rPr>
            <w:noProof/>
            <w:webHidden/>
          </w:rPr>
          <w:fldChar w:fldCharType="end"/>
        </w:r>
      </w:hyperlink>
    </w:p>
    <w:p w14:paraId="2B15F6FB" w14:textId="77777777" w:rsidR="000A4145" w:rsidRDefault="00015C06">
      <w:pPr>
        <w:pStyle w:val="TOC2"/>
        <w:rPr>
          <w:rFonts w:asciiTheme="minorHAnsi" w:eastAsiaTheme="minorEastAsia" w:hAnsiTheme="minorHAnsi" w:cstheme="minorBidi"/>
          <w:noProof/>
          <w:szCs w:val="22"/>
          <w:lang w:eastAsia="en-NZ"/>
        </w:rPr>
      </w:pPr>
      <w:hyperlink w:anchor="_Toc531260418" w:history="1">
        <w:r w:rsidR="000A4145" w:rsidRPr="002E0984">
          <w:rPr>
            <w:rStyle w:val="Hyperlink"/>
            <w:noProof/>
          </w:rPr>
          <w:t>Increased utilisation rates of primary health care providers in the eight priority DHBs</w:t>
        </w:r>
        <w:r w:rsidR="000A4145">
          <w:rPr>
            <w:noProof/>
            <w:webHidden/>
          </w:rPr>
          <w:tab/>
        </w:r>
        <w:r w:rsidR="000A4145">
          <w:rPr>
            <w:noProof/>
            <w:webHidden/>
          </w:rPr>
          <w:fldChar w:fldCharType="begin"/>
        </w:r>
        <w:r w:rsidR="000A4145">
          <w:rPr>
            <w:noProof/>
            <w:webHidden/>
          </w:rPr>
          <w:instrText xml:space="preserve"> PAGEREF _Toc531260418 \h </w:instrText>
        </w:r>
        <w:r w:rsidR="000A4145">
          <w:rPr>
            <w:noProof/>
            <w:webHidden/>
          </w:rPr>
        </w:r>
        <w:r w:rsidR="000A4145">
          <w:rPr>
            <w:noProof/>
            <w:webHidden/>
          </w:rPr>
          <w:fldChar w:fldCharType="separate"/>
        </w:r>
        <w:r w:rsidR="000A4145">
          <w:rPr>
            <w:noProof/>
            <w:webHidden/>
          </w:rPr>
          <w:t>12</w:t>
        </w:r>
        <w:r w:rsidR="000A4145">
          <w:rPr>
            <w:noProof/>
            <w:webHidden/>
          </w:rPr>
          <w:fldChar w:fldCharType="end"/>
        </w:r>
      </w:hyperlink>
    </w:p>
    <w:p w14:paraId="04B0CDC2" w14:textId="77777777" w:rsidR="000A4145" w:rsidRDefault="00015C06">
      <w:pPr>
        <w:pStyle w:val="TOC1"/>
        <w:rPr>
          <w:rFonts w:asciiTheme="minorHAnsi" w:eastAsiaTheme="minorEastAsia" w:hAnsiTheme="minorHAnsi" w:cstheme="minorBidi"/>
          <w:b w:val="0"/>
          <w:noProof/>
          <w:szCs w:val="22"/>
          <w:lang w:eastAsia="en-NZ"/>
        </w:rPr>
      </w:pPr>
      <w:hyperlink w:anchor="_Toc531260419" w:history="1">
        <w:r w:rsidR="000A4145" w:rsidRPr="002E0984">
          <w:rPr>
            <w:rStyle w:val="Hyperlink"/>
            <w:noProof/>
          </w:rPr>
          <w:t>Access to mental health services</w:t>
        </w:r>
        <w:r w:rsidR="000A4145">
          <w:rPr>
            <w:noProof/>
            <w:webHidden/>
          </w:rPr>
          <w:tab/>
        </w:r>
        <w:r w:rsidR="000A4145">
          <w:rPr>
            <w:noProof/>
            <w:webHidden/>
          </w:rPr>
          <w:fldChar w:fldCharType="begin"/>
        </w:r>
        <w:r w:rsidR="000A4145">
          <w:rPr>
            <w:noProof/>
            <w:webHidden/>
          </w:rPr>
          <w:instrText xml:space="preserve"> PAGEREF _Toc531260419 \h </w:instrText>
        </w:r>
        <w:r w:rsidR="000A4145">
          <w:rPr>
            <w:noProof/>
            <w:webHidden/>
          </w:rPr>
        </w:r>
        <w:r w:rsidR="000A4145">
          <w:rPr>
            <w:noProof/>
            <w:webHidden/>
          </w:rPr>
          <w:fldChar w:fldCharType="separate"/>
        </w:r>
        <w:r w:rsidR="000A4145">
          <w:rPr>
            <w:noProof/>
            <w:webHidden/>
          </w:rPr>
          <w:t>18</w:t>
        </w:r>
        <w:r w:rsidR="000A4145">
          <w:rPr>
            <w:noProof/>
            <w:webHidden/>
          </w:rPr>
          <w:fldChar w:fldCharType="end"/>
        </w:r>
      </w:hyperlink>
    </w:p>
    <w:p w14:paraId="0DD24566" w14:textId="77777777" w:rsidR="000A4145" w:rsidRDefault="00015C06">
      <w:pPr>
        <w:pStyle w:val="TOC2"/>
        <w:rPr>
          <w:rFonts w:asciiTheme="minorHAnsi" w:eastAsiaTheme="minorEastAsia" w:hAnsiTheme="minorHAnsi" w:cstheme="minorBidi"/>
          <w:noProof/>
          <w:szCs w:val="22"/>
          <w:lang w:eastAsia="en-NZ"/>
        </w:rPr>
      </w:pPr>
      <w:hyperlink w:anchor="_Toc531260420" w:history="1">
        <w:r w:rsidR="000A4145" w:rsidRPr="002E0984">
          <w:rPr>
            <w:rStyle w:val="Hyperlink"/>
            <w:noProof/>
            <w:lang w:eastAsia="en-NZ"/>
          </w:rPr>
          <w:t>Improved health status among Pacific people with severe mental illness through improved access rates</w:t>
        </w:r>
        <w:r w:rsidR="000A4145">
          <w:rPr>
            <w:noProof/>
            <w:webHidden/>
          </w:rPr>
          <w:tab/>
        </w:r>
        <w:r w:rsidR="000A4145">
          <w:rPr>
            <w:noProof/>
            <w:webHidden/>
          </w:rPr>
          <w:fldChar w:fldCharType="begin"/>
        </w:r>
        <w:r w:rsidR="000A4145">
          <w:rPr>
            <w:noProof/>
            <w:webHidden/>
          </w:rPr>
          <w:instrText xml:space="preserve"> PAGEREF _Toc531260420 \h </w:instrText>
        </w:r>
        <w:r w:rsidR="000A4145">
          <w:rPr>
            <w:noProof/>
            <w:webHidden/>
          </w:rPr>
        </w:r>
        <w:r w:rsidR="000A4145">
          <w:rPr>
            <w:noProof/>
            <w:webHidden/>
          </w:rPr>
          <w:fldChar w:fldCharType="separate"/>
        </w:r>
        <w:r w:rsidR="000A4145">
          <w:rPr>
            <w:noProof/>
            <w:webHidden/>
          </w:rPr>
          <w:t>18</w:t>
        </w:r>
        <w:r w:rsidR="000A4145">
          <w:rPr>
            <w:noProof/>
            <w:webHidden/>
          </w:rPr>
          <w:fldChar w:fldCharType="end"/>
        </w:r>
      </w:hyperlink>
    </w:p>
    <w:p w14:paraId="56BD1D30" w14:textId="77777777" w:rsidR="000A4145" w:rsidRDefault="00015C06">
      <w:pPr>
        <w:pStyle w:val="TOC1"/>
        <w:rPr>
          <w:rFonts w:asciiTheme="minorHAnsi" w:eastAsiaTheme="minorEastAsia" w:hAnsiTheme="minorHAnsi" w:cstheme="minorBidi"/>
          <w:b w:val="0"/>
          <w:noProof/>
          <w:szCs w:val="22"/>
          <w:lang w:eastAsia="en-NZ"/>
        </w:rPr>
      </w:pPr>
      <w:hyperlink w:anchor="_Toc531260421" w:history="1">
        <w:r w:rsidR="000A4145" w:rsidRPr="002E0984">
          <w:rPr>
            <w:rStyle w:val="Hyperlink"/>
            <w:noProof/>
          </w:rPr>
          <w:t>Access to drug and alcohol services</w:t>
        </w:r>
        <w:r w:rsidR="000A4145">
          <w:rPr>
            <w:noProof/>
            <w:webHidden/>
          </w:rPr>
          <w:tab/>
        </w:r>
        <w:r w:rsidR="000A4145">
          <w:rPr>
            <w:noProof/>
            <w:webHidden/>
          </w:rPr>
          <w:fldChar w:fldCharType="begin"/>
        </w:r>
        <w:r w:rsidR="000A4145">
          <w:rPr>
            <w:noProof/>
            <w:webHidden/>
          </w:rPr>
          <w:instrText xml:space="preserve"> PAGEREF _Toc531260421 \h </w:instrText>
        </w:r>
        <w:r w:rsidR="000A4145">
          <w:rPr>
            <w:noProof/>
            <w:webHidden/>
          </w:rPr>
        </w:r>
        <w:r w:rsidR="000A4145">
          <w:rPr>
            <w:noProof/>
            <w:webHidden/>
          </w:rPr>
          <w:fldChar w:fldCharType="separate"/>
        </w:r>
        <w:r w:rsidR="000A4145">
          <w:rPr>
            <w:noProof/>
            <w:webHidden/>
          </w:rPr>
          <w:t>21</w:t>
        </w:r>
        <w:r w:rsidR="000A4145">
          <w:rPr>
            <w:noProof/>
            <w:webHidden/>
          </w:rPr>
          <w:fldChar w:fldCharType="end"/>
        </w:r>
      </w:hyperlink>
    </w:p>
    <w:p w14:paraId="3015B10D" w14:textId="77777777" w:rsidR="000A4145" w:rsidRDefault="00015C06">
      <w:pPr>
        <w:pStyle w:val="TOC2"/>
        <w:rPr>
          <w:rFonts w:asciiTheme="minorHAnsi" w:eastAsiaTheme="minorEastAsia" w:hAnsiTheme="minorHAnsi" w:cstheme="minorBidi"/>
          <w:noProof/>
          <w:szCs w:val="22"/>
          <w:lang w:eastAsia="en-NZ"/>
        </w:rPr>
      </w:pPr>
      <w:hyperlink w:anchor="_Toc531260422" w:history="1">
        <w:r w:rsidR="000A4145" w:rsidRPr="002E0984">
          <w:rPr>
            <w:rStyle w:val="Hyperlink"/>
            <w:noProof/>
            <w:lang w:eastAsia="en-NZ"/>
          </w:rPr>
          <w:t>Improved health status among Pacific people with alcohol and drug addiction through improved access rates to alcohol and drug services</w:t>
        </w:r>
        <w:r w:rsidR="000A4145">
          <w:rPr>
            <w:noProof/>
            <w:webHidden/>
          </w:rPr>
          <w:tab/>
        </w:r>
        <w:r w:rsidR="000A4145">
          <w:rPr>
            <w:noProof/>
            <w:webHidden/>
          </w:rPr>
          <w:fldChar w:fldCharType="begin"/>
        </w:r>
        <w:r w:rsidR="000A4145">
          <w:rPr>
            <w:noProof/>
            <w:webHidden/>
          </w:rPr>
          <w:instrText xml:space="preserve"> PAGEREF _Toc531260422 \h </w:instrText>
        </w:r>
        <w:r w:rsidR="000A4145">
          <w:rPr>
            <w:noProof/>
            <w:webHidden/>
          </w:rPr>
        </w:r>
        <w:r w:rsidR="000A4145">
          <w:rPr>
            <w:noProof/>
            <w:webHidden/>
          </w:rPr>
          <w:fldChar w:fldCharType="separate"/>
        </w:r>
        <w:r w:rsidR="000A4145">
          <w:rPr>
            <w:noProof/>
            <w:webHidden/>
          </w:rPr>
          <w:t>21</w:t>
        </w:r>
        <w:r w:rsidR="000A4145">
          <w:rPr>
            <w:noProof/>
            <w:webHidden/>
          </w:rPr>
          <w:fldChar w:fldCharType="end"/>
        </w:r>
      </w:hyperlink>
    </w:p>
    <w:p w14:paraId="4B3607CE" w14:textId="77777777" w:rsidR="000A4145" w:rsidRDefault="00015C06">
      <w:pPr>
        <w:pStyle w:val="TOC1"/>
        <w:rPr>
          <w:rFonts w:asciiTheme="minorHAnsi" w:eastAsiaTheme="minorEastAsia" w:hAnsiTheme="minorHAnsi" w:cstheme="minorBidi"/>
          <w:b w:val="0"/>
          <w:noProof/>
          <w:szCs w:val="22"/>
          <w:lang w:eastAsia="en-NZ"/>
        </w:rPr>
      </w:pPr>
      <w:hyperlink w:anchor="_Toc531260423" w:history="1">
        <w:r w:rsidR="000A4145" w:rsidRPr="002E0984">
          <w:rPr>
            <w:rStyle w:val="Hyperlink"/>
            <w:noProof/>
          </w:rPr>
          <w:t>Smoking cessation</w:t>
        </w:r>
        <w:r w:rsidR="000A4145">
          <w:rPr>
            <w:noProof/>
            <w:webHidden/>
          </w:rPr>
          <w:tab/>
        </w:r>
        <w:r w:rsidR="000A4145">
          <w:rPr>
            <w:noProof/>
            <w:webHidden/>
          </w:rPr>
          <w:fldChar w:fldCharType="begin"/>
        </w:r>
        <w:r w:rsidR="000A4145">
          <w:rPr>
            <w:noProof/>
            <w:webHidden/>
          </w:rPr>
          <w:instrText xml:space="preserve"> PAGEREF _Toc531260423 \h </w:instrText>
        </w:r>
        <w:r w:rsidR="000A4145">
          <w:rPr>
            <w:noProof/>
            <w:webHidden/>
          </w:rPr>
        </w:r>
        <w:r w:rsidR="000A4145">
          <w:rPr>
            <w:noProof/>
            <w:webHidden/>
          </w:rPr>
          <w:fldChar w:fldCharType="separate"/>
        </w:r>
        <w:r w:rsidR="000A4145">
          <w:rPr>
            <w:noProof/>
            <w:webHidden/>
          </w:rPr>
          <w:t>24</w:t>
        </w:r>
        <w:r w:rsidR="000A4145">
          <w:rPr>
            <w:noProof/>
            <w:webHidden/>
          </w:rPr>
          <w:fldChar w:fldCharType="end"/>
        </w:r>
      </w:hyperlink>
    </w:p>
    <w:p w14:paraId="72D639A2" w14:textId="77777777" w:rsidR="000A4145" w:rsidRDefault="00015C06">
      <w:pPr>
        <w:pStyle w:val="TOC2"/>
        <w:rPr>
          <w:rFonts w:asciiTheme="minorHAnsi" w:eastAsiaTheme="minorEastAsia" w:hAnsiTheme="minorHAnsi" w:cstheme="minorBidi"/>
          <w:noProof/>
          <w:szCs w:val="22"/>
          <w:lang w:eastAsia="en-NZ"/>
        </w:rPr>
      </w:pPr>
      <w:hyperlink w:anchor="_Toc531260424" w:history="1">
        <w:r w:rsidR="000A4145" w:rsidRPr="002E0984">
          <w:rPr>
            <w:rStyle w:val="Hyperlink"/>
            <w:noProof/>
            <w:lang w:eastAsia="en-NZ"/>
          </w:rPr>
          <w:t>Increased proportion of Pacific people who smoke who are offered brief advice and support to quit smoking in primary health care</w:t>
        </w:r>
        <w:r w:rsidR="000A4145">
          <w:rPr>
            <w:noProof/>
            <w:webHidden/>
          </w:rPr>
          <w:tab/>
        </w:r>
        <w:r w:rsidR="000A4145">
          <w:rPr>
            <w:noProof/>
            <w:webHidden/>
          </w:rPr>
          <w:fldChar w:fldCharType="begin"/>
        </w:r>
        <w:r w:rsidR="000A4145">
          <w:rPr>
            <w:noProof/>
            <w:webHidden/>
          </w:rPr>
          <w:instrText xml:space="preserve"> PAGEREF _Toc531260424 \h </w:instrText>
        </w:r>
        <w:r w:rsidR="000A4145">
          <w:rPr>
            <w:noProof/>
            <w:webHidden/>
          </w:rPr>
        </w:r>
        <w:r w:rsidR="000A4145">
          <w:rPr>
            <w:noProof/>
            <w:webHidden/>
          </w:rPr>
          <w:fldChar w:fldCharType="separate"/>
        </w:r>
        <w:r w:rsidR="000A4145">
          <w:rPr>
            <w:noProof/>
            <w:webHidden/>
          </w:rPr>
          <w:t>24</w:t>
        </w:r>
        <w:r w:rsidR="000A4145">
          <w:rPr>
            <w:noProof/>
            <w:webHidden/>
          </w:rPr>
          <w:fldChar w:fldCharType="end"/>
        </w:r>
      </w:hyperlink>
    </w:p>
    <w:p w14:paraId="1F6DE6DA" w14:textId="77777777" w:rsidR="000A4145" w:rsidRDefault="00015C06">
      <w:pPr>
        <w:pStyle w:val="TOC1"/>
        <w:rPr>
          <w:rFonts w:asciiTheme="minorHAnsi" w:eastAsiaTheme="minorEastAsia" w:hAnsiTheme="minorHAnsi" w:cstheme="minorBidi"/>
          <w:b w:val="0"/>
          <w:noProof/>
          <w:szCs w:val="22"/>
          <w:lang w:eastAsia="en-NZ"/>
        </w:rPr>
      </w:pPr>
      <w:hyperlink w:anchor="_Toc531260425" w:history="1">
        <w:r w:rsidR="000A4145" w:rsidRPr="002E0984">
          <w:rPr>
            <w:rStyle w:val="Hyperlink"/>
            <w:noProof/>
          </w:rPr>
          <w:t>Cervical screening</w:t>
        </w:r>
        <w:r w:rsidR="000A4145">
          <w:rPr>
            <w:noProof/>
            <w:webHidden/>
          </w:rPr>
          <w:tab/>
        </w:r>
        <w:r w:rsidR="000A4145">
          <w:rPr>
            <w:noProof/>
            <w:webHidden/>
          </w:rPr>
          <w:fldChar w:fldCharType="begin"/>
        </w:r>
        <w:r w:rsidR="000A4145">
          <w:rPr>
            <w:noProof/>
            <w:webHidden/>
          </w:rPr>
          <w:instrText xml:space="preserve"> PAGEREF _Toc531260425 \h </w:instrText>
        </w:r>
        <w:r w:rsidR="000A4145">
          <w:rPr>
            <w:noProof/>
            <w:webHidden/>
          </w:rPr>
        </w:r>
        <w:r w:rsidR="000A4145">
          <w:rPr>
            <w:noProof/>
            <w:webHidden/>
          </w:rPr>
          <w:fldChar w:fldCharType="separate"/>
        </w:r>
        <w:r w:rsidR="000A4145">
          <w:rPr>
            <w:noProof/>
            <w:webHidden/>
          </w:rPr>
          <w:t>27</w:t>
        </w:r>
        <w:r w:rsidR="000A4145">
          <w:rPr>
            <w:noProof/>
            <w:webHidden/>
          </w:rPr>
          <w:fldChar w:fldCharType="end"/>
        </w:r>
      </w:hyperlink>
    </w:p>
    <w:p w14:paraId="563DFB5B" w14:textId="77777777" w:rsidR="000A4145" w:rsidRDefault="00015C06">
      <w:pPr>
        <w:pStyle w:val="TOC2"/>
        <w:rPr>
          <w:rFonts w:asciiTheme="minorHAnsi" w:eastAsiaTheme="minorEastAsia" w:hAnsiTheme="minorHAnsi" w:cstheme="minorBidi"/>
          <w:noProof/>
          <w:szCs w:val="22"/>
          <w:lang w:eastAsia="en-NZ"/>
        </w:rPr>
      </w:pPr>
      <w:hyperlink w:anchor="_Toc531260426" w:history="1">
        <w:r w:rsidR="000A4145" w:rsidRPr="002E0984">
          <w:rPr>
            <w:rStyle w:val="Hyperlink"/>
            <w:noProof/>
          </w:rPr>
          <w:t>Increased proportion of enrolled Pacific women aged 25–69 years old who have received a cervical smear in the past three years, to equal or exceed the proportion in the total population</w:t>
        </w:r>
        <w:r w:rsidR="000A4145">
          <w:rPr>
            <w:noProof/>
            <w:webHidden/>
          </w:rPr>
          <w:tab/>
        </w:r>
        <w:r w:rsidR="000A4145">
          <w:rPr>
            <w:noProof/>
            <w:webHidden/>
          </w:rPr>
          <w:fldChar w:fldCharType="begin"/>
        </w:r>
        <w:r w:rsidR="000A4145">
          <w:rPr>
            <w:noProof/>
            <w:webHidden/>
          </w:rPr>
          <w:instrText xml:space="preserve"> PAGEREF _Toc531260426 \h </w:instrText>
        </w:r>
        <w:r w:rsidR="000A4145">
          <w:rPr>
            <w:noProof/>
            <w:webHidden/>
          </w:rPr>
        </w:r>
        <w:r w:rsidR="000A4145">
          <w:rPr>
            <w:noProof/>
            <w:webHidden/>
          </w:rPr>
          <w:fldChar w:fldCharType="separate"/>
        </w:r>
        <w:r w:rsidR="000A4145">
          <w:rPr>
            <w:noProof/>
            <w:webHidden/>
          </w:rPr>
          <w:t>27</w:t>
        </w:r>
        <w:r w:rsidR="000A4145">
          <w:rPr>
            <w:noProof/>
            <w:webHidden/>
          </w:rPr>
          <w:fldChar w:fldCharType="end"/>
        </w:r>
      </w:hyperlink>
    </w:p>
    <w:p w14:paraId="22E0BACF" w14:textId="77777777" w:rsidR="000A4145" w:rsidRDefault="00015C06">
      <w:pPr>
        <w:pStyle w:val="TOC1"/>
        <w:rPr>
          <w:rFonts w:asciiTheme="minorHAnsi" w:eastAsiaTheme="minorEastAsia" w:hAnsiTheme="minorHAnsi" w:cstheme="minorBidi"/>
          <w:b w:val="0"/>
          <w:noProof/>
          <w:szCs w:val="22"/>
          <w:lang w:eastAsia="en-NZ"/>
        </w:rPr>
      </w:pPr>
      <w:hyperlink w:anchor="_Toc531260427" w:history="1">
        <w:r w:rsidR="000A4145" w:rsidRPr="002E0984">
          <w:rPr>
            <w:rStyle w:val="Hyperlink"/>
            <w:noProof/>
          </w:rPr>
          <w:t>More heart and diabetes checks</w:t>
        </w:r>
        <w:r w:rsidR="000A4145">
          <w:rPr>
            <w:noProof/>
            <w:webHidden/>
          </w:rPr>
          <w:tab/>
        </w:r>
        <w:r w:rsidR="000A4145">
          <w:rPr>
            <w:noProof/>
            <w:webHidden/>
          </w:rPr>
          <w:fldChar w:fldCharType="begin"/>
        </w:r>
        <w:r w:rsidR="000A4145">
          <w:rPr>
            <w:noProof/>
            <w:webHidden/>
          </w:rPr>
          <w:instrText xml:space="preserve"> PAGEREF _Toc531260427 \h </w:instrText>
        </w:r>
        <w:r w:rsidR="000A4145">
          <w:rPr>
            <w:noProof/>
            <w:webHidden/>
          </w:rPr>
        </w:r>
        <w:r w:rsidR="000A4145">
          <w:rPr>
            <w:noProof/>
            <w:webHidden/>
          </w:rPr>
          <w:fldChar w:fldCharType="separate"/>
        </w:r>
        <w:r w:rsidR="000A4145">
          <w:rPr>
            <w:noProof/>
            <w:webHidden/>
          </w:rPr>
          <w:t>30</w:t>
        </w:r>
        <w:r w:rsidR="000A4145">
          <w:rPr>
            <w:noProof/>
            <w:webHidden/>
          </w:rPr>
          <w:fldChar w:fldCharType="end"/>
        </w:r>
      </w:hyperlink>
    </w:p>
    <w:p w14:paraId="226B6E7E" w14:textId="77777777" w:rsidR="000A4145" w:rsidRDefault="00015C06">
      <w:pPr>
        <w:pStyle w:val="TOC2"/>
        <w:rPr>
          <w:rFonts w:asciiTheme="minorHAnsi" w:eastAsiaTheme="minorEastAsia" w:hAnsiTheme="minorHAnsi" w:cstheme="minorBidi"/>
          <w:noProof/>
          <w:szCs w:val="22"/>
          <w:lang w:eastAsia="en-NZ"/>
        </w:rPr>
      </w:pPr>
      <w:hyperlink w:anchor="_Toc531260428" w:history="1">
        <w:r w:rsidR="000A4145" w:rsidRPr="002E0984">
          <w:rPr>
            <w:rStyle w:val="Hyperlink"/>
            <w:noProof/>
          </w:rPr>
          <w:t>Improved management of diabetes and cardiovascular disease among Pacific peoples through more heart and diabetes checks</w:t>
        </w:r>
        <w:r w:rsidR="000A4145">
          <w:rPr>
            <w:noProof/>
            <w:webHidden/>
          </w:rPr>
          <w:tab/>
        </w:r>
        <w:r w:rsidR="000A4145">
          <w:rPr>
            <w:noProof/>
            <w:webHidden/>
          </w:rPr>
          <w:fldChar w:fldCharType="begin"/>
        </w:r>
        <w:r w:rsidR="000A4145">
          <w:rPr>
            <w:noProof/>
            <w:webHidden/>
          </w:rPr>
          <w:instrText xml:space="preserve"> PAGEREF _Toc531260428 \h </w:instrText>
        </w:r>
        <w:r w:rsidR="000A4145">
          <w:rPr>
            <w:noProof/>
            <w:webHidden/>
          </w:rPr>
        </w:r>
        <w:r w:rsidR="000A4145">
          <w:rPr>
            <w:noProof/>
            <w:webHidden/>
          </w:rPr>
          <w:fldChar w:fldCharType="separate"/>
        </w:r>
        <w:r w:rsidR="000A4145">
          <w:rPr>
            <w:noProof/>
            <w:webHidden/>
          </w:rPr>
          <w:t>30</w:t>
        </w:r>
        <w:r w:rsidR="000A4145">
          <w:rPr>
            <w:noProof/>
            <w:webHidden/>
          </w:rPr>
          <w:fldChar w:fldCharType="end"/>
        </w:r>
      </w:hyperlink>
    </w:p>
    <w:p w14:paraId="0E7AA2B5" w14:textId="77777777" w:rsidR="000A4145" w:rsidRDefault="00015C06">
      <w:pPr>
        <w:pStyle w:val="TOC1"/>
        <w:rPr>
          <w:rFonts w:asciiTheme="minorHAnsi" w:eastAsiaTheme="minorEastAsia" w:hAnsiTheme="minorHAnsi" w:cstheme="minorBidi"/>
          <w:b w:val="0"/>
          <w:noProof/>
          <w:szCs w:val="22"/>
          <w:lang w:eastAsia="en-NZ"/>
        </w:rPr>
      </w:pPr>
      <w:hyperlink w:anchor="_Toc531260429" w:history="1">
        <w:r w:rsidR="000A4145" w:rsidRPr="002E0984">
          <w:rPr>
            <w:rStyle w:val="Hyperlink"/>
            <w:noProof/>
          </w:rPr>
          <w:t>Rheumatic fever</w:t>
        </w:r>
        <w:r w:rsidR="000A4145">
          <w:rPr>
            <w:noProof/>
            <w:webHidden/>
          </w:rPr>
          <w:tab/>
        </w:r>
        <w:r w:rsidR="000A4145">
          <w:rPr>
            <w:noProof/>
            <w:webHidden/>
          </w:rPr>
          <w:fldChar w:fldCharType="begin"/>
        </w:r>
        <w:r w:rsidR="000A4145">
          <w:rPr>
            <w:noProof/>
            <w:webHidden/>
          </w:rPr>
          <w:instrText xml:space="preserve"> PAGEREF _Toc531260429 \h </w:instrText>
        </w:r>
        <w:r w:rsidR="000A4145">
          <w:rPr>
            <w:noProof/>
            <w:webHidden/>
          </w:rPr>
        </w:r>
        <w:r w:rsidR="000A4145">
          <w:rPr>
            <w:noProof/>
            <w:webHidden/>
          </w:rPr>
          <w:fldChar w:fldCharType="separate"/>
        </w:r>
        <w:r w:rsidR="000A4145">
          <w:rPr>
            <w:noProof/>
            <w:webHidden/>
          </w:rPr>
          <w:t>34</w:t>
        </w:r>
        <w:r w:rsidR="000A4145">
          <w:rPr>
            <w:noProof/>
            <w:webHidden/>
          </w:rPr>
          <w:fldChar w:fldCharType="end"/>
        </w:r>
      </w:hyperlink>
    </w:p>
    <w:p w14:paraId="11C09F72" w14:textId="77777777" w:rsidR="000A4145" w:rsidRDefault="00015C06">
      <w:pPr>
        <w:pStyle w:val="TOC2"/>
        <w:rPr>
          <w:rFonts w:asciiTheme="minorHAnsi" w:eastAsiaTheme="minorEastAsia" w:hAnsiTheme="minorHAnsi" w:cstheme="minorBidi"/>
          <w:noProof/>
          <w:szCs w:val="22"/>
          <w:lang w:eastAsia="en-NZ"/>
        </w:rPr>
      </w:pPr>
      <w:hyperlink w:anchor="_Toc531260430" w:history="1">
        <w:r w:rsidR="000A4145" w:rsidRPr="002E0984">
          <w:rPr>
            <w:rStyle w:val="Hyperlink"/>
            <w:noProof/>
          </w:rPr>
          <w:t>Reduced rates of rheumatic fever hospitalisation among Pacific peoples</w:t>
        </w:r>
        <w:r w:rsidR="000A4145">
          <w:rPr>
            <w:noProof/>
            <w:webHidden/>
          </w:rPr>
          <w:tab/>
        </w:r>
        <w:r w:rsidR="000A4145">
          <w:rPr>
            <w:noProof/>
            <w:webHidden/>
          </w:rPr>
          <w:fldChar w:fldCharType="begin"/>
        </w:r>
        <w:r w:rsidR="000A4145">
          <w:rPr>
            <w:noProof/>
            <w:webHidden/>
          </w:rPr>
          <w:instrText xml:space="preserve"> PAGEREF _Toc531260430 \h </w:instrText>
        </w:r>
        <w:r w:rsidR="000A4145">
          <w:rPr>
            <w:noProof/>
            <w:webHidden/>
          </w:rPr>
        </w:r>
        <w:r w:rsidR="000A4145">
          <w:rPr>
            <w:noProof/>
            <w:webHidden/>
          </w:rPr>
          <w:fldChar w:fldCharType="separate"/>
        </w:r>
        <w:r w:rsidR="000A4145">
          <w:rPr>
            <w:noProof/>
            <w:webHidden/>
          </w:rPr>
          <w:t>34</w:t>
        </w:r>
        <w:r w:rsidR="000A4145">
          <w:rPr>
            <w:noProof/>
            <w:webHidden/>
          </w:rPr>
          <w:fldChar w:fldCharType="end"/>
        </w:r>
      </w:hyperlink>
    </w:p>
    <w:p w14:paraId="25B199E7" w14:textId="77777777" w:rsidR="000A4145" w:rsidRDefault="00015C06">
      <w:pPr>
        <w:pStyle w:val="TOC1"/>
        <w:rPr>
          <w:rFonts w:asciiTheme="minorHAnsi" w:eastAsiaTheme="minorEastAsia" w:hAnsiTheme="minorHAnsi" w:cstheme="minorBidi"/>
          <w:b w:val="0"/>
          <w:noProof/>
          <w:szCs w:val="22"/>
          <w:lang w:eastAsia="en-NZ"/>
        </w:rPr>
      </w:pPr>
      <w:hyperlink w:anchor="_Toc531260431" w:history="1">
        <w:r w:rsidR="000A4145" w:rsidRPr="002E0984">
          <w:rPr>
            <w:rStyle w:val="Hyperlink"/>
            <w:noProof/>
          </w:rPr>
          <w:t>References</w:t>
        </w:r>
        <w:r w:rsidR="000A4145">
          <w:rPr>
            <w:noProof/>
            <w:webHidden/>
          </w:rPr>
          <w:tab/>
        </w:r>
        <w:r w:rsidR="000A4145">
          <w:rPr>
            <w:noProof/>
            <w:webHidden/>
          </w:rPr>
          <w:fldChar w:fldCharType="begin"/>
        </w:r>
        <w:r w:rsidR="000A4145">
          <w:rPr>
            <w:noProof/>
            <w:webHidden/>
          </w:rPr>
          <w:instrText xml:space="preserve"> PAGEREF _Toc531260431 \h </w:instrText>
        </w:r>
        <w:r w:rsidR="000A4145">
          <w:rPr>
            <w:noProof/>
            <w:webHidden/>
          </w:rPr>
        </w:r>
        <w:r w:rsidR="000A4145">
          <w:rPr>
            <w:noProof/>
            <w:webHidden/>
          </w:rPr>
          <w:fldChar w:fldCharType="separate"/>
        </w:r>
        <w:r w:rsidR="000A4145">
          <w:rPr>
            <w:noProof/>
            <w:webHidden/>
          </w:rPr>
          <w:t>36</w:t>
        </w:r>
        <w:r w:rsidR="000A4145">
          <w:rPr>
            <w:noProof/>
            <w:webHidden/>
          </w:rPr>
          <w:fldChar w:fldCharType="end"/>
        </w:r>
      </w:hyperlink>
    </w:p>
    <w:p w14:paraId="19F21D1C" w14:textId="66DB1CE5" w:rsidR="00C86248" w:rsidRDefault="000A4145">
      <w:r>
        <w:fldChar w:fldCharType="end"/>
      </w:r>
    </w:p>
    <w:p w14:paraId="78538CFE" w14:textId="77777777" w:rsidR="00C86248" w:rsidRDefault="00C86248"/>
    <w:p w14:paraId="3854D39A" w14:textId="77777777" w:rsidR="00C86248" w:rsidRDefault="00C86248" w:rsidP="003B1D10">
      <w:pPr>
        <w:pStyle w:val="TOC1"/>
        <w:keepNext/>
      </w:pPr>
      <w:r>
        <w:lastRenderedPageBreak/>
        <w:t>List of Tables</w:t>
      </w:r>
    </w:p>
    <w:p w14:paraId="35E8ACA2" w14:textId="77777777" w:rsidR="000A4145" w:rsidRDefault="000A4145">
      <w:pPr>
        <w:pStyle w:val="TOC3"/>
        <w:rPr>
          <w:rFonts w:asciiTheme="minorHAnsi" w:eastAsiaTheme="minorEastAsia" w:hAnsiTheme="minorHAnsi" w:cstheme="minorBidi"/>
          <w:noProof/>
          <w:szCs w:val="22"/>
          <w:lang w:eastAsia="en-NZ"/>
        </w:rPr>
      </w:pPr>
      <w:r>
        <w:rPr>
          <w:sz w:val="20"/>
        </w:rPr>
        <w:fldChar w:fldCharType="begin"/>
      </w:r>
      <w:r>
        <w:rPr>
          <w:sz w:val="20"/>
        </w:rPr>
        <w:instrText xml:space="preserve"> TOC \h \z \t "Table,3" </w:instrText>
      </w:r>
      <w:r>
        <w:rPr>
          <w:sz w:val="20"/>
        </w:rPr>
        <w:fldChar w:fldCharType="separate"/>
      </w:r>
      <w:hyperlink w:anchor="_Toc531260396" w:history="1">
        <w:r w:rsidRPr="00E65A8C">
          <w:rPr>
            <w:rStyle w:val="Hyperlink"/>
            <w:noProof/>
          </w:rPr>
          <w:t>Table A1: Projected Pacific peoples population for 2015/16, by DHB, based on the 2013 Census</w:t>
        </w:r>
        <w:r>
          <w:rPr>
            <w:noProof/>
            <w:webHidden/>
          </w:rPr>
          <w:tab/>
        </w:r>
        <w:r>
          <w:rPr>
            <w:noProof/>
            <w:webHidden/>
          </w:rPr>
          <w:fldChar w:fldCharType="begin"/>
        </w:r>
        <w:r>
          <w:rPr>
            <w:noProof/>
            <w:webHidden/>
          </w:rPr>
          <w:instrText xml:space="preserve"> PAGEREF _Toc531260396 \h </w:instrText>
        </w:r>
        <w:r>
          <w:rPr>
            <w:noProof/>
            <w:webHidden/>
          </w:rPr>
        </w:r>
        <w:r>
          <w:rPr>
            <w:noProof/>
            <w:webHidden/>
          </w:rPr>
          <w:fldChar w:fldCharType="separate"/>
        </w:r>
        <w:r>
          <w:rPr>
            <w:noProof/>
            <w:webHidden/>
          </w:rPr>
          <w:t>5</w:t>
        </w:r>
        <w:r>
          <w:rPr>
            <w:noProof/>
            <w:webHidden/>
          </w:rPr>
          <w:fldChar w:fldCharType="end"/>
        </w:r>
      </w:hyperlink>
    </w:p>
    <w:p w14:paraId="3A338071" w14:textId="77777777" w:rsidR="000A4145" w:rsidRDefault="00015C06">
      <w:pPr>
        <w:pStyle w:val="TOC3"/>
        <w:rPr>
          <w:rFonts w:asciiTheme="minorHAnsi" w:eastAsiaTheme="minorEastAsia" w:hAnsiTheme="minorHAnsi" w:cstheme="minorBidi"/>
          <w:noProof/>
          <w:szCs w:val="22"/>
          <w:lang w:eastAsia="en-NZ"/>
        </w:rPr>
      </w:pPr>
      <w:hyperlink w:anchor="_Toc531260397" w:history="1">
        <w:r w:rsidR="000A4145" w:rsidRPr="00E65A8C">
          <w:rPr>
            <w:rStyle w:val="Hyperlink"/>
            <w:rFonts w:cs="Arial"/>
            <w:noProof/>
          </w:rPr>
          <w:t xml:space="preserve">Table 1: </w:t>
        </w:r>
        <w:r w:rsidR="000A4145" w:rsidRPr="00E65A8C">
          <w:rPr>
            <w:rStyle w:val="Hyperlink"/>
            <w:rFonts w:ascii="Arial" w:hAnsi="Arial" w:cs="Arial"/>
            <w:i/>
            <w:noProof/>
          </w:rPr>
          <w:t>ʹ</w:t>
        </w:r>
        <w:r w:rsidR="000A4145" w:rsidRPr="00E65A8C">
          <w:rPr>
            <w:rStyle w:val="Hyperlink"/>
            <w:rFonts w:cs="Arial"/>
            <w:i/>
            <w:noProof/>
          </w:rPr>
          <w:t>Ala Mo</w:t>
        </w:r>
        <w:r w:rsidR="000A4145" w:rsidRPr="00E65A8C">
          <w:rPr>
            <w:rStyle w:val="Hyperlink"/>
            <w:rFonts w:ascii="Arial" w:hAnsi="Arial" w:cs="Arial"/>
            <w:i/>
            <w:noProof/>
          </w:rPr>
          <w:t>ʹ</w:t>
        </w:r>
        <w:r w:rsidR="000A4145" w:rsidRPr="00E65A8C">
          <w:rPr>
            <w:rStyle w:val="Hyperlink"/>
            <w:rFonts w:cs="Arial"/>
            <w:i/>
            <w:noProof/>
          </w:rPr>
          <w:t>ui</w:t>
        </w:r>
        <w:r w:rsidR="000A4145" w:rsidRPr="00E65A8C">
          <w:rPr>
            <w:rStyle w:val="Hyperlink"/>
            <w:rFonts w:cs="Arial"/>
            <w:noProof/>
          </w:rPr>
          <w:t xml:space="preserve"> indicators which suggest positive results for Pacific peoples as compared to the total New Zealand population, as at 31 March 2017</w:t>
        </w:r>
        <w:r w:rsidR="000A4145">
          <w:rPr>
            <w:noProof/>
            <w:webHidden/>
          </w:rPr>
          <w:tab/>
        </w:r>
        <w:r w:rsidR="000A4145">
          <w:rPr>
            <w:noProof/>
            <w:webHidden/>
          </w:rPr>
          <w:fldChar w:fldCharType="begin"/>
        </w:r>
        <w:r w:rsidR="000A4145">
          <w:rPr>
            <w:noProof/>
            <w:webHidden/>
          </w:rPr>
          <w:instrText xml:space="preserve"> PAGEREF _Toc531260397 \h </w:instrText>
        </w:r>
        <w:r w:rsidR="000A4145">
          <w:rPr>
            <w:noProof/>
            <w:webHidden/>
          </w:rPr>
        </w:r>
        <w:r w:rsidR="000A4145">
          <w:rPr>
            <w:noProof/>
            <w:webHidden/>
          </w:rPr>
          <w:fldChar w:fldCharType="separate"/>
        </w:r>
        <w:r w:rsidR="000A4145">
          <w:rPr>
            <w:noProof/>
            <w:webHidden/>
          </w:rPr>
          <w:t>6</w:t>
        </w:r>
        <w:r w:rsidR="000A4145">
          <w:rPr>
            <w:noProof/>
            <w:webHidden/>
          </w:rPr>
          <w:fldChar w:fldCharType="end"/>
        </w:r>
      </w:hyperlink>
    </w:p>
    <w:p w14:paraId="64D354BA" w14:textId="77777777" w:rsidR="000A4145" w:rsidRDefault="00015C06">
      <w:pPr>
        <w:pStyle w:val="TOC3"/>
        <w:rPr>
          <w:rFonts w:asciiTheme="minorHAnsi" w:eastAsiaTheme="minorEastAsia" w:hAnsiTheme="minorHAnsi" w:cstheme="minorBidi"/>
          <w:noProof/>
          <w:szCs w:val="22"/>
          <w:lang w:eastAsia="en-NZ"/>
        </w:rPr>
      </w:pPr>
      <w:hyperlink w:anchor="_Toc531260398" w:history="1">
        <w:r w:rsidR="000A4145" w:rsidRPr="00E65A8C">
          <w:rPr>
            <w:rStyle w:val="Hyperlink"/>
            <w:rFonts w:cs="Arial"/>
            <w:noProof/>
          </w:rPr>
          <w:t xml:space="preserve">Table 2: </w:t>
        </w:r>
        <w:r w:rsidR="000A4145" w:rsidRPr="00E65A8C">
          <w:rPr>
            <w:rStyle w:val="Hyperlink"/>
            <w:rFonts w:ascii="Arial" w:hAnsi="Arial" w:cs="Arial"/>
            <w:i/>
            <w:noProof/>
          </w:rPr>
          <w:t>ʹ</w:t>
        </w:r>
        <w:r w:rsidR="000A4145" w:rsidRPr="00E65A8C">
          <w:rPr>
            <w:rStyle w:val="Hyperlink"/>
            <w:rFonts w:cs="Arial"/>
            <w:i/>
            <w:noProof/>
          </w:rPr>
          <w:t>Ala Mo</w:t>
        </w:r>
        <w:r w:rsidR="000A4145" w:rsidRPr="00E65A8C">
          <w:rPr>
            <w:rStyle w:val="Hyperlink"/>
            <w:rFonts w:ascii="Arial" w:hAnsi="Arial" w:cs="Arial"/>
            <w:i/>
            <w:noProof/>
          </w:rPr>
          <w:t>ʹ</w:t>
        </w:r>
        <w:r w:rsidR="000A4145" w:rsidRPr="00E65A8C">
          <w:rPr>
            <w:rStyle w:val="Hyperlink"/>
            <w:rFonts w:cs="Arial"/>
            <w:i/>
            <w:noProof/>
          </w:rPr>
          <w:t>ui</w:t>
        </w:r>
        <w:r w:rsidR="000A4145" w:rsidRPr="00E65A8C">
          <w:rPr>
            <w:rStyle w:val="Hyperlink"/>
            <w:rFonts w:cs="Arial"/>
            <w:noProof/>
          </w:rPr>
          <w:t xml:space="preserve"> indicators which suggest that Pacific peoples are close to achieving parity (within five percent) with the total New Zealand population, as at 31 March 2017</w:t>
        </w:r>
        <w:r w:rsidR="000A4145">
          <w:rPr>
            <w:noProof/>
            <w:webHidden/>
          </w:rPr>
          <w:tab/>
        </w:r>
        <w:r w:rsidR="000A4145">
          <w:rPr>
            <w:noProof/>
            <w:webHidden/>
          </w:rPr>
          <w:fldChar w:fldCharType="begin"/>
        </w:r>
        <w:r w:rsidR="000A4145">
          <w:rPr>
            <w:noProof/>
            <w:webHidden/>
          </w:rPr>
          <w:instrText xml:space="preserve"> PAGEREF _Toc531260398 \h </w:instrText>
        </w:r>
        <w:r w:rsidR="000A4145">
          <w:rPr>
            <w:noProof/>
            <w:webHidden/>
          </w:rPr>
        </w:r>
        <w:r w:rsidR="000A4145">
          <w:rPr>
            <w:noProof/>
            <w:webHidden/>
          </w:rPr>
          <w:fldChar w:fldCharType="separate"/>
        </w:r>
        <w:r w:rsidR="000A4145">
          <w:rPr>
            <w:noProof/>
            <w:webHidden/>
          </w:rPr>
          <w:t>6</w:t>
        </w:r>
        <w:r w:rsidR="000A4145">
          <w:rPr>
            <w:noProof/>
            <w:webHidden/>
          </w:rPr>
          <w:fldChar w:fldCharType="end"/>
        </w:r>
      </w:hyperlink>
    </w:p>
    <w:p w14:paraId="1A665012" w14:textId="77777777" w:rsidR="000A4145" w:rsidRDefault="00015C06">
      <w:pPr>
        <w:pStyle w:val="TOC3"/>
        <w:rPr>
          <w:rFonts w:asciiTheme="minorHAnsi" w:eastAsiaTheme="minorEastAsia" w:hAnsiTheme="minorHAnsi" w:cstheme="minorBidi"/>
          <w:noProof/>
          <w:szCs w:val="22"/>
          <w:lang w:eastAsia="en-NZ"/>
        </w:rPr>
      </w:pPr>
      <w:hyperlink w:anchor="_Toc531260399" w:history="1">
        <w:r w:rsidR="000A4145" w:rsidRPr="00E65A8C">
          <w:rPr>
            <w:rStyle w:val="Hyperlink"/>
            <w:noProof/>
          </w:rPr>
          <w:t xml:space="preserve">Table 3: </w:t>
        </w:r>
        <w:r w:rsidR="000A4145" w:rsidRPr="00E65A8C">
          <w:rPr>
            <w:rStyle w:val="Hyperlink"/>
            <w:rFonts w:ascii="Arial" w:hAnsi="Arial" w:cs="Arial"/>
            <w:i/>
            <w:noProof/>
          </w:rPr>
          <w:t>ʹ</w:t>
        </w:r>
        <w:r w:rsidR="000A4145" w:rsidRPr="00E65A8C">
          <w:rPr>
            <w:rStyle w:val="Hyperlink"/>
            <w:i/>
            <w:noProof/>
          </w:rPr>
          <w:t>Ala Mo</w:t>
        </w:r>
        <w:r w:rsidR="000A4145" w:rsidRPr="00E65A8C">
          <w:rPr>
            <w:rStyle w:val="Hyperlink"/>
            <w:rFonts w:ascii="Arial" w:hAnsi="Arial" w:cs="Arial"/>
            <w:i/>
            <w:noProof/>
          </w:rPr>
          <w:t>ʹ</w:t>
        </w:r>
        <w:r w:rsidR="000A4145" w:rsidRPr="00E65A8C">
          <w:rPr>
            <w:rStyle w:val="Hyperlink"/>
            <w:i/>
            <w:noProof/>
          </w:rPr>
          <w:t>ui</w:t>
        </w:r>
        <w:r w:rsidR="000A4145" w:rsidRPr="00E65A8C">
          <w:rPr>
            <w:rStyle w:val="Hyperlink"/>
            <w:noProof/>
          </w:rPr>
          <w:t xml:space="preserve"> indicators against which rates for Pacific peoples are lower than rates for the total New Zealand population, 31 March 2017</w:t>
        </w:r>
        <w:r w:rsidR="000A4145">
          <w:rPr>
            <w:noProof/>
            <w:webHidden/>
          </w:rPr>
          <w:tab/>
        </w:r>
        <w:r w:rsidR="000A4145">
          <w:rPr>
            <w:noProof/>
            <w:webHidden/>
          </w:rPr>
          <w:fldChar w:fldCharType="begin"/>
        </w:r>
        <w:r w:rsidR="000A4145">
          <w:rPr>
            <w:noProof/>
            <w:webHidden/>
          </w:rPr>
          <w:instrText xml:space="preserve"> PAGEREF _Toc531260399 \h </w:instrText>
        </w:r>
        <w:r w:rsidR="000A4145">
          <w:rPr>
            <w:noProof/>
            <w:webHidden/>
          </w:rPr>
        </w:r>
        <w:r w:rsidR="000A4145">
          <w:rPr>
            <w:noProof/>
            <w:webHidden/>
          </w:rPr>
          <w:fldChar w:fldCharType="separate"/>
        </w:r>
        <w:r w:rsidR="000A4145">
          <w:rPr>
            <w:noProof/>
            <w:webHidden/>
          </w:rPr>
          <w:t>6</w:t>
        </w:r>
        <w:r w:rsidR="000A4145">
          <w:rPr>
            <w:noProof/>
            <w:webHidden/>
          </w:rPr>
          <w:fldChar w:fldCharType="end"/>
        </w:r>
      </w:hyperlink>
    </w:p>
    <w:p w14:paraId="621A769D" w14:textId="77777777" w:rsidR="000A4145" w:rsidRDefault="00015C06">
      <w:pPr>
        <w:pStyle w:val="TOC3"/>
        <w:rPr>
          <w:rFonts w:asciiTheme="minorHAnsi" w:eastAsiaTheme="minorEastAsia" w:hAnsiTheme="minorHAnsi" w:cstheme="minorBidi"/>
          <w:noProof/>
          <w:szCs w:val="22"/>
          <w:lang w:eastAsia="en-NZ"/>
        </w:rPr>
      </w:pPr>
      <w:hyperlink w:anchor="_Toc531260400" w:history="1">
        <w:r w:rsidR="000A4145" w:rsidRPr="00E65A8C">
          <w:rPr>
            <w:rStyle w:val="Hyperlink"/>
            <w:noProof/>
          </w:rPr>
          <w:t>Table 4: Crude ASH rates for 2016, Pacific peoples and total New Zealand population</w:t>
        </w:r>
        <w:r w:rsidR="000A4145">
          <w:rPr>
            <w:noProof/>
            <w:webHidden/>
          </w:rPr>
          <w:tab/>
        </w:r>
        <w:r w:rsidR="000A4145">
          <w:rPr>
            <w:noProof/>
            <w:webHidden/>
          </w:rPr>
          <w:fldChar w:fldCharType="begin"/>
        </w:r>
        <w:r w:rsidR="000A4145">
          <w:rPr>
            <w:noProof/>
            <w:webHidden/>
          </w:rPr>
          <w:instrText xml:space="preserve"> PAGEREF _Toc531260400 \h </w:instrText>
        </w:r>
        <w:r w:rsidR="000A4145">
          <w:rPr>
            <w:noProof/>
            <w:webHidden/>
          </w:rPr>
        </w:r>
        <w:r w:rsidR="000A4145">
          <w:rPr>
            <w:noProof/>
            <w:webHidden/>
          </w:rPr>
          <w:fldChar w:fldCharType="separate"/>
        </w:r>
        <w:r w:rsidR="000A4145">
          <w:rPr>
            <w:noProof/>
            <w:webHidden/>
          </w:rPr>
          <w:t>8</w:t>
        </w:r>
        <w:r w:rsidR="000A4145">
          <w:rPr>
            <w:noProof/>
            <w:webHidden/>
          </w:rPr>
          <w:fldChar w:fldCharType="end"/>
        </w:r>
      </w:hyperlink>
    </w:p>
    <w:p w14:paraId="2C454818" w14:textId="77777777" w:rsidR="000A4145" w:rsidRDefault="00015C06">
      <w:pPr>
        <w:pStyle w:val="TOC3"/>
        <w:rPr>
          <w:rFonts w:asciiTheme="minorHAnsi" w:eastAsiaTheme="minorEastAsia" w:hAnsiTheme="minorHAnsi" w:cstheme="minorBidi"/>
          <w:noProof/>
          <w:szCs w:val="22"/>
          <w:lang w:eastAsia="en-NZ"/>
        </w:rPr>
      </w:pPr>
      <w:hyperlink w:anchor="_Toc531260401" w:history="1">
        <w:r w:rsidR="000A4145" w:rsidRPr="00E65A8C">
          <w:rPr>
            <w:rStyle w:val="Hyperlink"/>
            <w:noProof/>
          </w:rPr>
          <w:t>Table 5: Count and average number of nurse and GP visits combined, Pacific peoples, priority DHBs, 1 January–30 December 2016</w:t>
        </w:r>
        <w:r w:rsidR="000A4145">
          <w:rPr>
            <w:noProof/>
            <w:webHidden/>
          </w:rPr>
          <w:tab/>
        </w:r>
        <w:r w:rsidR="000A4145">
          <w:rPr>
            <w:noProof/>
            <w:webHidden/>
          </w:rPr>
          <w:fldChar w:fldCharType="begin"/>
        </w:r>
        <w:r w:rsidR="000A4145">
          <w:rPr>
            <w:noProof/>
            <w:webHidden/>
          </w:rPr>
          <w:instrText xml:space="preserve"> PAGEREF _Toc531260401 \h </w:instrText>
        </w:r>
        <w:r w:rsidR="000A4145">
          <w:rPr>
            <w:noProof/>
            <w:webHidden/>
          </w:rPr>
        </w:r>
        <w:r w:rsidR="000A4145">
          <w:rPr>
            <w:noProof/>
            <w:webHidden/>
          </w:rPr>
          <w:fldChar w:fldCharType="separate"/>
        </w:r>
        <w:r w:rsidR="000A4145">
          <w:rPr>
            <w:noProof/>
            <w:webHidden/>
          </w:rPr>
          <w:t>17</w:t>
        </w:r>
        <w:r w:rsidR="000A4145">
          <w:rPr>
            <w:noProof/>
            <w:webHidden/>
          </w:rPr>
          <w:fldChar w:fldCharType="end"/>
        </w:r>
      </w:hyperlink>
    </w:p>
    <w:p w14:paraId="78EB7923" w14:textId="77777777" w:rsidR="000A4145" w:rsidRDefault="00015C06">
      <w:pPr>
        <w:pStyle w:val="TOC3"/>
        <w:rPr>
          <w:rFonts w:asciiTheme="minorHAnsi" w:eastAsiaTheme="minorEastAsia" w:hAnsiTheme="minorHAnsi" w:cstheme="minorBidi"/>
          <w:noProof/>
          <w:szCs w:val="22"/>
          <w:lang w:eastAsia="en-NZ"/>
        </w:rPr>
      </w:pPr>
      <w:hyperlink w:anchor="_Toc531260402" w:history="1">
        <w:r w:rsidR="000A4145" w:rsidRPr="00E65A8C">
          <w:rPr>
            <w:rStyle w:val="Hyperlink"/>
            <w:noProof/>
          </w:rPr>
          <w:t>Table 6: Number and percentage of people using DHB specialist mental health services, Pacific peoples by priority DHBs, 1 January–30 December 2016</w:t>
        </w:r>
        <w:r w:rsidR="000A4145">
          <w:rPr>
            <w:noProof/>
            <w:webHidden/>
          </w:rPr>
          <w:tab/>
        </w:r>
        <w:r w:rsidR="000A4145">
          <w:rPr>
            <w:noProof/>
            <w:webHidden/>
          </w:rPr>
          <w:fldChar w:fldCharType="begin"/>
        </w:r>
        <w:r w:rsidR="000A4145">
          <w:rPr>
            <w:noProof/>
            <w:webHidden/>
          </w:rPr>
          <w:instrText xml:space="preserve"> PAGEREF _Toc531260402 \h </w:instrText>
        </w:r>
        <w:r w:rsidR="000A4145">
          <w:rPr>
            <w:noProof/>
            <w:webHidden/>
          </w:rPr>
        </w:r>
        <w:r w:rsidR="000A4145">
          <w:rPr>
            <w:noProof/>
            <w:webHidden/>
          </w:rPr>
          <w:fldChar w:fldCharType="separate"/>
        </w:r>
        <w:r w:rsidR="000A4145">
          <w:rPr>
            <w:noProof/>
            <w:webHidden/>
          </w:rPr>
          <w:t>20</w:t>
        </w:r>
        <w:r w:rsidR="000A4145">
          <w:rPr>
            <w:noProof/>
            <w:webHidden/>
          </w:rPr>
          <w:fldChar w:fldCharType="end"/>
        </w:r>
      </w:hyperlink>
    </w:p>
    <w:p w14:paraId="7C932B4C" w14:textId="77777777" w:rsidR="000A4145" w:rsidRDefault="00015C06">
      <w:pPr>
        <w:pStyle w:val="TOC3"/>
        <w:rPr>
          <w:rFonts w:asciiTheme="minorHAnsi" w:eastAsiaTheme="minorEastAsia" w:hAnsiTheme="minorHAnsi" w:cstheme="minorBidi"/>
          <w:noProof/>
          <w:szCs w:val="22"/>
          <w:lang w:eastAsia="en-NZ"/>
        </w:rPr>
      </w:pPr>
      <w:hyperlink w:anchor="_Toc531260403" w:history="1">
        <w:r w:rsidR="000A4145" w:rsidRPr="00E65A8C">
          <w:rPr>
            <w:rStyle w:val="Hyperlink"/>
            <w:noProof/>
          </w:rPr>
          <w:t>Table 7: Count and percentage of people using DHB alcohol and drug services, Pacific peoples by priority DHBs, 1 January–30 December 2016</w:t>
        </w:r>
        <w:r w:rsidR="000A4145">
          <w:rPr>
            <w:noProof/>
            <w:webHidden/>
          </w:rPr>
          <w:tab/>
        </w:r>
        <w:r w:rsidR="000A4145">
          <w:rPr>
            <w:noProof/>
            <w:webHidden/>
          </w:rPr>
          <w:fldChar w:fldCharType="begin"/>
        </w:r>
        <w:r w:rsidR="000A4145">
          <w:rPr>
            <w:noProof/>
            <w:webHidden/>
          </w:rPr>
          <w:instrText xml:space="preserve"> PAGEREF _Toc531260403 \h </w:instrText>
        </w:r>
        <w:r w:rsidR="000A4145">
          <w:rPr>
            <w:noProof/>
            <w:webHidden/>
          </w:rPr>
        </w:r>
        <w:r w:rsidR="000A4145">
          <w:rPr>
            <w:noProof/>
            <w:webHidden/>
          </w:rPr>
          <w:fldChar w:fldCharType="separate"/>
        </w:r>
        <w:r w:rsidR="000A4145">
          <w:rPr>
            <w:noProof/>
            <w:webHidden/>
          </w:rPr>
          <w:t>23</w:t>
        </w:r>
        <w:r w:rsidR="000A4145">
          <w:rPr>
            <w:noProof/>
            <w:webHidden/>
          </w:rPr>
          <w:fldChar w:fldCharType="end"/>
        </w:r>
      </w:hyperlink>
    </w:p>
    <w:p w14:paraId="34F0FEEB" w14:textId="77777777" w:rsidR="000A4145" w:rsidRDefault="00015C06">
      <w:pPr>
        <w:pStyle w:val="TOC3"/>
        <w:rPr>
          <w:rFonts w:asciiTheme="minorHAnsi" w:eastAsiaTheme="minorEastAsia" w:hAnsiTheme="minorHAnsi" w:cstheme="minorBidi"/>
          <w:noProof/>
          <w:szCs w:val="22"/>
          <w:lang w:eastAsia="en-NZ"/>
        </w:rPr>
      </w:pPr>
      <w:hyperlink w:anchor="_Toc531260404" w:history="1">
        <w:r w:rsidR="000A4145" w:rsidRPr="00E65A8C">
          <w:rPr>
            <w:rStyle w:val="Hyperlink"/>
            <w:noProof/>
          </w:rPr>
          <w:t>Table 8: Number and percentage of people enrolled in a PHO aged 15–74 years offered brief advice and support to quit in primary health care, Pacific peoples, priority DHBs, 1 January 2016–31 March 2017</w:t>
        </w:r>
        <w:r w:rsidR="000A4145">
          <w:rPr>
            <w:noProof/>
            <w:webHidden/>
          </w:rPr>
          <w:tab/>
        </w:r>
        <w:r w:rsidR="000A4145">
          <w:rPr>
            <w:noProof/>
            <w:webHidden/>
          </w:rPr>
          <w:fldChar w:fldCharType="begin"/>
        </w:r>
        <w:r w:rsidR="000A4145">
          <w:rPr>
            <w:noProof/>
            <w:webHidden/>
          </w:rPr>
          <w:instrText xml:space="preserve"> PAGEREF _Toc531260404 \h </w:instrText>
        </w:r>
        <w:r w:rsidR="000A4145">
          <w:rPr>
            <w:noProof/>
            <w:webHidden/>
          </w:rPr>
        </w:r>
        <w:r w:rsidR="000A4145">
          <w:rPr>
            <w:noProof/>
            <w:webHidden/>
          </w:rPr>
          <w:fldChar w:fldCharType="separate"/>
        </w:r>
        <w:r w:rsidR="000A4145">
          <w:rPr>
            <w:noProof/>
            <w:webHidden/>
          </w:rPr>
          <w:t>26</w:t>
        </w:r>
        <w:r w:rsidR="000A4145">
          <w:rPr>
            <w:noProof/>
            <w:webHidden/>
          </w:rPr>
          <w:fldChar w:fldCharType="end"/>
        </w:r>
      </w:hyperlink>
    </w:p>
    <w:p w14:paraId="1C703E09" w14:textId="77777777" w:rsidR="000A4145" w:rsidRDefault="00015C06">
      <w:pPr>
        <w:pStyle w:val="TOC3"/>
        <w:rPr>
          <w:rFonts w:asciiTheme="minorHAnsi" w:eastAsiaTheme="minorEastAsia" w:hAnsiTheme="minorHAnsi" w:cstheme="minorBidi"/>
          <w:noProof/>
          <w:szCs w:val="22"/>
          <w:lang w:eastAsia="en-NZ"/>
        </w:rPr>
      </w:pPr>
      <w:hyperlink w:anchor="_Toc531260405" w:history="1">
        <w:r w:rsidR="000A4145" w:rsidRPr="00E65A8C">
          <w:rPr>
            <w:rStyle w:val="Hyperlink"/>
            <w:noProof/>
          </w:rPr>
          <w:t>Table 9: Number and percentage of women aged 25-69 years who received a cervical smear test in the previous three years, Pacific peoples, by priority DHBs, 1 January– 31 March 2017</w:t>
        </w:r>
        <w:r w:rsidR="000A4145">
          <w:rPr>
            <w:noProof/>
            <w:webHidden/>
          </w:rPr>
          <w:tab/>
        </w:r>
        <w:r w:rsidR="000A4145">
          <w:rPr>
            <w:noProof/>
            <w:webHidden/>
          </w:rPr>
          <w:fldChar w:fldCharType="begin"/>
        </w:r>
        <w:r w:rsidR="000A4145">
          <w:rPr>
            <w:noProof/>
            <w:webHidden/>
          </w:rPr>
          <w:instrText xml:space="preserve"> PAGEREF _Toc531260405 \h </w:instrText>
        </w:r>
        <w:r w:rsidR="000A4145">
          <w:rPr>
            <w:noProof/>
            <w:webHidden/>
          </w:rPr>
        </w:r>
        <w:r w:rsidR="000A4145">
          <w:rPr>
            <w:noProof/>
            <w:webHidden/>
          </w:rPr>
          <w:fldChar w:fldCharType="separate"/>
        </w:r>
        <w:r w:rsidR="000A4145">
          <w:rPr>
            <w:noProof/>
            <w:webHidden/>
          </w:rPr>
          <w:t>29</w:t>
        </w:r>
        <w:r w:rsidR="000A4145">
          <w:rPr>
            <w:noProof/>
            <w:webHidden/>
          </w:rPr>
          <w:fldChar w:fldCharType="end"/>
        </w:r>
      </w:hyperlink>
    </w:p>
    <w:p w14:paraId="1908AFBF" w14:textId="77777777" w:rsidR="000A4145" w:rsidRDefault="00015C06">
      <w:pPr>
        <w:pStyle w:val="TOC3"/>
        <w:rPr>
          <w:rFonts w:asciiTheme="minorHAnsi" w:eastAsiaTheme="minorEastAsia" w:hAnsiTheme="minorHAnsi" w:cstheme="minorBidi"/>
          <w:noProof/>
          <w:szCs w:val="22"/>
          <w:lang w:eastAsia="en-NZ"/>
        </w:rPr>
      </w:pPr>
      <w:hyperlink w:anchor="_Toc531260406" w:history="1">
        <w:r w:rsidR="000A4145" w:rsidRPr="00E65A8C">
          <w:rPr>
            <w:rStyle w:val="Hyperlink"/>
            <w:noProof/>
          </w:rPr>
          <w:t>Table 10: Number and percentage of eligible adults who had cardiovascular risk assessed, Pacific peoples, priority DHBs, 1 January–31 March 2017</w:t>
        </w:r>
        <w:r w:rsidR="000A4145">
          <w:rPr>
            <w:noProof/>
            <w:webHidden/>
          </w:rPr>
          <w:tab/>
        </w:r>
        <w:r w:rsidR="000A4145">
          <w:rPr>
            <w:noProof/>
            <w:webHidden/>
          </w:rPr>
          <w:fldChar w:fldCharType="begin"/>
        </w:r>
        <w:r w:rsidR="000A4145">
          <w:rPr>
            <w:noProof/>
            <w:webHidden/>
          </w:rPr>
          <w:instrText xml:space="preserve"> PAGEREF _Toc531260406 \h </w:instrText>
        </w:r>
        <w:r w:rsidR="000A4145">
          <w:rPr>
            <w:noProof/>
            <w:webHidden/>
          </w:rPr>
        </w:r>
        <w:r w:rsidR="000A4145">
          <w:rPr>
            <w:noProof/>
            <w:webHidden/>
          </w:rPr>
          <w:fldChar w:fldCharType="separate"/>
        </w:r>
        <w:r w:rsidR="000A4145">
          <w:rPr>
            <w:noProof/>
            <w:webHidden/>
          </w:rPr>
          <w:t>33</w:t>
        </w:r>
        <w:r w:rsidR="000A4145">
          <w:rPr>
            <w:noProof/>
            <w:webHidden/>
          </w:rPr>
          <w:fldChar w:fldCharType="end"/>
        </w:r>
      </w:hyperlink>
    </w:p>
    <w:p w14:paraId="0AC593CD" w14:textId="165E7138" w:rsidR="00C86248" w:rsidRDefault="000A4145" w:rsidP="0030382F">
      <w:r>
        <w:rPr>
          <w:sz w:val="20"/>
        </w:rPr>
        <w:fldChar w:fldCharType="end"/>
      </w:r>
    </w:p>
    <w:p w14:paraId="58C3D4D2" w14:textId="20DFFCAA" w:rsidR="008724F5" w:rsidRDefault="008724F5">
      <w:pPr>
        <w:spacing w:line="240" w:lineRule="auto"/>
      </w:pPr>
      <w:r>
        <w:br w:type="page"/>
      </w:r>
    </w:p>
    <w:p w14:paraId="6BC862B7" w14:textId="77777777" w:rsidR="003A5FEA" w:rsidRDefault="003A5FEA" w:rsidP="002A1E1A">
      <w:pPr>
        <w:pStyle w:val="TOC1"/>
        <w:keepNext/>
      </w:pPr>
      <w:r>
        <w:lastRenderedPageBreak/>
        <w:t>List of Figures</w:t>
      </w:r>
    </w:p>
    <w:p w14:paraId="69785234" w14:textId="77777777" w:rsidR="000A4145" w:rsidRDefault="000A4145">
      <w:pPr>
        <w:pStyle w:val="TOC3"/>
        <w:rPr>
          <w:rFonts w:asciiTheme="minorHAnsi" w:eastAsiaTheme="minorEastAsia" w:hAnsiTheme="minorHAnsi" w:cstheme="minorBidi"/>
          <w:noProof/>
          <w:szCs w:val="22"/>
          <w:lang w:eastAsia="en-NZ"/>
        </w:rPr>
      </w:pPr>
      <w:r>
        <w:fldChar w:fldCharType="begin"/>
      </w:r>
      <w:r>
        <w:instrText xml:space="preserve"> TOC \h \z \t "Figure,3" </w:instrText>
      </w:r>
      <w:r>
        <w:fldChar w:fldCharType="separate"/>
      </w:r>
      <w:hyperlink w:anchor="_Toc531260436" w:history="1">
        <w:r w:rsidRPr="00F72305">
          <w:rPr>
            <w:rStyle w:val="Hyperlink"/>
            <w:noProof/>
          </w:rPr>
          <w:t>Figure 1A: Crude ASH rates per 100,000 population (0–4-year-olds), Pacific peoples and total New Zealand population, 2006–2016</w:t>
        </w:r>
        <w:r>
          <w:rPr>
            <w:noProof/>
            <w:webHidden/>
          </w:rPr>
          <w:tab/>
        </w:r>
        <w:r>
          <w:rPr>
            <w:noProof/>
            <w:webHidden/>
          </w:rPr>
          <w:fldChar w:fldCharType="begin"/>
        </w:r>
        <w:r>
          <w:rPr>
            <w:noProof/>
            <w:webHidden/>
          </w:rPr>
          <w:instrText xml:space="preserve"> PAGEREF _Toc531260436 \h </w:instrText>
        </w:r>
        <w:r>
          <w:rPr>
            <w:noProof/>
            <w:webHidden/>
          </w:rPr>
        </w:r>
        <w:r>
          <w:rPr>
            <w:noProof/>
            <w:webHidden/>
          </w:rPr>
          <w:fldChar w:fldCharType="separate"/>
        </w:r>
        <w:r>
          <w:rPr>
            <w:noProof/>
            <w:webHidden/>
          </w:rPr>
          <w:t>9</w:t>
        </w:r>
        <w:r>
          <w:rPr>
            <w:noProof/>
            <w:webHidden/>
          </w:rPr>
          <w:fldChar w:fldCharType="end"/>
        </w:r>
      </w:hyperlink>
    </w:p>
    <w:p w14:paraId="47F6934B" w14:textId="77777777" w:rsidR="000A4145" w:rsidRDefault="00015C06">
      <w:pPr>
        <w:pStyle w:val="TOC3"/>
        <w:rPr>
          <w:rFonts w:asciiTheme="minorHAnsi" w:eastAsiaTheme="minorEastAsia" w:hAnsiTheme="minorHAnsi" w:cstheme="minorBidi"/>
          <w:noProof/>
          <w:szCs w:val="22"/>
          <w:lang w:eastAsia="en-NZ"/>
        </w:rPr>
      </w:pPr>
      <w:hyperlink w:anchor="_Toc531260437" w:history="1">
        <w:r w:rsidR="000A4145" w:rsidRPr="00F72305">
          <w:rPr>
            <w:rStyle w:val="Hyperlink"/>
            <w:noProof/>
          </w:rPr>
          <w:t>Figure 1B: Crude ASH rates per 100,000 population (0–4-year-olds), Pacific peoples, Auckland region DHBs, 2006–2016</w:t>
        </w:r>
        <w:r w:rsidR="000A4145">
          <w:rPr>
            <w:noProof/>
            <w:webHidden/>
          </w:rPr>
          <w:tab/>
        </w:r>
        <w:r w:rsidR="000A4145">
          <w:rPr>
            <w:noProof/>
            <w:webHidden/>
          </w:rPr>
          <w:fldChar w:fldCharType="begin"/>
        </w:r>
        <w:r w:rsidR="000A4145">
          <w:rPr>
            <w:noProof/>
            <w:webHidden/>
          </w:rPr>
          <w:instrText xml:space="preserve"> PAGEREF _Toc531260437 \h </w:instrText>
        </w:r>
        <w:r w:rsidR="000A4145">
          <w:rPr>
            <w:noProof/>
            <w:webHidden/>
          </w:rPr>
        </w:r>
        <w:r w:rsidR="000A4145">
          <w:rPr>
            <w:noProof/>
            <w:webHidden/>
          </w:rPr>
          <w:fldChar w:fldCharType="separate"/>
        </w:r>
        <w:r w:rsidR="000A4145">
          <w:rPr>
            <w:noProof/>
            <w:webHidden/>
          </w:rPr>
          <w:t>9</w:t>
        </w:r>
        <w:r w:rsidR="000A4145">
          <w:rPr>
            <w:noProof/>
            <w:webHidden/>
          </w:rPr>
          <w:fldChar w:fldCharType="end"/>
        </w:r>
      </w:hyperlink>
    </w:p>
    <w:p w14:paraId="597D8E7E" w14:textId="77777777" w:rsidR="000A4145" w:rsidRDefault="00015C06">
      <w:pPr>
        <w:pStyle w:val="TOC3"/>
        <w:rPr>
          <w:rFonts w:asciiTheme="minorHAnsi" w:eastAsiaTheme="minorEastAsia" w:hAnsiTheme="minorHAnsi" w:cstheme="minorBidi"/>
          <w:noProof/>
          <w:szCs w:val="22"/>
          <w:lang w:eastAsia="en-NZ"/>
        </w:rPr>
      </w:pPr>
      <w:hyperlink w:anchor="_Toc531260438" w:history="1">
        <w:r w:rsidR="000A4145" w:rsidRPr="00F72305">
          <w:rPr>
            <w:rStyle w:val="Hyperlink"/>
            <w:noProof/>
          </w:rPr>
          <w:t>Figure 1C: Crude ASH rates per 100,000 population (0–4-year-olds), Pacific peoples, priority DHBs outside the Auckland region, 2006–2016</w:t>
        </w:r>
        <w:r w:rsidR="000A4145">
          <w:rPr>
            <w:noProof/>
            <w:webHidden/>
          </w:rPr>
          <w:tab/>
        </w:r>
        <w:r w:rsidR="000A4145">
          <w:rPr>
            <w:noProof/>
            <w:webHidden/>
          </w:rPr>
          <w:fldChar w:fldCharType="begin"/>
        </w:r>
        <w:r w:rsidR="000A4145">
          <w:rPr>
            <w:noProof/>
            <w:webHidden/>
          </w:rPr>
          <w:instrText xml:space="preserve"> PAGEREF _Toc531260438 \h </w:instrText>
        </w:r>
        <w:r w:rsidR="000A4145">
          <w:rPr>
            <w:noProof/>
            <w:webHidden/>
          </w:rPr>
        </w:r>
        <w:r w:rsidR="000A4145">
          <w:rPr>
            <w:noProof/>
            <w:webHidden/>
          </w:rPr>
          <w:fldChar w:fldCharType="separate"/>
        </w:r>
        <w:r w:rsidR="000A4145">
          <w:rPr>
            <w:noProof/>
            <w:webHidden/>
          </w:rPr>
          <w:t>10</w:t>
        </w:r>
        <w:r w:rsidR="000A4145">
          <w:rPr>
            <w:noProof/>
            <w:webHidden/>
          </w:rPr>
          <w:fldChar w:fldCharType="end"/>
        </w:r>
      </w:hyperlink>
    </w:p>
    <w:p w14:paraId="40D06758" w14:textId="77777777" w:rsidR="000A4145" w:rsidRDefault="00015C06">
      <w:pPr>
        <w:pStyle w:val="TOC3"/>
        <w:rPr>
          <w:rFonts w:asciiTheme="minorHAnsi" w:eastAsiaTheme="minorEastAsia" w:hAnsiTheme="minorHAnsi" w:cstheme="minorBidi"/>
          <w:noProof/>
          <w:szCs w:val="22"/>
          <w:lang w:eastAsia="en-NZ"/>
        </w:rPr>
      </w:pPr>
      <w:hyperlink w:anchor="_Toc531260439" w:history="1">
        <w:r w:rsidR="000A4145" w:rsidRPr="00F72305">
          <w:rPr>
            <w:rStyle w:val="Hyperlink"/>
            <w:noProof/>
          </w:rPr>
          <w:t>Figure 1D: Crude ASH rates per 100,000 population (45–64-year-olds), Pacific peoples and total New Zealand population, 2006–2016</w:t>
        </w:r>
        <w:r w:rsidR="000A4145">
          <w:rPr>
            <w:noProof/>
            <w:webHidden/>
          </w:rPr>
          <w:tab/>
        </w:r>
        <w:r w:rsidR="000A4145">
          <w:rPr>
            <w:noProof/>
            <w:webHidden/>
          </w:rPr>
          <w:fldChar w:fldCharType="begin"/>
        </w:r>
        <w:r w:rsidR="000A4145">
          <w:rPr>
            <w:noProof/>
            <w:webHidden/>
          </w:rPr>
          <w:instrText xml:space="preserve"> PAGEREF _Toc531260439 \h </w:instrText>
        </w:r>
        <w:r w:rsidR="000A4145">
          <w:rPr>
            <w:noProof/>
            <w:webHidden/>
          </w:rPr>
        </w:r>
        <w:r w:rsidR="000A4145">
          <w:rPr>
            <w:noProof/>
            <w:webHidden/>
          </w:rPr>
          <w:fldChar w:fldCharType="separate"/>
        </w:r>
        <w:r w:rsidR="000A4145">
          <w:rPr>
            <w:noProof/>
            <w:webHidden/>
          </w:rPr>
          <w:t>10</w:t>
        </w:r>
        <w:r w:rsidR="000A4145">
          <w:rPr>
            <w:noProof/>
            <w:webHidden/>
          </w:rPr>
          <w:fldChar w:fldCharType="end"/>
        </w:r>
      </w:hyperlink>
    </w:p>
    <w:p w14:paraId="16196035" w14:textId="77777777" w:rsidR="000A4145" w:rsidRDefault="00015C06">
      <w:pPr>
        <w:pStyle w:val="TOC3"/>
        <w:rPr>
          <w:rFonts w:asciiTheme="minorHAnsi" w:eastAsiaTheme="minorEastAsia" w:hAnsiTheme="minorHAnsi" w:cstheme="minorBidi"/>
          <w:noProof/>
          <w:szCs w:val="22"/>
          <w:lang w:eastAsia="en-NZ"/>
        </w:rPr>
      </w:pPr>
      <w:hyperlink w:anchor="_Toc531260440" w:history="1">
        <w:r w:rsidR="000A4145" w:rsidRPr="00F72305">
          <w:rPr>
            <w:rStyle w:val="Hyperlink"/>
            <w:noProof/>
          </w:rPr>
          <w:t>Figure 1E: Crude ASH rates per 100,000 population (45–64-year-olds), Pacific peoples, Auckland region DHBs, 2006–2016</w:t>
        </w:r>
        <w:r w:rsidR="000A4145">
          <w:rPr>
            <w:noProof/>
            <w:webHidden/>
          </w:rPr>
          <w:tab/>
        </w:r>
        <w:r w:rsidR="000A4145">
          <w:rPr>
            <w:noProof/>
            <w:webHidden/>
          </w:rPr>
          <w:fldChar w:fldCharType="begin"/>
        </w:r>
        <w:r w:rsidR="000A4145">
          <w:rPr>
            <w:noProof/>
            <w:webHidden/>
          </w:rPr>
          <w:instrText xml:space="preserve"> PAGEREF _Toc531260440 \h </w:instrText>
        </w:r>
        <w:r w:rsidR="000A4145">
          <w:rPr>
            <w:noProof/>
            <w:webHidden/>
          </w:rPr>
        </w:r>
        <w:r w:rsidR="000A4145">
          <w:rPr>
            <w:noProof/>
            <w:webHidden/>
          </w:rPr>
          <w:fldChar w:fldCharType="separate"/>
        </w:r>
        <w:r w:rsidR="000A4145">
          <w:rPr>
            <w:noProof/>
            <w:webHidden/>
          </w:rPr>
          <w:t>11</w:t>
        </w:r>
        <w:r w:rsidR="000A4145">
          <w:rPr>
            <w:noProof/>
            <w:webHidden/>
          </w:rPr>
          <w:fldChar w:fldCharType="end"/>
        </w:r>
      </w:hyperlink>
    </w:p>
    <w:p w14:paraId="668C7E6F" w14:textId="77777777" w:rsidR="000A4145" w:rsidRDefault="00015C06">
      <w:pPr>
        <w:pStyle w:val="TOC3"/>
        <w:rPr>
          <w:rFonts w:asciiTheme="minorHAnsi" w:eastAsiaTheme="minorEastAsia" w:hAnsiTheme="minorHAnsi" w:cstheme="minorBidi"/>
          <w:noProof/>
          <w:szCs w:val="22"/>
          <w:lang w:eastAsia="en-NZ"/>
        </w:rPr>
      </w:pPr>
      <w:hyperlink w:anchor="_Toc531260441" w:history="1">
        <w:r w:rsidR="000A4145" w:rsidRPr="00F72305">
          <w:rPr>
            <w:rStyle w:val="Hyperlink"/>
            <w:noProof/>
          </w:rPr>
          <w:t>Figure 1F: Crude ASH rates per 100,000 population (45–64-year-olds), Pacific peoples, priority region DHBs outside the Auckland region, 2006–2016</w:t>
        </w:r>
        <w:r w:rsidR="000A4145">
          <w:rPr>
            <w:noProof/>
            <w:webHidden/>
          </w:rPr>
          <w:tab/>
        </w:r>
        <w:r w:rsidR="000A4145">
          <w:rPr>
            <w:noProof/>
            <w:webHidden/>
          </w:rPr>
          <w:fldChar w:fldCharType="begin"/>
        </w:r>
        <w:r w:rsidR="000A4145">
          <w:rPr>
            <w:noProof/>
            <w:webHidden/>
          </w:rPr>
          <w:instrText xml:space="preserve"> PAGEREF _Toc531260441 \h </w:instrText>
        </w:r>
        <w:r w:rsidR="000A4145">
          <w:rPr>
            <w:noProof/>
            <w:webHidden/>
          </w:rPr>
        </w:r>
        <w:r w:rsidR="000A4145">
          <w:rPr>
            <w:noProof/>
            <w:webHidden/>
          </w:rPr>
          <w:fldChar w:fldCharType="separate"/>
        </w:r>
        <w:r w:rsidR="000A4145">
          <w:rPr>
            <w:noProof/>
            <w:webHidden/>
          </w:rPr>
          <w:t>11</w:t>
        </w:r>
        <w:r w:rsidR="000A4145">
          <w:rPr>
            <w:noProof/>
            <w:webHidden/>
          </w:rPr>
          <w:fldChar w:fldCharType="end"/>
        </w:r>
      </w:hyperlink>
    </w:p>
    <w:p w14:paraId="36DB5678" w14:textId="77777777" w:rsidR="000A4145" w:rsidRDefault="00015C06">
      <w:pPr>
        <w:pStyle w:val="TOC3"/>
        <w:rPr>
          <w:rFonts w:asciiTheme="minorHAnsi" w:eastAsiaTheme="minorEastAsia" w:hAnsiTheme="minorHAnsi" w:cstheme="minorBidi"/>
          <w:noProof/>
          <w:szCs w:val="22"/>
          <w:lang w:eastAsia="en-NZ"/>
        </w:rPr>
      </w:pPr>
      <w:hyperlink w:anchor="_Toc531260442" w:history="1">
        <w:r w:rsidR="000A4145" w:rsidRPr="00F72305">
          <w:rPr>
            <w:rStyle w:val="Hyperlink"/>
            <w:noProof/>
          </w:rPr>
          <w:t>Figure 2: GP utilisation: average number of visits per person per calendar year, Pacific peoples and total New Zealand population, 2008–2016</w:t>
        </w:r>
        <w:r w:rsidR="000A4145">
          <w:rPr>
            <w:noProof/>
            <w:webHidden/>
          </w:rPr>
          <w:tab/>
        </w:r>
        <w:r w:rsidR="000A4145">
          <w:rPr>
            <w:noProof/>
            <w:webHidden/>
          </w:rPr>
          <w:fldChar w:fldCharType="begin"/>
        </w:r>
        <w:r w:rsidR="000A4145">
          <w:rPr>
            <w:noProof/>
            <w:webHidden/>
          </w:rPr>
          <w:instrText xml:space="preserve"> PAGEREF _Toc531260442 \h </w:instrText>
        </w:r>
        <w:r w:rsidR="000A4145">
          <w:rPr>
            <w:noProof/>
            <w:webHidden/>
          </w:rPr>
        </w:r>
        <w:r w:rsidR="000A4145">
          <w:rPr>
            <w:noProof/>
            <w:webHidden/>
          </w:rPr>
          <w:fldChar w:fldCharType="separate"/>
        </w:r>
        <w:r w:rsidR="000A4145">
          <w:rPr>
            <w:noProof/>
            <w:webHidden/>
          </w:rPr>
          <w:t>12</w:t>
        </w:r>
        <w:r w:rsidR="000A4145">
          <w:rPr>
            <w:noProof/>
            <w:webHidden/>
          </w:rPr>
          <w:fldChar w:fldCharType="end"/>
        </w:r>
      </w:hyperlink>
    </w:p>
    <w:p w14:paraId="179113E3" w14:textId="77777777" w:rsidR="000A4145" w:rsidRDefault="00015C06">
      <w:pPr>
        <w:pStyle w:val="TOC3"/>
        <w:rPr>
          <w:rFonts w:asciiTheme="minorHAnsi" w:eastAsiaTheme="minorEastAsia" w:hAnsiTheme="minorHAnsi" w:cstheme="minorBidi"/>
          <w:noProof/>
          <w:szCs w:val="22"/>
          <w:lang w:eastAsia="en-NZ"/>
        </w:rPr>
      </w:pPr>
      <w:hyperlink w:anchor="_Toc531260443" w:history="1">
        <w:r w:rsidR="000A4145" w:rsidRPr="00F72305">
          <w:rPr>
            <w:rStyle w:val="Hyperlink"/>
            <w:noProof/>
          </w:rPr>
          <w:t>Figure 3A: GP utilisation: average number of visits per person per calendar year, Pacific peoples, Auckland region DHBs, 2008–2016</w:t>
        </w:r>
        <w:r w:rsidR="000A4145">
          <w:rPr>
            <w:noProof/>
            <w:webHidden/>
          </w:rPr>
          <w:tab/>
        </w:r>
        <w:r w:rsidR="000A4145">
          <w:rPr>
            <w:noProof/>
            <w:webHidden/>
          </w:rPr>
          <w:fldChar w:fldCharType="begin"/>
        </w:r>
        <w:r w:rsidR="000A4145">
          <w:rPr>
            <w:noProof/>
            <w:webHidden/>
          </w:rPr>
          <w:instrText xml:space="preserve"> PAGEREF _Toc531260443 \h </w:instrText>
        </w:r>
        <w:r w:rsidR="000A4145">
          <w:rPr>
            <w:noProof/>
            <w:webHidden/>
          </w:rPr>
        </w:r>
        <w:r w:rsidR="000A4145">
          <w:rPr>
            <w:noProof/>
            <w:webHidden/>
          </w:rPr>
          <w:fldChar w:fldCharType="separate"/>
        </w:r>
        <w:r w:rsidR="000A4145">
          <w:rPr>
            <w:noProof/>
            <w:webHidden/>
          </w:rPr>
          <w:t>13</w:t>
        </w:r>
        <w:r w:rsidR="000A4145">
          <w:rPr>
            <w:noProof/>
            <w:webHidden/>
          </w:rPr>
          <w:fldChar w:fldCharType="end"/>
        </w:r>
      </w:hyperlink>
    </w:p>
    <w:p w14:paraId="33B49A39" w14:textId="77777777" w:rsidR="000A4145" w:rsidRDefault="00015C06">
      <w:pPr>
        <w:pStyle w:val="TOC3"/>
        <w:rPr>
          <w:rFonts w:asciiTheme="minorHAnsi" w:eastAsiaTheme="minorEastAsia" w:hAnsiTheme="minorHAnsi" w:cstheme="minorBidi"/>
          <w:noProof/>
          <w:szCs w:val="22"/>
          <w:lang w:eastAsia="en-NZ"/>
        </w:rPr>
      </w:pPr>
      <w:hyperlink w:anchor="_Toc531260444" w:history="1">
        <w:r w:rsidR="000A4145" w:rsidRPr="00F72305">
          <w:rPr>
            <w:rStyle w:val="Hyperlink"/>
            <w:noProof/>
          </w:rPr>
          <w:t>Figure 3B: GP utilisation: average number of visits per person per calendar year, Pacific peoples, priority DHBs outside the Auckland region, 2008–2016</w:t>
        </w:r>
        <w:r w:rsidR="000A4145">
          <w:rPr>
            <w:noProof/>
            <w:webHidden/>
          </w:rPr>
          <w:tab/>
        </w:r>
        <w:r w:rsidR="000A4145">
          <w:rPr>
            <w:noProof/>
            <w:webHidden/>
          </w:rPr>
          <w:fldChar w:fldCharType="begin"/>
        </w:r>
        <w:r w:rsidR="000A4145">
          <w:rPr>
            <w:noProof/>
            <w:webHidden/>
          </w:rPr>
          <w:instrText xml:space="preserve"> PAGEREF _Toc531260444 \h </w:instrText>
        </w:r>
        <w:r w:rsidR="000A4145">
          <w:rPr>
            <w:noProof/>
            <w:webHidden/>
          </w:rPr>
        </w:r>
        <w:r w:rsidR="000A4145">
          <w:rPr>
            <w:noProof/>
            <w:webHidden/>
          </w:rPr>
          <w:fldChar w:fldCharType="separate"/>
        </w:r>
        <w:r w:rsidR="000A4145">
          <w:rPr>
            <w:noProof/>
            <w:webHidden/>
          </w:rPr>
          <w:t>13</w:t>
        </w:r>
        <w:r w:rsidR="000A4145">
          <w:rPr>
            <w:noProof/>
            <w:webHidden/>
          </w:rPr>
          <w:fldChar w:fldCharType="end"/>
        </w:r>
      </w:hyperlink>
    </w:p>
    <w:p w14:paraId="328D3D5F" w14:textId="77777777" w:rsidR="000A4145" w:rsidRDefault="00015C06">
      <w:pPr>
        <w:pStyle w:val="TOC3"/>
        <w:rPr>
          <w:rFonts w:asciiTheme="minorHAnsi" w:eastAsiaTheme="minorEastAsia" w:hAnsiTheme="minorHAnsi" w:cstheme="minorBidi"/>
          <w:noProof/>
          <w:szCs w:val="22"/>
          <w:lang w:eastAsia="en-NZ"/>
        </w:rPr>
      </w:pPr>
      <w:hyperlink w:anchor="_Toc531260445" w:history="1">
        <w:r w:rsidR="000A4145" w:rsidRPr="00F72305">
          <w:rPr>
            <w:rStyle w:val="Hyperlink"/>
            <w:noProof/>
          </w:rPr>
          <w:t>Figure 4: Nurse utilisation: average number of visits per person per calendar year, Pacific peoples and total New Zealand population, 2008–2016</w:t>
        </w:r>
        <w:r w:rsidR="000A4145">
          <w:rPr>
            <w:noProof/>
            <w:webHidden/>
          </w:rPr>
          <w:tab/>
        </w:r>
        <w:r w:rsidR="000A4145">
          <w:rPr>
            <w:noProof/>
            <w:webHidden/>
          </w:rPr>
          <w:fldChar w:fldCharType="begin"/>
        </w:r>
        <w:r w:rsidR="000A4145">
          <w:rPr>
            <w:noProof/>
            <w:webHidden/>
          </w:rPr>
          <w:instrText xml:space="preserve"> PAGEREF _Toc531260445 \h </w:instrText>
        </w:r>
        <w:r w:rsidR="000A4145">
          <w:rPr>
            <w:noProof/>
            <w:webHidden/>
          </w:rPr>
        </w:r>
        <w:r w:rsidR="000A4145">
          <w:rPr>
            <w:noProof/>
            <w:webHidden/>
          </w:rPr>
          <w:fldChar w:fldCharType="separate"/>
        </w:r>
        <w:r w:rsidR="000A4145">
          <w:rPr>
            <w:noProof/>
            <w:webHidden/>
          </w:rPr>
          <w:t>14</w:t>
        </w:r>
        <w:r w:rsidR="000A4145">
          <w:rPr>
            <w:noProof/>
            <w:webHidden/>
          </w:rPr>
          <w:fldChar w:fldCharType="end"/>
        </w:r>
      </w:hyperlink>
    </w:p>
    <w:p w14:paraId="6F7835FB" w14:textId="77777777" w:rsidR="000A4145" w:rsidRDefault="00015C06">
      <w:pPr>
        <w:pStyle w:val="TOC3"/>
        <w:rPr>
          <w:rFonts w:asciiTheme="minorHAnsi" w:eastAsiaTheme="minorEastAsia" w:hAnsiTheme="minorHAnsi" w:cstheme="minorBidi"/>
          <w:noProof/>
          <w:szCs w:val="22"/>
          <w:lang w:eastAsia="en-NZ"/>
        </w:rPr>
      </w:pPr>
      <w:hyperlink w:anchor="_Toc531260446" w:history="1">
        <w:r w:rsidR="000A4145" w:rsidRPr="00F72305">
          <w:rPr>
            <w:rStyle w:val="Hyperlink"/>
            <w:noProof/>
          </w:rPr>
          <w:t>Figure 5A: Nurse utilisation: average number of visits per person per calendar year, Pacific peoples, Auckland region DHBs, 2008–2016</w:t>
        </w:r>
        <w:r w:rsidR="000A4145">
          <w:rPr>
            <w:noProof/>
            <w:webHidden/>
          </w:rPr>
          <w:tab/>
        </w:r>
        <w:r w:rsidR="000A4145">
          <w:rPr>
            <w:noProof/>
            <w:webHidden/>
          </w:rPr>
          <w:fldChar w:fldCharType="begin"/>
        </w:r>
        <w:r w:rsidR="000A4145">
          <w:rPr>
            <w:noProof/>
            <w:webHidden/>
          </w:rPr>
          <w:instrText xml:space="preserve"> PAGEREF _Toc531260446 \h </w:instrText>
        </w:r>
        <w:r w:rsidR="000A4145">
          <w:rPr>
            <w:noProof/>
            <w:webHidden/>
          </w:rPr>
        </w:r>
        <w:r w:rsidR="000A4145">
          <w:rPr>
            <w:noProof/>
            <w:webHidden/>
          </w:rPr>
          <w:fldChar w:fldCharType="separate"/>
        </w:r>
        <w:r w:rsidR="000A4145">
          <w:rPr>
            <w:noProof/>
            <w:webHidden/>
          </w:rPr>
          <w:t>14</w:t>
        </w:r>
        <w:r w:rsidR="000A4145">
          <w:rPr>
            <w:noProof/>
            <w:webHidden/>
          </w:rPr>
          <w:fldChar w:fldCharType="end"/>
        </w:r>
      </w:hyperlink>
    </w:p>
    <w:p w14:paraId="71BBE188" w14:textId="77777777" w:rsidR="000A4145" w:rsidRDefault="00015C06">
      <w:pPr>
        <w:pStyle w:val="TOC3"/>
        <w:rPr>
          <w:rFonts w:asciiTheme="minorHAnsi" w:eastAsiaTheme="minorEastAsia" w:hAnsiTheme="minorHAnsi" w:cstheme="minorBidi"/>
          <w:noProof/>
          <w:szCs w:val="22"/>
          <w:lang w:eastAsia="en-NZ"/>
        </w:rPr>
      </w:pPr>
      <w:hyperlink w:anchor="_Toc531260447" w:history="1">
        <w:r w:rsidR="000A4145" w:rsidRPr="00F72305">
          <w:rPr>
            <w:rStyle w:val="Hyperlink"/>
            <w:noProof/>
          </w:rPr>
          <w:t>Figure 5B: Nurse utilisation: average number of visits per person per calendar year, Pacific peoples, priority DHBs outside the Auckland region, 2008–2016</w:t>
        </w:r>
        <w:r w:rsidR="000A4145">
          <w:rPr>
            <w:noProof/>
            <w:webHidden/>
          </w:rPr>
          <w:tab/>
        </w:r>
        <w:r w:rsidR="000A4145">
          <w:rPr>
            <w:noProof/>
            <w:webHidden/>
          </w:rPr>
          <w:fldChar w:fldCharType="begin"/>
        </w:r>
        <w:r w:rsidR="000A4145">
          <w:rPr>
            <w:noProof/>
            <w:webHidden/>
          </w:rPr>
          <w:instrText xml:space="preserve"> PAGEREF _Toc531260447 \h </w:instrText>
        </w:r>
        <w:r w:rsidR="000A4145">
          <w:rPr>
            <w:noProof/>
            <w:webHidden/>
          </w:rPr>
        </w:r>
        <w:r w:rsidR="000A4145">
          <w:rPr>
            <w:noProof/>
            <w:webHidden/>
          </w:rPr>
          <w:fldChar w:fldCharType="separate"/>
        </w:r>
        <w:r w:rsidR="000A4145">
          <w:rPr>
            <w:noProof/>
            <w:webHidden/>
          </w:rPr>
          <w:t>15</w:t>
        </w:r>
        <w:r w:rsidR="000A4145">
          <w:rPr>
            <w:noProof/>
            <w:webHidden/>
          </w:rPr>
          <w:fldChar w:fldCharType="end"/>
        </w:r>
      </w:hyperlink>
    </w:p>
    <w:p w14:paraId="4FC80847" w14:textId="77777777" w:rsidR="000A4145" w:rsidRDefault="00015C06">
      <w:pPr>
        <w:pStyle w:val="TOC3"/>
        <w:rPr>
          <w:rFonts w:asciiTheme="minorHAnsi" w:eastAsiaTheme="minorEastAsia" w:hAnsiTheme="minorHAnsi" w:cstheme="minorBidi"/>
          <w:noProof/>
          <w:szCs w:val="22"/>
          <w:lang w:eastAsia="en-NZ"/>
        </w:rPr>
      </w:pPr>
      <w:hyperlink w:anchor="_Toc531260448" w:history="1">
        <w:r w:rsidR="000A4145" w:rsidRPr="00F72305">
          <w:rPr>
            <w:rStyle w:val="Hyperlink"/>
            <w:noProof/>
          </w:rPr>
          <w:t>Figure 6: Total GP and nurse utilisation: average number of visits per person per calendar year, Pacific ethnicity and total ethnicity, 2008–2016</w:t>
        </w:r>
        <w:r w:rsidR="000A4145">
          <w:rPr>
            <w:noProof/>
            <w:webHidden/>
          </w:rPr>
          <w:tab/>
        </w:r>
        <w:r w:rsidR="000A4145">
          <w:rPr>
            <w:noProof/>
            <w:webHidden/>
          </w:rPr>
          <w:fldChar w:fldCharType="begin"/>
        </w:r>
        <w:r w:rsidR="000A4145">
          <w:rPr>
            <w:noProof/>
            <w:webHidden/>
          </w:rPr>
          <w:instrText xml:space="preserve"> PAGEREF _Toc531260448 \h </w:instrText>
        </w:r>
        <w:r w:rsidR="000A4145">
          <w:rPr>
            <w:noProof/>
            <w:webHidden/>
          </w:rPr>
        </w:r>
        <w:r w:rsidR="000A4145">
          <w:rPr>
            <w:noProof/>
            <w:webHidden/>
          </w:rPr>
          <w:fldChar w:fldCharType="separate"/>
        </w:r>
        <w:r w:rsidR="000A4145">
          <w:rPr>
            <w:noProof/>
            <w:webHidden/>
          </w:rPr>
          <w:t>15</w:t>
        </w:r>
        <w:r w:rsidR="000A4145">
          <w:rPr>
            <w:noProof/>
            <w:webHidden/>
          </w:rPr>
          <w:fldChar w:fldCharType="end"/>
        </w:r>
      </w:hyperlink>
    </w:p>
    <w:p w14:paraId="47F27EF5" w14:textId="77777777" w:rsidR="000A4145" w:rsidRDefault="00015C06">
      <w:pPr>
        <w:pStyle w:val="TOC3"/>
        <w:rPr>
          <w:rFonts w:asciiTheme="minorHAnsi" w:eastAsiaTheme="minorEastAsia" w:hAnsiTheme="minorHAnsi" w:cstheme="minorBidi"/>
          <w:noProof/>
          <w:szCs w:val="22"/>
          <w:lang w:eastAsia="en-NZ"/>
        </w:rPr>
      </w:pPr>
      <w:hyperlink w:anchor="_Toc531260449" w:history="1">
        <w:r w:rsidR="000A4145" w:rsidRPr="00F72305">
          <w:rPr>
            <w:rStyle w:val="Hyperlink"/>
            <w:noProof/>
          </w:rPr>
          <w:t>Figure 7A: Total GP and nurse utilisation: average number of visits per person per calendar year, Pacific peoples, Auckland region DHBs, 2008–2016</w:t>
        </w:r>
        <w:r w:rsidR="000A4145">
          <w:rPr>
            <w:noProof/>
            <w:webHidden/>
          </w:rPr>
          <w:tab/>
        </w:r>
        <w:r w:rsidR="000A4145">
          <w:rPr>
            <w:noProof/>
            <w:webHidden/>
          </w:rPr>
          <w:fldChar w:fldCharType="begin"/>
        </w:r>
        <w:r w:rsidR="000A4145">
          <w:rPr>
            <w:noProof/>
            <w:webHidden/>
          </w:rPr>
          <w:instrText xml:space="preserve"> PAGEREF _Toc531260449 \h </w:instrText>
        </w:r>
        <w:r w:rsidR="000A4145">
          <w:rPr>
            <w:noProof/>
            <w:webHidden/>
          </w:rPr>
        </w:r>
        <w:r w:rsidR="000A4145">
          <w:rPr>
            <w:noProof/>
            <w:webHidden/>
          </w:rPr>
          <w:fldChar w:fldCharType="separate"/>
        </w:r>
        <w:r w:rsidR="000A4145">
          <w:rPr>
            <w:noProof/>
            <w:webHidden/>
          </w:rPr>
          <w:t>16</w:t>
        </w:r>
        <w:r w:rsidR="000A4145">
          <w:rPr>
            <w:noProof/>
            <w:webHidden/>
          </w:rPr>
          <w:fldChar w:fldCharType="end"/>
        </w:r>
      </w:hyperlink>
    </w:p>
    <w:p w14:paraId="3CFD5DD0" w14:textId="77777777" w:rsidR="000A4145" w:rsidRDefault="00015C06">
      <w:pPr>
        <w:pStyle w:val="TOC3"/>
        <w:rPr>
          <w:rFonts w:asciiTheme="minorHAnsi" w:eastAsiaTheme="minorEastAsia" w:hAnsiTheme="minorHAnsi" w:cstheme="minorBidi"/>
          <w:noProof/>
          <w:szCs w:val="22"/>
          <w:lang w:eastAsia="en-NZ"/>
        </w:rPr>
      </w:pPr>
      <w:hyperlink w:anchor="_Toc531260450" w:history="1">
        <w:r w:rsidR="000A4145" w:rsidRPr="00F72305">
          <w:rPr>
            <w:rStyle w:val="Hyperlink"/>
            <w:noProof/>
          </w:rPr>
          <w:t>Figure 7B: Total GP and nurse utilisation: average number of visits per person per calendar year, Pacific peoples, priority DHBs outside the Auckland region, 2008–2016</w:t>
        </w:r>
        <w:r w:rsidR="000A4145">
          <w:rPr>
            <w:noProof/>
            <w:webHidden/>
          </w:rPr>
          <w:tab/>
        </w:r>
        <w:r w:rsidR="000A4145">
          <w:rPr>
            <w:noProof/>
            <w:webHidden/>
          </w:rPr>
          <w:fldChar w:fldCharType="begin"/>
        </w:r>
        <w:r w:rsidR="000A4145">
          <w:rPr>
            <w:noProof/>
            <w:webHidden/>
          </w:rPr>
          <w:instrText xml:space="preserve"> PAGEREF _Toc531260450 \h </w:instrText>
        </w:r>
        <w:r w:rsidR="000A4145">
          <w:rPr>
            <w:noProof/>
            <w:webHidden/>
          </w:rPr>
        </w:r>
        <w:r w:rsidR="000A4145">
          <w:rPr>
            <w:noProof/>
            <w:webHidden/>
          </w:rPr>
          <w:fldChar w:fldCharType="separate"/>
        </w:r>
        <w:r w:rsidR="000A4145">
          <w:rPr>
            <w:noProof/>
            <w:webHidden/>
          </w:rPr>
          <w:t>16</w:t>
        </w:r>
        <w:r w:rsidR="000A4145">
          <w:rPr>
            <w:noProof/>
            <w:webHidden/>
          </w:rPr>
          <w:fldChar w:fldCharType="end"/>
        </w:r>
      </w:hyperlink>
    </w:p>
    <w:p w14:paraId="5F04C21D" w14:textId="77777777" w:rsidR="000A4145" w:rsidRDefault="00015C06">
      <w:pPr>
        <w:pStyle w:val="TOC3"/>
        <w:rPr>
          <w:rFonts w:asciiTheme="minorHAnsi" w:eastAsiaTheme="minorEastAsia" w:hAnsiTheme="minorHAnsi" w:cstheme="minorBidi"/>
          <w:noProof/>
          <w:szCs w:val="22"/>
          <w:lang w:eastAsia="en-NZ"/>
        </w:rPr>
      </w:pPr>
      <w:hyperlink w:anchor="_Toc531260451" w:history="1">
        <w:r w:rsidR="000A4145" w:rsidRPr="00F72305">
          <w:rPr>
            <w:rStyle w:val="Hyperlink"/>
            <w:noProof/>
          </w:rPr>
          <w:t>Figure 8: Percentage of the population using DHB specialist mental health services, Pacific peoples and total New Zealand population, 2009/10–2016</w:t>
        </w:r>
        <w:r w:rsidR="000A4145">
          <w:rPr>
            <w:noProof/>
            <w:webHidden/>
          </w:rPr>
          <w:tab/>
        </w:r>
        <w:r w:rsidR="000A4145">
          <w:rPr>
            <w:noProof/>
            <w:webHidden/>
          </w:rPr>
          <w:fldChar w:fldCharType="begin"/>
        </w:r>
        <w:r w:rsidR="000A4145">
          <w:rPr>
            <w:noProof/>
            <w:webHidden/>
          </w:rPr>
          <w:instrText xml:space="preserve"> PAGEREF _Toc531260451 \h </w:instrText>
        </w:r>
        <w:r w:rsidR="000A4145">
          <w:rPr>
            <w:noProof/>
            <w:webHidden/>
          </w:rPr>
        </w:r>
        <w:r w:rsidR="000A4145">
          <w:rPr>
            <w:noProof/>
            <w:webHidden/>
          </w:rPr>
          <w:fldChar w:fldCharType="separate"/>
        </w:r>
        <w:r w:rsidR="000A4145">
          <w:rPr>
            <w:noProof/>
            <w:webHidden/>
          </w:rPr>
          <w:t>18</w:t>
        </w:r>
        <w:r w:rsidR="000A4145">
          <w:rPr>
            <w:noProof/>
            <w:webHidden/>
          </w:rPr>
          <w:fldChar w:fldCharType="end"/>
        </w:r>
      </w:hyperlink>
    </w:p>
    <w:p w14:paraId="5497AC4C" w14:textId="77777777" w:rsidR="000A4145" w:rsidRDefault="00015C06">
      <w:pPr>
        <w:pStyle w:val="TOC3"/>
        <w:rPr>
          <w:rFonts w:asciiTheme="minorHAnsi" w:eastAsiaTheme="minorEastAsia" w:hAnsiTheme="minorHAnsi" w:cstheme="minorBidi"/>
          <w:noProof/>
          <w:szCs w:val="22"/>
          <w:lang w:eastAsia="en-NZ"/>
        </w:rPr>
      </w:pPr>
      <w:hyperlink w:anchor="_Toc531260452" w:history="1">
        <w:r w:rsidR="000A4145" w:rsidRPr="00F72305">
          <w:rPr>
            <w:rStyle w:val="Hyperlink"/>
            <w:noProof/>
          </w:rPr>
          <w:t>Figure 9A: Percentage of population using DHB specialist mental health services, Pacific peoples, Auckland region DHBs, 2009/10–2016</w:t>
        </w:r>
        <w:r w:rsidR="000A4145">
          <w:rPr>
            <w:noProof/>
            <w:webHidden/>
          </w:rPr>
          <w:tab/>
        </w:r>
        <w:r w:rsidR="000A4145">
          <w:rPr>
            <w:noProof/>
            <w:webHidden/>
          </w:rPr>
          <w:fldChar w:fldCharType="begin"/>
        </w:r>
        <w:r w:rsidR="000A4145">
          <w:rPr>
            <w:noProof/>
            <w:webHidden/>
          </w:rPr>
          <w:instrText xml:space="preserve"> PAGEREF _Toc531260452 \h </w:instrText>
        </w:r>
        <w:r w:rsidR="000A4145">
          <w:rPr>
            <w:noProof/>
            <w:webHidden/>
          </w:rPr>
        </w:r>
        <w:r w:rsidR="000A4145">
          <w:rPr>
            <w:noProof/>
            <w:webHidden/>
          </w:rPr>
          <w:fldChar w:fldCharType="separate"/>
        </w:r>
        <w:r w:rsidR="000A4145">
          <w:rPr>
            <w:noProof/>
            <w:webHidden/>
          </w:rPr>
          <w:t>19</w:t>
        </w:r>
        <w:r w:rsidR="000A4145">
          <w:rPr>
            <w:noProof/>
            <w:webHidden/>
          </w:rPr>
          <w:fldChar w:fldCharType="end"/>
        </w:r>
      </w:hyperlink>
    </w:p>
    <w:p w14:paraId="59B9D0AD" w14:textId="77777777" w:rsidR="000A4145" w:rsidRDefault="00015C06">
      <w:pPr>
        <w:pStyle w:val="TOC3"/>
        <w:rPr>
          <w:rFonts w:asciiTheme="minorHAnsi" w:eastAsiaTheme="minorEastAsia" w:hAnsiTheme="minorHAnsi" w:cstheme="minorBidi"/>
          <w:noProof/>
          <w:szCs w:val="22"/>
          <w:lang w:eastAsia="en-NZ"/>
        </w:rPr>
      </w:pPr>
      <w:hyperlink w:anchor="_Toc531260453" w:history="1">
        <w:r w:rsidR="000A4145" w:rsidRPr="00F72305">
          <w:rPr>
            <w:rStyle w:val="Hyperlink"/>
            <w:noProof/>
          </w:rPr>
          <w:t>Figure 9B: Percentage of the population using DHB specialist mental health services, Pacific peoples, priority DHBs outside the Auckland region, 2009/10–2016</w:t>
        </w:r>
        <w:r w:rsidR="000A4145">
          <w:rPr>
            <w:noProof/>
            <w:webHidden/>
          </w:rPr>
          <w:tab/>
        </w:r>
        <w:r w:rsidR="000A4145">
          <w:rPr>
            <w:noProof/>
            <w:webHidden/>
          </w:rPr>
          <w:fldChar w:fldCharType="begin"/>
        </w:r>
        <w:r w:rsidR="000A4145">
          <w:rPr>
            <w:noProof/>
            <w:webHidden/>
          </w:rPr>
          <w:instrText xml:space="preserve"> PAGEREF _Toc531260453 \h </w:instrText>
        </w:r>
        <w:r w:rsidR="000A4145">
          <w:rPr>
            <w:noProof/>
            <w:webHidden/>
          </w:rPr>
        </w:r>
        <w:r w:rsidR="000A4145">
          <w:rPr>
            <w:noProof/>
            <w:webHidden/>
          </w:rPr>
          <w:fldChar w:fldCharType="separate"/>
        </w:r>
        <w:r w:rsidR="000A4145">
          <w:rPr>
            <w:noProof/>
            <w:webHidden/>
          </w:rPr>
          <w:t>19</w:t>
        </w:r>
        <w:r w:rsidR="000A4145">
          <w:rPr>
            <w:noProof/>
            <w:webHidden/>
          </w:rPr>
          <w:fldChar w:fldCharType="end"/>
        </w:r>
      </w:hyperlink>
    </w:p>
    <w:p w14:paraId="48875A5C" w14:textId="77777777" w:rsidR="000A4145" w:rsidRDefault="00015C06">
      <w:pPr>
        <w:pStyle w:val="TOC3"/>
        <w:rPr>
          <w:rFonts w:asciiTheme="minorHAnsi" w:eastAsiaTheme="minorEastAsia" w:hAnsiTheme="minorHAnsi" w:cstheme="minorBidi"/>
          <w:noProof/>
          <w:szCs w:val="22"/>
          <w:lang w:eastAsia="en-NZ"/>
        </w:rPr>
      </w:pPr>
      <w:hyperlink w:anchor="_Toc531260454" w:history="1">
        <w:r w:rsidR="000A4145" w:rsidRPr="00F72305">
          <w:rPr>
            <w:rStyle w:val="Hyperlink"/>
            <w:noProof/>
          </w:rPr>
          <w:t>Figure 10: Percentage of the population using DHB alcohol and drug services, Pacific peoples and total New Zealand population, 2012/13–2016</w:t>
        </w:r>
        <w:r w:rsidR="000A4145">
          <w:rPr>
            <w:noProof/>
            <w:webHidden/>
          </w:rPr>
          <w:tab/>
        </w:r>
        <w:r w:rsidR="000A4145">
          <w:rPr>
            <w:noProof/>
            <w:webHidden/>
          </w:rPr>
          <w:fldChar w:fldCharType="begin"/>
        </w:r>
        <w:r w:rsidR="000A4145">
          <w:rPr>
            <w:noProof/>
            <w:webHidden/>
          </w:rPr>
          <w:instrText xml:space="preserve"> PAGEREF _Toc531260454 \h </w:instrText>
        </w:r>
        <w:r w:rsidR="000A4145">
          <w:rPr>
            <w:noProof/>
            <w:webHidden/>
          </w:rPr>
        </w:r>
        <w:r w:rsidR="000A4145">
          <w:rPr>
            <w:noProof/>
            <w:webHidden/>
          </w:rPr>
          <w:fldChar w:fldCharType="separate"/>
        </w:r>
        <w:r w:rsidR="000A4145">
          <w:rPr>
            <w:noProof/>
            <w:webHidden/>
          </w:rPr>
          <w:t>21</w:t>
        </w:r>
        <w:r w:rsidR="000A4145">
          <w:rPr>
            <w:noProof/>
            <w:webHidden/>
          </w:rPr>
          <w:fldChar w:fldCharType="end"/>
        </w:r>
      </w:hyperlink>
    </w:p>
    <w:p w14:paraId="0BA24947" w14:textId="77777777" w:rsidR="000A4145" w:rsidRDefault="00015C06">
      <w:pPr>
        <w:pStyle w:val="TOC3"/>
        <w:rPr>
          <w:rFonts w:asciiTheme="minorHAnsi" w:eastAsiaTheme="minorEastAsia" w:hAnsiTheme="minorHAnsi" w:cstheme="minorBidi"/>
          <w:noProof/>
          <w:szCs w:val="22"/>
          <w:lang w:eastAsia="en-NZ"/>
        </w:rPr>
      </w:pPr>
      <w:hyperlink w:anchor="_Toc531260455" w:history="1">
        <w:r w:rsidR="000A4145" w:rsidRPr="00F72305">
          <w:rPr>
            <w:rStyle w:val="Hyperlink"/>
            <w:noProof/>
          </w:rPr>
          <w:t>Figure 11A: Percentage of the population using DHB alcohol and drug services, Pacific peoples, Auckland region DHBs, 2012/13–2016</w:t>
        </w:r>
        <w:r w:rsidR="000A4145">
          <w:rPr>
            <w:noProof/>
            <w:webHidden/>
          </w:rPr>
          <w:tab/>
        </w:r>
        <w:r w:rsidR="000A4145">
          <w:rPr>
            <w:noProof/>
            <w:webHidden/>
          </w:rPr>
          <w:fldChar w:fldCharType="begin"/>
        </w:r>
        <w:r w:rsidR="000A4145">
          <w:rPr>
            <w:noProof/>
            <w:webHidden/>
          </w:rPr>
          <w:instrText xml:space="preserve"> PAGEREF _Toc531260455 \h </w:instrText>
        </w:r>
        <w:r w:rsidR="000A4145">
          <w:rPr>
            <w:noProof/>
            <w:webHidden/>
          </w:rPr>
        </w:r>
        <w:r w:rsidR="000A4145">
          <w:rPr>
            <w:noProof/>
            <w:webHidden/>
          </w:rPr>
          <w:fldChar w:fldCharType="separate"/>
        </w:r>
        <w:r w:rsidR="000A4145">
          <w:rPr>
            <w:noProof/>
            <w:webHidden/>
          </w:rPr>
          <w:t>22</w:t>
        </w:r>
        <w:r w:rsidR="000A4145">
          <w:rPr>
            <w:noProof/>
            <w:webHidden/>
          </w:rPr>
          <w:fldChar w:fldCharType="end"/>
        </w:r>
      </w:hyperlink>
    </w:p>
    <w:p w14:paraId="6BE1D1B4" w14:textId="77777777" w:rsidR="000A4145" w:rsidRDefault="00015C06">
      <w:pPr>
        <w:pStyle w:val="TOC3"/>
        <w:rPr>
          <w:rFonts w:asciiTheme="minorHAnsi" w:eastAsiaTheme="minorEastAsia" w:hAnsiTheme="minorHAnsi" w:cstheme="minorBidi"/>
          <w:noProof/>
          <w:szCs w:val="22"/>
          <w:lang w:eastAsia="en-NZ"/>
        </w:rPr>
      </w:pPr>
      <w:hyperlink w:anchor="_Toc531260456" w:history="1">
        <w:r w:rsidR="000A4145" w:rsidRPr="00F72305">
          <w:rPr>
            <w:rStyle w:val="Hyperlink"/>
            <w:noProof/>
          </w:rPr>
          <w:t>Figure 11B: Percentage of the population using DHB alcohol and drug services, Pacific peoples, priority DHBs outside the Auckland region, 2012/13–2016</w:t>
        </w:r>
        <w:r w:rsidR="000A4145">
          <w:rPr>
            <w:noProof/>
            <w:webHidden/>
          </w:rPr>
          <w:tab/>
        </w:r>
        <w:r w:rsidR="000A4145">
          <w:rPr>
            <w:noProof/>
            <w:webHidden/>
          </w:rPr>
          <w:fldChar w:fldCharType="begin"/>
        </w:r>
        <w:r w:rsidR="000A4145">
          <w:rPr>
            <w:noProof/>
            <w:webHidden/>
          </w:rPr>
          <w:instrText xml:space="preserve"> PAGEREF _Toc531260456 \h </w:instrText>
        </w:r>
        <w:r w:rsidR="000A4145">
          <w:rPr>
            <w:noProof/>
            <w:webHidden/>
          </w:rPr>
        </w:r>
        <w:r w:rsidR="000A4145">
          <w:rPr>
            <w:noProof/>
            <w:webHidden/>
          </w:rPr>
          <w:fldChar w:fldCharType="separate"/>
        </w:r>
        <w:r w:rsidR="000A4145">
          <w:rPr>
            <w:noProof/>
            <w:webHidden/>
          </w:rPr>
          <w:t>22</w:t>
        </w:r>
        <w:r w:rsidR="000A4145">
          <w:rPr>
            <w:noProof/>
            <w:webHidden/>
          </w:rPr>
          <w:fldChar w:fldCharType="end"/>
        </w:r>
      </w:hyperlink>
    </w:p>
    <w:p w14:paraId="5136C6F9" w14:textId="77777777" w:rsidR="000A4145" w:rsidRDefault="00015C06">
      <w:pPr>
        <w:pStyle w:val="TOC3"/>
        <w:rPr>
          <w:rFonts w:asciiTheme="minorHAnsi" w:eastAsiaTheme="minorEastAsia" w:hAnsiTheme="minorHAnsi" w:cstheme="minorBidi"/>
          <w:noProof/>
          <w:szCs w:val="22"/>
          <w:lang w:eastAsia="en-NZ"/>
        </w:rPr>
      </w:pPr>
      <w:hyperlink w:anchor="_Toc531260457" w:history="1">
        <w:r w:rsidR="000A4145" w:rsidRPr="00F72305">
          <w:rPr>
            <w:rStyle w:val="Hyperlink"/>
            <w:noProof/>
          </w:rPr>
          <w:t>Figure 12: Percentage of current smokers aged 15–74 years offered brief advice and support to quit in primary health care, Pacific peoples and total New Zealand population, September 2015–March 2017</w:t>
        </w:r>
        <w:r w:rsidR="000A4145">
          <w:rPr>
            <w:noProof/>
            <w:webHidden/>
          </w:rPr>
          <w:tab/>
        </w:r>
        <w:r w:rsidR="000A4145">
          <w:rPr>
            <w:noProof/>
            <w:webHidden/>
          </w:rPr>
          <w:fldChar w:fldCharType="begin"/>
        </w:r>
        <w:r w:rsidR="000A4145">
          <w:rPr>
            <w:noProof/>
            <w:webHidden/>
          </w:rPr>
          <w:instrText xml:space="preserve"> PAGEREF _Toc531260457 \h </w:instrText>
        </w:r>
        <w:r w:rsidR="000A4145">
          <w:rPr>
            <w:noProof/>
            <w:webHidden/>
          </w:rPr>
        </w:r>
        <w:r w:rsidR="000A4145">
          <w:rPr>
            <w:noProof/>
            <w:webHidden/>
          </w:rPr>
          <w:fldChar w:fldCharType="separate"/>
        </w:r>
        <w:r w:rsidR="000A4145">
          <w:rPr>
            <w:noProof/>
            <w:webHidden/>
          </w:rPr>
          <w:t>25</w:t>
        </w:r>
        <w:r w:rsidR="000A4145">
          <w:rPr>
            <w:noProof/>
            <w:webHidden/>
          </w:rPr>
          <w:fldChar w:fldCharType="end"/>
        </w:r>
      </w:hyperlink>
    </w:p>
    <w:p w14:paraId="3D7C1D8B" w14:textId="77777777" w:rsidR="000A4145" w:rsidRDefault="00015C06">
      <w:pPr>
        <w:pStyle w:val="TOC3"/>
        <w:rPr>
          <w:rFonts w:asciiTheme="minorHAnsi" w:eastAsiaTheme="minorEastAsia" w:hAnsiTheme="minorHAnsi" w:cstheme="minorBidi"/>
          <w:noProof/>
          <w:szCs w:val="22"/>
          <w:lang w:eastAsia="en-NZ"/>
        </w:rPr>
      </w:pPr>
      <w:hyperlink w:anchor="_Toc531260458" w:history="1">
        <w:r w:rsidR="000A4145" w:rsidRPr="00F72305">
          <w:rPr>
            <w:rStyle w:val="Hyperlink"/>
            <w:noProof/>
          </w:rPr>
          <w:t>Figure 13A: Percentage of smokers aged 15–74 years offered brief advice and support to quit in primary health care, Pacific peoples, Auckland region DHBs, September 2015–March 2017</w:t>
        </w:r>
        <w:r w:rsidR="000A4145">
          <w:rPr>
            <w:noProof/>
            <w:webHidden/>
          </w:rPr>
          <w:tab/>
        </w:r>
        <w:r w:rsidR="000A4145">
          <w:rPr>
            <w:noProof/>
            <w:webHidden/>
          </w:rPr>
          <w:fldChar w:fldCharType="begin"/>
        </w:r>
        <w:r w:rsidR="000A4145">
          <w:rPr>
            <w:noProof/>
            <w:webHidden/>
          </w:rPr>
          <w:instrText xml:space="preserve"> PAGEREF _Toc531260458 \h </w:instrText>
        </w:r>
        <w:r w:rsidR="000A4145">
          <w:rPr>
            <w:noProof/>
            <w:webHidden/>
          </w:rPr>
        </w:r>
        <w:r w:rsidR="000A4145">
          <w:rPr>
            <w:noProof/>
            <w:webHidden/>
          </w:rPr>
          <w:fldChar w:fldCharType="separate"/>
        </w:r>
        <w:r w:rsidR="000A4145">
          <w:rPr>
            <w:noProof/>
            <w:webHidden/>
          </w:rPr>
          <w:t>25</w:t>
        </w:r>
        <w:r w:rsidR="000A4145">
          <w:rPr>
            <w:noProof/>
            <w:webHidden/>
          </w:rPr>
          <w:fldChar w:fldCharType="end"/>
        </w:r>
      </w:hyperlink>
    </w:p>
    <w:p w14:paraId="5D86243A" w14:textId="77777777" w:rsidR="000A4145" w:rsidRDefault="00015C06">
      <w:pPr>
        <w:pStyle w:val="TOC3"/>
        <w:rPr>
          <w:rFonts w:asciiTheme="minorHAnsi" w:eastAsiaTheme="minorEastAsia" w:hAnsiTheme="minorHAnsi" w:cstheme="minorBidi"/>
          <w:noProof/>
          <w:szCs w:val="22"/>
          <w:lang w:eastAsia="en-NZ"/>
        </w:rPr>
      </w:pPr>
      <w:hyperlink w:anchor="_Toc531260459" w:history="1">
        <w:r w:rsidR="000A4145" w:rsidRPr="00F72305">
          <w:rPr>
            <w:rStyle w:val="Hyperlink"/>
            <w:noProof/>
          </w:rPr>
          <w:t>Figure 13B: Percentage of smokers aged 15–74 years offered brief advice and support to quit in primary health care, Pacific peoples, priority DHBs outside the Auckland region, September 2015–March 2017</w:t>
        </w:r>
        <w:r w:rsidR="000A4145">
          <w:rPr>
            <w:noProof/>
            <w:webHidden/>
          </w:rPr>
          <w:tab/>
        </w:r>
        <w:r w:rsidR="000A4145">
          <w:rPr>
            <w:noProof/>
            <w:webHidden/>
          </w:rPr>
          <w:fldChar w:fldCharType="begin"/>
        </w:r>
        <w:r w:rsidR="000A4145">
          <w:rPr>
            <w:noProof/>
            <w:webHidden/>
          </w:rPr>
          <w:instrText xml:space="preserve"> PAGEREF _Toc531260459 \h </w:instrText>
        </w:r>
        <w:r w:rsidR="000A4145">
          <w:rPr>
            <w:noProof/>
            <w:webHidden/>
          </w:rPr>
        </w:r>
        <w:r w:rsidR="000A4145">
          <w:rPr>
            <w:noProof/>
            <w:webHidden/>
          </w:rPr>
          <w:fldChar w:fldCharType="separate"/>
        </w:r>
        <w:r w:rsidR="000A4145">
          <w:rPr>
            <w:noProof/>
            <w:webHidden/>
          </w:rPr>
          <w:t>26</w:t>
        </w:r>
        <w:r w:rsidR="000A4145">
          <w:rPr>
            <w:noProof/>
            <w:webHidden/>
          </w:rPr>
          <w:fldChar w:fldCharType="end"/>
        </w:r>
      </w:hyperlink>
    </w:p>
    <w:p w14:paraId="7E28B0E3" w14:textId="77777777" w:rsidR="000A4145" w:rsidRDefault="00015C06">
      <w:pPr>
        <w:pStyle w:val="TOC3"/>
        <w:rPr>
          <w:rFonts w:asciiTheme="minorHAnsi" w:eastAsiaTheme="minorEastAsia" w:hAnsiTheme="minorHAnsi" w:cstheme="minorBidi"/>
          <w:noProof/>
          <w:szCs w:val="22"/>
          <w:lang w:eastAsia="en-NZ"/>
        </w:rPr>
      </w:pPr>
      <w:hyperlink w:anchor="_Toc531260460" w:history="1">
        <w:r w:rsidR="000A4145" w:rsidRPr="00F72305">
          <w:rPr>
            <w:rStyle w:val="Hyperlink"/>
            <w:noProof/>
          </w:rPr>
          <w:t>Figure 14: Percentage of women aged 25–69 years who received a cervical smear test in the past three years, Pacific peoples and total New Zealand population, March 2014–March 2017</w:t>
        </w:r>
        <w:r w:rsidR="000A4145">
          <w:rPr>
            <w:noProof/>
            <w:webHidden/>
          </w:rPr>
          <w:tab/>
        </w:r>
        <w:r w:rsidR="000A4145">
          <w:rPr>
            <w:noProof/>
            <w:webHidden/>
          </w:rPr>
          <w:fldChar w:fldCharType="begin"/>
        </w:r>
        <w:r w:rsidR="000A4145">
          <w:rPr>
            <w:noProof/>
            <w:webHidden/>
          </w:rPr>
          <w:instrText xml:space="preserve"> PAGEREF _Toc531260460 \h </w:instrText>
        </w:r>
        <w:r w:rsidR="000A4145">
          <w:rPr>
            <w:noProof/>
            <w:webHidden/>
          </w:rPr>
        </w:r>
        <w:r w:rsidR="000A4145">
          <w:rPr>
            <w:noProof/>
            <w:webHidden/>
          </w:rPr>
          <w:fldChar w:fldCharType="separate"/>
        </w:r>
        <w:r w:rsidR="000A4145">
          <w:rPr>
            <w:noProof/>
            <w:webHidden/>
          </w:rPr>
          <w:t>27</w:t>
        </w:r>
        <w:r w:rsidR="000A4145">
          <w:rPr>
            <w:noProof/>
            <w:webHidden/>
          </w:rPr>
          <w:fldChar w:fldCharType="end"/>
        </w:r>
      </w:hyperlink>
    </w:p>
    <w:p w14:paraId="7A170346" w14:textId="77777777" w:rsidR="000A4145" w:rsidRDefault="00015C06">
      <w:pPr>
        <w:pStyle w:val="TOC3"/>
        <w:rPr>
          <w:rFonts w:asciiTheme="minorHAnsi" w:eastAsiaTheme="minorEastAsia" w:hAnsiTheme="minorHAnsi" w:cstheme="minorBidi"/>
          <w:noProof/>
          <w:szCs w:val="22"/>
          <w:lang w:eastAsia="en-NZ"/>
        </w:rPr>
      </w:pPr>
      <w:hyperlink w:anchor="_Toc531260461" w:history="1">
        <w:r w:rsidR="000A4145" w:rsidRPr="00F72305">
          <w:rPr>
            <w:rStyle w:val="Hyperlink"/>
            <w:noProof/>
          </w:rPr>
          <w:t>Figure 15A: Percentage of women aged 25–69 years who received a cervical smear in the past three years, Pacific peoples, Auckland region DHBs, March 2014–March 2017</w:t>
        </w:r>
        <w:r w:rsidR="000A4145">
          <w:rPr>
            <w:noProof/>
            <w:webHidden/>
          </w:rPr>
          <w:tab/>
        </w:r>
        <w:r w:rsidR="000A4145">
          <w:rPr>
            <w:noProof/>
            <w:webHidden/>
          </w:rPr>
          <w:fldChar w:fldCharType="begin"/>
        </w:r>
        <w:r w:rsidR="000A4145">
          <w:rPr>
            <w:noProof/>
            <w:webHidden/>
          </w:rPr>
          <w:instrText xml:space="preserve"> PAGEREF _Toc531260461 \h </w:instrText>
        </w:r>
        <w:r w:rsidR="000A4145">
          <w:rPr>
            <w:noProof/>
            <w:webHidden/>
          </w:rPr>
        </w:r>
        <w:r w:rsidR="000A4145">
          <w:rPr>
            <w:noProof/>
            <w:webHidden/>
          </w:rPr>
          <w:fldChar w:fldCharType="separate"/>
        </w:r>
        <w:r w:rsidR="000A4145">
          <w:rPr>
            <w:noProof/>
            <w:webHidden/>
          </w:rPr>
          <w:t>28</w:t>
        </w:r>
        <w:r w:rsidR="000A4145">
          <w:rPr>
            <w:noProof/>
            <w:webHidden/>
          </w:rPr>
          <w:fldChar w:fldCharType="end"/>
        </w:r>
      </w:hyperlink>
    </w:p>
    <w:p w14:paraId="5FE59CB9" w14:textId="77777777" w:rsidR="000A4145" w:rsidRDefault="00015C06">
      <w:pPr>
        <w:pStyle w:val="TOC3"/>
        <w:rPr>
          <w:rFonts w:asciiTheme="minorHAnsi" w:eastAsiaTheme="minorEastAsia" w:hAnsiTheme="minorHAnsi" w:cstheme="minorBidi"/>
          <w:noProof/>
          <w:szCs w:val="22"/>
          <w:lang w:eastAsia="en-NZ"/>
        </w:rPr>
      </w:pPr>
      <w:hyperlink w:anchor="_Toc531260462" w:history="1">
        <w:r w:rsidR="000A4145" w:rsidRPr="00F72305">
          <w:rPr>
            <w:rStyle w:val="Hyperlink"/>
            <w:noProof/>
          </w:rPr>
          <w:t>Figure 15B: Percentage of women aged 25–69 years who received a cervical smear in the past three years, Pacific peoples, priority DHBs outside the Auckland region, March 2014–March 2017</w:t>
        </w:r>
        <w:r w:rsidR="000A4145">
          <w:rPr>
            <w:noProof/>
            <w:webHidden/>
          </w:rPr>
          <w:tab/>
        </w:r>
        <w:r w:rsidR="000A4145">
          <w:rPr>
            <w:noProof/>
            <w:webHidden/>
          </w:rPr>
          <w:fldChar w:fldCharType="begin"/>
        </w:r>
        <w:r w:rsidR="000A4145">
          <w:rPr>
            <w:noProof/>
            <w:webHidden/>
          </w:rPr>
          <w:instrText xml:space="preserve"> PAGEREF _Toc531260462 \h </w:instrText>
        </w:r>
        <w:r w:rsidR="000A4145">
          <w:rPr>
            <w:noProof/>
            <w:webHidden/>
          </w:rPr>
        </w:r>
        <w:r w:rsidR="000A4145">
          <w:rPr>
            <w:noProof/>
            <w:webHidden/>
          </w:rPr>
          <w:fldChar w:fldCharType="separate"/>
        </w:r>
        <w:r w:rsidR="000A4145">
          <w:rPr>
            <w:noProof/>
            <w:webHidden/>
          </w:rPr>
          <w:t>28</w:t>
        </w:r>
        <w:r w:rsidR="000A4145">
          <w:rPr>
            <w:noProof/>
            <w:webHidden/>
          </w:rPr>
          <w:fldChar w:fldCharType="end"/>
        </w:r>
      </w:hyperlink>
    </w:p>
    <w:p w14:paraId="06BA4EA3" w14:textId="77777777" w:rsidR="000A4145" w:rsidRDefault="00015C06">
      <w:pPr>
        <w:pStyle w:val="TOC3"/>
        <w:rPr>
          <w:rFonts w:asciiTheme="minorHAnsi" w:eastAsiaTheme="minorEastAsia" w:hAnsiTheme="minorHAnsi" w:cstheme="minorBidi"/>
          <w:noProof/>
          <w:szCs w:val="22"/>
          <w:lang w:eastAsia="en-NZ"/>
        </w:rPr>
      </w:pPr>
      <w:hyperlink w:anchor="_Toc531260463" w:history="1">
        <w:r w:rsidR="000A4145" w:rsidRPr="00F72305">
          <w:rPr>
            <w:rStyle w:val="Hyperlink"/>
            <w:noProof/>
          </w:rPr>
          <w:t>Figure 16: Estimated percentage of people with diabetes, Pacific population and total New Zealand population, 2010–2016</w:t>
        </w:r>
        <w:r w:rsidR="000A4145">
          <w:rPr>
            <w:noProof/>
            <w:webHidden/>
          </w:rPr>
          <w:tab/>
        </w:r>
        <w:r w:rsidR="000A4145">
          <w:rPr>
            <w:noProof/>
            <w:webHidden/>
          </w:rPr>
          <w:fldChar w:fldCharType="begin"/>
        </w:r>
        <w:r w:rsidR="000A4145">
          <w:rPr>
            <w:noProof/>
            <w:webHidden/>
          </w:rPr>
          <w:instrText xml:space="preserve"> PAGEREF _Toc531260463 \h </w:instrText>
        </w:r>
        <w:r w:rsidR="000A4145">
          <w:rPr>
            <w:noProof/>
            <w:webHidden/>
          </w:rPr>
        </w:r>
        <w:r w:rsidR="000A4145">
          <w:rPr>
            <w:noProof/>
            <w:webHidden/>
          </w:rPr>
          <w:fldChar w:fldCharType="separate"/>
        </w:r>
        <w:r w:rsidR="000A4145">
          <w:rPr>
            <w:noProof/>
            <w:webHidden/>
          </w:rPr>
          <w:t>30</w:t>
        </w:r>
        <w:r w:rsidR="000A4145">
          <w:rPr>
            <w:noProof/>
            <w:webHidden/>
          </w:rPr>
          <w:fldChar w:fldCharType="end"/>
        </w:r>
      </w:hyperlink>
    </w:p>
    <w:p w14:paraId="34676622" w14:textId="77777777" w:rsidR="000A4145" w:rsidRDefault="00015C06">
      <w:pPr>
        <w:pStyle w:val="TOC3"/>
        <w:rPr>
          <w:rFonts w:asciiTheme="minorHAnsi" w:eastAsiaTheme="minorEastAsia" w:hAnsiTheme="minorHAnsi" w:cstheme="minorBidi"/>
          <w:noProof/>
          <w:szCs w:val="22"/>
          <w:lang w:eastAsia="en-NZ"/>
        </w:rPr>
      </w:pPr>
      <w:hyperlink w:anchor="_Toc531260464" w:history="1">
        <w:r w:rsidR="000A4145" w:rsidRPr="00F72305">
          <w:rPr>
            <w:rStyle w:val="Hyperlink"/>
            <w:noProof/>
          </w:rPr>
          <w:t>Figure 17A: Estimated percentage of people with diabetes, Pacific peoples, DHBs in the Auckland region, 2010–2016</w:t>
        </w:r>
        <w:r w:rsidR="000A4145">
          <w:rPr>
            <w:noProof/>
            <w:webHidden/>
          </w:rPr>
          <w:tab/>
        </w:r>
        <w:r w:rsidR="000A4145">
          <w:rPr>
            <w:noProof/>
            <w:webHidden/>
          </w:rPr>
          <w:fldChar w:fldCharType="begin"/>
        </w:r>
        <w:r w:rsidR="000A4145">
          <w:rPr>
            <w:noProof/>
            <w:webHidden/>
          </w:rPr>
          <w:instrText xml:space="preserve"> PAGEREF _Toc531260464 \h </w:instrText>
        </w:r>
        <w:r w:rsidR="000A4145">
          <w:rPr>
            <w:noProof/>
            <w:webHidden/>
          </w:rPr>
        </w:r>
        <w:r w:rsidR="000A4145">
          <w:rPr>
            <w:noProof/>
            <w:webHidden/>
          </w:rPr>
          <w:fldChar w:fldCharType="separate"/>
        </w:r>
        <w:r w:rsidR="000A4145">
          <w:rPr>
            <w:noProof/>
            <w:webHidden/>
          </w:rPr>
          <w:t>31</w:t>
        </w:r>
        <w:r w:rsidR="000A4145">
          <w:rPr>
            <w:noProof/>
            <w:webHidden/>
          </w:rPr>
          <w:fldChar w:fldCharType="end"/>
        </w:r>
      </w:hyperlink>
    </w:p>
    <w:p w14:paraId="7DC5F28D" w14:textId="77777777" w:rsidR="000A4145" w:rsidRDefault="00015C06">
      <w:pPr>
        <w:pStyle w:val="TOC3"/>
        <w:rPr>
          <w:rFonts w:asciiTheme="minorHAnsi" w:eastAsiaTheme="minorEastAsia" w:hAnsiTheme="minorHAnsi" w:cstheme="minorBidi"/>
          <w:noProof/>
          <w:szCs w:val="22"/>
          <w:lang w:eastAsia="en-NZ"/>
        </w:rPr>
      </w:pPr>
      <w:hyperlink w:anchor="_Toc531260465" w:history="1">
        <w:r w:rsidR="000A4145" w:rsidRPr="00F72305">
          <w:rPr>
            <w:rStyle w:val="Hyperlink"/>
            <w:noProof/>
          </w:rPr>
          <w:t>Figure 17B: Estimated percentage of people with diabetes, Pacific peoples, priority DHBs outside Auckland, 2010–2016</w:t>
        </w:r>
        <w:r w:rsidR="000A4145">
          <w:rPr>
            <w:noProof/>
            <w:webHidden/>
          </w:rPr>
          <w:tab/>
        </w:r>
        <w:r w:rsidR="000A4145">
          <w:rPr>
            <w:noProof/>
            <w:webHidden/>
          </w:rPr>
          <w:fldChar w:fldCharType="begin"/>
        </w:r>
        <w:r w:rsidR="000A4145">
          <w:rPr>
            <w:noProof/>
            <w:webHidden/>
          </w:rPr>
          <w:instrText xml:space="preserve"> PAGEREF _Toc531260465 \h </w:instrText>
        </w:r>
        <w:r w:rsidR="000A4145">
          <w:rPr>
            <w:noProof/>
            <w:webHidden/>
          </w:rPr>
        </w:r>
        <w:r w:rsidR="000A4145">
          <w:rPr>
            <w:noProof/>
            <w:webHidden/>
          </w:rPr>
          <w:fldChar w:fldCharType="separate"/>
        </w:r>
        <w:r w:rsidR="000A4145">
          <w:rPr>
            <w:noProof/>
            <w:webHidden/>
          </w:rPr>
          <w:t>31</w:t>
        </w:r>
        <w:r w:rsidR="000A4145">
          <w:rPr>
            <w:noProof/>
            <w:webHidden/>
          </w:rPr>
          <w:fldChar w:fldCharType="end"/>
        </w:r>
      </w:hyperlink>
    </w:p>
    <w:p w14:paraId="2DF70103" w14:textId="77777777" w:rsidR="000A4145" w:rsidRDefault="00015C06">
      <w:pPr>
        <w:pStyle w:val="TOC3"/>
        <w:rPr>
          <w:rFonts w:asciiTheme="minorHAnsi" w:eastAsiaTheme="minorEastAsia" w:hAnsiTheme="minorHAnsi" w:cstheme="minorBidi"/>
          <w:noProof/>
          <w:szCs w:val="22"/>
          <w:lang w:eastAsia="en-NZ"/>
        </w:rPr>
      </w:pPr>
      <w:hyperlink w:anchor="_Toc531260466" w:history="1">
        <w:r w:rsidR="000A4145" w:rsidRPr="00F72305">
          <w:rPr>
            <w:rStyle w:val="Hyperlink"/>
            <w:noProof/>
          </w:rPr>
          <w:t>Figure 18: Percentage of eligible adults who had cardiovascular risk assessed, Pacific peoples and total New Zealand population, March 2014–March 2017</w:t>
        </w:r>
        <w:r w:rsidR="000A4145">
          <w:rPr>
            <w:noProof/>
            <w:webHidden/>
          </w:rPr>
          <w:tab/>
        </w:r>
        <w:r w:rsidR="000A4145">
          <w:rPr>
            <w:noProof/>
            <w:webHidden/>
          </w:rPr>
          <w:fldChar w:fldCharType="begin"/>
        </w:r>
        <w:r w:rsidR="000A4145">
          <w:rPr>
            <w:noProof/>
            <w:webHidden/>
          </w:rPr>
          <w:instrText xml:space="preserve"> PAGEREF _Toc531260466 \h </w:instrText>
        </w:r>
        <w:r w:rsidR="000A4145">
          <w:rPr>
            <w:noProof/>
            <w:webHidden/>
          </w:rPr>
        </w:r>
        <w:r w:rsidR="000A4145">
          <w:rPr>
            <w:noProof/>
            <w:webHidden/>
          </w:rPr>
          <w:fldChar w:fldCharType="separate"/>
        </w:r>
        <w:r w:rsidR="000A4145">
          <w:rPr>
            <w:noProof/>
            <w:webHidden/>
          </w:rPr>
          <w:t>32</w:t>
        </w:r>
        <w:r w:rsidR="000A4145">
          <w:rPr>
            <w:noProof/>
            <w:webHidden/>
          </w:rPr>
          <w:fldChar w:fldCharType="end"/>
        </w:r>
      </w:hyperlink>
    </w:p>
    <w:p w14:paraId="77EE983E" w14:textId="77777777" w:rsidR="000A4145" w:rsidRDefault="00015C06">
      <w:pPr>
        <w:pStyle w:val="TOC3"/>
        <w:rPr>
          <w:rFonts w:asciiTheme="minorHAnsi" w:eastAsiaTheme="minorEastAsia" w:hAnsiTheme="minorHAnsi" w:cstheme="minorBidi"/>
          <w:noProof/>
          <w:szCs w:val="22"/>
          <w:lang w:eastAsia="en-NZ"/>
        </w:rPr>
      </w:pPr>
      <w:hyperlink w:anchor="_Toc531260467" w:history="1">
        <w:r w:rsidR="000A4145" w:rsidRPr="00F72305">
          <w:rPr>
            <w:rStyle w:val="Hyperlink"/>
            <w:noProof/>
          </w:rPr>
          <w:t>Figure 19A: Percentage of eligible adults who had cardiovascular risk assessed, Pacific peoples, Auckland region DHBs, March 2014–March 2017</w:t>
        </w:r>
        <w:r w:rsidR="000A4145">
          <w:rPr>
            <w:noProof/>
            <w:webHidden/>
          </w:rPr>
          <w:tab/>
        </w:r>
        <w:r w:rsidR="000A4145">
          <w:rPr>
            <w:noProof/>
            <w:webHidden/>
          </w:rPr>
          <w:fldChar w:fldCharType="begin"/>
        </w:r>
        <w:r w:rsidR="000A4145">
          <w:rPr>
            <w:noProof/>
            <w:webHidden/>
          </w:rPr>
          <w:instrText xml:space="preserve"> PAGEREF _Toc531260467 \h </w:instrText>
        </w:r>
        <w:r w:rsidR="000A4145">
          <w:rPr>
            <w:noProof/>
            <w:webHidden/>
          </w:rPr>
        </w:r>
        <w:r w:rsidR="000A4145">
          <w:rPr>
            <w:noProof/>
            <w:webHidden/>
          </w:rPr>
          <w:fldChar w:fldCharType="separate"/>
        </w:r>
        <w:r w:rsidR="000A4145">
          <w:rPr>
            <w:noProof/>
            <w:webHidden/>
          </w:rPr>
          <w:t>32</w:t>
        </w:r>
        <w:r w:rsidR="000A4145">
          <w:rPr>
            <w:noProof/>
            <w:webHidden/>
          </w:rPr>
          <w:fldChar w:fldCharType="end"/>
        </w:r>
      </w:hyperlink>
    </w:p>
    <w:p w14:paraId="17537FA8" w14:textId="77777777" w:rsidR="000A4145" w:rsidRDefault="00015C06">
      <w:pPr>
        <w:pStyle w:val="TOC3"/>
        <w:rPr>
          <w:rFonts w:asciiTheme="minorHAnsi" w:eastAsiaTheme="minorEastAsia" w:hAnsiTheme="minorHAnsi" w:cstheme="minorBidi"/>
          <w:noProof/>
          <w:szCs w:val="22"/>
          <w:lang w:eastAsia="en-NZ"/>
        </w:rPr>
      </w:pPr>
      <w:hyperlink w:anchor="_Toc531260468" w:history="1">
        <w:r w:rsidR="000A4145" w:rsidRPr="00F72305">
          <w:rPr>
            <w:rStyle w:val="Hyperlink"/>
            <w:noProof/>
          </w:rPr>
          <w:t>Figure 19B: Percentage of eligible adults who had cardiovascular risk assessed, Pacific peoples, priority DHBs outside the Auckland region, March 2014–March 2017</w:t>
        </w:r>
        <w:r w:rsidR="000A4145">
          <w:rPr>
            <w:noProof/>
            <w:webHidden/>
          </w:rPr>
          <w:tab/>
        </w:r>
        <w:r w:rsidR="000A4145">
          <w:rPr>
            <w:noProof/>
            <w:webHidden/>
          </w:rPr>
          <w:fldChar w:fldCharType="begin"/>
        </w:r>
        <w:r w:rsidR="000A4145">
          <w:rPr>
            <w:noProof/>
            <w:webHidden/>
          </w:rPr>
          <w:instrText xml:space="preserve"> PAGEREF _Toc531260468 \h </w:instrText>
        </w:r>
        <w:r w:rsidR="000A4145">
          <w:rPr>
            <w:noProof/>
            <w:webHidden/>
          </w:rPr>
        </w:r>
        <w:r w:rsidR="000A4145">
          <w:rPr>
            <w:noProof/>
            <w:webHidden/>
          </w:rPr>
          <w:fldChar w:fldCharType="separate"/>
        </w:r>
        <w:r w:rsidR="000A4145">
          <w:rPr>
            <w:noProof/>
            <w:webHidden/>
          </w:rPr>
          <w:t>33</w:t>
        </w:r>
        <w:r w:rsidR="000A4145">
          <w:rPr>
            <w:noProof/>
            <w:webHidden/>
          </w:rPr>
          <w:fldChar w:fldCharType="end"/>
        </w:r>
      </w:hyperlink>
    </w:p>
    <w:p w14:paraId="795510B1" w14:textId="77777777" w:rsidR="000A4145" w:rsidRDefault="00015C06">
      <w:pPr>
        <w:pStyle w:val="TOC3"/>
        <w:rPr>
          <w:rFonts w:asciiTheme="minorHAnsi" w:eastAsiaTheme="minorEastAsia" w:hAnsiTheme="minorHAnsi" w:cstheme="minorBidi"/>
          <w:noProof/>
          <w:szCs w:val="22"/>
          <w:lang w:eastAsia="en-NZ"/>
        </w:rPr>
      </w:pPr>
      <w:hyperlink w:anchor="_Toc531260469" w:history="1">
        <w:r w:rsidR="000A4145" w:rsidRPr="00F72305">
          <w:rPr>
            <w:rStyle w:val="Hyperlink"/>
            <w:noProof/>
          </w:rPr>
          <w:t>Figure 20: Rheumatic fever hospitalisation rates, Pacific peoples, 2011–2016</w:t>
        </w:r>
        <w:r w:rsidR="000A4145">
          <w:rPr>
            <w:noProof/>
            <w:webHidden/>
          </w:rPr>
          <w:tab/>
        </w:r>
        <w:r w:rsidR="000A4145">
          <w:rPr>
            <w:noProof/>
            <w:webHidden/>
          </w:rPr>
          <w:fldChar w:fldCharType="begin"/>
        </w:r>
        <w:r w:rsidR="000A4145">
          <w:rPr>
            <w:noProof/>
            <w:webHidden/>
          </w:rPr>
          <w:instrText xml:space="preserve"> PAGEREF _Toc531260469 \h </w:instrText>
        </w:r>
        <w:r w:rsidR="000A4145">
          <w:rPr>
            <w:noProof/>
            <w:webHidden/>
          </w:rPr>
        </w:r>
        <w:r w:rsidR="000A4145">
          <w:rPr>
            <w:noProof/>
            <w:webHidden/>
          </w:rPr>
          <w:fldChar w:fldCharType="separate"/>
        </w:r>
        <w:r w:rsidR="000A4145">
          <w:rPr>
            <w:noProof/>
            <w:webHidden/>
          </w:rPr>
          <w:t>34</w:t>
        </w:r>
        <w:r w:rsidR="000A4145">
          <w:rPr>
            <w:noProof/>
            <w:webHidden/>
          </w:rPr>
          <w:fldChar w:fldCharType="end"/>
        </w:r>
      </w:hyperlink>
    </w:p>
    <w:p w14:paraId="4D304F0C" w14:textId="77882F4D" w:rsidR="003A5FEA" w:rsidRDefault="000A4145" w:rsidP="003A5FEA">
      <w:r>
        <w:fldChar w:fldCharType="end"/>
      </w:r>
    </w:p>
    <w:p w14:paraId="51556D94" w14:textId="77777777" w:rsidR="00455CC9" w:rsidRDefault="00455CC9" w:rsidP="0086388B"/>
    <w:p w14:paraId="5559A806" w14:textId="77777777" w:rsidR="00C86248" w:rsidRDefault="00C86248">
      <w:pPr>
        <w:sectPr w:rsidR="00C86248"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14:paraId="6B8FBF2D" w14:textId="77777777" w:rsidR="002601C2" w:rsidRDefault="002601C2" w:rsidP="00C7122E">
      <w:pPr>
        <w:pStyle w:val="Heading1"/>
      </w:pPr>
      <w:bookmarkStart w:id="3" w:name="_Toc531260410"/>
      <w:r>
        <w:lastRenderedPageBreak/>
        <w:t>Introduction</w:t>
      </w:r>
      <w:bookmarkEnd w:id="3"/>
    </w:p>
    <w:p w14:paraId="04A608C1" w14:textId="4F363D49" w:rsidR="00C7122E" w:rsidRPr="00A119E8" w:rsidRDefault="00473BBD" w:rsidP="00FB3F7B">
      <w:r>
        <w:rPr>
          <w:rFonts w:ascii="Arial" w:hAnsi="Arial" w:cs="Arial"/>
          <w:i/>
        </w:rPr>
        <w:t>ʹ</w:t>
      </w:r>
      <w:r>
        <w:rPr>
          <w:i/>
        </w:rPr>
        <w:t>Ala Mo</w:t>
      </w:r>
      <w:r>
        <w:rPr>
          <w:rFonts w:ascii="Arial" w:hAnsi="Arial" w:cs="Arial"/>
          <w:i/>
        </w:rPr>
        <w:t>ʹ</w:t>
      </w:r>
      <w:r w:rsidR="00C7122E">
        <w:rPr>
          <w:i/>
        </w:rPr>
        <w:t>ui</w:t>
      </w:r>
      <w:r w:rsidR="00C7122E" w:rsidRPr="00A119E8">
        <w:rPr>
          <w:i/>
        </w:rPr>
        <w:t>: Pathways to Pacific Health and Wellbeing 2014–2018</w:t>
      </w:r>
      <w:r w:rsidR="00C7122E" w:rsidRPr="00A119E8">
        <w:t xml:space="preserve"> (</w:t>
      </w:r>
      <w:r>
        <w:rPr>
          <w:rFonts w:ascii="Arial" w:hAnsi="Arial" w:cs="Arial"/>
          <w:i/>
        </w:rPr>
        <w:t>ʹ</w:t>
      </w:r>
      <w:r>
        <w:rPr>
          <w:i/>
        </w:rPr>
        <w:t>Ala Mo</w:t>
      </w:r>
      <w:r>
        <w:rPr>
          <w:rFonts w:ascii="Arial" w:hAnsi="Arial" w:cs="Arial"/>
          <w:i/>
        </w:rPr>
        <w:t>ʹ</w:t>
      </w:r>
      <w:r w:rsidR="00C7122E">
        <w:rPr>
          <w:i/>
        </w:rPr>
        <w:t>ui</w:t>
      </w:r>
      <w:r w:rsidR="00C7122E" w:rsidRPr="00A119E8">
        <w:t xml:space="preserve">) is a four-year plan that provides an outcomes framework for delivering high-quality health services to Pacific peoples. The outcomes and actions in </w:t>
      </w:r>
      <w:r>
        <w:rPr>
          <w:rFonts w:ascii="Arial" w:hAnsi="Arial" w:cs="Arial"/>
          <w:i/>
        </w:rPr>
        <w:t>ʹ</w:t>
      </w:r>
      <w:r>
        <w:rPr>
          <w:i/>
        </w:rPr>
        <w:t>Ala Mo</w:t>
      </w:r>
      <w:r>
        <w:rPr>
          <w:rFonts w:ascii="Arial" w:hAnsi="Arial" w:cs="Arial"/>
          <w:i/>
        </w:rPr>
        <w:t>ʹ</w:t>
      </w:r>
      <w:r w:rsidR="00C7122E">
        <w:rPr>
          <w:i/>
        </w:rPr>
        <w:t>ui</w:t>
      </w:r>
      <w:r w:rsidR="00C7122E" w:rsidRPr="00A119E8">
        <w:t xml:space="preserve"> contribute to the Government’s long-term outcomes for health: all New Zealanders, including Pacific peoples, will lead healthier and more independent lives; high-quality health services will be delivered in a timely and accessible manner; and the future sustainability of the health and disability sector will be assured (Ministry of Health 2014).</w:t>
      </w:r>
    </w:p>
    <w:p w14:paraId="70AA7AB3" w14:textId="77777777" w:rsidR="00C7122E" w:rsidRDefault="00C7122E" w:rsidP="00FB3F7B"/>
    <w:p w14:paraId="573213C5" w14:textId="16DA2E5F" w:rsidR="00C7122E" w:rsidRPr="00A119E8" w:rsidRDefault="00C7122E" w:rsidP="00FB3F7B">
      <w:r w:rsidRPr="00A119E8">
        <w:t xml:space="preserve">The long term vision of </w:t>
      </w:r>
      <w:r w:rsidR="00473BBD">
        <w:rPr>
          <w:rFonts w:ascii="Arial" w:hAnsi="Arial" w:cs="Arial"/>
          <w:i/>
        </w:rPr>
        <w:t>ʹ</w:t>
      </w:r>
      <w:r w:rsidR="00473BBD">
        <w:rPr>
          <w:i/>
        </w:rPr>
        <w:t>Ala Mo</w:t>
      </w:r>
      <w:r w:rsidR="00473BBD">
        <w:rPr>
          <w:rFonts w:ascii="Arial" w:hAnsi="Arial" w:cs="Arial"/>
          <w:i/>
        </w:rPr>
        <w:t>ʹ</w:t>
      </w:r>
      <w:r>
        <w:rPr>
          <w:i/>
        </w:rPr>
        <w:t>ui</w:t>
      </w:r>
      <w:r w:rsidRPr="00A119E8">
        <w:t xml:space="preserve"> is:</w:t>
      </w:r>
    </w:p>
    <w:p w14:paraId="372D5864" w14:textId="77777777" w:rsidR="00C7122E" w:rsidRDefault="00C7122E" w:rsidP="00FB3F7B">
      <w:pPr>
        <w:pStyle w:val="Quote"/>
      </w:pPr>
      <w:r w:rsidRPr="00E72F16">
        <w:t xml:space="preserve">Pacific </w:t>
      </w:r>
      <w:r>
        <w:t>’</w:t>
      </w:r>
      <w:r w:rsidRPr="00E72F16">
        <w:t>āiga, kāiga, magafaoa, kōpū tangata, vuvale and fāmili experience equitable health outcomes and lead independent lives.</w:t>
      </w:r>
    </w:p>
    <w:p w14:paraId="61A4B66A" w14:textId="77777777" w:rsidR="00C7122E" w:rsidRDefault="00C7122E" w:rsidP="00FB3F7B"/>
    <w:p w14:paraId="06F6E24B" w14:textId="77777777" w:rsidR="00C7122E" w:rsidRDefault="00C7122E" w:rsidP="00FB3F7B">
      <w:pPr>
        <w:pStyle w:val="Heading1"/>
      </w:pPr>
      <w:bookmarkStart w:id="4" w:name="_Toc503949850"/>
      <w:bookmarkStart w:id="5" w:name="_Toc531260411"/>
      <w:r>
        <w:lastRenderedPageBreak/>
        <w:t>Purpose statement</w:t>
      </w:r>
      <w:bookmarkEnd w:id="4"/>
      <w:bookmarkEnd w:id="5"/>
    </w:p>
    <w:p w14:paraId="48540C4C" w14:textId="4BE41185" w:rsidR="00C7122E" w:rsidRDefault="00C7122E" w:rsidP="00FB3F7B">
      <w:r>
        <w:t xml:space="preserve">This report aims to monitor and track national and </w:t>
      </w:r>
      <w:r w:rsidR="00BA6139">
        <w:t>regional</w:t>
      </w:r>
      <w:r>
        <w:t xml:space="preserve"> progress in relation to the 21 indicators set out in </w:t>
      </w:r>
      <w:r w:rsidR="00473BBD">
        <w:rPr>
          <w:rFonts w:ascii="Arial" w:hAnsi="Arial" w:cs="Arial"/>
          <w:i/>
        </w:rPr>
        <w:t>ʹ</w:t>
      </w:r>
      <w:r w:rsidR="00473BBD">
        <w:rPr>
          <w:i/>
        </w:rPr>
        <w:t>Ala Mo</w:t>
      </w:r>
      <w:r w:rsidR="00473BBD">
        <w:rPr>
          <w:rFonts w:ascii="Arial" w:hAnsi="Arial" w:cs="Arial"/>
          <w:i/>
        </w:rPr>
        <w:t>ʹ</w:t>
      </w:r>
      <w:r w:rsidRPr="00F17AF4">
        <w:rPr>
          <w:i/>
        </w:rPr>
        <w:t>ui</w:t>
      </w:r>
      <w:r>
        <w:t>. It tracks progress</w:t>
      </w:r>
      <w:r w:rsidR="00FB3F7B">
        <w:t xml:space="preserve"> </w:t>
      </w:r>
      <w:r>
        <w:t>for the Pacific population both nationally and a</w:t>
      </w:r>
      <w:r w:rsidRPr="00A119E8">
        <w:t xml:space="preserve">cross </w:t>
      </w:r>
      <w:r>
        <w:t xml:space="preserve">the </w:t>
      </w:r>
      <w:r w:rsidRPr="00A119E8">
        <w:t>eight</w:t>
      </w:r>
      <w:r w:rsidR="00BA6139">
        <w:t xml:space="preserve"> district health boards</w:t>
      </w:r>
      <w:r w:rsidRPr="00A119E8">
        <w:t xml:space="preserve"> </w:t>
      </w:r>
      <w:r w:rsidR="00BA6139">
        <w:t>(</w:t>
      </w:r>
      <w:r w:rsidRPr="00A119E8">
        <w:t>DHB</w:t>
      </w:r>
      <w:r w:rsidR="00BA6139">
        <w:t>s)</w:t>
      </w:r>
      <w:r w:rsidRPr="00A119E8">
        <w:t xml:space="preserve"> where 90 percent of Pacific peoples reside</w:t>
      </w:r>
      <w:r>
        <w:t xml:space="preserve"> (the </w:t>
      </w:r>
      <w:r w:rsidRPr="00A119E8">
        <w:t>‘Pacific priority DHBs’</w:t>
      </w:r>
      <w:r>
        <w:t>). Those DHBs</w:t>
      </w:r>
      <w:r w:rsidRPr="00A119E8">
        <w:t xml:space="preserve"> are (in order of </w:t>
      </w:r>
      <w:r>
        <w:t xml:space="preserve">the </w:t>
      </w:r>
      <w:r w:rsidRPr="00A119E8">
        <w:t>numbers of Pacific peoples</w:t>
      </w:r>
      <w:r>
        <w:t xml:space="preserve"> they serve, highest to lowest</w:t>
      </w:r>
      <w:r w:rsidRPr="00A119E8">
        <w:t>)</w:t>
      </w:r>
      <w:r>
        <w:t>:</w:t>
      </w:r>
    </w:p>
    <w:p w14:paraId="5B688A29" w14:textId="77777777" w:rsidR="00FB3F7B" w:rsidRDefault="00C7122E" w:rsidP="00FB3F7B">
      <w:pPr>
        <w:pStyle w:val="Bullet"/>
      </w:pPr>
      <w:r w:rsidRPr="00A119E8">
        <w:t>Counties Manukau</w:t>
      </w:r>
    </w:p>
    <w:p w14:paraId="54893CD5" w14:textId="77777777" w:rsidR="00C7122E" w:rsidRDefault="00C7122E" w:rsidP="00FB3F7B">
      <w:pPr>
        <w:pStyle w:val="Bullet"/>
      </w:pPr>
      <w:r w:rsidRPr="00A119E8">
        <w:t>Auckland</w:t>
      </w:r>
    </w:p>
    <w:p w14:paraId="2FEF8D79" w14:textId="77777777" w:rsidR="00C7122E" w:rsidRDefault="00C7122E" w:rsidP="00FB3F7B">
      <w:pPr>
        <w:pStyle w:val="Bullet"/>
      </w:pPr>
      <w:r w:rsidRPr="00A119E8">
        <w:t>Waitemata</w:t>
      </w:r>
    </w:p>
    <w:p w14:paraId="1413297C" w14:textId="77777777" w:rsidR="00C7122E" w:rsidRDefault="00C7122E" w:rsidP="00FB3F7B">
      <w:pPr>
        <w:pStyle w:val="Bullet"/>
      </w:pPr>
      <w:r w:rsidRPr="00A119E8">
        <w:t>Capital &amp; Coast</w:t>
      </w:r>
    </w:p>
    <w:p w14:paraId="3E2B3B4F" w14:textId="77777777" w:rsidR="00C7122E" w:rsidRDefault="00C7122E" w:rsidP="00FB3F7B">
      <w:pPr>
        <w:pStyle w:val="Bullet"/>
      </w:pPr>
      <w:r w:rsidRPr="00A119E8">
        <w:t>Canterbury</w:t>
      </w:r>
    </w:p>
    <w:p w14:paraId="1B8F278F" w14:textId="77777777" w:rsidR="00C7122E" w:rsidRDefault="00C7122E" w:rsidP="00FB3F7B">
      <w:pPr>
        <w:pStyle w:val="Bullet"/>
      </w:pPr>
      <w:r w:rsidRPr="00A119E8">
        <w:t>Hutt Valley</w:t>
      </w:r>
    </w:p>
    <w:p w14:paraId="5DED54F7" w14:textId="77777777" w:rsidR="00C7122E" w:rsidRDefault="00C7122E" w:rsidP="00FB3F7B">
      <w:pPr>
        <w:pStyle w:val="Bullet"/>
      </w:pPr>
      <w:r w:rsidRPr="00A119E8">
        <w:t>Waikato</w:t>
      </w:r>
    </w:p>
    <w:p w14:paraId="74E17486" w14:textId="77777777" w:rsidR="00C7122E" w:rsidRDefault="00C7122E" w:rsidP="00FB3F7B">
      <w:pPr>
        <w:pStyle w:val="Bullet"/>
      </w:pPr>
      <w:r w:rsidRPr="00A119E8">
        <w:t>Hawke’s Bay</w:t>
      </w:r>
      <w:r>
        <w:t>.</w:t>
      </w:r>
    </w:p>
    <w:p w14:paraId="08402EFF" w14:textId="77777777" w:rsidR="00C7122E" w:rsidRPr="00F17AF4" w:rsidRDefault="00C7122E" w:rsidP="00FB3F7B"/>
    <w:p w14:paraId="215798EC" w14:textId="77777777" w:rsidR="00C7122E" w:rsidRDefault="00C7122E" w:rsidP="00FB3F7B">
      <w:r>
        <w:t xml:space="preserve">In this report, we set out progress for each indicator </w:t>
      </w:r>
      <w:r w:rsidRPr="00A119E8">
        <w:t>against set national targets</w:t>
      </w:r>
      <w:r>
        <w:t xml:space="preserve"> where possible. Where there is no set national target for the indicator, we show the rates for the Pacific population compared to the total New Zealand population, to demonstrate differences in equity over time. Note that we have compared the Pacific population indicators against the total population, which also includes the Pacific population, rather than comparing the Pacific population indicator with that of the non-Pacific population.</w:t>
      </w:r>
    </w:p>
    <w:p w14:paraId="389256A0" w14:textId="77777777" w:rsidR="00FB3F7B" w:rsidRDefault="00FB3F7B" w:rsidP="00FB3F7B"/>
    <w:p w14:paraId="6111F723" w14:textId="77777777" w:rsidR="00C7122E" w:rsidRDefault="00C7122E" w:rsidP="00FB3F7B">
      <w:pPr>
        <w:pStyle w:val="Heading1"/>
      </w:pPr>
      <w:bookmarkStart w:id="6" w:name="_Toc503949851"/>
      <w:bookmarkStart w:id="7" w:name="_Toc531260412"/>
      <w:r>
        <w:lastRenderedPageBreak/>
        <w:t>Background</w:t>
      </w:r>
      <w:bookmarkEnd w:id="6"/>
      <w:bookmarkEnd w:id="7"/>
    </w:p>
    <w:p w14:paraId="0942F0B4" w14:textId="64B3B43A" w:rsidR="00C7122E" w:rsidRDefault="00C7122E" w:rsidP="00FB3F7B">
      <w:r>
        <w:t>This report is part of a series of progress reports the Mi</w:t>
      </w:r>
      <w:r w:rsidR="00473BBD">
        <w:t xml:space="preserve">nistry of Health publishes for </w:t>
      </w:r>
      <w:r w:rsidR="00473BBD">
        <w:rPr>
          <w:rFonts w:ascii="Arial" w:hAnsi="Arial" w:cs="Arial"/>
        </w:rPr>
        <w:t>ʹ</w:t>
      </w:r>
      <w:r w:rsidR="00473BBD">
        <w:rPr>
          <w:i/>
        </w:rPr>
        <w:t>Ala Mo</w:t>
      </w:r>
      <w:r w:rsidR="00473BBD">
        <w:rPr>
          <w:rFonts w:ascii="Arial" w:hAnsi="Arial" w:cs="Arial"/>
          <w:i/>
        </w:rPr>
        <w:t>ʹ</w:t>
      </w:r>
      <w:r w:rsidRPr="003E4346">
        <w:rPr>
          <w:i/>
        </w:rPr>
        <w:t>ui</w:t>
      </w:r>
      <w:r>
        <w:t>, broken up into two theme-based reports, on child health and health care utilisation respectively.</w:t>
      </w:r>
    </w:p>
    <w:p w14:paraId="6818EDF3" w14:textId="77777777" w:rsidR="00C7122E" w:rsidRDefault="00C7122E" w:rsidP="00FB3F7B"/>
    <w:p w14:paraId="1F6D64D6" w14:textId="3FA11E28" w:rsidR="00C7122E" w:rsidRDefault="00C7122E" w:rsidP="00FB3F7B">
      <w:r>
        <w:t xml:space="preserve">Together, these reports cover all </w:t>
      </w:r>
      <w:r w:rsidR="00473BBD">
        <w:rPr>
          <w:rFonts w:ascii="Arial" w:hAnsi="Arial" w:cs="Arial"/>
          <w:i/>
        </w:rPr>
        <w:t>ʹ</w:t>
      </w:r>
      <w:r w:rsidR="00473BBD">
        <w:rPr>
          <w:i/>
        </w:rPr>
        <w:t>Ala Mo</w:t>
      </w:r>
      <w:r w:rsidR="00473BBD">
        <w:rPr>
          <w:rFonts w:ascii="Arial" w:hAnsi="Arial" w:cs="Arial"/>
          <w:i/>
        </w:rPr>
        <w:t>ʹ</w:t>
      </w:r>
      <w:r w:rsidRPr="003E4346">
        <w:rPr>
          <w:i/>
        </w:rPr>
        <w:t>ui</w:t>
      </w:r>
      <w:r w:rsidRPr="000C7B06">
        <w:t xml:space="preserve"> </w:t>
      </w:r>
      <w:r>
        <w:t>indicators. The separation of data into the two themes will ensure people can easily see and assess connections in data across similar subject areas, and discuss what is happening in each.</w:t>
      </w:r>
    </w:p>
    <w:p w14:paraId="42C22C40" w14:textId="77777777" w:rsidR="00C7122E" w:rsidRDefault="00C7122E" w:rsidP="00FB3F7B"/>
    <w:p w14:paraId="2E286A2B" w14:textId="77777777" w:rsidR="00C7122E" w:rsidRDefault="00C7122E" w:rsidP="00FB3F7B">
      <w:r>
        <w:t>This report covers the following health care utilisation indicators:</w:t>
      </w:r>
    </w:p>
    <w:p w14:paraId="5F7DC212" w14:textId="77777777" w:rsidR="00C7122E" w:rsidRDefault="00C7122E" w:rsidP="00FB3F7B">
      <w:pPr>
        <w:pStyle w:val="Bullet"/>
      </w:pPr>
      <w:r>
        <w:t>system level measures</w:t>
      </w:r>
    </w:p>
    <w:p w14:paraId="768B0D32" w14:textId="5C452BC6" w:rsidR="00C7122E" w:rsidRDefault="00E02A21" w:rsidP="00FB3F7B">
      <w:pPr>
        <w:pStyle w:val="Bullet"/>
      </w:pPr>
      <w:r>
        <w:t>ambulatory sensitive hospitalisation (</w:t>
      </w:r>
      <w:r w:rsidR="00C7122E">
        <w:t>ASH</w:t>
      </w:r>
      <w:r>
        <w:t>)</w:t>
      </w:r>
      <w:r w:rsidR="00C7122E">
        <w:t xml:space="preserve"> rates</w:t>
      </w:r>
    </w:p>
    <w:p w14:paraId="4F861D24" w14:textId="65311FA7" w:rsidR="00C7122E" w:rsidRDefault="00E02A21" w:rsidP="00FB3F7B">
      <w:pPr>
        <w:pStyle w:val="Bullet"/>
      </w:pPr>
      <w:r>
        <w:t>general practice (</w:t>
      </w:r>
      <w:r w:rsidR="00C7122E">
        <w:t>GP</w:t>
      </w:r>
      <w:r>
        <w:t>)</w:t>
      </w:r>
      <w:r w:rsidR="00C7122E">
        <w:t xml:space="preserve"> and nurse utilisation</w:t>
      </w:r>
    </w:p>
    <w:p w14:paraId="6718D028" w14:textId="77777777" w:rsidR="00C7122E" w:rsidRDefault="00C7122E" w:rsidP="00FB3F7B">
      <w:pPr>
        <w:pStyle w:val="Bullet"/>
      </w:pPr>
      <w:r>
        <w:t>access to mental health services</w:t>
      </w:r>
    </w:p>
    <w:p w14:paraId="3DF685D1" w14:textId="77777777" w:rsidR="00C7122E" w:rsidRDefault="00C7122E" w:rsidP="00FB3F7B">
      <w:pPr>
        <w:pStyle w:val="Bullet"/>
      </w:pPr>
      <w:r>
        <w:t>access to drug and alcohol services</w:t>
      </w:r>
    </w:p>
    <w:p w14:paraId="3578835C" w14:textId="77777777" w:rsidR="00C7122E" w:rsidRDefault="00C7122E" w:rsidP="00FB3F7B">
      <w:pPr>
        <w:pStyle w:val="Bullet"/>
      </w:pPr>
      <w:r>
        <w:t>smoking cessation</w:t>
      </w:r>
    </w:p>
    <w:p w14:paraId="6B54317E" w14:textId="77777777" w:rsidR="00C7122E" w:rsidRDefault="00C7122E" w:rsidP="00FB3F7B">
      <w:pPr>
        <w:pStyle w:val="Bullet"/>
      </w:pPr>
      <w:r>
        <w:t>cervical screening</w:t>
      </w:r>
    </w:p>
    <w:p w14:paraId="17FB9D25" w14:textId="77777777" w:rsidR="00C7122E" w:rsidRDefault="00C7122E" w:rsidP="00FB3F7B">
      <w:pPr>
        <w:pStyle w:val="Bullet"/>
      </w:pPr>
      <w:r>
        <w:t>more heart and diabetes checks</w:t>
      </w:r>
    </w:p>
    <w:p w14:paraId="2AC85D59" w14:textId="77777777" w:rsidR="00C7122E" w:rsidRDefault="00C7122E" w:rsidP="00FB3F7B">
      <w:pPr>
        <w:pStyle w:val="Bullet"/>
      </w:pPr>
      <w:r>
        <w:t>rheumatic fever.</w:t>
      </w:r>
    </w:p>
    <w:p w14:paraId="63B1EF0E" w14:textId="77777777" w:rsidR="00FB3F7B" w:rsidRDefault="00FB3F7B" w:rsidP="00FB3F7B"/>
    <w:p w14:paraId="3C2CD01E" w14:textId="77777777" w:rsidR="00C7122E" w:rsidRDefault="00C7122E" w:rsidP="00FB3F7B">
      <w:pPr>
        <w:pStyle w:val="Heading1"/>
      </w:pPr>
      <w:bookmarkStart w:id="8" w:name="_Toc503949852"/>
      <w:bookmarkStart w:id="9" w:name="_Toc531260413"/>
      <w:r>
        <w:lastRenderedPageBreak/>
        <w:t>Notes about the data</w:t>
      </w:r>
      <w:bookmarkEnd w:id="8"/>
      <w:bookmarkEnd w:id="9"/>
    </w:p>
    <w:p w14:paraId="1E38D52F" w14:textId="77777777" w:rsidR="00C7122E" w:rsidRPr="00DB1E8D" w:rsidRDefault="00C7122E" w:rsidP="00FB3F7B">
      <w:r w:rsidRPr="00DB1E8D">
        <w:t>This report draws on a range of information.</w:t>
      </w:r>
    </w:p>
    <w:p w14:paraId="05572E17" w14:textId="77777777" w:rsidR="00C7122E" w:rsidRPr="00DB1E8D" w:rsidRDefault="00C7122E" w:rsidP="00FB3F7B"/>
    <w:p w14:paraId="7C8FDCCD" w14:textId="77777777" w:rsidR="00C7122E" w:rsidRPr="00DB1E8D" w:rsidRDefault="00C7122E" w:rsidP="00FB3F7B">
      <w:r w:rsidRPr="00DB1E8D">
        <w:t xml:space="preserve">Alongside each indicator, in a text box, we have noted the denominator (the base population) and the numerator, and the </w:t>
      </w:r>
      <w:r>
        <w:t xml:space="preserve">relevant information </w:t>
      </w:r>
      <w:r w:rsidRPr="00DB1E8D">
        <w:t>sources. Sources of data include Well</w:t>
      </w:r>
      <w:r>
        <w:t xml:space="preserve"> </w:t>
      </w:r>
      <w:r w:rsidRPr="00DB1E8D">
        <w:t>Child Tamariki Ora and Community Or</w:t>
      </w:r>
      <w:r>
        <w:t>al Health Service reporting,</w:t>
      </w:r>
      <w:r w:rsidRPr="00DB1E8D">
        <w:t xml:space="preserve"> the New Zealand Health Survey (NZHS), </w:t>
      </w:r>
      <w:r>
        <w:t xml:space="preserve">the </w:t>
      </w:r>
      <w:r w:rsidRPr="00DB1E8D">
        <w:t xml:space="preserve">Primary Health Organisation </w:t>
      </w:r>
      <w:r>
        <w:t>(PHO) enrolment collection,</w:t>
      </w:r>
      <w:r w:rsidRPr="00DB1E8D">
        <w:t xml:space="preserve"> the National Immunisation Register </w:t>
      </w:r>
      <w:r>
        <w:t xml:space="preserve">and </w:t>
      </w:r>
      <w:r w:rsidRPr="00DB1E8D">
        <w:t>Statistics New Zealand population proje</w:t>
      </w:r>
      <w:r>
        <w:t>ctions based on the 2013 Census</w:t>
      </w:r>
      <w:r w:rsidRPr="00DB1E8D">
        <w:t>.</w:t>
      </w:r>
    </w:p>
    <w:p w14:paraId="3616AA5F" w14:textId="77777777" w:rsidR="00C7122E" w:rsidRPr="00DB1E8D" w:rsidRDefault="00C7122E" w:rsidP="00FB3F7B"/>
    <w:p w14:paraId="1E92C8C5" w14:textId="77777777" w:rsidR="00C7122E" w:rsidRDefault="00C7122E" w:rsidP="00FB3F7B">
      <w:r w:rsidRPr="00FD0DCF">
        <w:rPr>
          <w:b/>
        </w:rPr>
        <w:t>Table A1</w:t>
      </w:r>
      <w:r w:rsidRPr="00DB1E8D">
        <w:t xml:space="preserve"> below show</w:t>
      </w:r>
      <w:r>
        <w:t>s</w:t>
      </w:r>
      <w:r w:rsidRPr="00DB1E8D">
        <w:t xml:space="preserve"> the total projected population of </w:t>
      </w:r>
      <w:r>
        <w:t>Pacific peoples for each of the eight</w:t>
      </w:r>
      <w:r w:rsidRPr="00DB1E8D">
        <w:t xml:space="preserve"> priority DHBs for </w:t>
      </w:r>
      <w:r>
        <w:t>the 2015/2016 financial year</w:t>
      </w:r>
      <w:r w:rsidRPr="00DB1E8D">
        <w:t xml:space="preserve"> (Statistics N</w:t>
      </w:r>
      <w:r>
        <w:t xml:space="preserve">ew </w:t>
      </w:r>
      <w:r w:rsidRPr="00DB1E8D">
        <w:t>Z</w:t>
      </w:r>
      <w:r>
        <w:t>ealand</w:t>
      </w:r>
      <w:r w:rsidR="00FB3F7B">
        <w:t xml:space="preserve"> population projections).</w:t>
      </w:r>
    </w:p>
    <w:p w14:paraId="002CE145" w14:textId="77777777" w:rsidR="00C7122E" w:rsidRDefault="00C7122E" w:rsidP="00FB3F7B"/>
    <w:p w14:paraId="54CAD447" w14:textId="77777777" w:rsidR="00FB3F7B" w:rsidRDefault="00C7122E" w:rsidP="00FB3F7B">
      <w:r w:rsidRPr="00DB1E8D">
        <w:t xml:space="preserve">It is important to remember that small sample sizes can contribute to trends </w:t>
      </w:r>
      <w:r>
        <w:t>apparent</w:t>
      </w:r>
      <w:r w:rsidRPr="00DB1E8D">
        <w:t xml:space="preserve"> in the </w:t>
      </w:r>
      <w:r>
        <w:t>DHB-level data</w:t>
      </w:r>
      <w:r w:rsidRPr="00DB1E8D">
        <w:t xml:space="preserve">. </w:t>
      </w:r>
      <w:r>
        <w:t>For this reason i</w:t>
      </w:r>
      <w:r w:rsidRPr="00DB1E8D">
        <w:t>t</w:t>
      </w:r>
      <w:r>
        <w:t xml:space="preserve"> i</w:t>
      </w:r>
      <w:r w:rsidRPr="00DB1E8D">
        <w:t>s more useful to consider the overall trend over time rather than the change between two reporting periods.</w:t>
      </w:r>
    </w:p>
    <w:p w14:paraId="043E9B30" w14:textId="77777777" w:rsidR="00C7122E" w:rsidRDefault="00C7122E" w:rsidP="00FB3F7B"/>
    <w:p w14:paraId="70D437CF" w14:textId="77777777" w:rsidR="00C7122E" w:rsidRDefault="00C7122E" w:rsidP="00FB3F7B">
      <w:r w:rsidRPr="00DB1E8D">
        <w:t xml:space="preserve">Where </w:t>
      </w:r>
      <w:r>
        <w:t>an</w:t>
      </w:r>
      <w:r w:rsidRPr="00DB1E8D">
        <w:t xml:space="preserve"> indicator is measuring only one group within the population </w:t>
      </w:r>
      <w:r>
        <w:t xml:space="preserve">– </w:t>
      </w:r>
      <w:r w:rsidRPr="00DB1E8D">
        <w:t>for example</w:t>
      </w:r>
      <w:r>
        <w:t>,</w:t>
      </w:r>
      <w:r w:rsidRPr="00DB1E8D">
        <w:t xml:space="preserve"> Pacific childr</w:t>
      </w:r>
      <w:r>
        <w:t xml:space="preserve">en aged eight months – the number may be </w:t>
      </w:r>
      <w:r w:rsidRPr="00DB1E8D">
        <w:t xml:space="preserve">very small. </w:t>
      </w:r>
      <w:r>
        <w:t>This means</w:t>
      </w:r>
      <w:r w:rsidRPr="00DB1E8D">
        <w:t xml:space="preserve"> there is more variability in the data (the lines of the graph move up and down more sharply).</w:t>
      </w:r>
    </w:p>
    <w:p w14:paraId="186DE2F5" w14:textId="77777777" w:rsidR="00C7122E" w:rsidRDefault="00C7122E" w:rsidP="00FB3F7B"/>
    <w:p w14:paraId="4AA89410" w14:textId="77777777" w:rsidR="00FB3F7B" w:rsidRDefault="00C7122E" w:rsidP="00FB3F7B">
      <w:r w:rsidRPr="00DB1E8D">
        <w:t xml:space="preserve">For most indicators where we </w:t>
      </w:r>
      <w:r>
        <w:t xml:space="preserve">have </w:t>
      </w:r>
      <w:r w:rsidRPr="00DB1E8D">
        <w:t>report</w:t>
      </w:r>
      <w:r>
        <w:t>ed</w:t>
      </w:r>
      <w:r w:rsidRPr="00DB1E8D">
        <w:t xml:space="preserve"> by DHB, we have reported the number of people in relevant </w:t>
      </w:r>
      <w:r>
        <w:t>sub</w:t>
      </w:r>
      <w:r w:rsidRPr="00DB1E8D">
        <w:t>group</w:t>
      </w:r>
      <w:r>
        <w:t>s</w:t>
      </w:r>
      <w:r w:rsidRPr="00DB1E8D">
        <w:t xml:space="preserve"> (</w:t>
      </w:r>
      <w:r>
        <w:t>eg,</w:t>
      </w:r>
      <w:r w:rsidRPr="00DB1E8D">
        <w:t xml:space="preserve"> the number of Pacific children aged </w:t>
      </w:r>
      <w:r>
        <w:t xml:space="preserve">eight </w:t>
      </w:r>
      <w:r w:rsidRPr="00DB1E8D">
        <w:t>months old</w:t>
      </w:r>
      <w:r>
        <w:t>). For some indicators, we were unable to report this because the number was too small: publishing this data could compromise the privacy of individuals.</w:t>
      </w:r>
    </w:p>
    <w:p w14:paraId="40451975" w14:textId="77777777" w:rsidR="00FB3F7B" w:rsidRDefault="00FB3F7B" w:rsidP="00FB3F7B"/>
    <w:p w14:paraId="35EE69B5" w14:textId="77777777" w:rsidR="00C7122E" w:rsidRPr="00FB3F7B" w:rsidRDefault="00C7122E" w:rsidP="00FB3F7B">
      <w:r>
        <w:t>You can find m</w:t>
      </w:r>
      <w:r w:rsidRPr="00DB1E8D">
        <w:t xml:space="preserve">ore </w:t>
      </w:r>
      <w:r>
        <w:t xml:space="preserve">information </w:t>
      </w:r>
      <w:r w:rsidRPr="00DB1E8D">
        <w:t xml:space="preserve">about </w:t>
      </w:r>
      <w:r>
        <w:t xml:space="preserve">measurement of progress against </w:t>
      </w:r>
      <w:r w:rsidRPr="00DB1E8D">
        <w:t>the indicators on the Ministry of Health’s website</w:t>
      </w:r>
      <w:r>
        <w:t>. See, specifically:</w:t>
      </w:r>
    </w:p>
    <w:p w14:paraId="165A142E" w14:textId="00B595A7" w:rsidR="00C7122E" w:rsidRPr="00DB1E8D" w:rsidRDefault="00C7122E" w:rsidP="00FB3F7B">
      <w:pPr>
        <w:pStyle w:val="Bullet"/>
      </w:pPr>
      <w:r w:rsidRPr="00FE38B1">
        <w:rPr>
          <w:color w:val="0000FF" w:themeColor="hyperlink"/>
          <w:u w:val="single"/>
        </w:rPr>
        <w:t>Programme for the Integration of Mental Health Data (</w:t>
      </w:r>
      <w:hyperlink r:id="rId18" w:history="1">
        <w:r w:rsidRPr="00FD71DA">
          <w:rPr>
            <w:rStyle w:val="Hyperlink"/>
          </w:rPr>
          <w:t>PRIMHD) Ministry of Health mental health statistics, used to</w:t>
        </w:r>
      </w:hyperlink>
      <w:r w:rsidRPr="00DB1E8D">
        <w:t xml:space="preserve"> measure the population accessing specialist mental health services and alcohol and drug services</w:t>
      </w:r>
    </w:p>
    <w:p w14:paraId="18C4F0DF" w14:textId="77777777" w:rsidR="00C7122E" w:rsidRPr="00DB1E8D" w:rsidRDefault="00015C06" w:rsidP="00FB3F7B">
      <w:pPr>
        <w:pStyle w:val="Bullet"/>
      </w:pPr>
      <w:hyperlink r:id="rId19" w:history="1">
        <w:r w:rsidR="00C7122E" w:rsidRPr="00AD40E5">
          <w:rPr>
            <w:color w:val="0000FF" w:themeColor="hyperlink"/>
            <w:u w:val="single"/>
          </w:rPr>
          <w:t xml:space="preserve">National </w:t>
        </w:r>
        <w:r w:rsidR="00C7122E">
          <w:rPr>
            <w:color w:val="0000FF" w:themeColor="hyperlink"/>
            <w:u w:val="single"/>
          </w:rPr>
          <w:t>C</w:t>
        </w:r>
        <w:r w:rsidR="00C7122E" w:rsidRPr="00AD40E5">
          <w:rPr>
            <w:color w:val="0000FF" w:themeColor="hyperlink"/>
            <w:u w:val="single"/>
          </w:rPr>
          <w:t xml:space="preserve">ervical </w:t>
        </w:r>
        <w:r w:rsidR="00C7122E">
          <w:rPr>
            <w:color w:val="0000FF" w:themeColor="hyperlink"/>
            <w:u w:val="single"/>
          </w:rPr>
          <w:t>S</w:t>
        </w:r>
        <w:r w:rsidR="00C7122E" w:rsidRPr="00AD40E5">
          <w:rPr>
            <w:color w:val="0000FF" w:themeColor="hyperlink"/>
            <w:u w:val="single"/>
          </w:rPr>
          <w:t xml:space="preserve">creening </w:t>
        </w:r>
        <w:r w:rsidR="00C7122E">
          <w:rPr>
            <w:color w:val="0000FF" w:themeColor="hyperlink"/>
            <w:u w:val="single"/>
          </w:rPr>
          <w:t>P</w:t>
        </w:r>
        <w:r w:rsidR="00C7122E" w:rsidRPr="00AD40E5">
          <w:rPr>
            <w:color w:val="0000FF" w:themeColor="hyperlink"/>
            <w:u w:val="single"/>
          </w:rPr>
          <w:t>rogram</w:t>
        </w:r>
        <w:r w:rsidR="00C7122E">
          <w:rPr>
            <w:color w:val="0000FF" w:themeColor="hyperlink"/>
            <w:u w:val="single"/>
          </w:rPr>
          <w:t>me</w:t>
        </w:r>
        <w:r w:rsidR="00C7122E" w:rsidRPr="00AD40E5">
          <w:rPr>
            <w:color w:val="0000FF" w:themeColor="hyperlink"/>
            <w:u w:val="single"/>
          </w:rPr>
          <w:t xml:space="preserve"> </w:t>
        </w:r>
        <w:r w:rsidR="00C7122E">
          <w:rPr>
            <w:color w:val="0000FF" w:themeColor="hyperlink"/>
            <w:u w:val="single"/>
          </w:rPr>
          <w:t xml:space="preserve">(NCSP) </w:t>
        </w:r>
        <w:r w:rsidR="00C7122E" w:rsidRPr="00AD40E5">
          <w:rPr>
            <w:color w:val="0000FF" w:themeColor="hyperlink"/>
            <w:u w:val="single"/>
          </w:rPr>
          <w:t>data</w:t>
        </w:r>
      </w:hyperlink>
      <w:r w:rsidR="00C7122E" w:rsidRPr="00DB1E8D">
        <w:t xml:space="preserve">, used to measure </w:t>
      </w:r>
      <w:r w:rsidR="00C7122E">
        <w:t xml:space="preserve">numbers of </w:t>
      </w:r>
      <w:r w:rsidR="00C7122E" w:rsidRPr="00DB1E8D">
        <w:t>women who received a cervical smear</w:t>
      </w:r>
    </w:p>
    <w:p w14:paraId="56594B6A" w14:textId="77777777" w:rsidR="00C7122E" w:rsidRPr="00DB1E8D" w:rsidRDefault="00C7122E" w:rsidP="00FB3F7B">
      <w:pPr>
        <w:pStyle w:val="Bullet"/>
      </w:pPr>
      <w:r>
        <w:t xml:space="preserve">the </w:t>
      </w:r>
      <w:hyperlink r:id="rId20" w:history="1">
        <w:r w:rsidRPr="00AD40E5">
          <w:rPr>
            <w:color w:val="0000FF" w:themeColor="hyperlink"/>
            <w:u w:val="single"/>
          </w:rPr>
          <w:t xml:space="preserve">Primary Health Organisation </w:t>
        </w:r>
        <w:r>
          <w:rPr>
            <w:color w:val="0000FF" w:themeColor="hyperlink"/>
            <w:u w:val="single"/>
          </w:rPr>
          <w:t>E</w:t>
        </w:r>
        <w:r w:rsidRPr="00AD40E5">
          <w:rPr>
            <w:color w:val="0000FF" w:themeColor="hyperlink"/>
            <w:u w:val="single"/>
          </w:rPr>
          <w:t xml:space="preserve">nrolment </w:t>
        </w:r>
        <w:r>
          <w:rPr>
            <w:color w:val="0000FF" w:themeColor="hyperlink"/>
            <w:u w:val="single"/>
          </w:rPr>
          <w:t>C</w:t>
        </w:r>
        <w:r w:rsidRPr="00AD40E5">
          <w:rPr>
            <w:color w:val="0000FF" w:themeColor="hyperlink"/>
            <w:u w:val="single"/>
          </w:rPr>
          <w:t>ollection</w:t>
        </w:r>
      </w:hyperlink>
      <w:r w:rsidRPr="00DB1E8D">
        <w:t xml:space="preserve">, used to measure nurse and </w:t>
      </w:r>
      <w:r>
        <w:t>general practitioner (</w:t>
      </w:r>
      <w:r w:rsidRPr="00DB1E8D">
        <w:t>GP</w:t>
      </w:r>
      <w:r>
        <w:t>)</w:t>
      </w:r>
      <w:r w:rsidRPr="00DB1E8D">
        <w:t xml:space="preserve"> </w:t>
      </w:r>
      <w:r>
        <w:t>use</w:t>
      </w:r>
      <w:r w:rsidRPr="00DB1E8D">
        <w:t xml:space="preserve">, and </w:t>
      </w:r>
      <w:r>
        <w:t xml:space="preserve">numbers of </w:t>
      </w:r>
      <w:r w:rsidRPr="00DB1E8D">
        <w:t>smokers offered advice to quit</w:t>
      </w:r>
    </w:p>
    <w:p w14:paraId="3AAF0863" w14:textId="77777777" w:rsidR="00C7122E" w:rsidRPr="00DB1E8D" w:rsidRDefault="00C7122E" w:rsidP="00FB3F7B">
      <w:pPr>
        <w:pStyle w:val="Bullet"/>
      </w:pPr>
      <w:r w:rsidRPr="00FE38B1">
        <w:rPr>
          <w:color w:val="0000FF" w:themeColor="hyperlink"/>
          <w:u w:val="single"/>
        </w:rPr>
        <w:t>information on the ‘Better h</w:t>
      </w:r>
      <w:hyperlink r:id="rId21" w:anchor="smokers" w:history="1">
        <w:r w:rsidRPr="00AD40E5">
          <w:rPr>
            <w:color w:val="0000FF" w:themeColor="hyperlink"/>
            <w:u w:val="single"/>
          </w:rPr>
          <w:t>elp for smokers to quit</w:t>
        </w:r>
        <w:r>
          <w:rPr>
            <w:color w:val="0000FF" w:themeColor="hyperlink"/>
            <w:u w:val="single"/>
          </w:rPr>
          <w:t>’ primary health care target</w:t>
        </w:r>
      </w:hyperlink>
    </w:p>
    <w:p w14:paraId="67E18080" w14:textId="77777777" w:rsidR="00C7122E" w:rsidRPr="00DB1E8D" w:rsidRDefault="00015C06" w:rsidP="00FB3F7B">
      <w:pPr>
        <w:pStyle w:val="Bullet"/>
      </w:pPr>
      <w:hyperlink r:id="rId22" w:history="1">
        <w:r w:rsidR="00C7122E" w:rsidRPr="00AD40E5">
          <w:rPr>
            <w:color w:val="0000FF" w:themeColor="hyperlink"/>
            <w:u w:val="single"/>
          </w:rPr>
          <w:t>National Minimum dataset</w:t>
        </w:r>
      </w:hyperlink>
      <w:r w:rsidR="00C7122E" w:rsidRPr="00DB1E8D">
        <w:t xml:space="preserve"> hospital discharge data, used to measure rheumatic fever hospitalisation and ambulatory sensitive hospitalisations</w:t>
      </w:r>
      <w:r w:rsidR="00C7122E">
        <w:t xml:space="preserve"> (ASH)</w:t>
      </w:r>
    </w:p>
    <w:p w14:paraId="510B93BA" w14:textId="77777777" w:rsidR="00C7122E" w:rsidRPr="00DB1E8D" w:rsidRDefault="00015C06" w:rsidP="00FB3F7B">
      <w:pPr>
        <w:pStyle w:val="Bullet"/>
      </w:pPr>
      <w:hyperlink r:id="rId23" w:history="1">
        <w:r w:rsidR="00C7122E" w:rsidRPr="00AD40E5">
          <w:rPr>
            <w:color w:val="0000FF" w:themeColor="hyperlink"/>
            <w:u w:val="single"/>
          </w:rPr>
          <w:t>Statistics New Zealand population projections</w:t>
        </w:r>
      </w:hyperlink>
      <w:r w:rsidR="00C7122E" w:rsidRPr="00DB1E8D">
        <w:t xml:space="preserve">, used as the baseline population for cervical </w:t>
      </w:r>
      <w:r w:rsidR="00C7122E">
        <w:t>smear testing, ASH</w:t>
      </w:r>
      <w:r w:rsidR="00C7122E" w:rsidRPr="00DB1E8D">
        <w:t xml:space="preserve"> rates </w:t>
      </w:r>
      <w:r w:rsidR="00C7122E">
        <w:t xml:space="preserve">and </w:t>
      </w:r>
      <w:r w:rsidR="00C7122E" w:rsidRPr="00DB1E8D">
        <w:t xml:space="preserve">access </w:t>
      </w:r>
      <w:r w:rsidR="00C7122E">
        <w:t xml:space="preserve">of </w:t>
      </w:r>
      <w:r w:rsidR="00C7122E" w:rsidRPr="00DB1E8D">
        <w:t>mental healt</w:t>
      </w:r>
      <w:r w:rsidR="00C7122E">
        <w:t>h and alcohol and drug services</w:t>
      </w:r>
      <w:r w:rsidR="00C7122E" w:rsidRPr="00DB1E8D">
        <w:t>.</w:t>
      </w:r>
    </w:p>
    <w:p w14:paraId="442F2F9F" w14:textId="77777777" w:rsidR="00C7122E" w:rsidRDefault="00C7122E" w:rsidP="00FB3F7B">
      <w:bookmarkStart w:id="10" w:name="_Toc445801438"/>
      <w:bookmarkStart w:id="11" w:name="_Toc447527128"/>
      <w:bookmarkStart w:id="12" w:name="_Toc458524031"/>
    </w:p>
    <w:p w14:paraId="6142B390" w14:textId="77777777" w:rsidR="00C7122E" w:rsidRPr="00FB3F7B" w:rsidRDefault="00C7122E" w:rsidP="00FB3F7B">
      <w:pPr>
        <w:pStyle w:val="Table"/>
      </w:pPr>
      <w:bookmarkStart w:id="13" w:name="_Toc531260396"/>
      <w:r w:rsidRPr="00A119E8">
        <w:lastRenderedPageBreak/>
        <w:t>Table A1: Projected Pacific peoples population for 2015/16</w:t>
      </w:r>
      <w:r>
        <w:t>,</w:t>
      </w:r>
      <w:r w:rsidRPr="00A119E8">
        <w:t xml:space="preserve"> by DHB</w:t>
      </w:r>
      <w:r>
        <w:t>,</w:t>
      </w:r>
      <w:r w:rsidRPr="00A119E8">
        <w:t xml:space="preserve"> based on the 2013 Census</w:t>
      </w:r>
      <w:bookmarkEnd w:id="10"/>
      <w:bookmarkEnd w:id="11"/>
      <w:bookmarkEnd w:id="12"/>
      <w:bookmarkEnd w:id="13"/>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3828"/>
        <w:gridCol w:w="2764"/>
        <w:gridCol w:w="2764"/>
      </w:tblGrid>
      <w:tr w:rsidR="00C7122E" w:rsidRPr="00FB3F7B" w14:paraId="323F2038" w14:textId="77777777" w:rsidTr="00FB3F7B">
        <w:trPr>
          <w:cantSplit/>
        </w:trPr>
        <w:tc>
          <w:tcPr>
            <w:tcW w:w="3828" w:type="dxa"/>
            <w:tcBorders>
              <w:top w:val="single" w:sz="4" w:space="0" w:color="auto"/>
              <w:bottom w:val="single" w:sz="4" w:space="0" w:color="auto"/>
            </w:tcBorders>
            <w:shd w:val="clear" w:color="auto" w:fill="auto"/>
            <w:noWrap/>
            <w:hideMark/>
          </w:tcPr>
          <w:p w14:paraId="56EF7C1E" w14:textId="77777777" w:rsidR="00C7122E" w:rsidRPr="00FB3F7B" w:rsidRDefault="00C7122E" w:rsidP="00FB3F7B">
            <w:pPr>
              <w:pStyle w:val="TableText"/>
              <w:keepNext/>
              <w:rPr>
                <w:b/>
              </w:rPr>
            </w:pPr>
            <w:r w:rsidRPr="00FB3F7B">
              <w:rPr>
                <w:b/>
              </w:rPr>
              <w:t>District health board</w:t>
            </w:r>
          </w:p>
        </w:tc>
        <w:tc>
          <w:tcPr>
            <w:tcW w:w="2764" w:type="dxa"/>
            <w:tcBorders>
              <w:top w:val="single" w:sz="4" w:space="0" w:color="auto"/>
              <w:bottom w:val="single" w:sz="4" w:space="0" w:color="auto"/>
            </w:tcBorders>
            <w:shd w:val="clear" w:color="auto" w:fill="auto"/>
            <w:noWrap/>
            <w:hideMark/>
          </w:tcPr>
          <w:p w14:paraId="3C797ED0" w14:textId="77777777" w:rsidR="00C7122E" w:rsidRPr="00FB3F7B" w:rsidRDefault="00C7122E" w:rsidP="00FB3F7B">
            <w:pPr>
              <w:pStyle w:val="TableText"/>
              <w:keepNext/>
              <w:jc w:val="center"/>
              <w:rPr>
                <w:b/>
              </w:rPr>
            </w:pPr>
            <w:r w:rsidRPr="00FB3F7B">
              <w:rPr>
                <w:b/>
              </w:rPr>
              <w:t>Pacific peoples</w:t>
            </w:r>
            <w:r w:rsidR="00FB3F7B">
              <w:rPr>
                <w:b/>
              </w:rPr>
              <w:br/>
            </w:r>
            <w:r w:rsidRPr="00FB3F7B">
              <w:rPr>
                <w:b/>
              </w:rPr>
              <w:t>population</w:t>
            </w:r>
          </w:p>
        </w:tc>
        <w:tc>
          <w:tcPr>
            <w:tcW w:w="2764" w:type="dxa"/>
            <w:tcBorders>
              <w:top w:val="single" w:sz="4" w:space="0" w:color="auto"/>
              <w:bottom w:val="single" w:sz="4" w:space="0" w:color="auto"/>
            </w:tcBorders>
            <w:shd w:val="clear" w:color="auto" w:fill="auto"/>
            <w:noWrap/>
            <w:hideMark/>
          </w:tcPr>
          <w:p w14:paraId="1C02CB54" w14:textId="77777777" w:rsidR="00C7122E" w:rsidRPr="00FB3F7B" w:rsidRDefault="00C7122E" w:rsidP="00FB3F7B">
            <w:pPr>
              <w:pStyle w:val="TableText"/>
              <w:keepNext/>
              <w:jc w:val="center"/>
              <w:rPr>
                <w:b/>
              </w:rPr>
            </w:pPr>
            <w:r w:rsidRPr="00FB3F7B">
              <w:rPr>
                <w:b/>
              </w:rPr>
              <w:t>Percentage of total Pacific peoples population</w:t>
            </w:r>
          </w:p>
        </w:tc>
      </w:tr>
      <w:tr w:rsidR="00C7122E" w:rsidRPr="00FB3F7B" w14:paraId="77EDA473" w14:textId="77777777" w:rsidTr="00FB3F7B">
        <w:trPr>
          <w:cantSplit/>
        </w:trPr>
        <w:tc>
          <w:tcPr>
            <w:tcW w:w="3828" w:type="dxa"/>
            <w:tcBorders>
              <w:top w:val="single" w:sz="4" w:space="0" w:color="auto"/>
              <w:bottom w:val="single" w:sz="4" w:space="0" w:color="A6A6A6"/>
            </w:tcBorders>
            <w:shd w:val="clear" w:color="auto" w:fill="auto"/>
            <w:noWrap/>
            <w:hideMark/>
          </w:tcPr>
          <w:p w14:paraId="3AC3E1DB" w14:textId="77777777" w:rsidR="00C7122E" w:rsidRPr="00FB3F7B" w:rsidRDefault="00C7122E" w:rsidP="00FB3F7B">
            <w:pPr>
              <w:pStyle w:val="TableText"/>
              <w:keepNext/>
              <w:rPr>
                <w:rFonts w:cs="Arial"/>
                <w:b/>
              </w:rPr>
            </w:pPr>
            <w:r w:rsidRPr="00FB3F7B">
              <w:rPr>
                <w:rFonts w:cs="Arial"/>
                <w:b/>
              </w:rPr>
              <w:t>Counties Manukau</w:t>
            </w:r>
          </w:p>
        </w:tc>
        <w:tc>
          <w:tcPr>
            <w:tcW w:w="2764" w:type="dxa"/>
            <w:tcBorders>
              <w:top w:val="single" w:sz="4" w:space="0" w:color="auto"/>
              <w:bottom w:val="single" w:sz="4" w:space="0" w:color="A6A6A6"/>
            </w:tcBorders>
            <w:shd w:val="clear" w:color="auto" w:fill="auto"/>
            <w:noWrap/>
            <w:hideMark/>
          </w:tcPr>
          <w:p w14:paraId="07BC5C6A" w14:textId="77777777" w:rsidR="00C7122E" w:rsidRPr="00FB3F7B" w:rsidRDefault="00C7122E" w:rsidP="00FB3F7B">
            <w:pPr>
              <w:pStyle w:val="TableText"/>
              <w:keepNext/>
              <w:tabs>
                <w:tab w:val="decimal" w:pos="1644"/>
              </w:tabs>
              <w:rPr>
                <w:b/>
              </w:rPr>
            </w:pPr>
            <w:r w:rsidRPr="00FB3F7B">
              <w:rPr>
                <w:b/>
              </w:rPr>
              <w:t>111,910</w:t>
            </w:r>
          </w:p>
        </w:tc>
        <w:tc>
          <w:tcPr>
            <w:tcW w:w="2764" w:type="dxa"/>
            <w:tcBorders>
              <w:top w:val="single" w:sz="4" w:space="0" w:color="auto"/>
              <w:bottom w:val="single" w:sz="4" w:space="0" w:color="A6A6A6"/>
            </w:tcBorders>
            <w:shd w:val="clear" w:color="auto" w:fill="auto"/>
            <w:noWrap/>
            <w:hideMark/>
          </w:tcPr>
          <w:p w14:paraId="6031F76B" w14:textId="77777777" w:rsidR="00C7122E" w:rsidRPr="00FB3F7B" w:rsidRDefault="00C7122E" w:rsidP="00FB3F7B">
            <w:pPr>
              <w:pStyle w:val="TableText"/>
              <w:keepNext/>
              <w:tabs>
                <w:tab w:val="decimal" w:pos="1376"/>
              </w:tabs>
              <w:rPr>
                <w:b/>
              </w:rPr>
            </w:pPr>
            <w:r w:rsidRPr="00FB3F7B">
              <w:rPr>
                <w:b/>
              </w:rPr>
              <w:t>37.4%</w:t>
            </w:r>
          </w:p>
        </w:tc>
      </w:tr>
      <w:tr w:rsidR="00C7122E" w:rsidRPr="00FB3F7B" w14:paraId="1A14E15E" w14:textId="77777777" w:rsidTr="00FB3F7B">
        <w:trPr>
          <w:cantSplit/>
        </w:trPr>
        <w:tc>
          <w:tcPr>
            <w:tcW w:w="3828" w:type="dxa"/>
            <w:tcBorders>
              <w:top w:val="single" w:sz="4" w:space="0" w:color="A6A6A6"/>
              <w:bottom w:val="single" w:sz="4" w:space="0" w:color="A6A6A6"/>
            </w:tcBorders>
            <w:shd w:val="clear" w:color="auto" w:fill="auto"/>
            <w:noWrap/>
            <w:hideMark/>
          </w:tcPr>
          <w:p w14:paraId="72CAD526" w14:textId="77777777" w:rsidR="00C7122E" w:rsidRPr="00FB3F7B" w:rsidRDefault="00C7122E" w:rsidP="00FB3F7B">
            <w:pPr>
              <w:pStyle w:val="TableText"/>
              <w:rPr>
                <w:rFonts w:cs="Arial"/>
                <w:b/>
              </w:rPr>
            </w:pPr>
            <w:r w:rsidRPr="00FB3F7B">
              <w:rPr>
                <w:rFonts w:cs="Arial"/>
                <w:b/>
              </w:rPr>
              <w:t>Auckland</w:t>
            </w:r>
          </w:p>
        </w:tc>
        <w:tc>
          <w:tcPr>
            <w:tcW w:w="2764" w:type="dxa"/>
            <w:tcBorders>
              <w:top w:val="single" w:sz="4" w:space="0" w:color="A6A6A6"/>
              <w:bottom w:val="single" w:sz="4" w:space="0" w:color="A6A6A6"/>
            </w:tcBorders>
            <w:shd w:val="clear" w:color="auto" w:fill="auto"/>
            <w:noWrap/>
            <w:hideMark/>
          </w:tcPr>
          <w:p w14:paraId="6A5FF8EE" w14:textId="77777777" w:rsidR="00C7122E" w:rsidRPr="00FB3F7B" w:rsidRDefault="00C7122E" w:rsidP="00FB3F7B">
            <w:pPr>
              <w:pStyle w:val="TableText"/>
              <w:tabs>
                <w:tab w:val="decimal" w:pos="1644"/>
              </w:tabs>
              <w:rPr>
                <w:b/>
              </w:rPr>
            </w:pPr>
            <w:r w:rsidRPr="00FB3F7B">
              <w:rPr>
                <w:b/>
              </w:rPr>
              <w:t>53,870</w:t>
            </w:r>
          </w:p>
        </w:tc>
        <w:tc>
          <w:tcPr>
            <w:tcW w:w="2764" w:type="dxa"/>
            <w:tcBorders>
              <w:top w:val="single" w:sz="4" w:space="0" w:color="A6A6A6"/>
              <w:bottom w:val="single" w:sz="4" w:space="0" w:color="A6A6A6"/>
            </w:tcBorders>
            <w:shd w:val="clear" w:color="auto" w:fill="auto"/>
            <w:noWrap/>
            <w:hideMark/>
          </w:tcPr>
          <w:p w14:paraId="7EDDB27A" w14:textId="77777777" w:rsidR="00C7122E" w:rsidRPr="00FB3F7B" w:rsidRDefault="00C7122E" w:rsidP="00FB3F7B">
            <w:pPr>
              <w:pStyle w:val="TableText"/>
              <w:tabs>
                <w:tab w:val="decimal" w:pos="1376"/>
              </w:tabs>
              <w:rPr>
                <w:b/>
              </w:rPr>
            </w:pPr>
            <w:r w:rsidRPr="00FB3F7B">
              <w:rPr>
                <w:b/>
              </w:rPr>
              <w:t>18.0%</w:t>
            </w:r>
          </w:p>
        </w:tc>
      </w:tr>
      <w:tr w:rsidR="00C7122E" w:rsidRPr="00FB3F7B" w14:paraId="157A3101" w14:textId="77777777" w:rsidTr="00FB3F7B">
        <w:trPr>
          <w:cantSplit/>
        </w:trPr>
        <w:tc>
          <w:tcPr>
            <w:tcW w:w="3828" w:type="dxa"/>
            <w:tcBorders>
              <w:top w:val="single" w:sz="4" w:space="0" w:color="A6A6A6"/>
              <w:bottom w:val="single" w:sz="4" w:space="0" w:color="A6A6A6"/>
            </w:tcBorders>
            <w:shd w:val="clear" w:color="auto" w:fill="auto"/>
            <w:noWrap/>
            <w:hideMark/>
          </w:tcPr>
          <w:p w14:paraId="2E168E1E" w14:textId="77777777" w:rsidR="00C7122E" w:rsidRPr="00FB3F7B" w:rsidRDefault="00C7122E" w:rsidP="00FB3F7B">
            <w:pPr>
              <w:pStyle w:val="TableText"/>
              <w:rPr>
                <w:rFonts w:cs="Arial"/>
                <w:b/>
              </w:rPr>
            </w:pPr>
            <w:r w:rsidRPr="00FB3F7B">
              <w:rPr>
                <w:rFonts w:cs="Arial"/>
                <w:b/>
              </w:rPr>
              <w:t>Waitemata</w:t>
            </w:r>
          </w:p>
        </w:tc>
        <w:tc>
          <w:tcPr>
            <w:tcW w:w="2764" w:type="dxa"/>
            <w:tcBorders>
              <w:top w:val="single" w:sz="4" w:space="0" w:color="A6A6A6"/>
              <w:bottom w:val="single" w:sz="4" w:space="0" w:color="A6A6A6"/>
            </w:tcBorders>
            <w:shd w:val="clear" w:color="auto" w:fill="auto"/>
            <w:noWrap/>
            <w:hideMark/>
          </w:tcPr>
          <w:p w14:paraId="3256ECDE" w14:textId="77777777" w:rsidR="00C7122E" w:rsidRPr="00FB3F7B" w:rsidRDefault="00C7122E" w:rsidP="00FB3F7B">
            <w:pPr>
              <w:pStyle w:val="TableText"/>
              <w:tabs>
                <w:tab w:val="decimal" w:pos="1644"/>
              </w:tabs>
              <w:rPr>
                <w:b/>
              </w:rPr>
            </w:pPr>
            <w:r w:rsidRPr="00FB3F7B">
              <w:rPr>
                <w:b/>
              </w:rPr>
              <w:t>41,430</w:t>
            </w:r>
          </w:p>
        </w:tc>
        <w:tc>
          <w:tcPr>
            <w:tcW w:w="2764" w:type="dxa"/>
            <w:tcBorders>
              <w:top w:val="single" w:sz="4" w:space="0" w:color="A6A6A6"/>
              <w:bottom w:val="single" w:sz="4" w:space="0" w:color="A6A6A6"/>
            </w:tcBorders>
            <w:shd w:val="clear" w:color="auto" w:fill="auto"/>
            <w:noWrap/>
            <w:hideMark/>
          </w:tcPr>
          <w:p w14:paraId="4BC9BD91" w14:textId="77777777" w:rsidR="00C7122E" w:rsidRPr="00FB3F7B" w:rsidRDefault="00C7122E" w:rsidP="00FB3F7B">
            <w:pPr>
              <w:pStyle w:val="TableText"/>
              <w:tabs>
                <w:tab w:val="decimal" w:pos="1376"/>
              </w:tabs>
              <w:rPr>
                <w:b/>
              </w:rPr>
            </w:pPr>
            <w:r w:rsidRPr="00FB3F7B">
              <w:rPr>
                <w:b/>
              </w:rPr>
              <w:t>13.8%</w:t>
            </w:r>
          </w:p>
        </w:tc>
      </w:tr>
      <w:tr w:rsidR="00C7122E" w:rsidRPr="00FB3F7B" w14:paraId="577424EA" w14:textId="77777777" w:rsidTr="00FB3F7B">
        <w:trPr>
          <w:cantSplit/>
        </w:trPr>
        <w:tc>
          <w:tcPr>
            <w:tcW w:w="3828" w:type="dxa"/>
            <w:tcBorders>
              <w:top w:val="single" w:sz="4" w:space="0" w:color="A6A6A6"/>
              <w:bottom w:val="single" w:sz="4" w:space="0" w:color="A6A6A6"/>
            </w:tcBorders>
            <w:shd w:val="clear" w:color="auto" w:fill="auto"/>
            <w:noWrap/>
            <w:hideMark/>
          </w:tcPr>
          <w:p w14:paraId="0BB6B83A" w14:textId="77777777" w:rsidR="00C7122E" w:rsidRPr="00FB3F7B" w:rsidRDefault="00C7122E" w:rsidP="00FB3F7B">
            <w:pPr>
              <w:pStyle w:val="TableText"/>
              <w:rPr>
                <w:rFonts w:cs="Arial"/>
                <w:b/>
              </w:rPr>
            </w:pPr>
            <w:r w:rsidRPr="00FB3F7B">
              <w:rPr>
                <w:rFonts w:cs="Arial"/>
                <w:b/>
              </w:rPr>
              <w:t>Capital &amp; Coast</w:t>
            </w:r>
          </w:p>
        </w:tc>
        <w:tc>
          <w:tcPr>
            <w:tcW w:w="2764" w:type="dxa"/>
            <w:tcBorders>
              <w:top w:val="single" w:sz="4" w:space="0" w:color="A6A6A6"/>
              <w:bottom w:val="single" w:sz="4" w:space="0" w:color="A6A6A6"/>
            </w:tcBorders>
            <w:shd w:val="clear" w:color="auto" w:fill="auto"/>
            <w:noWrap/>
            <w:hideMark/>
          </w:tcPr>
          <w:p w14:paraId="7BC639C5" w14:textId="77777777" w:rsidR="00C7122E" w:rsidRPr="00FB3F7B" w:rsidRDefault="00C7122E" w:rsidP="00FB3F7B">
            <w:pPr>
              <w:pStyle w:val="TableText"/>
              <w:tabs>
                <w:tab w:val="decimal" w:pos="1644"/>
              </w:tabs>
              <w:rPr>
                <w:b/>
              </w:rPr>
            </w:pPr>
            <w:r w:rsidRPr="00FB3F7B">
              <w:rPr>
                <w:b/>
              </w:rPr>
              <w:t>21,410</w:t>
            </w:r>
          </w:p>
        </w:tc>
        <w:tc>
          <w:tcPr>
            <w:tcW w:w="2764" w:type="dxa"/>
            <w:tcBorders>
              <w:top w:val="single" w:sz="4" w:space="0" w:color="A6A6A6"/>
              <w:bottom w:val="single" w:sz="4" w:space="0" w:color="A6A6A6"/>
            </w:tcBorders>
            <w:shd w:val="clear" w:color="auto" w:fill="auto"/>
            <w:noWrap/>
            <w:hideMark/>
          </w:tcPr>
          <w:p w14:paraId="7EA33D50" w14:textId="77777777" w:rsidR="00C7122E" w:rsidRPr="00FB3F7B" w:rsidRDefault="00C7122E" w:rsidP="00FB3F7B">
            <w:pPr>
              <w:pStyle w:val="TableText"/>
              <w:tabs>
                <w:tab w:val="decimal" w:pos="1376"/>
              </w:tabs>
              <w:rPr>
                <w:b/>
              </w:rPr>
            </w:pPr>
            <w:r w:rsidRPr="00FB3F7B">
              <w:rPr>
                <w:b/>
              </w:rPr>
              <w:t>7.2%</w:t>
            </w:r>
          </w:p>
        </w:tc>
      </w:tr>
      <w:tr w:rsidR="00C7122E" w:rsidRPr="00FB3F7B" w14:paraId="180A13C7" w14:textId="77777777" w:rsidTr="00FB3F7B">
        <w:trPr>
          <w:cantSplit/>
        </w:trPr>
        <w:tc>
          <w:tcPr>
            <w:tcW w:w="3828" w:type="dxa"/>
            <w:tcBorders>
              <w:top w:val="single" w:sz="4" w:space="0" w:color="A6A6A6"/>
              <w:bottom w:val="single" w:sz="4" w:space="0" w:color="A6A6A6"/>
            </w:tcBorders>
            <w:shd w:val="clear" w:color="auto" w:fill="auto"/>
            <w:noWrap/>
            <w:hideMark/>
          </w:tcPr>
          <w:p w14:paraId="1DB912C8" w14:textId="77777777" w:rsidR="00C7122E" w:rsidRPr="00FB3F7B" w:rsidRDefault="00C7122E" w:rsidP="00FB3F7B">
            <w:pPr>
              <w:pStyle w:val="TableText"/>
              <w:rPr>
                <w:rFonts w:cs="Arial"/>
                <w:b/>
              </w:rPr>
            </w:pPr>
            <w:r w:rsidRPr="00FB3F7B">
              <w:rPr>
                <w:rFonts w:cs="Arial"/>
                <w:b/>
              </w:rPr>
              <w:t>Canterbury</w:t>
            </w:r>
          </w:p>
        </w:tc>
        <w:tc>
          <w:tcPr>
            <w:tcW w:w="2764" w:type="dxa"/>
            <w:tcBorders>
              <w:top w:val="single" w:sz="4" w:space="0" w:color="A6A6A6"/>
              <w:bottom w:val="single" w:sz="4" w:space="0" w:color="A6A6A6"/>
            </w:tcBorders>
            <w:shd w:val="clear" w:color="auto" w:fill="auto"/>
            <w:noWrap/>
            <w:hideMark/>
          </w:tcPr>
          <w:p w14:paraId="60123A1A" w14:textId="77777777" w:rsidR="00C7122E" w:rsidRPr="00FB3F7B" w:rsidRDefault="00C7122E" w:rsidP="00FB3F7B">
            <w:pPr>
              <w:pStyle w:val="TableText"/>
              <w:tabs>
                <w:tab w:val="decimal" w:pos="1644"/>
              </w:tabs>
              <w:rPr>
                <w:b/>
              </w:rPr>
            </w:pPr>
            <w:r w:rsidRPr="00FB3F7B">
              <w:rPr>
                <w:b/>
              </w:rPr>
              <w:t>12,910</w:t>
            </w:r>
          </w:p>
        </w:tc>
        <w:tc>
          <w:tcPr>
            <w:tcW w:w="2764" w:type="dxa"/>
            <w:tcBorders>
              <w:top w:val="single" w:sz="4" w:space="0" w:color="A6A6A6"/>
              <w:bottom w:val="single" w:sz="4" w:space="0" w:color="A6A6A6"/>
            </w:tcBorders>
            <w:shd w:val="clear" w:color="auto" w:fill="auto"/>
            <w:noWrap/>
            <w:hideMark/>
          </w:tcPr>
          <w:p w14:paraId="364BE12C" w14:textId="77777777" w:rsidR="00C7122E" w:rsidRPr="00FB3F7B" w:rsidRDefault="00C7122E" w:rsidP="00FB3F7B">
            <w:pPr>
              <w:pStyle w:val="TableText"/>
              <w:tabs>
                <w:tab w:val="decimal" w:pos="1376"/>
              </w:tabs>
              <w:rPr>
                <w:b/>
              </w:rPr>
            </w:pPr>
            <w:r w:rsidRPr="00FB3F7B">
              <w:rPr>
                <w:b/>
              </w:rPr>
              <w:t>4.3%</w:t>
            </w:r>
          </w:p>
        </w:tc>
      </w:tr>
      <w:tr w:rsidR="00C7122E" w:rsidRPr="00FB3F7B" w14:paraId="0C8BB9C1" w14:textId="77777777" w:rsidTr="00FB3F7B">
        <w:trPr>
          <w:cantSplit/>
        </w:trPr>
        <w:tc>
          <w:tcPr>
            <w:tcW w:w="3828" w:type="dxa"/>
            <w:tcBorders>
              <w:top w:val="single" w:sz="4" w:space="0" w:color="A6A6A6"/>
              <w:bottom w:val="single" w:sz="4" w:space="0" w:color="A6A6A6"/>
            </w:tcBorders>
            <w:shd w:val="clear" w:color="auto" w:fill="auto"/>
            <w:noWrap/>
            <w:hideMark/>
          </w:tcPr>
          <w:p w14:paraId="55A57503" w14:textId="77777777" w:rsidR="00C7122E" w:rsidRPr="00FB3F7B" w:rsidRDefault="00C7122E" w:rsidP="00FB3F7B">
            <w:pPr>
              <w:pStyle w:val="TableText"/>
              <w:rPr>
                <w:rFonts w:cs="Arial"/>
                <w:b/>
              </w:rPr>
            </w:pPr>
            <w:r w:rsidRPr="00FB3F7B">
              <w:rPr>
                <w:rFonts w:cs="Arial"/>
                <w:b/>
              </w:rPr>
              <w:t>Hutt Valley</w:t>
            </w:r>
          </w:p>
        </w:tc>
        <w:tc>
          <w:tcPr>
            <w:tcW w:w="2764" w:type="dxa"/>
            <w:tcBorders>
              <w:top w:val="single" w:sz="4" w:space="0" w:color="A6A6A6"/>
              <w:bottom w:val="single" w:sz="4" w:space="0" w:color="A6A6A6"/>
            </w:tcBorders>
            <w:shd w:val="clear" w:color="auto" w:fill="auto"/>
            <w:noWrap/>
            <w:hideMark/>
          </w:tcPr>
          <w:p w14:paraId="4786C503" w14:textId="77777777" w:rsidR="00C7122E" w:rsidRPr="00FB3F7B" w:rsidRDefault="00C7122E" w:rsidP="00FB3F7B">
            <w:pPr>
              <w:pStyle w:val="TableText"/>
              <w:tabs>
                <w:tab w:val="decimal" w:pos="1644"/>
              </w:tabs>
              <w:rPr>
                <w:b/>
              </w:rPr>
            </w:pPr>
            <w:r w:rsidRPr="00FB3F7B">
              <w:rPr>
                <w:b/>
              </w:rPr>
              <w:t>11,420</w:t>
            </w:r>
          </w:p>
        </w:tc>
        <w:tc>
          <w:tcPr>
            <w:tcW w:w="2764" w:type="dxa"/>
            <w:tcBorders>
              <w:top w:val="single" w:sz="4" w:space="0" w:color="A6A6A6"/>
              <w:bottom w:val="single" w:sz="4" w:space="0" w:color="A6A6A6"/>
            </w:tcBorders>
            <w:shd w:val="clear" w:color="auto" w:fill="auto"/>
            <w:noWrap/>
            <w:hideMark/>
          </w:tcPr>
          <w:p w14:paraId="1840E486" w14:textId="77777777" w:rsidR="00C7122E" w:rsidRPr="00FB3F7B" w:rsidRDefault="00C7122E" w:rsidP="00FB3F7B">
            <w:pPr>
              <w:pStyle w:val="TableText"/>
              <w:tabs>
                <w:tab w:val="decimal" w:pos="1376"/>
              </w:tabs>
              <w:rPr>
                <w:b/>
              </w:rPr>
            </w:pPr>
            <w:r w:rsidRPr="00FB3F7B">
              <w:rPr>
                <w:b/>
              </w:rPr>
              <w:t>3.8%</w:t>
            </w:r>
          </w:p>
        </w:tc>
      </w:tr>
      <w:tr w:rsidR="00C7122E" w:rsidRPr="00FB3F7B" w14:paraId="1D4F321C" w14:textId="77777777" w:rsidTr="00FB3F7B">
        <w:trPr>
          <w:cantSplit/>
        </w:trPr>
        <w:tc>
          <w:tcPr>
            <w:tcW w:w="3828" w:type="dxa"/>
            <w:tcBorders>
              <w:top w:val="single" w:sz="4" w:space="0" w:color="A6A6A6"/>
              <w:bottom w:val="single" w:sz="4" w:space="0" w:color="A6A6A6"/>
            </w:tcBorders>
            <w:shd w:val="clear" w:color="auto" w:fill="auto"/>
            <w:noWrap/>
            <w:hideMark/>
          </w:tcPr>
          <w:p w14:paraId="6761E91E" w14:textId="77777777" w:rsidR="00C7122E" w:rsidRPr="00FB3F7B" w:rsidRDefault="00C7122E" w:rsidP="00FB3F7B">
            <w:pPr>
              <w:pStyle w:val="TableText"/>
              <w:rPr>
                <w:rFonts w:cs="Arial"/>
                <w:b/>
              </w:rPr>
            </w:pPr>
            <w:r w:rsidRPr="00FB3F7B">
              <w:rPr>
                <w:rFonts w:cs="Arial"/>
                <w:b/>
              </w:rPr>
              <w:t>Waikato</w:t>
            </w:r>
          </w:p>
        </w:tc>
        <w:tc>
          <w:tcPr>
            <w:tcW w:w="2764" w:type="dxa"/>
            <w:tcBorders>
              <w:top w:val="single" w:sz="4" w:space="0" w:color="A6A6A6"/>
              <w:bottom w:val="single" w:sz="4" w:space="0" w:color="A6A6A6"/>
            </w:tcBorders>
            <w:shd w:val="clear" w:color="auto" w:fill="auto"/>
            <w:noWrap/>
            <w:hideMark/>
          </w:tcPr>
          <w:p w14:paraId="32391318" w14:textId="77777777" w:rsidR="00C7122E" w:rsidRPr="00FB3F7B" w:rsidRDefault="00C7122E" w:rsidP="00FB3F7B">
            <w:pPr>
              <w:pStyle w:val="TableText"/>
              <w:tabs>
                <w:tab w:val="decimal" w:pos="1644"/>
              </w:tabs>
              <w:rPr>
                <w:b/>
              </w:rPr>
            </w:pPr>
            <w:r w:rsidRPr="00FB3F7B">
              <w:rPr>
                <w:b/>
              </w:rPr>
              <w:t>11,290</w:t>
            </w:r>
          </w:p>
        </w:tc>
        <w:tc>
          <w:tcPr>
            <w:tcW w:w="2764" w:type="dxa"/>
            <w:tcBorders>
              <w:top w:val="single" w:sz="4" w:space="0" w:color="A6A6A6"/>
              <w:bottom w:val="single" w:sz="4" w:space="0" w:color="A6A6A6"/>
            </w:tcBorders>
            <w:shd w:val="clear" w:color="auto" w:fill="auto"/>
            <w:noWrap/>
            <w:hideMark/>
          </w:tcPr>
          <w:p w14:paraId="529E4879" w14:textId="77777777" w:rsidR="00C7122E" w:rsidRPr="00FB3F7B" w:rsidRDefault="00C7122E" w:rsidP="00FB3F7B">
            <w:pPr>
              <w:pStyle w:val="TableText"/>
              <w:tabs>
                <w:tab w:val="decimal" w:pos="1376"/>
              </w:tabs>
              <w:rPr>
                <w:b/>
              </w:rPr>
            </w:pPr>
            <w:r w:rsidRPr="00FB3F7B">
              <w:rPr>
                <w:b/>
              </w:rPr>
              <w:t>3.8%</w:t>
            </w:r>
          </w:p>
        </w:tc>
      </w:tr>
      <w:tr w:rsidR="00C7122E" w:rsidRPr="00FB3F7B" w14:paraId="56D862BA" w14:textId="77777777" w:rsidTr="00FB3F7B">
        <w:trPr>
          <w:cantSplit/>
        </w:trPr>
        <w:tc>
          <w:tcPr>
            <w:tcW w:w="3828" w:type="dxa"/>
            <w:tcBorders>
              <w:top w:val="single" w:sz="4" w:space="0" w:color="A6A6A6"/>
              <w:bottom w:val="single" w:sz="4" w:space="0" w:color="A6A6A6"/>
            </w:tcBorders>
            <w:shd w:val="clear" w:color="auto" w:fill="auto"/>
            <w:noWrap/>
            <w:hideMark/>
          </w:tcPr>
          <w:p w14:paraId="02422216" w14:textId="77777777" w:rsidR="00C7122E" w:rsidRPr="00FB3F7B" w:rsidRDefault="00C7122E" w:rsidP="00FB3F7B">
            <w:pPr>
              <w:pStyle w:val="TableText"/>
              <w:rPr>
                <w:rFonts w:cs="Arial"/>
                <w:b/>
              </w:rPr>
            </w:pPr>
            <w:r w:rsidRPr="00FB3F7B">
              <w:rPr>
                <w:rFonts w:cs="Arial"/>
                <w:b/>
              </w:rPr>
              <w:t>Hawke’s Bay</w:t>
            </w:r>
          </w:p>
        </w:tc>
        <w:tc>
          <w:tcPr>
            <w:tcW w:w="2764" w:type="dxa"/>
            <w:tcBorders>
              <w:top w:val="single" w:sz="4" w:space="0" w:color="A6A6A6"/>
              <w:bottom w:val="single" w:sz="4" w:space="0" w:color="A6A6A6"/>
            </w:tcBorders>
            <w:shd w:val="clear" w:color="auto" w:fill="auto"/>
            <w:noWrap/>
            <w:hideMark/>
          </w:tcPr>
          <w:p w14:paraId="3E22452A" w14:textId="77777777" w:rsidR="00C7122E" w:rsidRPr="00FB3F7B" w:rsidRDefault="00C7122E" w:rsidP="00FB3F7B">
            <w:pPr>
              <w:pStyle w:val="TableText"/>
              <w:tabs>
                <w:tab w:val="decimal" w:pos="1644"/>
              </w:tabs>
              <w:rPr>
                <w:b/>
              </w:rPr>
            </w:pPr>
            <w:r w:rsidRPr="00FB3F7B">
              <w:rPr>
                <w:b/>
              </w:rPr>
              <w:t>6,010</w:t>
            </w:r>
          </w:p>
        </w:tc>
        <w:tc>
          <w:tcPr>
            <w:tcW w:w="2764" w:type="dxa"/>
            <w:tcBorders>
              <w:top w:val="single" w:sz="4" w:space="0" w:color="A6A6A6"/>
              <w:bottom w:val="single" w:sz="4" w:space="0" w:color="A6A6A6"/>
            </w:tcBorders>
            <w:shd w:val="clear" w:color="auto" w:fill="auto"/>
            <w:noWrap/>
            <w:hideMark/>
          </w:tcPr>
          <w:p w14:paraId="43C42551" w14:textId="77777777" w:rsidR="00C7122E" w:rsidRPr="00FB3F7B" w:rsidRDefault="00C7122E" w:rsidP="00FB3F7B">
            <w:pPr>
              <w:pStyle w:val="TableText"/>
              <w:tabs>
                <w:tab w:val="decimal" w:pos="1376"/>
              </w:tabs>
              <w:rPr>
                <w:b/>
              </w:rPr>
            </w:pPr>
            <w:r w:rsidRPr="00FB3F7B">
              <w:rPr>
                <w:b/>
              </w:rPr>
              <w:t>2.0%</w:t>
            </w:r>
          </w:p>
        </w:tc>
      </w:tr>
      <w:tr w:rsidR="00C7122E" w:rsidRPr="00A119E8" w14:paraId="69222163" w14:textId="77777777" w:rsidTr="00FB3F7B">
        <w:trPr>
          <w:cantSplit/>
        </w:trPr>
        <w:tc>
          <w:tcPr>
            <w:tcW w:w="3828" w:type="dxa"/>
            <w:tcBorders>
              <w:top w:val="single" w:sz="4" w:space="0" w:color="A6A6A6"/>
              <w:bottom w:val="single" w:sz="4" w:space="0" w:color="A6A6A6"/>
            </w:tcBorders>
            <w:shd w:val="clear" w:color="auto" w:fill="auto"/>
            <w:noWrap/>
            <w:hideMark/>
          </w:tcPr>
          <w:p w14:paraId="46504C4B" w14:textId="77777777" w:rsidR="00C7122E" w:rsidRPr="00A26C90" w:rsidRDefault="00C7122E" w:rsidP="00FB3F7B">
            <w:pPr>
              <w:pStyle w:val="TableText"/>
              <w:rPr>
                <w:rFonts w:cs="Arial"/>
              </w:rPr>
            </w:pPr>
            <w:r w:rsidRPr="00A26C90">
              <w:rPr>
                <w:rFonts w:cs="Arial"/>
              </w:rPr>
              <w:t>Southern</w:t>
            </w:r>
          </w:p>
        </w:tc>
        <w:tc>
          <w:tcPr>
            <w:tcW w:w="2764" w:type="dxa"/>
            <w:tcBorders>
              <w:top w:val="single" w:sz="4" w:space="0" w:color="A6A6A6"/>
              <w:bottom w:val="single" w:sz="4" w:space="0" w:color="A6A6A6"/>
            </w:tcBorders>
            <w:shd w:val="clear" w:color="auto" w:fill="auto"/>
            <w:noWrap/>
            <w:hideMark/>
          </w:tcPr>
          <w:p w14:paraId="118BA11B" w14:textId="77777777" w:rsidR="00C7122E" w:rsidRPr="00A26C90" w:rsidRDefault="00C7122E" w:rsidP="00FB3F7B">
            <w:pPr>
              <w:pStyle w:val="TableText"/>
              <w:tabs>
                <w:tab w:val="decimal" w:pos="1644"/>
              </w:tabs>
            </w:pPr>
            <w:r w:rsidRPr="00A26C90">
              <w:t>6</w:t>
            </w:r>
            <w:r>
              <w:t>,</w:t>
            </w:r>
            <w:r w:rsidRPr="00A26C90">
              <w:t>000</w:t>
            </w:r>
          </w:p>
        </w:tc>
        <w:tc>
          <w:tcPr>
            <w:tcW w:w="2764" w:type="dxa"/>
            <w:tcBorders>
              <w:top w:val="single" w:sz="4" w:space="0" w:color="A6A6A6"/>
              <w:bottom w:val="single" w:sz="4" w:space="0" w:color="A6A6A6"/>
            </w:tcBorders>
            <w:shd w:val="clear" w:color="auto" w:fill="auto"/>
            <w:noWrap/>
            <w:hideMark/>
          </w:tcPr>
          <w:p w14:paraId="34B043B4" w14:textId="77777777" w:rsidR="00C7122E" w:rsidRPr="00A26C90" w:rsidRDefault="00C7122E" w:rsidP="00FB3F7B">
            <w:pPr>
              <w:pStyle w:val="TableText"/>
              <w:tabs>
                <w:tab w:val="decimal" w:pos="1376"/>
              </w:tabs>
            </w:pPr>
            <w:r w:rsidRPr="00A26C90">
              <w:t>2.0%</w:t>
            </w:r>
          </w:p>
        </w:tc>
      </w:tr>
      <w:tr w:rsidR="00C7122E" w:rsidRPr="00A119E8" w14:paraId="12F3407A" w14:textId="77777777" w:rsidTr="00FB3F7B">
        <w:trPr>
          <w:cantSplit/>
        </w:trPr>
        <w:tc>
          <w:tcPr>
            <w:tcW w:w="3828" w:type="dxa"/>
            <w:tcBorders>
              <w:top w:val="single" w:sz="4" w:space="0" w:color="A6A6A6"/>
              <w:bottom w:val="single" w:sz="4" w:space="0" w:color="A6A6A6"/>
            </w:tcBorders>
            <w:shd w:val="clear" w:color="auto" w:fill="auto"/>
            <w:noWrap/>
            <w:hideMark/>
          </w:tcPr>
          <w:p w14:paraId="5D67BA5D" w14:textId="77777777" w:rsidR="00C7122E" w:rsidRPr="00A26C90" w:rsidRDefault="00C7122E" w:rsidP="00FB3F7B">
            <w:pPr>
              <w:pStyle w:val="TableText"/>
              <w:rPr>
                <w:rFonts w:cs="Arial"/>
              </w:rPr>
            </w:pPr>
            <w:r w:rsidRPr="00A26C90">
              <w:rPr>
                <w:rFonts w:cs="Arial"/>
              </w:rPr>
              <w:t>MidCentral</w:t>
            </w:r>
          </w:p>
        </w:tc>
        <w:tc>
          <w:tcPr>
            <w:tcW w:w="2764" w:type="dxa"/>
            <w:tcBorders>
              <w:top w:val="single" w:sz="4" w:space="0" w:color="A6A6A6"/>
              <w:bottom w:val="single" w:sz="4" w:space="0" w:color="A6A6A6"/>
            </w:tcBorders>
            <w:shd w:val="clear" w:color="auto" w:fill="auto"/>
            <w:noWrap/>
            <w:hideMark/>
          </w:tcPr>
          <w:p w14:paraId="6F657519" w14:textId="77777777" w:rsidR="00C7122E" w:rsidRPr="00A26C90" w:rsidRDefault="00C7122E" w:rsidP="00FB3F7B">
            <w:pPr>
              <w:pStyle w:val="TableText"/>
              <w:tabs>
                <w:tab w:val="decimal" w:pos="1644"/>
              </w:tabs>
            </w:pPr>
            <w:r w:rsidRPr="00A26C90">
              <w:t>5</w:t>
            </w:r>
            <w:r>
              <w:t>,</w:t>
            </w:r>
            <w:r w:rsidRPr="00A26C90">
              <w:t>060</w:t>
            </w:r>
          </w:p>
        </w:tc>
        <w:tc>
          <w:tcPr>
            <w:tcW w:w="2764" w:type="dxa"/>
            <w:tcBorders>
              <w:top w:val="single" w:sz="4" w:space="0" w:color="A6A6A6"/>
              <w:bottom w:val="single" w:sz="4" w:space="0" w:color="A6A6A6"/>
            </w:tcBorders>
            <w:shd w:val="clear" w:color="auto" w:fill="auto"/>
            <w:noWrap/>
            <w:hideMark/>
          </w:tcPr>
          <w:p w14:paraId="224A2ED4" w14:textId="77777777" w:rsidR="00C7122E" w:rsidRPr="00A26C90" w:rsidRDefault="00C7122E" w:rsidP="00FB3F7B">
            <w:pPr>
              <w:pStyle w:val="TableText"/>
              <w:tabs>
                <w:tab w:val="decimal" w:pos="1376"/>
              </w:tabs>
            </w:pPr>
            <w:r w:rsidRPr="00A26C90">
              <w:t>1.7%</w:t>
            </w:r>
          </w:p>
        </w:tc>
      </w:tr>
      <w:tr w:rsidR="00C7122E" w:rsidRPr="00A119E8" w14:paraId="061BDE21" w14:textId="77777777" w:rsidTr="00FB3F7B">
        <w:trPr>
          <w:cantSplit/>
        </w:trPr>
        <w:tc>
          <w:tcPr>
            <w:tcW w:w="3828" w:type="dxa"/>
            <w:tcBorders>
              <w:top w:val="single" w:sz="4" w:space="0" w:color="A6A6A6"/>
              <w:bottom w:val="single" w:sz="4" w:space="0" w:color="A6A6A6"/>
            </w:tcBorders>
            <w:shd w:val="clear" w:color="auto" w:fill="auto"/>
            <w:noWrap/>
            <w:hideMark/>
          </w:tcPr>
          <w:p w14:paraId="18FD4A69" w14:textId="77777777" w:rsidR="00C7122E" w:rsidRPr="00A26C90" w:rsidRDefault="00C7122E" w:rsidP="00FB3F7B">
            <w:pPr>
              <w:pStyle w:val="TableText"/>
              <w:rPr>
                <w:rFonts w:cs="Arial"/>
              </w:rPr>
            </w:pPr>
            <w:r w:rsidRPr="00A26C90">
              <w:rPr>
                <w:rFonts w:cs="Arial"/>
              </w:rPr>
              <w:t>Bay of Plenty</w:t>
            </w:r>
          </w:p>
        </w:tc>
        <w:tc>
          <w:tcPr>
            <w:tcW w:w="2764" w:type="dxa"/>
            <w:tcBorders>
              <w:top w:val="single" w:sz="4" w:space="0" w:color="A6A6A6"/>
              <w:bottom w:val="single" w:sz="4" w:space="0" w:color="A6A6A6"/>
            </w:tcBorders>
            <w:shd w:val="clear" w:color="auto" w:fill="auto"/>
            <w:noWrap/>
            <w:hideMark/>
          </w:tcPr>
          <w:p w14:paraId="481C5990" w14:textId="77777777" w:rsidR="00C7122E" w:rsidRPr="00A26C90" w:rsidRDefault="00C7122E" w:rsidP="00FB3F7B">
            <w:pPr>
              <w:pStyle w:val="TableText"/>
              <w:tabs>
                <w:tab w:val="decimal" w:pos="1644"/>
              </w:tabs>
            </w:pPr>
            <w:r w:rsidRPr="00A26C90">
              <w:t>3</w:t>
            </w:r>
            <w:r>
              <w:t>,</w:t>
            </w:r>
            <w:r w:rsidRPr="00A26C90">
              <w:t>890</w:t>
            </w:r>
          </w:p>
        </w:tc>
        <w:tc>
          <w:tcPr>
            <w:tcW w:w="2764" w:type="dxa"/>
            <w:tcBorders>
              <w:top w:val="single" w:sz="4" w:space="0" w:color="A6A6A6"/>
              <w:bottom w:val="single" w:sz="4" w:space="0" w:color="A6A6A6"/>
            </w:tcBorders>
            <w:shd w:val="clear" w:color="auto" w:fill="auto"/>
            <w:noWrap/>
            <w:hideMark/>
          </w:tcPr>
          <w:p w14:paraId="02A4C4BB" w14:textId="77777777" w:rsidR="00C7122E" w:rsidRPr="00A26C90" w:rsidRDefault="00C7122E" w:rsidP="00FB3F7B">
            <w:pPr>
              <w:pStyle w:val="TableText"/>
              <w:tabs>
                <w:tab w:val="decimal" w:pos="1376"/>
              </w:tabs>
            </w:pPr>
            <w:r w:rsidRPr="00A26C90">
              <w:t>1.3%</w:t>
            </w:r>
          </w:p>
        </w:tc>
      </w:tr>
      <w:tr w:rsidR="00C7122E" w:rsidRPr="00A119E8" w14:paraId="7BC79C21" w14:textId="77777777" w:rsidTr="00FB3F7B">
        <w:trPr>
          <w:cantSplit/>
        </w:trPr>
        <w:tc>
          <w:tcPr>
            <w:tcW w:w="3828" w:type="dxa"/>
            <w:tcBorders>
              <w:top w:val="single" w:sz="4" w:space="0" w:color="A6A6A6"/>
              <w:bottom w:val="single" w:sz="4" w:space="0" w:color="A6A6A6"/>
            </w:tcBorders>
            <w:shd w:val="clear" w:color="auto" w:fill="auto"/>
            <w:noWrap/>
            <w:hideMark/>
          </w:tcPr>
          <w:p w14:paraId="76254133" w14:textId="77777777" w:rsidR="00C7122E" w:rsidRPr="00A26C90" w:rsidRDefault="00C7122E" w:rsidP="00FB3F7B">
            <w:pPr>
              <w:pStyle w:val="TableText"/>
              <w:rPr>
                <w:rFonts w:cs="Arial"/>
              </w:rPr>
            </w:pPr>
            <w:r w:rsidRPr="00A26C90">
              <w:rPr>
                <w:rFonts w:cs="Arial"/>
              </w:rPr>
              <w:t>Northland</w:t>
            </w:r>
          </w:p>
        </w:tc>
        <w:tc>
          <w:tcPr>
            <w:tcW w:w="2764" w:type="dxa"/>
            <w:tcBorders>
              <w:top w:val="single" w:sz="4" w:space="0" w:color="A6A6A6"/>
              <w:bottom w:val="single" w:sz="4" w:space="0" w:color="A6A6A6"/>
            </w:tcBorders>
            <w:shd w:val="clear" w:color="auto" w:fill="auto"/>
            <w:noWrap/>
            <w:hideMark/>
          </w:tcPr>
          <w:p w14:paraId="0E432E9E" w14:textId="77777777" w:rsidR="00C7122E" w:rsidRPr="00A26C90" w:rsidRDefault="00C7122E" w:rsidP="00FB3F7B">
            <w:pPr>
              <w:pStyle w:val="TableText"/>
              <w:tabs>
                <w:tab w:val="decimal" w:pos="1644"/>
              </w:tabs>
            </w:pPr>
            <w:r w:rsidRPr="00A26C90">
              <w:t>3</w:t>
            </w:r>
            <w:r>
              <w:t>,</w:t>
            </w:r>
            <w:r w:rsidRPr="00A26C90">
              <w:t>300</w:t>
            </w:r>
          </w:p>
        </w:tc>
        <w:tc>
          <w:tcPr>
            <w:tcW w:w="2764" w:type="dxa"/>
            <w:tcBorders>
              <w:top w:val="single" w:sz="4" w:space="0" w:color="A6A6A6"/>
              <w:bottom w:val="single" w:sz="4" w:space="0" w:color="A6A6A6"/>
            </w:tcBorders>
            <w:shd w:val="clear" w:color="auto" w:fill="auto"/>
            <w:noWrap/>
            <w:hideMark/>
          </w:tcPr>
          <w:p w14:paraId="426019B9" w14:textId="77777777" w:rsidR="00C7122E" w:rsidRPr="00A26C90" w:rsidRDefault="00C7122E" w:rsidP="00FB3F7B">
            <w:pPr>
              <w:pStyle w:val="TableText"/>
              <w:tabs>
                <w:tab w:val="decimal" w:pos="1376"/>
              </w:tabs>
            </w:pPr>
            <w:r w:rsidRPr="00A26C90">
              <w:t>1.1%</w:t>
            </w:r>
          </w:p>
        </w:tc>
      </w:tr>
      <w:tr w:rsidR="00C7122E" w:rsidRPr="00A119E8" w14:paraId="7AD1FAB6" w14:textId="77777777" w:rsidTr="00FB3F7B">
        <w:trPr>
          <w:cantSplit/>
        </w:trPr>
        <w:tc>
          <w:tcPr>
            <w:tcW w:w="3828" w:type="dxa"/>
            <w:tcBorders>
              <w:top w:val="single" w:sz="4" w:space="0" w:color="A6A6A6"/>
              <w:bottom w:val="single" w:sz="4" w:space="0" w:color="A6A6A6"/>
            </w:tcBorders>
            <w:shd w:val="clear" w:color="auto" w:fill="auto"/>
            <w:noWrap/>
            <w:hideMark/>
          </w:tcPr>
          <w:p w14:paraId="33BD9A98" w14:textId="77777777" w:rsidR="00C7122E" w:rsidRPr="00A26C90" w:rsidRDefault="00C7122E" w:rsidP="00FB3F7B">
            <w:pPr>
              <w:pStyle w:val="TableText"/>
              <w:rPr>
                <w:rFonts w:cs="Arial"/>
              </w:rPr>
            </w:pPr>
            <w:r w:rsidRPr="00A26C90">
              <w:rPr>
                <w:rFonts w:cs="Arial"/>
              </w:rPr>
              <w:t>Lakes</w:t>
            </w:r>
          </w:p>
        </w:tc>
        <w:tc>
          <w:tcPr>
            <w:tcW w:w="2764" w:type="dxa"/>
            <w:tcBorders>
              <w:top w:val="single" w:sz="4" w:space="0" w:color="A6A6A6"/>
              <w:bottom w:val="single" w:sz="4" w:space="0" w:color="A6A6A6"/>
            </w:tcBorders>
            <w:shd w:val="clear" w:color="auto" w:fill="auto"/>
            <w:noWrap/>
            <w:hideMark/>
          </w:tcPr>
          <w:p w14:paraId="0BE095C2" w14:textId="77777777" w:rsidR="00C7122E" w:rsidRPr="00A26C90" w:rsidRDefault="00C7122E" w:rsidP="00FB3F7B">
            <w:pPr>
              <w:pStyle w:val="TableText"/>
              <w:tabs>
                <w:tab w:val="decimal" w:pos="1644"/>
              </w:tabs>
            </w:pPr>
            <w:r w:rsidRPr="00A26C90">
              <w:t>2</w:t>
            </w:r>
            <w:r>
              <w:t>,</w:t>
            </w:r>
            <w:r w:rsidRPr="00A26C90">
              <w:t>480</w:t>
            </w:r>
          </w:p>
        </w:tc>
        <w:tc>
          <w:tcPr>
            <w:tcW w:w="2764" w:type="dxa"/>
            <w:tcBorders>
              <w:top w:val="single" w:sz="4" w:space="0" w:color="A6A6A6"/>
              <w:bottom w:val="single" w:sz="4" w:space="0" w:color="A6A6A6"/>
            </w:tcBorders>
            <w:shd w:val="clear" w:color="auto" w:fill="auto"/>
            <w:noWrap/>
            <w:hideMark/>
          </w:tcPr>
          <w:p w14:paraId="41DDF377" w14:textId="77777777" w:rsidR="00C7122E" w:rsidRPr="00A26C90" w:rsidRDefault="00C7122E" w:rsidP="00FB3F7B">
            <w:pPr>
              <w:pStyle w:val="TableText"/>
              <w:tabs>
                <w:tab w:val="decimal" w:pos="1376"/>
              </w:tabs>
            </w:pPr>
            <w:r w:rsidRPr="00A26C90">
              <w:t>0.8%</w:t>
            </w:r>
          </w:p>
        </w:tc>
      </w:tr>
      <w:tr w:rsidR="00C7122E" w:rsidRPr="00A119E8" w14:paraId="75F39A6B" w14:textId="77777777" w:rsidTr="00FB3F7B">
        <w:trPr>
          <w:cantSplit/>
        </w:trPr>
        <w:tc>
          <w:tcPr>
            <w:tcW w:w="3828" w:type="dxa"/>
            <w:tcBorders>
              <w:top w:val="single" w:sz="4" w:space="0" w:color="A6A6A6"/>
              <w:bottom w:val="single" w:sz="4" w:space="0" w:color="A6A6A6"/>
            </w:tcBorders>
            <w:shd w:val="clear" w:color="auto" w:fill="auto"/>
            <w:noWrap/>
            <w:hideMark/>
          </w:tcPr>
          <w:p w14:paraId="648C1A31" w14:textId="77777777" w:rsidR="00C7122E" w:rsidRPr="00A26C90" w:rsidRDefault="00C7122E" w:rsidP="00FB3F7B">
            <w:pPr>
              <w:pStyle w:val="TableText"/>
              <w:rPr>
                <w:rFonts w:cs="Arial"/>
              </w:rPr>
            </w:pPr>
            <w:r w:rsidRPr="00A26C90">
              <w:rPr>
                <w:rFonts w:cs="Arial"/>
              </w:rPr>
              <w:t>Nelson Marlborough</w:t>
            </w:r>
          </w:p>
        </w:tc>
        <w:tc>
          <w:tcPr>
            <w:tcW w:w="2764" w:type="dxa"/>
            <w:tcBorders>
              <w:top w:val="single" w:sz="4" w:space="0" w:color="A6A6A6"/>
              <w:bottom w:val="single" w:sz="4" w:space="0" w:color="A6A6A6"/>
            </w:tcBorders>
            <w:shd w:val="clear" w:color="auto" w:fill="auto"/>
            <w:noWrap/>
            <w:hideMark/>
          </w:tcPr>
          <w:p w14:paraId="6DD5B03A" w14:textId="77777777" w:rsidR="00C7122E" w:rsidRPr="00A26C90" w:rsidRDefault="00C7122E" w:rsidP="00FB3F7B">
            <w:pPr>
              <w:pStyle w:val="TableText"/>
              <w:tabs>
                <w:tab w:val="decimal" w:pos="1644"/>
              </w:tabs>
            </w:pPr>
            <w:r w:rsidRPr="00A26C90">
              <w:t>2</w:t>
            </w:r>
            <w:r>
              <w:t>,</w:t>
            </w:r>
            <w:r w:rsidRPr="00A26C90">
              <w:t>330</w:t>
            </w:r>
          </w:p>
        </w:tc>
        <w:tc>
          <w:tcPr>
            <w:tcW w:w="2764" w:type="dxa"/>
            <w:tcBorders>
              <w:top w:val="single" w:sz="4" w:space="0" w:color="A6A6A6"/>
              <w:bottom w:val="single" w:sz="4" w:space="0" w:color="A6A6A6"/>
            </w:tcBorders>
            <w:shd w:val="clear" w:color="auto" w:fill="auto"/>
            <w:noWrap/>
            <w:hideMark/>
          </w:tcPr>
          <w:p w14:paraId="39D68686" w14:textId="77777777" w:rsidR="00C7122E" w:rsidRPr="00A26C90" w:rsidRDefault="00C7122E" w:rsidP="00FB3F7B">
            <w:pPr>
              <w:pStyle w:val="TableText"/>
              <w:tabs>
                <w:tab w:val="decimal" w:pos="1376"/>
              </w:tabs>
            </w:pPr>
            <w:r w:rsidRPr="00A26C90">
              <w:t>0.8%</w:t>
            </w:r>
          </w:p>
        </w:tc>
      </w:tr>
      <w:tr w:rsidR="00C7122E" w:rsidRPr="00A119E8" w14:paraId="5E45DFBA" w14:textId="77777777" w:rsidTr="00FB3F7B">
        <w:trPr>
          <w:cantSplit/>
        </w:trPr>
        <w:tc>
          <w:tcPr>
            <w:tcW w:w="3828" w:type="dxa"/>
            <w:tcBorders>
              <w:top w:val="single" w:sz="4" w:space="0" w:color="A6A6A6"/>
              <w:bottom w:val="single" w:sz="4" w:space="0" w:color="A6A6A6"/>
            </w:tcBorders>
            <w:shd w:val="clear" w:color="auto" w:fill="auto"/>
            <w:noWrap/>
            <w:hideMark/>
          </w:tcPr>
          <w:p w14:paraId="1D77EF9D" w14:textId="77777777" w:rsidR="00C7122E" w:rsidRPr="00A26C90" w:rsidRDefault="00C7122E" w:rsidP="00FB3F7B">
            <w:pPr>
              <w:pStyle w:val="TableText"/>
              <w:rPr>
                <w:rFonts w:cs="Arial"/>
              </w:rPr>
            </w:pPr>
            <w:r w:rsidRPr="00A26C90">
              <w:rPr>
                <w:rFonts w:cs="Arial"/>
              </w:rPr>
              <w:t>Taranaki</w:t>
            </w:r>
          </w:p>
        </w:tc>
        <w:tc>
          <w:tcPr>
            <w:tcW w:w="2764" w:type="dxa"/>
            <w:tcBorders>
              <w:top w:val="single" w:sz="4" w:space="0" w:color="A6A6A6"/>
              <w:bottom w:val="single" w:sz="4" w:space="0" w:color="A6A6A6"/>
            </w:tcBorders>
            <w:shd w:val="clear" w:color="auto" w:fill="auto"/>
            <w:noWrap/>
            <w:hideMark/>
          </w:tcPr>
          <w:p w14:paraId="1D300D83" w14:textId="77777777" w:rsidR="00C7122E" w:rsidRPr="00A26C90" w:rsidRDefault="00C7122E" w:rsidP="00FB3F7B">
            <w:pPr>
              <w:pStyle w:val="TableText"/>
              <w:tabs>
                <w:tab w:val="decimal" w:pos="1644"/>
              </w:tabs>
            </w:pPr>
            <w:r w:rsidRPr="00A26C90">
              <w:t>1</w:t>
            </w:r>
            <w:r>
              <w:t>,</w:t>
            </w:r>
            <w:r w:rsidRPr="00A26C90">
              <w:t>535</w:t>
            </w:r>
          </w:p>
        </w:tc>
        <w:tc>
          <w:tcPr>
            <w:tcW w:w="2764" w:type="dxa"/>
            <w:tcBorders>
              <w:top w:val="single" w:sz="4" w:space="0" w:color="A6A6A6"/>
              <w:bottom w:val="single" w:sz="4" w:space="0" w:color="A6A6A6"/>
            </w:tcBorders>
            <w:shd w:val="clear" w:color="auto" w:fill="auto"/>
            <w:noWrap/>
            <w:hideMark/>
          </w:tcPr>
          <w:p w14:paraId="57832C43" w14:textId="77777777" w:rsidR="00C7122E" w:rsidRPr="00A26C90" w:rsidRDefault="00C7122E" w:rsidP="00FB3F7B">
            <w:pPr>
              <w:pStyle w:val="TableText"/>
              <w:tabs>
                <w:tab w:val="decimal" w:pos="1376"/>
              </w:tabs>
            </w:pPr>
            <w:r w:rsidRPr="00A26C90">
              <w:t>0.5%</w:t>
            </w:r>
          </w:p>
        </w:tc>
      </w:tr>
      <w:tr w:rsidR="00C7122E" w:rsidRPr="00A119E8" w14:paraId="798DCA09" w14:textId="77777777" w:rsidTr="00FB3F7B">
        <w:trPr>
          <w:cantSplit/>
        </w:trPr>
        <w:tc>
          <w:tcPr>
            <w:tcW w:w="3828" w:type="dxa"/>
            <w:tcBorders>
              <w:top w:val="single" w:sz="4" w:space="0" w:color="A6A6A6"/>
              <w:bottom w:val="single" w:sz="4" w:space="0" w:color="A6A6A6"/>
            </w:tcBorders>
            <w:shd w:val="clear" w:color="auto" w:fill="auto"/>
            <w:noWrap/>
            <w:hideMark/>
          </w:tcPr>
          <w:p w14:paraId="39A4D729" w14:textId="77777777" w:rsidR="00C7122E" w:rsidRPr="00A26C90" w:rsidRDefault="00C7122E" w:rsidP="00FB3F7B">
            <w:pPr>
              <w:pStyle w:val="TableText"/>
              <w:rPr>
                <w:rFonts w:cs="Arial"/>
              </w:rPr>
            </w:pPr>
            <w:r w:rsidRPr="00A26C90">
              <w:rPr>
                <w:rFonts w:cs="Arial"/>
              </w:rPr>
              <w:t>Whanganui</w:t>
            </w:r>
          </w:p>
        </w:tc>
        <w:tc>
          <w:tcPr>
            <w:tcW w:w="2764" w:type="dxa"/>
            <w:tcBorders>
              <w:top w:val="single" w:sz="4" w:space="0" w:color="A6A6A6"/>
              <w:bottom w:val="single" w:sz="4" w:space="0" w:color="A6A6A6"/>
            </w:tcBorders>
            <w:shd w:val="clear" w:color="auto" w:fill="auto"/>
            <w:noWrap/>
            <w:hideMark/>
          </w:tcPr>
          <w:p w14:paraId="03DF0BA7" w14:textId="77777777" w:rsidR="00C7122E" w:rsidRPr="00A26C90" w:rsidRDefault="00C7122E" w:rsidP="00FB3F7B">
            <w:pPr>
              <w:pStyle w:val="TableText"/>
              <w:tabs>
                <w:tab w:val="decimal" w:pos="1644"/>
              </w:tabs>
            </w:pPr>
            <w:r w:rsidRPr="00A26C90">
              <w:t>1</w:t>
            </w:r>
            <w:r>
              <w:t>,</w:t>
            </w:r>
            <w:r w:rsidRPr="00A26C90">
              <w:t>330</w:t>
            </w:r>
          </w:p>
        </w:tc>
        <w:tc>
          <w:tcPr>
            <w:tcW w:w="2764" w:type="dxa"/>
            <w:tcBorders>
              <w:top w:val="single" w:sz="4" w:space="0" w:color="A6A6A6"/>
              <w:bottom w:val="single" w:sz="4" w:space="0" w:color="A6A6A6"/>
            </w:tcBorders>
            <w:shd w:val="clear" w:color="auto" w:fill="auto"/>
            <w:noWrap/>
            <w:hideMark/>
          </w:tcPr>
          <w:p w14:paraId="1ECEAB49" w14:textId="77777777" w:rsidR="00C7122E" w:rsidRPr="00A26C90" w:rsidRDefault="00C7122E" w:rsidP="00FB3F7B">
            <w:pPr>
              <w:pStyle w:val="TableText"/>
              <w:tabs>
                <w:tab w:val="decimal" w:pos="1376"/>
              </w:tabs>
            </w:pPr>
            <w:r w:rsidRPr="00A26C90">
              <w:t>0.4%</w:t>
            </w:r>
          </w:p>
        </w:tc>
      </w:tr>
      <w:tr w:rsidR="00C7122E" w:rsidRPr="00A119E8" w14:paraId="1CF42E92" w14:textId="77777777" w:rsidTr="00FB3F7B">
        <w:trPr>
          <w:cantSplit/>
        </w:trPr>
        <w:tc>
          <w:tcPr>
            <w:tcW w:w="3828" w:type="dxa"/>
            <w:tcBorders>
              <w:top w:val="single" w:sz="4" w:space="0" w:color="A6A6A6"/>
              <w:bottom w:val="single" w:sz="4" w:space="0" w:color="A6A6A6"/>
            </w:tcBorders>
            <w:shd w:val="clear" w:color="auto" w:fill="auto"/>
            <w:noWrap/>
            <w:hideMark/>
          </w:tcPr>
          <w:p w14:paraId="4F8CB627" w14:textId="77777777" w:rsidR="00C7122E" w:rsidRPr="00A26C90" w:rsidRDefault="00C7122E" w:rsidP="00FB3F7B">
            <w:pPr>
              <w:pStyle w:val="TableText"/>
              <w:rPr>
                <w:rFonts w:cs="Arial"/>
              </w:rPr>
            </w:pPr>
            <w:r w:rsidRPr="00A26C90">
              <w:rPr>
                <w:rFonts w:cs="Arial"/>
              </w:rPr>
              <w:t>Tairāwhiti</w:t>
            </w:r>
          </w:p>
        </w:tc>
        <w:tc>
          <w:tcPr>
            <w:tcW w:w="2764" w:type="dxa"/>
            <w:tcBorders>
              <w:top w:val="single" w:sz="4" w:space="0" w:color="A6A6A6"/>
              <w:bottom w:val="single" w:sz="4" w:space="0" w:color="A6A6A6"/>
            </w:tcBorders>
            <w:shd w:val="clear" w:color="auto" w:fill="auto"/>
            <w:noWrap/>
            <w:hideMark/>
          </w:tcPr>
          <w:p w14:paraId="6434CBCF" w14:textId="77777777" w:rsidR="00C7122E" w:rsidRPr="00A26C90" w:rsidRDefault="00C7122E" w:rsidP="00FB3F7B">
            <w:pPr>
              <w:pStyle w:val="TableText"/>
              <w:tabs>
                <w:tab w:val="decimal" w:pos="1644"/>
              </w:tabs>
            </w:pPr>
            <w:r w:rsidRPr="00A26C90">
              <w:t>1</w:t>
            </w:r>
            <w:r>
              <w:t>,</w:t>
            </w:r>
            <w:r w:rsidRPr="00A26C90">
              <w:t>185</w:t>
            </w:r>
          </w:p>
        </w:tc>
        <w:tc>
          <w:tcPr>
            <w:tcW w:w="2764" w:type="dxa"/>
            <w:tcBorders>
              <w:top w:val="single" w:sz="4" w:space="0" w:color="A6A6A6"/>
              <w:bottom w:val="single" w:sz="4" w:space="0" w:color="A6A6A6"/>
            </w:tcBorders>
            <w:shd w:val="clear" w:color="auto" w:fill="auto"/>
            <w:noWrap/>
            <w:hideMark/>
          </w:tcPr>
          <w:p w14:paraId="587BB5A4" w14:textId="77777777" w:rsidR="00C7122E" w:rsidRPr="00A26C90" w:rsidRDefault="00C7122E" w:rsidP="00FB3F7B">
            <w:pPr>
              <w:pStyle w:val="TableText"/>
              <w:tabs>
                <w:tab w:val="decimal" w:pos="1376"/>
              </w:tabs>
            </w:pPr>
            <w:r w:rsidRPr="00A26C90">
              <w:t>0.4%</w:t>
            </w:r>
          </w:p>
        </w:tc>
      </w:tr>
      <w:tr w:rsidR="00C7122E" w:rsidRPr="00A119E8" w14:paraId="1A7CEFF2" w14:textId="77777777" w:rsidTr="00FB3F7B">
        <w:trPr>
          <w:cantSplit/>
        </w:trPr>
        <w:tc>
          <w:tcPr>
            <w:tcW w:w="3828" w:type="dxa"/>
            <w:tcBorders>
              <w:top w:val="single" w:sz="4" w:space="0" w:color="A6A6A6"/>
              <w:bottom w:val="single" w:sz="4" w:space="0" w:color="A6A6A6"/>
            </w:tcBorders>
            <w:shd w:val="clear" w:color="auto" w:fill="auto"/>
            <w:noWrap/>
            <w:hideMark/>
          </w:tcPr>
          <w:p w14:paraId="5EAB5048" w14:textId="77777777" w:rsidR="00C7122E" w:rsidRPr="00A26C90" w:rsidRDefault="00C7122E" w:rsidP="00FB3F7B">
            <w:pPr>
              <w:pStyle w:val="TableText"/>
              <w:rPr>
                <w:rFonts w:cs="Arial"/>
              </w:rPr>
            </w:pPr>
            <w:r w:rsidRPr="00A26C90">
              <w:rPr>
                <w:rFonts w:cs="Arial"/>
              </w:rPr>
              <w:t>Wairarapa</w:t>
            </w:r>
          </w:p>
        </w:tc>
        <w:tc>
          <w:tcPr>
            <w:tcW w:w="2764" w:type="dxa"/>
            <w:tcBorders>
              <w:top w:val="single" w:sz="4" w:space="0" w:color="A6A6A6"/>
              <w:bottom w:val="single" w:sz="4" w:space="0" w:color="A6A6A6"/>
            </w:tcBorders>
            <w:shd w:val="clear" w:color="auto" w:fill="auto"/>
            <w:noWrap/>
            <w:hideMark/>
          </w:tcPr>
          <w:p w14:paraId="6D33D1AA" w14:textId="77777777" w:rsidR="00C7122E" w:rsidRPr="00A26C90" w:rsidRDefault="00C7122E" w:rsidP="00FB3F7B">
            <w:pPr>
              <w:pStyle w:val="TableText"/>
              <w:tabs>
                <w:tab w:val="decimal" w:pos="1644"/>
              </w:tabs>
            </w:pPr>
            <w:r w:rsidRPr="00A26C90">
              <w:t>875</w:t>
            </w:r>
          </w:p>
        </w:tc>
        <w:tc>
          <w:tcPr>
            <w:tcW w:w="2764" w:type="dxa"/>
            <w:tcBorders>
              <w:top w:val="single" w:sz="4" w:space="0" w:color="A6A6A6"/>
              <w:bottom w:val="single" w:sz="4" w:space="0" w:color="A6A6A6"/>
            </w:tcBorders>
            <w:shd w:val="clear" w:color="auto" w:fill="auto"/>
            <w:noWrap/>
            <w:hideMark/>
          </w:tcPr>
          <w:p w14:paraId="77FF5C18" w14:textId="77777777" w:rsidR="00C7122E" w:rsidRPr="00A26C90" w:rsidRDefault="00C7122E" w:rsidP="00FB3F7B">
            <w:pPr>
              <w:pStyle w:val="TableText"/>
              <w:tabs>
                <w:tab w:val="decimal" w:pos="1376"/>
              </w:tabs>
            </w:pPr>
            <w:r w:rsidRPr="00A26C90">
              <w:t>0.3%</w:t>
            </w:r>
          </w:p>
        </w:tc>
      </w:tr>
      <w:tr w:rsidR="00C7122E" w:rsidRPr="00A119E8" w14:paraId="04410842" w14:textId="77777777" w:rsidTr="00FB3F7B">
        <w:trPr>
          <w:cantSplit/>
        </w:trPr>
        <w:tc>
          <w:tcPr>
            <w:tcW w:w="3828" w:type="dxa"/>
            <w:tcBorders>
              <w:top w:val="single" w:sz="4" w:space="0" w:color="A6A6A6"/>
              <w:bottom w:val="single" w:sz="4" w:space="0" w:color="A6A6A6"/>
            </w:tcBorders>
            <w:shd w:val="clear" w:color="auto" w:fill="auto"/>
            <w:noWrap/>
            <w:hideMark/>
          </w:tcPr>
          <w:p w14:paraId="460DC7B1" w14:textId="77777777" w:rsidR="00C7122E" w:rsidRPr="00A26C90" w:rsidRDefault="00C7122E" w:rsidP="00FB3F7B">
            <w:pPr>
              <w:pStyle w:val="TableText"/>
              <w:rPr>
                <w:rFonts w:cs="Arial"/>
              </w:rPr>
            </w:pPr>
            <w:r w:rsidRPr="00A26C90">
              <w:rPr>
                <w:rFonts w:cs="Arial"/>
              </w:rPr>
              <w:t>South Canterbury</w:t>
            </w:r>
          </w:p>
        </w:tc>
        <w:tc>
          <w:tcPr>
            <w:tcW w:w="2764" w:type="dxa"/>
            <w:tcBorders>
              <w:top w:val="single" w:sz="4" w:space="0" w:color="A6A6A6"/>
              <w:bottom w:val="single" w:sz="4" w:space="0" w:color="A6A6A6"/>
            </w:tcBorders>
            <w:shd w:val="clear" w:color="auto" w:fill="auto"/>
            <w:noWrap/>
            <w:hideMark/>
          </w:tcPr>
          <w:p w14:paraId="19B2B4A9" w14:textId="77777777" w:rsidR="00C7122E" w:rsidRPr="00A26C90" w:rsidRDefault="00C7122E" w:rsidP="00FB3F7B">
            <w:pPr>
              <w:pStyle w:val="TableText"/>
              <w:tabs>
                <w:tab w:val="decimal" w:pos="1644"/>
              </w:tabs>
            </w:pPr>
            <w:r w:rsidRPr="00A26C90">
              <w:t>590</w:t>
            </w:r>
          </w:p>
        </w:tc>
        <w:tc>
          <w:tcPr>
            <w:tcW w:w="2764" w:type="dxa"/>
            <w:tcBorders>
              <w:top w:val="single" w:sz="4" w:space="0" w:color="A6A6A6"/>
              <w:bottom w:val="single" w:sz="4" w:space="0" w:color="A6A6A6"/>
            </w:tcBorders>
            <w:shd w:val="clear" w:color="auto" w:fill="auto"/>
            <w:noWrap/>
            <w:hideMark/>
          </w:tcPr>
          <w:p w14:paraId="77C96553" w14:textId="77777777" w:rsidR="00C7122E" w:rsidRPr="00A26C90" w:rsidRDefault="00C7122E" w:rsidP="00FB3F7B">
            <w:pPr>
              <w:pStyle w:val="TableText"/>
              <w:tabs>
                <w:tab w:val="decimal" w:pos="1376"/>
              </w:tabs>
            </w:pPr>
            <w:r w:rsidRPr="00A26C90">
              <w:t>0.2%</w:t>
            </w:r>
          </w:p>
        </w:tc>
      </w:tr>
      <w:tr w:rsidR="00C7122E" w:rsidRPr="00A119E8" w14:paraId="02525262" w14:textId="77777777" w:rsidTr="00FB3F7B">
        <w:trPr>
          <w:cantSplit/>
        </w:trPr>
        <w:tc>
          <w:tcPr>
            <w:tcW w:w="3828" w:type="dxa"/>
            <w:tcBorders>
              <w:top w:val="single" w:sz="4" w:space="0" w:color="A6A6A6"/>
              <w:bottom w:val="single" w:sz="4" w:space="0" w:color="auto"/>
            </w:tcBorders>
            <w:shd w:val="clear" w:color="auto" w:fill="auto"/>
            <w:noWrap/>
            <w:hideMark/>
          </w:tcPr>
          <w:p w14:paraId="4DE67D0E" w14:textId="77777777" w:rsidR="00C7122E" w:rsidRPr="00A26C90" w:rsidRDefault="00C7122E" w:rsidP="00FB3F7B">
            <w:pPr>
              <w:pStyle w:val="TableText"/>
              <w:rPr>
                <w:rFonts w:cs="Arial"/>
              </w:rPr>
            </w:pPr>
            <w:r w:rsidRPr="00A26C90">
              <w:rPr>
                <w:rFonts w:cs="Arial"/>
              </w:rPr>
              <w:t>West Coast</w:t>
            </w:r>
          </w:p>
        </w:tc>
        <w:tc>
          <w:tcPr>
            <w:tcW w:w="2764" w:type="dxa"/>
            <w:tcBorders>
              <w:top w:val="single" w:sz="4" w:space="0" w:color="A6A6A6"/>
              <w:bottom w:val="single" w:sz="4" w:space="0" w:color="auto"/>
            </w:tcBorders>
            <w:shd w:val="clear" w:color="auto" w:fill="auto"/>
            <w:noWrap/>
            <w:hideMark/>
          </w:tcPr>
          <w:p w14:paraId="1E585AF4" w14:textId="77777777" w:rsidR="00C7122E" w:rsidRPr="00A26C90" w:rsidRDefault="00C7122E" w:rsidP="00FB3F7B">
            <w:pPr>
              <w:pStyle w:val="TableText"/>
              <w:tabs>
                <w:tab w:val="decimal" w:pos="1644"/>
              </w:tabs>
            </w:pPr>
            <w:r w:rsidRPr="00A26C90">
              <w:t>365</w:t>
            </w:r>
          </w:p>
        </w:tc>
        <w:tc>
          <w:tcPr>
            <w:tcW w:w="2764" w:type="dxa"/>
            <w:tcBorders>
              <w:top w:val="single" w:sz="4" w:space="0" w:color="A6A6A6"/>
              <w:bottom w:val="single" w:sz="4" w:space="0" w:color="auto"/>
            </w:tcBorders>
            <w:shd w:val="clear" w:color="auto" w:fill="auto"/>
            <w:noWrap/>
            <w:hideMark/>
          </w:tcPr>
          <w:p w14:paraId="3EA60673" w14:textId="77777777" w:rsidR="00C7122E" w:rsidRPr="00A26C90" w:rsidRDefault="00C7122E" w:rsidP="00FB3F7B">
            <w:pPr>
              <w:pStyle w:val="TableText"/>
              <w:tabs>
                <w:tab w:val="decimal" w:pos="1376"/>
              </w:tabs>
            </w:pPr>
            <w:r w:rsidRPr="00A26C90">
              <w:t>0.1%</w:t>
            </w:r>
          </w:p>
        </w:tc>
      </w:tr>
      <w:tr w:rsidR="00C7122E" w:rsidRPr="00FB3F7B" w14:paraId="4EAA48AE" w14:textId="77777777" w:rsidTr="00FB3F7B">
        <w:trPr>
          <w:cantSplit/>
        </w:trPr>
        <w:tc>
          <w:tcPr>
            <w:tcW w:w="3828" w:type="dxa"/>
            <w:tcBorders>
              <w:top w:val="single" w:sz="4" w:space="0" w:color="auto"/>
              <w:bottom w:val="single" w:sz="4" w:space="0" w:color="auto"/>
            </w:tcBorders>
            <w:shd w:val="clear" w:color="auto" w:fill="auto"/>
            <w:noWrap/>
            <w:hideMark/>
          </w:tcPr>
          <w:p w14:paraId="2B2F1C98" w14:textId="77777777" w:rsidR="00C7122E" w:rsidRPr="00FB3F7B" w:rsidRDefault="00C7122E" w:rsidP="00FB3F7B">
            <w:pPr>
              <w:pStyle w:val="TableText"/>
              <w:rPr>
                <w:rFonts w:cs="Arial"/>
                <w:b/>
              </w:rPr>
            </w:pPr>
            <w:r w:rsidRPr="00FB3F7B">
              <w:rPr>
                <w:rFonts w:cs="Arial"/>
                <w:b/>
              </w:rPr>
              <w:t>Total</w:t>
            </w:r>
          </w:p>
        </w:tc>
        <w:tc>
          <w:tcPr>
            <w:tcW w:w="2764" w:type="dxa"/>
            <w:tcBorders>
              <w:top w:val="single" w:sz="4" w:space="0" w:color="auto"/>
              <w:bottom w:val="single" w:sz="4" w:space="0" w:color="auto"/>
            </w:tcBorders>
            <w:shd w:val="clear" w:color="auto" w:fill="auto"/>
            <w:noWrap/>
            <w:hideMark/>
          </w:tcPr>
          <w:p w14:paraId="4968C664" w14:textId="77777777" w:rsidR="00C7122E" w:rsidRPr="00FB3F7B" w:rsidRDefault="00C7122E" w:rsidP="00FB3F7B">
            <w:pPr>
              <w:pStyle w:val="TableText"/>
              <w:tabs>
                <w:tab w:val="decimal" w:pos="1644"/>
              </w:tabs>
              <w:rPr>
                <w:b/>
              </w:rPr>
            </w:pPr>
            <w:r w:rsidRPr="00FB3F7B">
              <w:rPr>
                <w:b/>
              </w:rPr>
              <w:t>299,190</w:t>
            </w:r>
          </w:p>
        </w:tc>
        <w:tc>
          <w:tcPr>
            <w:tcW w:w="2764" w:type="dxa"/>
            <w:tcBorders>
              <w:top w:val="single" w:sz="4" w:space="0" w:color="auto"/>
              <w:bottom w:val="single" w:sz="4" w:space="0" w:color="auto"/>
            </w:tcBorders>
            <w:shd w:val="clear" w:color="auto" w:fill="auto"/>
            <w:noWrap/>
            <w:hideMark/>
          </w:tcPr>
          <w:p w14:paraId="538FCCA2" w14:textId="77777777" w:rsidR="00C7122E" w:rsidRPr="00FB3F7B" w:rsidRDefault="00C7122E" w:rsidP="00FB3F7B">
            <w:pPr>
              <w:pStyle w:val="TableText"/>
              <w:tabs>
                <w:tab w:val="decimal" w:pos="1376"/>
              </w:tabs>
              <w:rPr>
                <w:b/>
              </w:rPr>
            </w:pPr>
            <w:r w:rsidRPr="00FB3F7B">
              <w:rPr>
                <w:b/>
              </w:rPr>
              <w:t>100%</w:t>
            </w:r>
          </w:p>
        </w:tc>
      </w:tr>
    </w:tbl>
    <w:p w14:paraId="75B30F47" w14:textId="77777777" w:rsidR="00C7122E" w:rsidRPr="00AB4E6F" w:rsidRDefault="00C7122E" w:rsidP="00FB3F7B">
      <w:pPr>
        <w:pStyle w:val="Note"/>
        <w:ind w:right="0"/>
      </w:pPr>
      <w:r w:rsidRPr="00AB4E6F">
        <w:t>Note: Percentages have been rounded</w:t>
      </w:r>
      <w:r>
        <w:t xml:space="preserve"> to one decimal place</w:t>
      </w:r>
      <w:r w:rsidRPr="00AB4E6F">
        <w:t>. The eight priority DHBs are in bold.</w:t>
      </w:r>
    </w:p>
    <w:p w14:paraId="715E0F5A" w14:textId="77777777" w:rsidR="00C7122E" w:rsidRDefault="00C7122E" w:rsidP="00FB3F7B"/>
    <w:p w14:paraId="1F6279F8" w14:textId="77777777" w:rsidR="00C7122E" w:rsidRDefault="00C7122E" w:rsidP="00FB3F7B">
      <w:pPr>
        <w:pStyle w:val="Heading1"/>
      </w:pPr>
      <w:bookmarkStart w:id="14" w:name="_Toc503949854"/>
      <w:bookmarkStart w:id="15" w:name="_Toc504294543"/>
      <w:bookmarkStart w:id="16" w:name="_Toc531260414"/>
      <w:r>
        <w:lastRenderedPageBreak/>
        <w:t>National-level progress</w:t>
      </w:r>
      <w:bookmarkEnd w:id="14"/>
      <w:bookmarkEnd w:id="15"/>
      <w:bookmarkEnd w:id="16"/>
    </w:p>
    <w:p w14:paraId="1FEDDAAA" w14:textId="25387971" w:rsidR="00C7122E" w:rsidRDefault="00C7122E" w:rsidP="00FB3F7B">
      <w:r>
        <w:t xml:space="preserve">Table 1 sets out </w:t>
      </w:r>
      <w:r w:rsidR="00473BBD">
        <w:rPr>
          <w:rFonts w:ascii="Arial" w:hAnsi="Arial" w:cs="Arial"/>
          <w:i/>
        </w:rPr>
        <w:t>ʹ</w:t>
      </w:r>
      <w:r w:rsidR="00473BBD">
        <w:rPr>
          <w:i/>
        </w:rPr>
        <w:t>Ala Mo</w:t>
      </w:r>
      <w:r w:rsidR="00473BBD">
        <w:rPr>
          <w:rFonts w:ascii="Arial" w:hAnsi="Arial" w:cs="Arial"/>
          <w:i/>
        </w:rPr>
        <w:t>ʹ</w:t>
      </w:r>
      <w:r>
        <w:rPr>
          <w:i/>
        </w:rPr>
        <w:t xml:space="preserve">ui </w:t>
      </w:r>
      <w:r>
        <w:t xml:space="preserve">indicators </w:t>
      </w:r>
      <w:r w:rsidR="001D7F81" w:rsidRPr="001D7F81">
        <w:t xml:space="preserve">which suggest positive results for Pacific peoples </w:t>
      </w:r>
      <w:r w:rsidR="001D7F81">
        <w:t>when compared to the total New Zealand population</w:t>
      </w:r>
      <w:r>
        <w:t>.</w:t>
      </w:r>
    </w:p>
    <w:p w14:paraId="02EA6EBF" w14:textId="77777777" w:rsidR="00C7122E" w:rsidRDefault="00C7122E" w:rsidP="00FB3F7B"/>
    <w:p w14:paraId="0200245A" w14:textId="67BBA90F" w:rsidR="001D7F81" w:rsidRPr="001D7F81" w:rsidRDefault="00540A5C" w:rsidP="001D7F81">
      <w:pPr>
        <w:pStyle w:val="Table"/>
        <w:rPr>
          <w:rFonts w:cs="Arial"/>
        </w:rPr>
      </w:pPr>
      <w:bookmarkStart w:id="17" w:name="_Toc531260397"/>
      <w:r>
        <w:rPr>
          <w:rFonts w:cs="Arial"/>
        </w:rPr>
        <w:t>Table 1</w:t>
      </w:r>
      <w:r w:rsidR="001D7F81" w:rsidRPr="001D7F81">
        <w:rPr>
          <w:rFonts w:cs="Arial"/>
        </w:rPr>
        <w:t xml:space="preserve">: </w:t>
      </w:r>
      <w:r w:rsidR="00473BBD">
        <w:rPr>
          <w:rFonts w:ascii="Arial" w:hAnsi="Arial" w:cs="Arial"/>
          <w:i/>
        </w:rPr>
        <w:t>ʹ</w:t>
      </w:r>
      <w:r w:rsidR="00473BBD">
        <w:rPr>
          <w:rFonts w:cs="Arial"/>
          <w:i/>
        </w:rPr>
        <w:t>Ala Mo</w:t>
      </w:r>
      <w:r w:rsidR="00473BBD">
        <w:rPr>
          <w:rFonts w:ascii="Arial" w:hAnsi="Arial" w:cs="Arial"/>
          <w:i/>
        </w:rPr>
        <w:t>ʹ</w:t>
      </w:r>
      <w:r w:rsidR="001D7F81" w:rsidRPr="001D7F81">
        <w:rPr>
          <w:rFonts w:cs="Arial"/>
          <w:i/>
        </w:rPr>
        <w:t>ui</w:t>
      </w:r>
      <w:r w:rsidR="001D7F81" w:rsidRPr="001D7F81">
        <w:rPr>
          <w:rFonts w:cs="Arial"/>
        </w:rPr>
        <w:t xml:space="preserve"> indicators which suggest positive results for Pacific peoples as compared to the total New Zealand population, as at 31 March 2017</w:t>
      </w:r>
      <w:bookmarkEnd w:id="17"/>
    </w:p>
    <w:tbl>
      <w:tblPr>
        <w:tblW w:w="10036"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721"/>
        <w:gridCol w:w="3950"/>
        <w:gridCol w:w="1536"/>
        <w:gridCol w:w="1829"/>
      </w:tblGrid>
      <w:tr w:rsidR="001D7F81" w:rsidRPr="001D7F81" w14:paraId="6F74DBBD" w14:textId="77777777" w:rsidTr="00A5031C">
        <w:trPr>
          <w:cantSplit/>
        </w:trPr>
        <w:tc>
          <w:tcPr>
            <w:tcW w:w="6464" w:type="dxa"/>
            <w:gridSpan w:val="2"/>
            <w:tcBorders>
              <w:top w:val="single" w:sz="4" w:space="0" w:color="auto"/>
              <w:bottom w:val="single" w:sz="4" w:space="0" w:color="auto"/>
            </w:tcBorders>
            <w:shd w:val="clear" w:color="auto" w:fill="auto"/>
          </w:tcPr>
          <w:p w14:paraId="5A7F3389" w14:textId="77777777" w:rsidR="001D7F81" w:rsidRPr="001D7F81" w:rsidRDefault="001D7F81" w:rsidP="00A5031C">
            <w:pPr>
              <w:pStyle w:val="TableText"/>
              <w:rPr>
                <w:rFonts w:ascii="Georgia" w:hAnsi="Georgia"/>
                <w:b/>
                <w:szCs w:val="18"/>
                <w:lang w:eastAsia="en-NZ"/>
              </w:rPr>
            </w:pPr>
            <w:r w:rsidRPr="001D7F81">
              <w:rPr>
                <w:rFonts w:ascii="Georgia" w:hAnsi="Georgia"/>
                <w:b/>
                <w:szCs w:val="18"/>
                <w:lang w:eastAsia="en-NZ"/>
              </w:rPr>
              <w:t>Indicator</w:t>
            </w:r>
          </w:p>
        </w:tc>
        <w:tc>
          <w:tcPr>
            <w:tcW w:w="1488" w:type="dxa"/>
            <w:tcBorders>
              <w:top w:val="single" w:sz="4" w:space="0" w:color="auto"/>
              <w:bottom w:val="single" w:sz="4" w:space="0" w:color="auto"/>
            </w:tcBorders>
            <w:shd w:val="clear" w:color="auto" w:fill="auto"/>
          </w:tcPr>
          <w:p w14:paraId="5CE8FA5E" w14:textId="77777777" w:rsidR="001D7F81" w:rsidRPr="001D7F81" w:rsidRDefault="001D7F81" w:rsidP="00A5031C">
            <w:pPr>
              <w:pStyle w:val="TableText"/>
              <w:jc w:val="center"/>
              <w:rPr>
                <w:rFonts w:ascii="Georgia" w:hAnsi="Georgia"/>
                <w:b/>
                <w:szCs w:val="18"/>
                <w:lang w:eastAsia="en-NZ"/>
              </w:rPr>
            </w:pPr>
            <w:r w:rsidRPr="001D7F81">
              <w:rPr>
                <w:rFonts w:ascii="Georgia" w:hAnsi="Georgia"/>
                <w:b/>
                <w:szCs w:val="18"/>
                <w:lang w:eastAsia="en-NZ"/>
              </w:rPr>
              <w:t>Pacific peoples</w:t>
            </w:r>
          </w:p>
        </w:tc>
        <w:tc>
          <w:tcPr>
            <w:tcW w:w="1772" w:type="dxa"/>
            <w:tcBorders>
              <w:top w:val="single" w:sz="4" w:space="0" w:color="auto"/>
              <w:bottom w:val="single" w:sz="4" w:space="0" w:color="auto"/>
            </w:tcBorders>
            <w:shd w:val="clear" w:color="auto" w:fill="auto"/>
          </w:tcPr>
          <w:p w14:paraId="70D9D2B2" w14:textId="77777777" w:rsidR="001D7F81" w:rsidRPr="001D7F81" w:rsidRDefault="001D7F81" w:rsidP="00A5031C">
            <w:pPr>
              <w:pStyle w:val="TableText"/>
              <w:jc w:val="center"/>
              <w:rPr>
                <w:rFonts w:ascii="Georgia" w:hAnsi="Georgia"/>
                <w:b/>
                <w:szCs w:val="18"/>
                <w:lang w:eastAsia="en-NZ"/>
              </w:rPr>
            </w:pPr>
            <w:r w:rsidRPr="001D7F81">
              <w:rPr>
                <w:rFonts w:ascii="Georgia" w:hAnsi="Georgia"/>
                <w:b/>
                <w:szCs w:val="18"/>
                <w:lang w:eastAsia="en-NZ"/>
              </w:rPr>
              <w:t>Total New Zealand</w:t>
            </w:r>
          </w:p>
        </w:tc>
      </w:tr>
      <w:tr w:rsidR="001D7F81" w:rsidRPr="001D7F81" w14:paraId="326C7DDC" w14:textId="77777777" w:rsidTr="00A5031C">
        <w:trPr>
          <w:cantSplit/>
          <w:trHeight w:val="560"/>
        </w:trPr>
        <w:tc>
          <w:tcPr>
            <w:tcW w:w="2637" w:type="dxa"/>
            <w:vMerge w:val="restart"/>
            <w:tcBorders>
              <w:top w:val="single" w:sz="4" w:space="0" w:color="auto"/>
              <w:right w:val="single" w:sz="4" w:space="0" w:color="C4BC96" w:themeColor="background2" w:themeShade="BF"/>
            </w:tcBorders>
            <w:shd w:val="clear" w:color="auto" w:fill="auto"/>
            <w:vAlign w:val="center"/>
          </w:tcPr>
          <w:p w14:paraId="711EE335" w14:textId="77777777" w:rsidR="001D7F81" w:rsidRPr="001D7F81" w:rsidRDefault="001D7F81" w:rsidP="00A5031C">
            <w:pPr>
              <w:pStyle w:val="TableText"/>
              <w:ind w:right="-57"/>
              <w:rPr>
                <w:rFonts w:ascii="Georgia" w:hAnsi="Georgia"/>
                <w:szCs w:val="18"/>
                <w:lang w:eastAsia="en-NZ"/>
              </w:rPr>
            </w:pPr>
            <w:r w:rsidRPr="001D7F81">
              <w:rPr>
                <w:rFonts w:ascii="Georgia" w:hAnsi="Georgia"/>
                <w:szCs w:val="18"/>
                <w:lang w:eastAsia="en-NZ"/>
              </w:rPr>
              <w:t>GP and nurse utilisation</w:t>
            </w:r>
          </w:p>
        </w:tc>
        <w:tc>
          <w:tcPr>
            <w:tcW w:w="3827" w:type="dxa"/>
            <w:tcBorders>
              <w:top w:val="single" w:sz="4" w:space="0" w:color="auto"/>
              <w:left w:val="single" w:sz="4" w:space="0" w:color="C4BC96" w:themeColor="background2" w:themeShade="BF"/>
              <w:bottom w:val="single" w:sz="4" w:space="0" w:color="C4BC96" w:themeColor="background2" w:themeShade="BF"/>
            </w:tcBorders>
            <w:shd w:val="clear" w:color="auto" w:fill="auto"/>
            <w:vAlign w:val="center"/>
          </w:tcPr>
          <w:p w14:paraId="48FF6AB4" w14:textId="77777777" w:rsidR="001D7F81" w:rsidRPr="001D7F81" w:rsidRDefault="001D7F81" w:rsidP="00A5031C">
            <w:pPr>
              <w:pStyle w:val="TableText"/>
              <w:rPr>
                <w:rFonts w:ascii="Georgia" w:hAnsi="Georgia"/>
                <w:szCs w:val="18"/>
              </w:rPr>
            </w:pPr>
            <w:r w:rsidRPr="001D7F81">
              <w:rPr>
                <w:rFonts w:ascii="Georgia" w:hAnsi="Georgia"/>
                <w:szCs w:val="18"/>
              </w:rPr>
              <w:t>GP utilisation: average number of visits per person per calendar year</w:t>
            </w:r>
          </w:p>
        </w:tc>
        <w:tc>
          <w:tcPr>
            <w:tcW w:w="1488" w:type="dxa"/>
            <w:tcBorders>
              <w:top w:val="single" w:sz="4" w:space="0" w:color="auto"/>
              <w:bottom w:val="single" w:sz="4" w:space="0" w:color="C4BC96" w:themeColor="background2" w:themeShade="BF"/>
            </w:tcBorders>
            <w:shd w:val="clear" w:color="auto" w:fill="auto"/>
            <w:vAlign w:val="center"/>
          </w:tcPr>
          <w:p w14:paraId="09AD5E60" w14:textId="77777777" w:rsidR="001D7F81" w:rsidRPr="001D7F81" w:rsidRDefault="001D7F81" w:rsidP="00A5031C">
            <w:pPr>
              <w:pStyle w:val="TableText"/>
              <w:jc w:val="center"/>
              <w:rPr>
                <w:rFonts w:ascii="Georgia" w:hAnsi="Georgia"/>
                <w:szCs w:val="18"/>
              </w:rPr>
            </w:pPr>
            <w:r w:rsidRPr="001D7F81">
              <w:rPr>
                <w:rFonts w:ascii="Georgia" w:hAnsi="Georgia"/>
                <w:szCs w:val="18"/>
              </w:rPr>
              <w:t>3.13</w:t>
            </w:r>
          </w:p>
        </w:tc>
        <w:tc>
          <w:tcPr>
            <w:tcW w:w="1772" w:type="dxa"/>
            <w:tcBorders>
              <w:top w:val="single" w:sz="4" w:space="0" w:color="auto"/>
              <w:bottom w:val="single" w:sz="4" w:space="0" w:color="C4BC96" w:themeColor="background2" w:themeShade="BF"/>
            </w:tcBorders>
            <w:shd w:val="clear" w:color="auto" w:fill="auto"/>
            <w:vAlign w:val="center"/>
          </w:tcPr>
          <w:p w14:paraId="5B0A3A54" w14:textId="77777777" w:rsidR="001D7F81" w:rsidRPr="001D7F81" w:rsidRDefault="001D7F81" w:rsidP="00A5031C">
            <w:pPr>
              <w:pStyle w:val="TableText"/>
              <w:jc w:val="center"/>
              <w:rPr>
                <w:rFonts w:ascii="Georgia" w:hAnsi="Georgia"/>
                <w:szCs w:val="18"/>
              </w:rPr>
            </w:pPr>
            <w:r w:rsidRPr="001D7F81">
              <w:rPr>
                <w:rFonts w:ascii="Georgia" w:hAnsi="Georgia"/>
                <w:szCs w:val="18"/>
              </w:rPr>
              <w:t>3.00</w:t>
            </w:r>
          </w:p>
        </w:tc>
      </w:tr>
      <w:tr w:rsidR="001D7F81" w:rsidRPr="001D7F81" w14:paraId="786DC8DC" w14:textId="77777777" w:rsidTr="00A5031C">
        <w:trPr>
          <w:cantSplit/>
          <w:trHeight w:val="560"/>
        </w:trPr>
        <w:tc>
          <w:tcPr>
            <w:tcW w:w="2637" w:type="dxa"/>
            <w:vMerge/>
            <w:tcBorders>
              <w:bottom w:val="single" w:sz="4" w:space="0" w:color="A6A6A6"/>
              <w:right w:val="single" w:sz="4" w:space="0" w:color="C4BC96" w:themeColor="background2" w:themeShade="BF"/>
            </w:tcBorders>
            <w:shd w:val="clear" w:color="auto" w:fill="auto"/>
            <w:vAlign w:val="center"/>
          </w:tcPr>
          <w:p w14:paraId="0725367E" w14:textId="77777777" w:rsidR="001D7F81" w:rsidRPr="001D7F81" w:rsidRDefault="001D7F81" w:rsidP="00A5031C">
            <w:pPr>
              <w:pStyle w:val="TableText"/>
              <w:ind w:right="-57"/>
              <w:rPr>
                <w:rFonts w:ascii="Georgia" w:hAnsi="Georgia"/>
                <w:szCs w:val="18"/>
                <w:lang w:eastAsia="en-NZ"/>
              </w:rPr>
            </w:pPr>
          </w:p>
        </w:tc>
        <w:tc>
          <w:tcPr>
            <w:tcW w:w="3827" w:type="dxa"/>
            <w:tcBorders>
              <w:top w:val="single" w:sz="4" w:space="0" w:color="C4BC96" w:themeColor="background2" w:themeShade="BF"/>
              <w:left w:val="single" w:sz="4" w:space="0" w:color="C4BC96" w:themeColor="background2" w:themeShade="BF"/>
              <w:bottom w:val="single" w:sz="4" w:space="0" w:color="A6A6A6"/>
            </w:tcBorders>
            <w:shd w:val="clear" w:color="auto" w:fill="auto"/>
            <w:vAlign w:val="center"/>
          </w:tcPr>
          <w:p w14:paraId="39A843E2" w14:textId="77777777" w:rsidR="001D7F81" w:rsidRPr="001D7F81" w:rsidRDefault="001D7F81" w:rsidP="00A5031C">
            <w:pPr>
              <w:pStyle w:val="TableText"/>
              <w:ind w:right="-57"/>
              <w:rPr>
                <w:rFonts w:ascii="Georgia" w:hAnsi="Georgia"/>
                <w:szCs w:val="18"/>
                <w:lang w:eastAsia="en-NZ"/>
              </w:rPr>
            </w:pPr>
            <w:r w:rsidRPr="001D7F81">
              <w:rPr>
                <w:rFonts w:ascii="Georgia" w:hAnsi="Georgia"/>
                <w:szCs w:val="18"/>
                <w:lang w:eastAsia="en-NZ"/>
              </w:rPr>
              <w:t>Nurse utilisation: average number of visits per person per calendar year</w:t>
            </w:r>
          </w:p>
        </w:tc>
        <w:tc>
          <w:tcPr>
            <w:tcW w:w="1488" w:type="dxa"/>
            <w:tcBorders>
              <w:top w:val="single" w:sz="4" w:space="0" w:color="C4BC96" w:themeColor="background2" w:themeShade="BF"/>
              <w:bottom w:val="single" w:sz="4" w:space="0" w:color="A6A6A6"/>
            </w:tcBorders>
            <w:shd w:val="clear" w:color="auto" w:fill="auto"/>
            <w:vAlign w:val="center"/>
          </w:tcPr>
          <w:p w14:paraId="07411337" w14:textId="77777777" w:rsidR="001D7F81" w:rsidRPr="001D7F81" w:rsidRDefault="001D7F81" w:rsidP="00A5031C">
            <w:pPr>
              <w:pStyle w:val="TableText"/>
              <w:jc w:val="center"/>
              <w:rPr>
                <w:rFonts w:ascii="Georgia" w:hAnsi="Georgia"/>
                <w:szCs w:val="18"/>
                <w:lang w:eastAsia="en-NZ"/>
              </w:rPr>
            </w:pPr>
            <w:r w:rsidRPr="001D7F81">
              <w:rPr>
                <w:rFonts w:ascii="Georgia" w:hAnsi="Georgia"/>
                <w:szCs w:val="18"/>
                <w:lang w:eastAsia="en-NZ"/>
              </w:rPr>
              <w:t>0.78</w:t>
            </w:r>
          </w:p>
        </w:tc>
        <w:tc>
          <w:tcPr>
            <w:tcW w:w="1772" w:type="dxa"/>
            <w:tcBorders>
              <w:top w:val="single" w:sz="4" w:space="0" w:color="C4BC96" w:themeColor="background2" w:themeShade="BF"/>
              <w:bottom w:val="single" w:sz="4" w:space="0" w:color="A6A6A6"/>
            </w:tcBorders>
            <w:shd w:val="clear" w:color="auto" w:fill="auto"/>
            <w:vAlign w:val="center"/>
          </w:tcPr>
          <w:p w14:paraId="668ADDD9" w14:textId="77777777" w:rsidR="001D7F81" w:rsidRPr="001D7F81" w:rsidRDefault="001D7F81" w:rsidP="00A5031C">
            <w:pPr>
              <w:pStyle w:val="TableText"/>
              <w:jc w:val="center"/>
              <w:rPr>
                <w:rFonts w:ascii="Georgia" w:hAnsi="Georgia"/>
                <w:szCs w:val="18"/>
                <w:lang w:eastAsia="en-NZ"/>
              </w:rPr>
            </w:pPr>
            <w:r w:rsidRPr="001D7F81">
              <w:rPr>
                <w:rFonts w:ascii="Georgia" w:hAnsi="Georgia"/>
                <w:szCs w:val="18"/>
                <w:lang w:eastAsia="en-NZ"/>
              </w:rPr>
              <w:t>0.75</w:t>
            </w:r>
          </w:p>
        </w:tc>
      </w:tr>
      <w:tr w:rsidR="001D7F81" w:rsidRPr="001D7F81" w14:paraId="626B8079" w14:textId="77777777" w:rsidTr="00A5031C">
        <w:trPr>
          <w:cantSplit/>
        </w:trPr>
        <w:tc>
          <w:tcPr>
            <w:tcW w:w="6464" w:type="dxa"/>
            <w:gridSpan w:val="2"/>
            <w:tcBorders>
              <w:top w:val="single" w:sz="4" w:space="0" w:color="A6A6A6"/>
              <w:bottom w:val="single" w:sz="4" w:space="0" w:color="A6A6A6"/>
            </w:tcBorders>
            <w:shd w:val="clear" w:color="auto" w:fill="auto"/>
            <w:vAlign w:val="center"/>
          </w:tcPr>
          <w:p w14:paraId="26BFA9DE" w14:textId="77777777" w:rsidR="001D7F81" w:rsidRPr="001D7F81" w:rsidRDefault="001D7F81" w:rsidP="00A5031C">
            <w:pPr>
              <w:pStyle w:val="TableText"/>
              <w:ind w:right="-57"/>
              <w:rPr>
                <w:rFonts w:ascii="Georgia" w:hAnsi="Georgia"/>
                <w:szCs w:val="18"/>
              </w:rPr>
            </w:pPr>
            <w:r w:rsidRPr="001D7F81">
              <w:rPr>
                <w:rFonts w:ascii="Georgia" w:hAnsi="Georgia"/>
                <w:szCs w:val="18"/>
              </w:rPr>
              <w:t>Percentage of the population using DHB alcohol and drug services</w:t>
            </w:r>
          </w:p>
        </w:tc>
        <w:tc>
          <w:tcPr>
            <w:tcW w:w="1488" w:type="dxa"/>
            <w:tcBorders>
              <w:top w:val="single" w:sz="4" w:space="0" w:color="A6A6A6"/>
              <w:bottom w:val="single" w:sz="4" w:space="0" w:color="A6A6A6"/>
            </w:tcBorders>
            <w:shd w:val="clear" w:color="auto" w:fill="auto"/>
            <w:vAlign w:val="center"/>
          </w:tcPr>
          <w:p w14:paraId="21E46C90" w14:textId="77777777" w:rsidR="001D7F81" w:rsidRPr="001D7F81" w:rsidRDefault="001D7F81" w:rsidP="00A5031C">
            <w:pPr>
              <w:pStyle w:val="TableText"/>
              <w:jc w:val="center"/>
              <w:rPr>
                <w:rFonts w:ascii="Georgia" w:hAnsi="Georgia"/>
                <w:szCs w:val="18"/>
              </w:rPr>
            </w:pPr>
            <w:r w:rsidRPr="001D7F81">
              <w:rPr>
                <w:rFonts w:ascii="Georgia" w:hAnsi="Georgia"/>
                <w:szCs w:val="18"/>
              </w:rPr>
              <w:t>1.1%</w:t>
            </w:r>
          </w:p>
        </w:tc>
        <w:tc>
          <w:tcPr>
            <w:tcW w:w="1772" w:type="dxa"/>
            <w:tcBorders>
              <w:top w:val="single" w:sz="4" w:space="0" w:color="A6A6A6"/>
              <w:bottom w:val="single" w:sz="4" w:space="0" w:color="A6A6A6"/>
            </w:tcBorders>
            <w:shd w:val="clear" w:color="auto" w:fill="auto"/>
            <w:vAlign w:val="center"/>
          </w:tcPr>
          <w:p w14:paraId="53258BA8" w14:textId="77777777" w:rsidR="001D7F81" w:rsidRPr="001D7F81" w:rsidRDefault="001D7F81" w:rsidP="00A5031C">
            <w:pPr>
              <w:pStyle w:val="TableText"/>
              <w:jc w:val="center"/>
              <w:rPr>
                <w:rFonts w:ascii="Georgia" w:hAnsi="Georgia"/>
                <w:szCs w:val="18"/>
              </w:rPr>
            </w:pPr>
            <w:r w:rsidRPr="001D7F81">
              <w:rPr>
                <w:rFonts w:ascii="Georgia" w:hAnsi="Georgia"/>
                <w:szCs w:val="18"/>
              </w:rPr>
              <w:t>1.0%</w:t>
            </w:r>
          </w:p>
        </w:tc>
      </w:tr>
      <w:tr w:rsidR="001D7F81" w:rsidRPr="001D7F81" w14:paraId="731CC030" w14:textId="77777777" w:rsidTr="00A5031C">
        <w:trPr>
          <w:cantSplit/>
        </w:trPr>
        <w:tc>
          <w:tcPr>
            <w:tcW w:w="6464" w:type="dxa"/>
            <w:gridSpan w:val="2"/>
            <w:tcBorders>
              <w:top w:val="single" w:sz="4" w:space="0" w:color="A6A6A6"/>
              <w:bottom w:val="single" w:sz="4" w:space="0" w:color="A6A6A6"/>
            </w:tcBorders>
            <w:shd w:val="clear" w:color="auto" w:fill="auto"/>
            <w:vAlign w:val="center"/>
          </w:tcPr>
          <w:p w14:paraId="512C96FF" w14:textId="77777777" w:rsidR="001D7F81" w:rsidRPr="001D7F81" w:rsidRDefault="001D7F81" w:rsidP="00A5031C">
            <w:pPr>
              <w:pStyle w:val="TableText"/>
              <w:rPr>
                <w:rFonts w:ascii="Georgia" w:hAnsi="Georgia"/>
                <w:szCs w:val="18"/>
                <w:lang w:eastAsia="en-NZ"/>
              </w:rPr>
            </w:pPr>
            <w:r w:rsidRPr="001D7F81">
              <w:rPr>
                <w:rFonts w:ascii="Georgia" w:hAnsi="Georgia"/>
                <w:szCs w:val="18"/>
              </w:rPr>
              <w:t>Percentage of women aged 25–69 years who received a cervical smear test in the past three years</w:t>
            </w:r>
          </w:p>
        </w:tc>
        <w:tc>
          <w:tcPr>
            <w:tcW w:w="1488" w:type="dxa"/>
            <w:tcBorders>
              <w:top w:val="single" w:sz="4" w:space="0" w:color="A6A6A6"/>
              <w:bottom w:val="single" w:sz="4" w:space="0" w:color="A6A6A6"/>
            </w:tcBorders>
            <w:shd w:val="clear" w:color="auto" w:fill="auto"/>
            <w:vAlign w:val="center"/>
          </w:tcPr>
          <w:p w14:paraId="36A983D6" w14:textId="77777777" w:rsidR="001D7F81" w:rsidRPr="001D7F81" w:rsidRDefault="001D7F81" w:rsidP="00A5031C">
            <w:pPr>
              <w:pStyle w:val="TableText"/>
              <w:jc w:val="center"/>
              <w:rPr>
                <w:rFonts w:ascii="Georgia" w:hAnsi="Georgia"/>
                <w:szCs w:val="18"/>
                <w:lang w:eastAsia="en-NZ"/>
              </w:rPr>
            </w:pPr>
            <w:r w:rsidRPr="001D7F81">
              <w:rPr>
                <w:rFonts w:ascii="Georgia" w:hAnsi="Georgia"/>
                <w:szCs w:val="18"/>
                <w:lang w:eastAsia="en-NZ"/>
              </w:rPr>
              <w:t>75.9%</w:t>
            </w:r>
          </w:p>
        </w:tc>
        <w:tc>
          <w:tcPr>
            <w:tcW w:w="1772" w:type="dxa"/>
            <w:tcBorders>
              <w:top w:val="single" w:sz="4" w:space="0" w:color="A6A6A6"/>
              <w:bottom w:val="single" w:sz="4" w:space="0" w:color="A6A6A6"/>
            </w:tcBorders>
            <w:shd w:val="clear" w:color="auto" w:fill="auto"/>
            <w:vAlign w:val="center"/>
          </w:tcPr>
          <w:p w14:paraId="2033825C" w14:textId="77777777" w:rsidR="001D7F81" w:rsidRPr="001D7F81" w:rsidRDefault="001D7F81" w:rsidP="00A5031C">
            <w:pPr>
              <w:pStyle w:val="TableText"/>
              <w:jc w:val="center"/>
              <w:rPr>
                <w:rFonts w:ascii="Georgia" w:hAnsi="Georgia"/>
                <w:szCs w:val="18"/>
                <w:lang w:eastAsia="en-NZ"/>
              </w:rPr>
            </w:pPr>
            <w:r w:rsidRPr="001D7F81">
              <w:rPr>
                <w:rFonts w:ascii="Georgia" w:hAnsi="Georgia"/>
                <w:szCs w:val="18"/>
                <w:lang w:eastAsia="en-NZ"/>
              </w:rPr>
              <w:t>75.7%</w:t>
            </w:r>
          </w:p>
        </w:tc>
      </w:tr>
      <w:tr w:rsidR="001D7F81" w:rsidRPr="001D7F81" w14:paraId="1A915003" w14:textId="77777777" w:rsidTr="00A5031C">
        <w:trPr>
          <w:cantSplit/>
        </w:trPr>
        <w:tc>
          <w:tcPr>
            <w:tcW w:w="6464" w:type="dxa"/>
            <w:gridSpan w:val="2"/>
            <w:tcBorders>
              <w:top w:val="single" w:sz="4" w:space="0" w:color="A6A6A6"/>
              <w:bottom w:val="single" w:sz="4" w:space="0" w:color="A6A6A6"/>
            </w:tcBorders>
            <w:shd w:val="clear" w:color="auto" w:fill="auto"/>
            <w:vAlign w:val="center"/>
          </w:tcPr>
          <w:p w14:paraId="3105D731" w14:textId="77777777" w:rsidR="001D7F81" w:rsidRPr="001D7F81" w:rsidRDefault="001D7F81" w:rsidP="00A5031C">
            <w:pPr>
              <w:pStyle w:val="TableText"/>
              <w:rPr>
                <w:rFonts w:ascii="Georgia" w:hAnsi="Georgia"/>
                <w:szCs w:val="18"/>
              </w:rPr>
            </w:pPr>
            <w:r w:rsidRPr="001D7F81">
              <w:rPr>
                <w:rFonts w:ascii="Georgia" w:hAnsi="Georgia"/>
                <w:szCs w:val="18"/>
              </w:rPr>
              <w:t>Percentage of current smokers aged 15 to 74 years offered brief advice and support to quit in primary health care</w:t>
            </w:r>
          </w:p>
        </w:tc>
        <w:tc>
          <w:tcPr>
            <w:tcW w:w="1488" w:type="dxa"/>
            <w:tcBorders>
              <w:top w:val="single" w:sz="4" w:space="0" w:color="A6A6A6"/>
              <w:bottom w:val="single" w:sz="4" w:space="0" w:color="A6A6A6"/>
            </w:tcBorders>
            <w:shd w:val="clear" w:color="auto" w:fill="auto"/>
            <w:vAlign w:val="center"/>
          </w:tcPr>
          <w:p w14:paraId="481D400D" w14:textId="77777777" w:rsidR="001D7F81" w:rsidRPr="001D7F81" w:rsidRDefault="001D7F81" w:rsidP="00A5031C">
            <w:pPr>
              <w:pStyle w:val="TableText"/>
              <w:jc w:val="center"/>
              <w:rPr>
                <w:rFonts w:ascii="Georgia" w:hAnsi="Georgia"/>
                <w:szCs w:val="18"/>
                <w:lang w:eastAsia="en-NZ"/>
              </w:rPr>
            </w:pPr>
            <w:r w:rsidRPr="001D7F81">
              <w:rPr>
                <w:rFonts w:ascii="Georgia" w:hAnsi="Georgia"/>
                <w:szCs w:val="18"/>
                <w:lang w:eastAsia="en-NZ"/>
              </w:rPr>
              <w:t>87.4%</w:t>
            </w:r>
          </w:p>
        </w:tc>
        <w:tc>
          <w:tcPr>
            <w:tcW w:w="1772" w:type="dxa"/>
            <w:tcBorders>
              <w:top w:val="single" w:sz="4" w:space="0" w:color="A6A6A6"/>
              <w:bottom w:val="single" w:sz="4" w:space="0" w:color="A6A6A6"/>
            </w:tcBorders>
            <w:shd w:val="clear" w:color="auto" w:fill="auto"/>
            <w:vAlign w:val="center"/>
          </w:tcPr>
          <w:p w14:paraId="252F16FB" w14:textId="77777777" w:rsidR="001D7F81" w:rsidRPr="001D7F81" w:rsidRDefault="001D7F81" w:rsidP="00A5031C">
            <w:pPr>
              <w:pStyle w:val="TableText"/>
              <w:jc w:val="center"/>
              <w:rPr>
                <w:rFonts w:ascii="Georgia" w:hAnsi="Georgia"/>
                <w:szCs w:val="18"/>
                <w:lang w:eastAsia="en-NZ"/>
              </w:rPr>
            </w:pPr>
            <w:r w:rsidRPr="001D7F81">
              <w:rPr>
                <w:rFonts w:ascii="Georgia" w:hAnsi="Georgia"/>
                <w:szCs w:val="18"/>
                <w:lang w:eastAsia="en-NZ"/>
              </w:rPr>
              <w:t>86.5%</w:t>
            </w:r>
          </w:p>
        </w:tc>
      </w:tr>
    </w:tbl>
    <w:p w14:paraId="785621BE" w14:textId="77777777" w:rsidR="00C7122E" w:rsidRDefault="00C7122E" w:rsidP="00FB3F7B"/>
    <w:p w14:paraId="1B597494" w14:textId="77777777" w:rsidR="00C7122E" w:rsidRDefault="00C7122E" w:rsidP="00FB3F7B">
      <w:r>
        <w:t>Table 2 sets out indicators against which rates for Pacific peoples are close to (within 5 percent of) rates for the total New Zealand population.</w:t>
      </w:r>
    </w:p>
    <w:p w14:paraId="51DA23A9" w14:textId="77777777" w:rsidR="00C7122E" w:rsidRDefault="00C7122E" w:rsidP="00FB3F7B"/>
    <w:p w14:paraId="17D96146" w14:textId="5E66B334" w:rsidR="00540A5C" w:rsidRPr="00540A5C" w:rsidRDefault="00540A5C" w:rsidP="00540A5C">
      <w:pPr>
        <w:pStyle w:val="Table"/>
        <w:rPr>
          <w:rFonts w:cs="Arial"/>
        </w:rPr>
      </w:pPr>
      <w:bookmarkStart w:id="18" w:name="_Toc531260398"/>
      <w:r>
        <w:rPr>
          <w:rFonts w:cs="Arial"/>
        </w:rPr>
        <w:t>Table 2</w:t>
      </w:r>
      <w:r w:rsidRPr="00540A5C">
        <w:rPr>
          <w:rFonts w:cs="Arial"/>
        </w:rPr>
        <w:t xml:space="preserve">: </w:t>
      </w:r>
      <w:r w:rsidR="00473BBD">
        <w:rPr>
          <w:rFonts w:ascii="Arial" w:hAnsi="Arial" w:cs="Arial"/>
          <w:i/>
        </w:rPr>
        <w:t>ʹ</w:t>
      </w:r>
      <w:r w:rsidR="00473BBD">
        <w:rPr>
          <w:rFonts w:cs="Arial"/>
          <w:i/>
        </w:rPr>
        <w:t>Ala Mo</w:t>
      </w:r>
      <w:r w:rsidR="00473BBD">
        <w:rPr>
          <w:rFonts w:ascii="Arial" w:hAnsi="Arial" w:cs="Arial"/>
          <w:i/>
        </w:rPr>
        <w:t>ʹ</w:t>
      </w:r>
      <w:r w:rsidRPr="00540A5C">
        <w:rPr>
          <w:rFonts w:cs="Arial"/>
          <w:i/>
        </w:rPr>
        <w:t>ui</w:t>
      </w:r>
      <w:r w:rsidRPr="00540A5C">
        <w:rPr>
          <w:rFonts w:cs="Arial"/>
        </w:rPr>
        <w:t xml:space="preserve"> indicators which suggest that Pacific peoples are close to achieving parity (within five percent) with the total New Zealand population, as at 31 March 2017</w:t>
      </w:r>
      <w:bookmarkEnd w:id="18"/>
    </w:p>
    <w:tbl>
      <w:tblPr>
        <w:tblW w:w="10036"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6672"/>
        <w:gridCol w:w="1492"/>
        <w:gridCol w:w="1872"/>
      </w:tblGrid>
      <w:tr w:rsidR="00540A5C" w:rsidRPr="009B000C" w14:paraId="46BEE204" w14:textId="77777777" w:rsidTr="00A5031C">
        <w:trPr>
          <w:cantSplit/>
        </w:trPr>
        <w:tc>
          <w:tcPr>
            <w:tcW w:w="6464" w:type="dxa"/>
            <w:tcBorders>
              <w:top w:val="single" w:sz="4" w:space="0" w:color="auto"/>
              <w:bottom w:val="single" w:sz="4" w:space="0" w:color="auto"/>
            </w:tcBorders>
            <w:shd w:val="clear" w:color="auto" w:fill="auto"/>
          </w:tcPr>
          <w:p w14:paraId="09756E35" w14:textId="77777777" w:rsidR="00540A5C" w:rsidRPr="009B000C" w:rsidRDefault="00540A5C" w:rsidP="00A5031C">
            <w:pPr>
              <w:spacing w:before="40" w:after="40"/>
              <w:ind w:right="142"/>
              <w:rPr>
                <w:b/>
                <w:sz w:val="18"/>
                <w:szCs w:val="18"/>
                <w:lang w:eastAsia="en-NZ"/>
              </w:rPr>
            </w:pPr>
            <w:r w:rsidRPr="009B000C">
              <w:rPr>
                <w:b/>
                <w:sz w:val="18"/>
                <w:szCs w:val="18"/>
                <w:lang w:eastAsia="en-NZ"/>
              </w:rPr>
              <w:t>Indicator</w:t>
            </w:r>
          </w:p>
        </w:tc>
        <w:tc>
          <w:tcPr>
            <w:tcW w:w="1446" w:type="dxa"/>
            <w:tcBorders>
              <w:top w:val="single" w:sz="4" w:space="0" w:color="auto"/>
              <w:bottom w:val="single" w:sz="4" w:space="0" w:color="auto"/>
            </w:tcBorders>
            <w:shd w:val="clear" w:color="auto" w:fill="auto"/>
          </w:tcPr>
          <w:p w14:paraId="7911AE6F" w14:textId="77777777" w:rsidR="00540A5C" w:rsidRPr="009B000C" w:rsidRDefault="00540A5C" w:rsidP="00A5031C">
            <w:pPr>
              <w:spacing w:before="40" w:after="40"/>
              <w:jc w:val="center"/>
              <w:rPr>
                <w:b/>
                <w:sz w:val="18"/>
                <w:szCs w:val="18"/>
                <w:lang w:eastAsia="en-NZ"/>
              </w:rPr>
            </w:pPr>
            <w:r w:rsidRPr="009B000C">
              <w:rPr>
                <w:b/>
                <w:sz w:val="18"/>
                <w:szCs w:val="18"/>
                <w:lang w:eastAsia="en-NZ"/>
              </w:rPr>
              <w:t>Pacific peoples</w:t>
            </w:r>
          </w:p>
        </w:tc>
        <w:tc>
          <w:tcPr>
            <w:tcW w:w="1814" w:type="dxa"/>
            <w:tcBorders>
              <w:top w:val="single" w:sz="4" w:space="0" w:color="auto"/>
              <w:bottom w:val="single" w:sz="4" w:space="0" w:color="auto"/>
            </w:tcBorders>
            <w:shd w:val="clear" w:color="auto" w:fill="auto"/>
          </w:tcPr>
          <w:p w14:paraId="365DC798" w14:textId="77777777" w:rsidR="00540A5C" w:rsidRPr="009B000C" w:rsidRDefault="00540A5C" w:rsidP="00A5031C">
            <w:pPr>
              <w:spacing w:before="40" w:after="40"/>
              <w:jc w:val="center"/>
              <w:rPr>
                <w:b/>
                <w:sz w:val="18"/>
                <w:szCs w:val="18"/>
                <w:lang w:eastAsia="en-NZ"/>
              </w:rPr>
            </w:pPr>
            <w:r>
              <w:rPr>
                <w:b/>
                <w:sz w:val="18"/>
                <w:szCs w:val="18"/>
                <w:lang w:eastAsia="en-NZ"/>
              </w:rPr>
              <w:t>Total New Zealand</w:t>
            </w:r>
          </w:p>
        </w:tc>
      </w:tr>
      <w:tr w:rsidR="00540A5C" w:rsidRPr="009B000C" w14:paraId="2C5C5480" w14:textId="77777777" w:rsidTr="00A5031C">
        <w:trPr>
          <w:cantSplit/>
        </w:trPr>
        <w:tc>
          <w:tcPr>
            <w:tcW w:w="6464" w:type="dxa"/>
            <w:tcBorders>
              <w:top w:val="single" w:sz="4" w:space="0" w:color="auto"/>
              <w:bottom w:val="single" w:sz="4" w:space="0" w:color="A6A6A6"/>
            </w:tcBorders>
            <w:shd w:val="clear" w:color="auto" w:fill="auto"/>
            <w:vAlign w:val="center"/>
          </w:tcPr>
          <w:p w14:paraId="23F19E74" w14:textId="77777777" w:rsidR="00540A5C" w:rsidRPr="009B000C" w:rsidRDefault="00540A5C" w:rsidP="00A5031C">
            <w:pPr>
              <w:spacing w:before="60" w:after="60"/>
              <w:ind w:right="142"/>
              <w:rPr>
                <w:sz w:val="18"/>
                <w:szCs w:val="18"/>
                <w:lang w:eastAsia="en-NZ"/>
              </w:rPr>
            </w:pPr>
            <w:r w:rsidRPr="004F3156">
              <w:rPr>
                <w:sz w:val="18"/>
                <w:szCs w:val="18"/>
                <w:lang w:eastAsia="en-NZ"/>
              </w:rPr>
              <w:t>Percentage of the population using DHB specialist mental health services</w:t>
            </w:r>
          </w:p>
        </w:tc>
        <w:tc>
          <w:tcPr>
            <w:tcW w:w="1446" w:type="dxa"/>
            <w:tcBorders>
              <w:top w:val="single" w:sz="4" w:space="0" w:color="auto"/>
              <w:bottom w:val="single" w:sz="4" w:space="0" w:color="A6A6A6"/>
            </w:tcBorders>
            <w:shd w:val="clear" w:color="auto" w:fill="auto"/>
            <w:vAlign w:val="center"/>
          </w:tcPr>
          <w:p w14:paraId="07588A4E" w14:textId="77777777" w:rsidR="00540A5C" w:rsidRPr="009B000C" w:rsidRDefault="00540A5C" w:rsidP="00A5031C">
            <w:pPr>
              <w:spacing w:before="60" w:after="60"/>
              <w:jc w:val="center"/>
              <w:rPr>
                <w:sz w:val="18"/>
                <w:szCs w:val="18"/>
                <w:lang w:eastAsia="en-NZ"/>
              </w:rPr>
            </w:pPr>
            <w:r>
              <w:rPr>
                <w:sz w:val="18"/>
                <w:szCs w:val="18"/>
                <w:lang w:eastAsia="en-NZ"/>
              </w:rPr>
              <w:t>3.1%</w:t>
            </w:r>
          </w:p>
        </w:tc>
        <w:tc>
          <w:tcPr>
            <w:tcW w:w="1814" w:type="dxa"/>
            <w:tcBorders>
              <w:top w:val="single" w:sz="4" w:space="0" w:color="auto"/>
              <w:bottom w:val="single" w:sz="4" w:space="0" w:color="A6A6A6"/>
            </w:tcBorders>
            <w:shd w:val="clear" w:color="auto" w:fill="auto"/>
            <w:vAlign w:val="center"/>
          </w:tcPr>
          <w:p w14:paraId="6ABE94B8" w14:textId="77777777" w:rsidR="00540A5C" w:rsidRPr="009B000C" w:rsidRDefault="00540A5C" w:rsidP="00A5031C">
            <w:pPr>
              <w:spacing w:before="60" w:after="60"/>
              <w:jc w:val="center"/>
              <w:rPr>
                <w:sz w:val="18"/>
                <w:szCs w:val="18"/>
                <w:lang w:eastAsia="en-NZ"/>
              </w:rPr>
            </w:pPr>
            <w:r>
              <w:rPr>
                <w:sz w:val="18"/>
                <w:szCs w:val="18"/>
                <w:lang w:eastAsia="en-NZ"/>
              </w:rPr>
              <w:t>3.5%</w:t>
            </w:r>
          </w:p>
        </w:tc>
      </w:tr>
      <w:tr w:rsidR="00540A5C" w:rsidRPr="009B000C" w14:paraId="24E378D2" w14:textId="77777777" w:rsidTr="00A5031C">
        <w:trPr>
          <w:cantSplit/>
        </w:trPr>
        <w:tc>
          <w:tcPr>
            <w:tcW w:w="6464" w:type="dxa"/>
            <w:tcBorders>
              <w:top w:val="single" w:sz="4" w:space="0" w:color="A6A6A6"/>
              <w:bottom w:val="single" w:sz="4" w:space="0" w:color="A6A6A6"/>
            </w:tcBorders>
            <w:shd w:val="clear" w:color="auto" w:fill="auto"/>
            <w:vAlign w:val="center"/>
          </w:tcPr>
          <w:p w14:paraId="6D227D6D" w14:textId="77777777" w:rsidR="00540A5C" w:rsidRPr="009B000C" w:rsidRDefault="00540A5C" w:rsidP="00A5031C">
            <w:pPr>
              <w:spacing w:before="60" w:after="60"/>
              <w:ind w:right="142"/>
              <w:rPr>
                <w:color w:val="000000"/>
                <w:sz w:val="18"/>
                <w:szCs w:val="18"/>
                <w:lang w:eastAsia="en-NZ"/>
              </w:rPr>
            </w:pPr>
            <w:r w:rsidRPr="004F3156">
              <w:rPr>
                <w:color w:val="000000"/>
                <w:sz w:val="18"/>
                <w:szCs w:val="18"/>
                <w:lang w:eastAsia="en-NZ"/>
              </w:rPr>
              <w:t>Percentage of eligible adults who had cardiovascular risk assessed</w:t>
            </w:r>
          </w:p>
        </w:tc>
        <w:tc>
          <w:tcPr>
            <w:tcW w:w="1446" w:type="dxa"/>
            <w:tcBorders>
              <w:top w:val="single" w:sz="4" w:space="0" w:color="A6A6A6"/>
              <w:bottom w:val="single" w:sz="4" w:space="0" w:color="A6A6A6"/>
            </w:tcBorders>
            <w:shd w:val="clear" w:color="auto" w:fill="auto"/>
            <w:vAlign w:val="center"/>
          </w:tcPr>
          <w:p w14:paraId="5F32B103" w14:textId="77777777" w:rsidR="00540A5C" w:rsidRPr="009B000C" w:rsidRDefault="00540A5C" w:rsidP="00A5031C">
            <w:pPr>
              <w:spacing w:before="60" w:after="60"/>
              <w:jc w:val="center"/>
              <w:rPr>
                <w:color w:val="000000"/>
                <w:sz w:val="18"/>
                <w:szCs w:val="18"/>
                <w:lang w:eastAsia="en-NZ"/>
              </w:rPr>
            </w:pPr>
            <w:r>
              <w:rPr>
                <w:color w:val="000000"/>
                <w:sz w:val="18"/>
                <w:szCs w:val="18"/>
                <w:lang w:eastAsia="en-NZ"/>
              </w:rPr>
              <w:t>89.1%</w:t>
            </w:r>
          </w:p>
        </w:tc>
        <w:tc>
          <w:tcPr>
            <w:tcW w:w="1814" w:type="dxa"/>
            <w:tcBorders>
              <w:top w:val="single" w:sz="4" w:space="0" w:color="A6A6A6"/>
              <w:bottom w:val="single" w:sz="4" w:space="0" w:color="A6A6A6"/>
            </w:tcBorders>
            <w:shd w:val="clear" w:color="auto" w:fill="auto"/>
            <w:vAlign w:val="center"/>
          </w:tcPr>
          <w:p w14:paraId="36BDA804" w14:textId="77777777" w:rsidR="00540A5C" w:rsidRPr="009B000C" w:rsidRDefault="00540A5C" w:rsidP="00A5031C">
            <w:pPr>
              <w:spacing w:before="60" w:after="60"/>
              <w:jc w:val="center"/>
              <w:rPr>
                <w:color w:val="000000"/>
                <w:sz w:val="18"/>
                <w:szCs w:val="18"/>
                <w:lang w:eastAsia="en-NZ"/>
              </w:rPr>
            </w:pPr>
            <w:r>
              <w:rPr>
                <w:color w:val="000000"/>
                <w:sz w:val="18"/>
                <w:szCs w:val="18"/>
                <w:lang w:eastAsia="en-NZ"/>
              </w:rPr>
              <w:t>89.9%</w:t>
            </w:r>
          </w:p>
        </w:tc>
      </w:tr>
    </w:tbl>
    <w:p w14:paraId="459EE230" w14:textId="77777777" w:rsidR="00540A5C" w:rsidRDefault="00540A5C" w:rsidP="00540A5C">
      <w:pPr>
        <w:pStyle w:val="Number"/>
        <w:spacing w:before="0"/>
        <w:ind w:left="0" w:firstLine="0"/>
      </w:pPr>
    </w:p>
    <w:p w14:paraId="5023EED7" w14:textId="530958F5" w:rsidR="00C7122E" w:rsidRDefault="00C7122E" w:rsidP="00FB3F7B">
      <w:r>
        <w:t xml:space="preserve">Rates against the remaining two </w:t>
      </w:r>
      <w:r>
        <w:rPr>
          <w:i/>
        </w:rPr>
        <w:t>’</w:t>
      </w:r>
      <w:r w:rsidRPr="009B000C">
        <w:rPr>
          <w:i/>
        </w:rPr>
        <w:t>Ala Mo’ui</w:t>
      </w:r>
      <w:r>
        <w:t xml:space="preserve"> health care utilisation indicators </w:t>
      </w:r>
      <w:r w:rsidR="00540A5C">
        <w:t xml:space="preserve">show poorer health outcomes </w:t>
      </w:r>
      <w:r>
        <w:t>for the Pacific population in comparison to the total New Zealand population (see Table 3).</w:t>
      </w:r>
    </w:p>
    <w:p w14:paraId="0D8EA0C0" w14:textId="77777777" w:rsidR="00C7122E" w:rsidRDefault="00C7122E" w:rsidP="00FB3F7B"/>
    <w:p w14:paraId="33B995C8" w14:textId="370D6CE6" w:rsidR="00C7122E" w:rsidRPr="009B000C" w:rsidRDefault="00C7122E" w:rsidP="00FB3F7B">
      <w:pPr>
        <w:pStyle w:val="Table"/>
      </w:pPr>
      <w:bookmarkStart w:id="19" w:name="_Toc445801429"/>
      <w:bookmarkStart w:id="20" w:name="_Toc447527119"/>
      <w:bookmarkStart w:id="21" w:name="_Toc458524022"/>
      <w:bookmarkStart w:id="22" w:name="_Toc531260399"/>
      <w:r>
        <w:t>Table 3</w:t>
      </w:r>
      <w:r w:rsidRPr="009B000C">
        <w:t xml:space="preserve">: </w:t>
      </w:r>
      <w:r w:rsidR="00473BBD">
        <w:rPr>
          <w:rFonts w:ascii="Arial" w:hAnsi="Arial" w:cs="Arial"/>
          <w:i/>
        </w:rPr>
        <w:t>ʹ</w:t>
      </w:r>
      <w:r w:rsidR="00473BBD">
        <w:rPr>
          <w:i/>
        </w:rPr>
        <w:t>Ala Mo</w:t>
      </w:r>
      <w:r w:rsidR="00473BBD">
        <w:rPr>
          <w:rFonts w:ascii="Arial" w:hAnsi="Arial" w:cs="Arial"/>
          <w:i/>
        </w:rPr>
        <w:t>ʹ</w:t>
      </w:r>
      <w:r w:rsidRPr="009B000C">
        <w:rPr>
          <w:i/>
        </w:rPr>
        <w:t>ui</w:t>
      </w:r>
      <w:r w:rsidRPr="009B000C">
        <w:t xml:space="preserve"> indicators </w:t>
      </w:r>
      <w:r>
        <w:t>against which</w:t>
      </w:r>
      <w:r w:rsidRPr="009B000C">
        <w:t xml:space="preserve"> </w:t>
      </w:r>
      <w:r>
        <w:t xml:space="preserve">rates for </w:t>
      </w:r>
      <w:r w:rsidRPr="009B000C">
        <w:t xml:space="preserve">Pacific peoples </w:t>
      </w:r>
      <w:r>
        <w:t>are lower than</w:t>
      </w:r>
      <w:r w:rsidRPr="009B000C">
        <w:t xml:space="preserve"> </w:t>
      </w:r>
      <w:r>
        <w:t xml:space="preserve">rates for </w:t>
      </w:r>
      <w:r w:rsidRPr="009B000C">
        <w:t xml:space="preserve">the </w:t>
      </w:r>
      <w:r>
        <w:t>total New Zealand population,</w:t>
      </w:r>
      <w:r w:rsidRPr="009B000C">
        <w:t xml:space="preserve"> </w:t>
      </w:r>
      <w:r>
        <w:t>31</w:t>
      </w:r>
      <w:r w:rsidRPr="009B000C">
        <w:t> </w:t>
      </w:r>
      <w:r>
        <w:t>March</w:t>
      </w:r>
      <w:r w:rsidRPr="009B000C">
        <w:t xml:space="preserve"> 201</w:t>
      </w:r>
      <w:bookmarkEnd w:id="19"/>
      <w:bookmarkEnd w:id="20"/>
      <w:bookmarkEnd w:id="21"/>
      <w:r>
        <w:t>7</w:t>
      </w:r>
      <w:bookmarkEnd w:id="22"/>
    </w:p>
    <w:tbl>
      <w:tblPr>
        <w:tblW w:w="9356"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127"/>
        <w:gridCol w:w="3543"/>
        <w:gridCol w:w="1843"/>
        <w:gridCol w:w="1843"/>
      </w:tblGrid>
      <w:tr w:rsidR="00C7122E" w:rsidRPr="00540A5C" w14:paraId="0ADCE9F3" w14:textId="77777777" w:rsidTr="00FB3F7B">
        <w:trPr>
          <w:cantSplit/>
        </w:trPr>
        <w:tc>
          <w:tcPr>
            <w:tcW w:w="5670" w:type="dxa"/>
            <w:gridSpan w:val="2"/>
            <w:tcBorders>
              <w:top w:val="single" w:sz="4" w:space="0" w:color="auto"/>
              <w:bottom w:val="single" w:sz="4" w:space="0" w:color="auto"/>
            </w:tcBorders>
            <w:shd w:val="clear" w:color="auto" w:fill="auto"/>
          </w:tcPr>
          <w:p w14:paraId="71B3DDB0" w14:textId="77777777" w:rsidR="00C7122E" w:rsidRPr="00540A5C" w:rsidRDefault="00C7122E" w:rsidP="00FB3F7B">
            <w:pPr>
              <w:pStyle w:val="TableText"/>
              <w:rPr>
                <w:rFonts w:ascii="Georgia" w:hAnsi="Georgia"/>
                <w:b/>
                <w:lang w:eastAsia="en-NZ"/>
              </w:rPr>
            </w:pPr>
            <w:r w:rsidRPr="00540A5C">
              <w:rPr>
                <w:rFonts w:ascii="Georgia" w:hAnsi="Georgia"/>
                <w:b/>
                <w:lang w:eastAsia="en-NZ"/>
              </w:rPr>
              <w:t>Indicator</w:t>
            </w:r>
          </w:p>
        </w:tc>
        <w:tc>
          <w:tcPr>
            <w:tcW w:w="1843" w:type="dxa"/>
            <w:tcBorders>
              <w:top w:val="single" w:sz="4" w:space="0" w:color="auto"/>
              <w:bottom w:val="single" w:sz="4" w:space="0" w:color="auto"/>
            </w:tcBorders>
            <w:shd w:val="clear" w:color="auto" w:fill="auto"/>
          </w:tcPr>
          <w:p w14:paraId="1C4CA672" w14:textId="77777777" w:rsidR="00C7122E" w:rsidRPr="00540A5C" w:rsidRDefault="00C7122E" w:rsidP="00FB3F7B">
            <w:pPr>
              <w:pStyle w:val="TableText"/>
              <w:jc w:val="center"/>
              <w:rPr>
                <w:rFonts w:ascii="Georgia" w:hAnsi="Georgia"/>
                <w:b/>
                <w:lang w:eastAsia="en-NZ"/>
              </w:rPr>
            </w:pPr>
            <w:r w:rsidRPr="00540A5C">
              <w:rPr>
                <w:rFonts w:ascii="Georgia" w:hAnsi="Georgia"/>
                <w:b/>
                <w:lang w:eastAsia="en-NZ"/>
              </w:rPr>
              <w:t>Pacific peoples</w:t>
            </w:r>
          </w:p>
        </w:tc>
        <w:tc>
          <w:tcPr>
            <w:tcW w:w="1843" w:type="dxa"/>
            <w:tcBorders>
              <w:top w:val="single" w:sz="4" w:space="0" w:color="auto"/>
              <w:bottom w:val="single" w:sz="4" w:space="0" w:color="auto"/>
            </w:tcBorders>
            <w:shd w:val="clear" w:color="auto" w:fill="auto"/>
          </w:tcPr>
          <w:p w14:paraId="439A207B" w14:textId="77777777" w:rsidR="00C7122E" w:rsidRPr="00540A5C" w:rsidRDefault="00C7122E" w:rsidP="00FB3F7B">
            <w:pPr>
              <w:pStyle w:val="TableText"/>
              <w:jc w:val="center"/>
              <w:rPr>
                <w:rFonts w:ascii="Georgia" w:hAnsi="Georgia"/>
                <w:b/>
                <w:lang w:eastAsia="en-NZ"/>
              </w:rPr>
            </w:pPr>
            <w:r w:rsidRPr="00540A5C">
              <w:rPr>
                <w:rFonts w:ascii="Georgia" w:hAnsi="Georgia"/>
                <w:b/>
                <w:lang w:eastAsia="en-NZ"/>
              </w:rPr>
              <w:t>Total New Zealand</w:t>
            </w:r>
          </w:p>
        </w:tc>
      </w:tr>
      <w:tr w:rsidR="00C7122E" w:rsidRPr="00540A5C" w14:paraId="174C9849" w14:textId="77777777" w:rsidTr="00FB3F7B">
        <w:trPr>
          <w:cantSplit/>
        </w:trPr>
        <w:tc>
          <w:tcPr>
            <w:tcW w:w="2127" w:type="dxa"/>
            <w:vMerge w:val="restart"/>
            <w:tcBorders>
              <w:top w:val="single" w:sz="4" w:space="0" w:color="auto"/>
              <w:right w:val="single" w:sz="4" w:space="0" w:color="C4BC96" w:themeColor="background2" w:themeShade="BF"/>
            </w:tcBorders>
            <w:shd w:val="clear" w:color="auto" w:fill="auto"/>
          </w:tcPr>
          <w:p w14:paraId="5807CBE5" w14:textId="77777777" w:rsidR="00C7122E" w:rsidRPr="00540A5C" w:rsidRDefault="00C7122E" w:rsidP="00FB3F7B">
            <w:pPr>
              <w:pStyle w:val="TableText"/>
              <w:rPr>
                <w:rFonts w:ascii="Georgia" w:hAnsi="Georgia"/>
                <w:lang w:eastAsia="en-NZ"/>
              </w:rPr>
            </w:pPr>
            <w:r w:rsidRPr="00540A5C">
              <w:rPr>
                <w:rFonts w:ascii="Georgia" w:hAnsi="Georgia"/>
                <w:lang w:eastAsia="en-NZ"/>
              </w:rPr>
              <w:t>Ambulatory sensitive hospitalisation rates per 100,000</w:t>
            </w:r>
          </w:p>
        </w:tc>
        <w:tc>
          <w:tcPr>
            <w:tcW w:w="3543" w:type="dxa"/>
            <w:tcBorders>
              <w:top w:val="single" w:sz="4" w:space="0" w:color="auto"/>
              <w:left w:val="single" w:sz="4" w:space="0" w:color="C4BC96" w:themeColor="background2" w:themeShade="BF"/>
              <w:bottom w:val="single" w:sz="4" w:space="0" w:color="C4BC96" w:themeColor="background2" w:themeShade="BF"/>
            </w:tcBorders>
            <w:shd w:val="clear" w:color="auto" w:fill="auto"/>
          </w:tcPr>
          <w:p w14:paraId="3E25E802" w14:textId="77777777" w:rsidR="00C7122E" w:rsidRPr="00540A5C" w:rsidRDefault="00C7122E" w:rsidP="00FB3F7B">
            <w:pPr>
              <w:pStyle w:val="TableText"/>
              <w:rPr>
                <w:rFonts w:ascii="Georgia" w:hAnsi="Georgia"/>
                <w:lang w:eastAsia="en-NZ"/>
              </w:rPr>
            </w:pPr>
            <w:r w:rsidRPr="00540A5C">
              <w:rPr>
                <w:rFonts w:ascii="Georgia" w:hAnsi="Georgia"/>
                <w:lang w:eastAsia="en-NZ"/>
              </w:rPr>
              <w:t>Children (0–4 years old)</w:t>
            </w:r>
          </w:p>
        </w:tc>
        <w:tc>
          <w:tcPr>
            <w:tcW w:w="1843" w:type="dxa"/>
            <w:tcBorders>
              <w:top w:val="single" w:sz="4" w:space="0" w:color="auto"/>
              <w:bottom w:val="single" w:sz="4" w:space="0" w:color="C4BC96" w:themeColor="background2" w:themeShade="BF"/>
            </w:tcBorders>
            <w:shd w:val="clear" w:color="auto" w:fill="auto"/>
          </w:tcPr>
          <w:p w14:paraId="4F426A12" w14:textId="77777777" w:rsidR="00C7122E" w:rsidRPr="00540A5C" w:rsidRDefault="00C7122E" w:rsidP="000E0183">
            <w:pPr>
              <w:pStyle w:val="TableText"/>
              <w:tabs>
                <w:tab w:val="decimal" w:pos="1077"/>
              </w:tabs>
              <w:rPr>
                <w:rFonts w:ascii="Georgia" w:hAnsi="Georgia"/>
                <w:lang w:eastAsia="en-NZ"/>
              </w:rPr>
            </w:pPr>
            <w:r w:rsidRPr="00540A5C">
              <w:rPr>
                <w:rFonts w:ascii="Georgia" w:hAnsi="Georgia"/>
                <w:lang w:eastAsia="en-NZ"/>
              </w:rPr>
              <w:t>12,079</w:t>
            </w:r>
          </w:p>
        </w:tc>
        <w:tc>
          <w:tcPr>
            <w:tcW w:w="1843" w:type="dxa"/>
            <w:tcBorders>
              <w:top w:val="single" w:sz="4" w:space="0" w:color="auto"/>
              <w:bottom w:val="single" w:sz="4" w:space="0" w:color="C4BC96" w:themeColor="background2" w:themeShade="BF"/>
            </w:tcBorders>
            <w:shd w:val="clear" w:color="auto" w:fill="auto"/>
          </w:tcPr>
          <w:p w14:paraId="41EC0A1B" w14:textId="77777777" w:rsidR="00C7122E" w:rsidRPr="00540A5C" w:rsidRDefault="00C7122E" w:rsidP="000E0183">
            <w:pPr>
              <w:pStyle w:val="TableText"/>
              <w:tabs>
                <w:tab w:val="decimal" w:pos="1077"/>
              </w:tabs>
              <w:rPr>
                <w:rFonts w:ascii="Georgia" w:hAnsi="Georgia"/>
                <w:lang w:eastAsia="en-NZ"/>
              </w:rPr>
            </w:pPr>
            <w:r w:rsidRPr="00540A5C">
              <w:rPr>
                <w:rFonts w:ascii="Georgia" w:hAnsi="Georgia"/>
                <w:lang w:eastAsia="en-NZ"/>
              </w:rPr>
              <w:t>6,690</w:t>
            </w:r>
          </w:p>
        </w:tc>
      </w:tr>
      <w:tr w:rsidR="00C7122E" w:rsidRPr="00540A5C" w14:paraId="329BE0CE" w14:textId="77777777" w:rsidTr="00FB3F7B">
        <w:trPr>
          <w:cantSplit/>
        </w:trPr>
        <w:tc>
          <w:tcPr>
            <w:tcW w:w="2127" w:type="dxa"/>
            <w:vMerge/>
            <w:tcBorders>
              <w:bottom w:val="single" w:sz="4" w:space="0" w:color="A6A6A6"/>
              <w:right w:val="single" w:sz="4" w:space="0" w:color="C4BC96" w:themeColor="background2" w:themeShade="BF"/>
            </w:tcBorders>
            <w:shd w:val="clear" w:color="auto" w:fill="auto"/>
          </w:tcPr>
          <w:p w14:paraId="707AE043" w14:textId="77777777" w:rsidR="00C7122E" w:rsidRPr="00540A5C" w:rsidRDefault="00C7122E" w:rsidP="00FB3F7B">
            <w:pPr>
              <w:pStyle w:val="TableText"/>
              <w:rPr>
                <w:rFonts w:ascii="Georgia" w:hAnsi="Georgia"/>
                <w:lang w:eastAsia="en-NZ"/>
              </w:rPr>
            </w:pPr>
          </w:p>
        </w:tc>
        <w:tc>
          <w:tcPr>
            <w:tcW w:w="3543" w:type="dxa"/>
            <w:tcBorders>
              <w:top w:val="single" w:sz="4" w:space="0" w:color="C4BC96" w:themeColor="background2" w:themeShade="BF"/>
              <w:left w:val="single" w:sz="4" w:space="0" w:color="C4BC96" w:themeColor="background2" w:themeShade="BF"/>
              <w:bottom w:val="single" w:sz="4" w:space="0" w:color="C4BC96" w:themeColor="background2" w:themeShade="BF"/>
            </w:tcBorders>
            <w:shd w:val="clear" w:color="auto" w:fill="auto"/>
          </w:tcPr>
          <w:p w14:paraId="34FA6FF0" w14:textId="77777777" w:rsidR="00C7122E" w:rsidRPr="00540A5C" w:rsidRDefault="00C7122E" w:rsidP="00FB3F7B">
            <w:pPr>
              <w:pStyle w:val="TableText"/>
              <w:rPr>
                <w:rFonts w:ascii="Georgia" w:hAnsi="Georgia"/>
                <w:lang w:eastAsia="en-NZ"/>
              </w:rPr>
            </w:pPr>
            <w:r w:rsidRPr="00540A5C">
              <w:rPr>
                <w:rFonts w:ascii="Georgia" w:hAnsi="Georgia"/>
                <w:lang w:eastAsia="en-NZ"/>
              </w:rPr>
              <w:t>Adults (45–64 years old)</w:t>
            </w:r>
          </w:p>
        </w:tc>
        <w:tc>
          <w:tcPr>
            <w:tcW w:w="1843" w:type="dxa"/>
            <w:tcBorders>
              <w:top w:val="single" w:sz="4" w:space="0" w:color="C4BC96" w:themeColor="background2" w:themeShade="BF"/>
              <w:bottom w:val="single" w:sz="4" w:space="0" w:color="C4BC96" w:themeColor="background2" w:themeShade="BF"/>
            </w:tcBorders>
            <w:shd w:val="clear" w:color="auto" w:fill="auto"/>
          </w:tcPr>
          <w:p w14:paraId="06A51EEF" w14:textId="77777777" w:rsidR="00C7122E" w:rsidRPr="00540A5C" w:rsidRDefault="00C7122E" w:rsidP="000E0183">
            <w:pPr>
              <w:pStyle w:val="TableText"/>
              <w:tabs>
                <w:tab w:val="decimal" w:pos="1077"/>
              </w:tabs>
              <w:rPr>
                <w:rFonts w:ascii="Georgia" w:hAnsi="Georgia"/>
                <w:lang w:eastAsia="en-NZ"/>
              </w:rPr>
            </w:pPr>
            <w:r w:rsidRPr="00540A5C">
              <w:rPr>
                <w:rFonts w:ascii="Georgia" w:hAnsi="Georgia"/>
                <w:lang w:eastAsia="en-NZ"/>
              </w:rPr>
              <w:t>8,787</w:t>
            </w:r>
          </w:p>
        </w:tc>
        <w:tc>
          <w:tcPr>
            <w:tcW w:w="1843" w:type="dxa"/>
            <w:tcBorders>
              <w:top w:val="single" w:sz="4" w:space="0" w:color="C4BC96" w:themeColor="background2" w:themeShade="BF"/>
              <w:bottom w:val="single" w:sz="4" w:space="0" w:color="C4BC96" w:themeColor="background2" w:themeShade="BF"/>
            </w:tcBorders>
            <w:shd w:val="clear" w:color="auto" w:fill="auto"/>
          </w:tcPr>
          <w:p w14:paraId="07A07B03" w14:textId="77777777" w:rsidR="00C7122E" w:rsidRPr="00540A5C" w:rsidRDefault="00C7122E" w:rsidP="000E0183">
            <w:pPr>
              <w:pStyle w:val="TableText"/>
              <w:tabs>
                <w:tab w:val="decimal" w:pos="1077"/>
              </w:tabs>
              <w:rPr>
                <w:rFonts w:ascii="Georgia" w:hAnsi="Georgia"/>
                <w:lang w:eastAsia="en-NZ"/>
              </w:rPr>
            </w:pPr>
            <w:r w:rsidRPr="00540A5C">
              <w:rPr>
                <w:rFonts w:ascii="Georgia" w:hAnsi="Georgia"/>
                <w:lang w:eastAsia="en-NZ"/>
              </w:rPr>
              <w:t>3,789</w:t>
            </w:r>
          </w:p>
        </w:tc>
      </w:tr>
      <w:tr w:rsidR="00C7122E" w:rsidRPr="00540A5C" w14:paraId="1959326E" w14:textId="77777777" w:rsidTr="00FB3F7B">
        <w:trPr>
          <w:cantSplit/>
        </w:trPr>
        <w:tc>
          <w:tcPr>
            <w:tcW w:w="5670" w:type="dxa"/>
            <w:gridSpan w:val="2"/>
            <w:tcBorders>
              <w:top w:val="single" w:sz="4" w:space="0" w:color="A6A6A6"/>
              <w:bottom w:val="single" w:sz="4" w:space="0" w:color="A6A6A6"/>
            </w:tcBorders>
            <w:shd w:val="clear" w:color="auto" w:fill="auto"/>
          </w:tcPr>
          <w:p w14:paraId="210C19F3" w14:textId="77777777" w:rsidR="00C7122E" w:rsidRPr="00540A5C" w:rsidRDefault="00C7122E" w:rsidP="00FB3F7B">
            <w:pPr>
              <w:pStyle w:val="TableText"/>
              <w:rPr>
                <w:rFonts w:ascii="Georgia" w:hAnsi="Georgia"/>
                <w:lang w:eastAsia="en-NZ"/>
              </w:rPr>
            </w:pPr>
            <w:r w:rsidRPr="00540A5C">
              <w:rPr>
                <w:rFonts w:ascii="Georgia" w:hAnsi="Georgia"/>
              </w:rPr>
              <w:t>Estimated percentage of people with diabetes</w:t>
            </w:r>
          </w:p>
        </w:tc>
        <w:tc>
          <w:tcPr>
            <w:tcW w:w="1843" w:type="dxa"/>
            <w:tcBorders>
              <w:top w:val="single" w:sz="4" w:space="0" w:color="A6A6A6"/>
              <w:bottom w:val="single" w:sz="4" w:space="0" w:color="A6A6A6"/>
            </w:tcBorders>
            <w:shd w:val="clear" w:color="auto" w:fill="auto"/>
          </w:tcPr>
          <w:p w14:paraId="684C5452" w14:textId="77777777" w:rsidR="00C7122E" w:rsidRPr="00540A5C" w:rsidRDefault="00C7122E" w:rsidP="000E0183">
            <w:pPr>
              <w:pStyle w:val="TableText"/>
              <w:tabs>
                <w:tab w:val="decimal" w:pos="794"/>
              </w:tabs>
              <w:rPr>
                <w:rFonts w:ascii="Georgia" w:hAnsi="Georgia"/>
                <w:lang w:eastAsia="en-NZ"/>
              </w:rPr>
            </w:pPr>
            <w:r w:rsidRPr="00540A5C">
              <w:rPr>
                <w:rFonts w:ascii="Georgia" w:hAnsi="Georgia"/>
                <w:lang w:eastAsia="en-NZ"/>
              </w:rPr>
              <w:t>10.2%</w:t>
            </w:r>
          </w:p>
        </w:tc>
        <w:tc>
          <w:tcPr>
            <w:tcW w:w="1843" w:type="dxa"/>
            <w:tcBorders>
              <w:top w:val="single" w:sz="4" w:space="0" w:color="A6A6A6"/>
              <w:bottom w:val="single" w:sz="4" w:space="0" w:color="A6A6A6"/>
            </w:tcBorders>
            <w:shd w:val="clear" w:color="auto" w:fill="auto"/>
          </w:tcPr>
          <w:p w14:paraId="534BADD9" w14:textId="77777777" w:rsidR="00C7122E" w:rsidRPr="00540A5C" w:rsidRDefault="00C7122E" w:rsidP="000E0183">
            <w:pPr>
              <w:pStyle w:val="TableText"/>
              <w:tabs>
                <w:tab w:val="decimal" w:pos="794"/>
              </w:tabs>
              <w:rPr>
                <w:rFonts w:ascii="Georgia" w:hAnsi="Georgia"/>
                <w:lang w:eastAsia="en-NZ"/>
              </w:rPr>
            </w:pPr>
            <w:r w:rsidRPr="00540A5C">
              <w:rPr>
                <w:rFonts w:ascii="Georgia" w:hAnsi="Georgia"/>
                <w:lang w:eastAsia="en-NZ"/>
              </w:rPr>
              <w:t>5.5%</w:t>
            </w:r>
          </w:p>
        </w:tc>
      </w:tr>
      <w:tr w:rsidR="00C7122E" w:rsidRPr="00540A5C" w14:paraId="5316124A" w14:textId="77777777" w:rsidTr="000E0183">
        <w:trPr>
          <w:cantSplit/>
        </w:trPr>
        <w:tc>
          <w:tcPr>
            <w:tcW w:w="5670" w:type="dxa"/>
            <w:gridSpan w:val="2"/>
            <w:tcBorders>
              <w:top w:val="single" w:sz="4" w:space="0" w:color="A6A6A6"/>
              <w:bottom w:val="single" w:sz="4" w:space="0" w:color="auto"/>
            </w:tcBorders>
            <w:shd w:val="clear" w:color="auto" w:fill="auto"/>
          </w:tcPr>
          <w:p w14:paraId="0DF05C36" w14:textId="77777777" w:rsidR="00C7122E" w:rsidRPr="00540A5C" w:rsidRDefault="00C7122E" w:rsidP="00FB3F7B">
            <w:pPr>
              <w:pStyle w:val="TableText"/>
              <w:rPr>
                <w:rFonts w:ascii="Georgia" w:hAnsi="Georgia"/>
              </w:rPr>
            </w:pPr>
            <w:r w:rsidRPr="00540A5C">
              <w:rPr>
                <w:rFonts w:ascii="Georgia" w:hAnsi="Georgia"/>
              </w:rPr>
              <w:t>Rheumatic fever hospitalisation rate per 100,000</w:t>
            </w:r>
          </w:p>
        </w:tc>
        <w:tc>
          <w:tcPr>
            <w:tcW w:w="1843" w:type="dxa"/>
            <w:tcBorders>
              <w:top w:val="single" w:sz="4" w:space="0" w:color="A6A6A6"/>
              <w:bottom w:val="single" w:sz="4" w:space="0" w:color="auto"/>
            </w:tcBorders>
            <w:shd w:val="clear" w:color="auto" w:fill="auto"/>
          </w:tcPr>
          <w:p w14:paraId="590E4A93" w14:textId="77777777" w:rsidR="00C7122E" w:rsidRPr="00540A5C" w:rsidRDefault="00C7122E" w:rsidP="000E0183">
            <w:pPr>
              <w:pStyle w:val="TableText"/>
              <w:jc w:val="center"/>
              <w:rPr>
                <w:rFonts w:ascii="Georgia" w:hAnsi="Georgia"/>
                <w:lang w:eastAsia="en-NZ"/>
              </w:rPr>
            </w:pPr>
            <w:r w:rsidRPr="00540A5C">
              <w:rPr>
                <w:rFonts w:ascii="Georgia" w:hAnsi="Georgia"/>
                <w:lang w:eastAsia="en-NZ"/>
              </w:rPr>
              <w:t>25</w:t>
            </w:r>
          </w:p>
        </w:tc>
        <w:tc>
          <w:tcPr>
            <w:tcW w:w="1843" w:type="dxa"/>
            <w:tcBorders>
              <w:top w:val="single" w:sz="4" w:space="0" w:color="A6A6A6"/>
              <w:bottom w:val="single" w:sz="4" w:space="0" w:color="auto"/>
            </w:tcBorders>
            <w:shd w:val="clear" w:color="auto" w:fill="auto"/>
          </w:tcPr>
          <w:p w14:paraId="144FC3C5" w14:textId="77777777" w:rsidR="00C7122E" w:rsidRPr="00540A5C" w:rsidRDefault="00C7122E" w:rsidP="000E0183">
            <w:pPr>
              <w:pStyle w:val="TableText"/>
              <w:jc w:val="center"/>
              <w:rPr>
                <w:rFonts w:ascii="Georgia" w:hAnsi="Georgia"/>
                <w:lang w:eastAsia="en-NZ"/>
              </w:rPr>
            </w:pPr>
            <w:r w:rsidRPr="00540A5C">
              <w:rPr>
                <w:rFonts w:ascii="Georgia" w:hAnsi="Georgia"/>
                <w:lang w:eastAsia="en-NZ"/>
              </w:rPr>
              <w:t>3</w:t>
            </w:r>
          </w:p>
        </w:tc>
      </w:tr>
    </w:tbl>
    <w:p w14:paraId="10C883CB" w14:textId="77777777" w:rsidR="00C7122E" w:rsidRDefault="00C7122E" w:rsidP="000E0183"/>
    <w:p w14:paraId="7774AD3A" w14:textId="77777777" w:rsidR="00C7122E" w:rsidRDefault="00C7122E" w:rsidP="000E0183">
      <w:pPr>
        <w:pStyle w:val="Heading1"/>
      </w:pPr>
      <w:bookmarkStart w:id="23" w:name="_Toc503949855"/>
      <w:bookmarkStart w:id="24" w:name="_Toc504294544"/>
      <w:bookmarkStart w:id="25" w:name="_Toc531260415"/>
      <w:r w:rsidRPr="009667F0">
        <w:lastRenderedPageBreak/>
        <w:t xml:space="preserve">System </w:t>
      </w:r>
      <w:r w:rsidR="000E0183">
        <w:t>L</w:t>
      </w:r>
      <w:r w:rsidRPr="00A01608">
        <w:t xml:space="preserve">evel </w:t>
      </w:r>
      <w:r w:rsidR="000E0183">
        <w:t>M</w:t>
      </w:r>
      <w:r w:rsidRPr="009667F0">
        <w:t>easures</w:t>
      </w:r>
      <w:bookmarkEnd w:id="23"/>
      <w:bookmarkEnd w:id="24"/>
      <w:bookmarkEnd w:id="25"/>
    </w:p>
    <w:p w14:paraId="522689E6" w14:textId="77777777" w:rsidR="00C7122E" w:rsidRDefault="00C7122E" w:rsidP="000E0183">
      <w:r>
        <w:t>With the update of the New Zealand Health Strategy, the Integrated Performance and Incentive Framework (the Ministry of Health’s previous quality improvement framework) evolved into System Level Measures. This shifted the focus from primary care to the whole of the health system.</w:t>
      </w:r>
    </w:p>
    <w:p w14:paraId="2B8511E6" w14:textId="77777777" w:rsidR="00C7122E" w:rsidRDefault="00C7122E" w:rsidP="000E0183"/>
    <w:p w14:paraId="2B0C7A20" w14:textId="77777777" w:rsidR="00C7122E" w:rsidRDefault="00C7122E" w:rsidP="000E0183">
      <w:r>
        <w:t>The purpose of System Level Measures is to:</w:t>
      </w:r>
    </w:p>
    <w:p w14:paraId="18B5E1BD" w14:textId="77777777" w:rsidR="00C7122E" w:rsidRDefault="00C7122E" w:rsidP="000E0183">
      <w:pPr>
        <w:pStyle w:val="Bullet"/>
      </w:pPr>
      <w:r>
        <w:t>shift the focus of health sector performance from outputs to outcomes</w:t>
      </w:r>
    </w:p>
    <w:p w14:paraId="14A1C769" w14:textId="77777777" w:rsidR="00C7122E" w:rsidRDefault="00C7122E" w:rsidP="000E0183">
      <w:pPr>
        <w:pStyle w:val="Bullet"/>
      </w:pPr>
      <w:r>
        <w:t>measure performance of the whole health system that is achieved through integration of services and systems</w:t>
      </w:r>
    </w:p>
    <w:p w14:paraId="1D6BC004" w14:textId="77777777" w:rsidR="00C7122E" w:rsidRDefault="00C7122E" w:rsidP="000E0183">
      <w:pPr>
        <w:pStyle w:val="Bullet"/>
      </w:pPr>
      <w:r>
        <w:t>reduce demand on hospital resources through providing access to primary care</w:t>
      </w:r>
    </w:p>
    <w:p w14:paraId="49B22E1F" w14:textId="77777777" w:rsidR="00FB3F7B" w:rsidRDefault="00C7122E" w:rsidP="000E0183">
      <w:pPr>
        <w:pStyle w:val="Bullet"/>
      </w:pPr>
      <w:r>
        <w:t>provide a high-level organising framework for local clinically led quality improvement</w:t>
      </w:r>
    </w:p>
    <w:p w14:paraId="53A03ED7" w14:textId="77777777" w:rsidR="00C7122E" w:rsidRDefault="00C7122E" w:rsidP="000E0183">
      <w:pPr>
        <w:pStyle w:val="Bullet"/>
      </w:pPr>
      <w:r>
        <w:t>eliminate health inequities for Māori and Pacific peoples who have poorer access to health care and poorer health outcomes</w:t>
      </w:r>
    </w:p>
    <w:p w14:paraId="4597A74E" w14:textId="77777777" w:rsidR="00C7122E" w:rsidRDefault="00C7122E" w:rsidP="000E0183">
      <w:pPr>
        <w:pStyle w:val="Bullet"/>
      </w:pPr>
      <w:r>
        <w:t>ensure people experience integrated and safe health care.</w:t>
      </w:r>
    </w:p>
    <w:p w14:paraId="65FA3612" w14:textId="77777777" w:rsidR="00C7122E" w:rsidRDefault="00C7122E" w:rsidP="000E0183"/>
    <w:p w14:paraId="65462FE9" w14:textId="77777777" w:rsidR="00FB3F7B" w:rsidRDefault="00C7122E" w:rsidP="000E0183">
      <w:r>
        <w:t>System Level Measures focus on children, youth and vulnerable populations. They form part of the DHB annual planning process, and provide an opportunity for DHBs to work with their primary, secondary and community care providers to improve the health outcomes of their local populations. They promote better understanding and use of health information, engagement with people in the design and delivery of health services and better health investment in models of care based on local population needs. Within the System Level Measures system, improvement milestones and activities are based on local needs.</w:t>
      </w:r>
    </w:p>
    <w:p w14:paraId="50A8EBDD" w14:textId="77777777" w:rsidR="00C7122E" w:rsidRDefault="00C7122E" w:rsidP="000E0183"/>
    <w:p w14:paraId="7B6D5E8A" w14:textId="77777777" w:rsidR="00C7122E" w:rsidRDefault="00C7122E" w:rsidP="000E0183">
      <w:r>
        <w:t>The Ministry expects that district alliances made up of relevant providers will use data to identify and analyse health outcome gaps, and develop activities and services to reach local improvement milestones. Reducing equity gaps is a priority for this work.</w:t>
      </w:r>
    </w:p>
    <w:p w14:paraId="2DD0CB7F" w14:textId="77777777" w:rsidR="00C7122E" w:rsidRDefault="00C7122E" w:rsidP="000E0183"/>
    <w:p w14:paraId="3E1B8840" w14:textId="77777777" w:rsidR="00C7122E" w:rsidRDefault="00C7122E" w:rsidP="000E0183">
      <w:r>
        <w:t>As System Level Measures are based on local quality improvement, the Ministry assesses individual DHB results at a local level only. All 20 district alliances work to a Ministry of Health-approved Improvement Plan outlining how they will implement and achieve the six System Level Measures.</w:t>
      </w:r>
    </w:p>
    <w:p w14:paraId="4146D32C" w14:textId="77777777" w:rsidR="00C7122E" w:rsidRDefault="00C7122E" w:rsidP="000E0183"/>
    <w:p w14:paraId="5520033E" w14:textId="77777777" w:rsidR="00C7122E" w:rsidRDefault="00C7122E" w:rsidP="000E0183">
      <w:r>
        <w:t>The four System Level Measures that the Ministry implemented for 2016/2017 were:</w:t>
      </w:r>
    </w:p>
    <w:p w14:paraId="48294D92" w14:textId="77777777" w:rsidR="00C7122E" w:rsidRDefault="000E0183" w:rsidP="000E0183">
      <w:pPr>
        <w:spacing w:before="90"/>
        <w:ind w:left="567" w:hanging="567"/>
      </w:pPr>
      <w:r>
        <w:t>1.</w:t>
      </w:r>
      <w:r>
        <w:tab/>
      </w:r>
      <w:r w:rsidR="00C7122E">
        <w:t>ASH rates per 100,000 for 0–4-year-olds (ie, with the aim of keeping children out of hospital)</w:t>
      </w:r>
    </w:p>
    <w:p w14:paraId="7391B107" w14:textId="77777777" w:rsidR="00C7122E" w:rsidRDefault="000E0183" w:rsidP="000E0183">
      <w:pPr>
        <w:spacing w:before="90"/>
        <w:ind w:left="567" w:hanging="567"/>
      </w:pPr>
      <w:r>
        <w:t>2.</w:t>
      </w:r>
      <w:r>
        <w:tab/>
      </w:r>
      <w:r w:rsidR="00C7122E">
        <w:t>acute hospital bed days per capita (ie, with the aim of using health resources effectively)</w:t>
      </w:r>
    </w:p>
    <w:p w14:paraId="37415553" w14:textId="77777777" w:rsidR="00C7122E" w:rsidRDefault="000E0183" w:rsidP="000E0183">
      <w:pPr>
        <w:spacing w:before="90"/>
        <w:ind w:left="567" w:hanging="567"/>
      </w:pPr>
      <w:r>
        <w:t>3.</w:t>
      </w:r>
      <w:r>
        <w:tab/>
      </w:r>
      <w:r w:rsidR="00C7122E">
        <w:t>patient experience of care (ie, with the aim of providing person-centred care)</w:t>
      </w:r>
    </w:p>
    <w:p w14:paraId="60732DB0" w14:textId="77777777" w:rsidR="00C7122E" w:rsidRDefault="000E0183" w:rsidP="000E0183">
      <w:pPr>
        <w:spacing w:before="90"/>
        <w:ind w:left="567" w:hanging="567"/>
      </w:pPr>
      <w:r>
        <w:t>4.</w:t>
      </w:r>
      <w:r>
        <w:tab/>
      </w:r>
      <w:r w:rsidR="00C7122E">
        <w:t>amenable mortality rates (ie, with the aim of improving prevention and early detection).</w:t>
      </w:r>
    </w:p>
    <w:p w14:paraId="3DAC9F4A" w14:textId="77777777" w:rsidR="00C7122E" w:rsidRDefault="00C7122E" w:rsidP="000E0183"/>
    <w:p w14:paraId="2267B85F" w14:textId="77777777" w:rsidR="00C7122E" w:rsidRDefault="00C7122E" w:rsidP="000E0183">
      <w:pPr>
        <w:keepNext/>
      </w:pPr>
      <w:r>
        <w:t>Two additional System Level Measures were implemented from 1 July 2017:</w:t>
      </w:r>
    </w:p>
    <w:p w14:paraId="0018C9DD" w14:textId="77777777" w:rsidR="00C7122E" w:rsidRDefault="000E0183" w:rsidP="000E0183">
      <w:pPr>
        <w:spacing w:before="90"/>
        <w:ind w:left="567" w:hanging="567"/>
      </w:pPr>
      <w:r>
        <w:t>1.</w:t>
      </w:r>
      <w:r>
        <w:tab/>
      </w:r>
      <w:r w:rsidR="00C7122E">
        <w:t>the proportion of babies who live in a smoke-free household at six weeks of age (ie, with the aim of providing babies with a healthy start)</w:t>
      </w:r>
    </w:p>
    <w:p w14:paraId="5204E359" w14:textId="77777777" w:rsidR="00C7122E" w:rsidRDefault="000E0183" w:rsidP="000E0183">
      <w:pPr>
        <w:spacing w:before="90"/>
        <w:ind w:left="567" w:hanging="567"/>
      </w:pPr>
      <w:r>
        <w:t>2.</w:t>
      </w:r>
      <w:r>
        <w:tab/>
      </w:r>
      <w:r w:rsidR="00C7122E">
        <w:t>youth access to and utilisation of youth-appropriate health services (ie, with the aim of ensuring youth are healthy, safe and supported).</w:t>
      </w:r>
    </w:p>
    <w:p w14:paraId="36E1AE40" w14:textId="77777777" w:rsidR="00C7122E" w:rsidRPr="00CC5756" w:rsidRDefault="00C7122E" w:rsidP="000E0183">
      <w:pPr>
        <w:pStyle w:val="Heading1"/>
      </w:pPr>
      <w:bookmarkStart w:id="26" w:name="_Toc503949856"/>
      <w:bookmarkStart w:id="27" w:name="_Toc504294545"/>
      <w:bookmarkStart w:id="28" w:name="_Toc531260416"/>
      <w:r w:rsidRPr="00CC5756">
        <w:lastRenderedPageBreak/>
        <w:t>Ambulatory sensitive hospitalisation rates</w:t>
      </w:r>
      <w:bookmarkEnd w:id="26"/>
      <w:bookmarkEnd w:id="27"/>
      <w:bookmarkEnd w:id="28"/>
    </w:p>
    <w:p w14:paraId="0AE68FF1" w14:textId="77777777" w:rsidR="00C7122E" w:rsidRDefault="00C7122E" w:rsidP="000E0183">
      <w:r>
        <w:t xml:space="preserve">Health systems often use </w:t>
      </w:r>
      <w:r w:rsidRPr="00A119E8">
        <w:t xml:space="preserve">ASH rates as a measure of the effectiveness of the interface between primary and secondary health care. The assumption is that better management of chronic conditions such as diabetes and cardiovascular disease within local communities </w:t>
      </w:r>
      <w:r>
        <w:t xml:space="preserve">(ie, in the primary care context) </w:t>
      </w:r>
      <w:r w:rsidRPr="00A119E8">
        <w:t xml:space="preserve">has the potential to reduce the number of avoidable hospital admissions (and </w:t>
      </w:r>
      <w:r>
        <w:t xml:space="preserve">therefore </w:t>
      </w:r>
      <w:r w:rsidRPr="00A119E8">
        <w:t xml:space="preserve">to moderate demand on hospital resources). </w:t>
      </w:r>
      <w:r>
        <w:t>On a quarterly basis, the Ministry of Health analyses d</w:t>
      </w:r>
      <w:r w:rsidRPr="00A119E8">
        <w:t xml:space="preserve">iagnosis information on hospitalisations sent to the national data set to </w:t>
      </w:r>
      <w:r>
        <w:t>obtain ASH rates</w:t>
      </w:r>
      <w:r w:rsidRPr="00A119E8">
        <w:t>.</w:t>
      </w:r>
    </w:p>
    <w:p w14:paraId="4A2CB6FD" w14:textId="77777777" w:rsidR="00C7122E" w:rsidRPr="00A119E8" w:rsidRDefault="00C7122E" w:rsidP="000E0183"/>
    <w:p w14:paraId="3074E8B8" w14:textId="77777777" w:rsidR="00FB3F7B" w:rsidRDefault="00C7122E" w:rsidP="000E0183">
      <w:r w:rsidRPr="00A119E8">
        <w:t xml:space="preserve">The Ministry initiated a review of the methodology used to calculate ASH rates towards the end of 2014. As a result, </w:t>
      </w:r>
      <w:r>
        <w:t>it has changed</w:t>
      </w:r>
      <w:r w:rsidRPr="00A119E8">
        <w:t xml:space="preserve"> the previous ASH definition to differentiate ‘Child ASH’ from ‘Adult ASH’. The rationale is that clinical conditions for ‘Child ASH’ differ from those for ‘Adult ASH’. The Ministry </w:t>
      </w:r>
      <w:r>
        <w:t xml:space="preserve">is now </w:t>
      </w:r>
      <w:r w:rsidRPr="00A119E8">
        <w:t xml:space="preserve">reporting Child ASH </w:t>
      </w:r>
      <w:r>
        <w:t xml:space="preserve">rates </w:t>
      </w:r>
      <w:r w:rsidRPr="00A119E8">
        <w:t>(</w:t>
      </w:r>
      <w:r>
        <w:t xml:space="preserve">for </w:t>
      </w:r>
      <w:r w:rsidRPr="00A119E8">
        <w:t>0–4-year-olds) and Adult ASH</w:t>
      </w:r>
      <w:r>
        <w:t xml:space="preserve"> rates </w:t>
      </w:r>
      <w:r w:rsidRPr="00A119E8">
        <w:t>(</w:t>
      </w:r>
      <w:r>
        <w:t xml:space="preserve">for </w:t>
      </w:r>
      <w:r w:rsidRPr="00A119E8">
        <w:t>45–64-year-olds) rates</w:t>
      </w:r>
      <w:r w:rsidR="000E0183">
        <w:t>.</w:t>
      </w:r>
      <w:r w:rsidRPr="000E0183">
        <w:rPr>
          <w:rStyle w:val="FootnoteReference"/>
        </w:rPr>
        <w:footnoteReference w:id="1"/>
      </w:r>
    </w:p>
    <w:p w14:paraId="1010A866" w14:textId="77777777" w:rsidR="00C7122E" w:rsidRDefault="00C7122E" w:rsidP="000E0183">
      <w:pPr>
        <w:rPr>
          <w:rStyle w:val="Hyperlink"/>
          <w:rFonts w:eastAsia="MS Gothic"/>
        </w:rPr>
      </w:pPr>
    </w:p>
    <w:p w14:paraId="6A190474" w14:textId="77777777" w:rsidR="00FB3F7B" w:rsidRDefault="00C7122E" w:rsidP="000E0183">
      <w:pPr>
        <w:rPr>
          <w:rStyle w:val="Hyperlink"/>
          <w:rFonts w:eastAsia="MS Gothic"/>
        </w:rPr>
      </w:pPr>
      <w:r>
        <w:rPr>
          <w:rStyle w:val="Hyperlink"/>
          <w:rFonts w:eastAsia="MS Gothic"/>
        </w:rPr>
        <w:t>Figures 1A and 1D show national ASH rates for 0–4-year-olds and 45–64-year-olds respectively. As both of these graphs show, the ASH rates for the Pacific peoples population is significantly higher than that for the total New Zealand population. In 2016, both child and adult ASH rates were more than double the equivalent rates for the total New Zealand population.</w:t>
      </w:r>
    </w:p>
    <w:p w14:paraId="5CCCC735" w14:textId="77777777" w:rsidR="00C7122E" w:rsidRDefault="00C7122E" w:rsidP="000E0183">
      <w:pPr>
        <w:rPr>
          <w:rStyle w:val="Hyperlink"/>
          <w:rFonts w:eastAsia="MS Gothic"/>
        </w:rPr>
      </w:pPr>
    </w:p>
    <w:p w14:paraId="370319C4" w14:textId="77777777" w:rsidR="00C7122E" w:rsidRDefault="00C7122E" w:rsidP="000E0183">
      <w:pPr>
        <w:rPr>
          <w:rStyle w:val="Hyperlink"/>
          <w:rFonts w:eastAsia="MS Gothic"/>
        </w:rPr>
      </w:pPr>
      <w:r>
        <w:rPr>
          <w:rStyle w:val="Hyperlink"/>
          <w:rFonts w:eastAsia="MS Gothic"/>
        </w:rPr>
        <w:t>Table 4 lists crude ASH rate figures for 2016.</w:t>
      </w:r>
    </w:p>
    <w:p w14:paraId="0D00420F" w14:textId="77777777" w:rsidR="00C7122E" w:rsidRDefault="00C7122E" w:rsidP="000E0183">
      <w:pPr>
        <w:rPr>
          <w:rStyle w:val="Hyperlink"/>
          <w:rFonts w:eastAsia="MS Gothic"/>
        </w:rPr>
      </w:pPr>
    </w:p>
    <w:p w14:paraId="5DF2E25C" w14:textId="77777777" w:rsidR="00C7122E" w:rsidRDefault="00C7122E" w:rsidP="000E0183">
      <w:pPr>
        <w:pStyle w:val="Table"/>
      </w:pPr>
      <w:bookmarkStart w:id="29" w:name="_Toc531260400"/>
      <w:r>
        <w:t>Table 4: Crude ASH rates for 2016, Pacific peoples and total New Zealand population</w:t>
      </w:r>
      <w:bookmarkEnd w:id="29"/>
    </w:p>
    <w:tbl>
      <w:tblPr>
        <w:tblW w:w="0" w:type="auto"/>
        <w:tblInd w:w="57" w:type="dxa"/>
        <w:tblLayout w:type="fixed"/>
        <w:tblCellMar>
          <w:left w:w="57" w:type="dxa"/>
          <w:right w:w="57" w:type="dxa"/>
        </w:tblCellMar>
        <w:tblLook w:val="04A0" w:firstRow="1" w:lastRow="0" w:firstColumn="1" w:lastColumn="0" w:noHBand="0" w:noVBand="1"/>
      </w:tblPr>
      <w:tblGrid>
        <w:gridCol w:w="2972"/>
        <w:gridCol w:w="1990"/>
        <w:gridCol w:w="2263"/>
      </w:tblGrid>
      <w:tr w:rsidR="00C7122E" w:rsidRPr="000C05FB" w14:paraId="36847829" w14:textId="77777777" w:rsidTr="000E0183">
        <w:trPr>
          <w:cantSplit/>
        </w:trPr>
        <w:tc>
          <w:tcPr>
            <w:tcW w:w="2972" w:type="dxa"/>
            <w:vMerge w:val="restart"/>
            <w:tcBorders>
              <w:top w:val="single" w:sz="4" w:space="0" w:color="auto"/>
              <w:bottom w:val="single" w:sz="4" w:space="0" w:color="auto"/>
            </w:tcBorders>
            <w:shd w:val="clear" w:color="auto" w:fill="auto"/>
            <w:vAlign w:val="center"/>
            <w:hideMark/>
          </w:tcPr>
          <w:p w14:paraId="49E2C401" w14:textId="77777777" w:rsidR="00C7122E" w:rsidRPr="00F86FB8" w:rsidRDefault="00C7122E" w:rsidP="000E0183">
            <w:pPr>
              <w:pStyle w:val="TableText"/>
            </w:pPr>
            <w:r w:rsidRPr="00F86FB8">
              <w:t>Crude child (0</w:t>
            </w:r>
            <w:r>
              <w:t>–</w:t>
            </w:r>
            <w:r w:rsidRPr="00F86FB8">
              <w:t>4</w:t>
            </w:r>
            <w:r>
              <w:t>-</w:t>
            </w:r>
            <w:r w:rsidRPr="00F86FB8">
              <w:t>year</w:t>
            </w:r>
            <w:r>
              <w:t>-</w:t>
            </w:r>
            <w:r w:rsidR="000E0183">
              <w:t>olds)</w:t>
            </w:r>
            <w:r w:rsidR="0055113B">
              <w:br/>
              <w:t>ASH rates per 100,000</w:t>
            </w:r>
          </w:p>
        </w:tc>
        <w:tc>
          <w:tcPr>
            <w:tcW w:w="1990" w:type="dxa"/>
            <w:tcBorders>
              <w:top w:val="single" w:sz="4" w:space="0" w:color="auto"/>
              <w:bottom w:val="single" w:sz="4" w:space="0" w:color="9BBB59" w:themeColor="accent3"/>
            </w:tcBorders>
            <w:shd w:val="clear" w:color="auto" w:fill="auto"/>
            <w:vAlign w:val="center"/>
            <w:hideMark/>
          </w:tcPr>
          <w:p w14:paraId="1B863960" w14:textId="77777777" w:rsidR="00C7122E" w:rsidRPr="00F86FB8" w:rsidRDefault="00C7122E" w:rsidP="000E0183">
            <w:pPr>
              <w:pStyle w:val="TableText"/>
            </w:pPr>
            <w:r w:rsidRPr="00F86FB8">
              <w:t>Pacific peoples</w:t>
            </w:r>
          </w:p>
        </w:tc>
        <w:tc>
          <w:tcPr>
            <w:tcW w:w="2263" w:type="dxa"/>
            <w:tcBorders>
              <w:top w:val="single" w:sz="4" w:space="0" w:color="auto"/>
              <w:bottom w:val="single" w:sz="4" w:space="0" w:color="9BBB59" w:themeColor="accent3"/>
            </w:tcBorders>
            <w:shd w:val="clear" w:color="auto" w:fill="auto"/>
            <w:vAlign w:val="center"/>
            <w:hideMark/>
          </w:tcPr>
          <w:p w14:paraId="0753D7A5" w14:textId="77777777" w:rsidR="00C7122E" w:rsidRPr="00F86FB8" w:rsidRDefault="00C7122E" w:rsidP="000E0183">
            <w:pPr>
              <w:pStyle w:val="TableText"/>
              <w:tabs>
                <w:tab w:val="decimal" w:pos="1356"/>
              </w:tabs>
            </w:pPr>
            <w:r>
              <w:t>12,079</w:t>
            </w:r>
          </w:p>
        </w:tc>
      </w:tr>
      <w:tr w:rsidR="00C7122E" w:rsidRPr="000C05FB" w14:paraId="21F42BFC" w14:textId="77777777" w:rsidTr="000E0183">
        <w:trPr>
          <w:cantSplit/>
        </w:trPr>
        <w:tc>
          <w:tcPr>
            <w:tcW w:w="2972" w:type="dxa"/>
            <w:vMerge/>
            <w:tcBorders>
              <w:top w:val="single" w:sz="4" w:space="0" w:color="auto"/>
              <w:bottom w:val="single" w:sz="4" w:space="0" w:color="auto"/>
            </w:tcBorders>
            <w:vAlign w:val="center"/>
            <w:hideMark/>
          </w:tcPr>
          <w:p w14:paraId="13027E9C" w14:textId="77777777" w:rsidR="00C7122E" w:rsidRPr="00F86FB8" w:rsidRDefault="00C7122E" w:rsidP="000E0183">
            <w:pPr>
              <w:pStyle w:val="TableText"/>
            </w:pPr>
          </w:p>
        </w:tc>
        <w:tc>
          <w:tcPr>
            <w:tcW w:w="1990" w:type="dxa"/>
            <w:tcBorders>
              <w:top w:val="single" w:sz="4" w:space="0" w:color="9BBB59" w:themeColor="accent3"/>
              <w:bottom w:val="single" w:sz="4" w:space="0" w:color="9BBB59" w:themeColor="accent3"/>
            </w:tcBorders>
            <w:shd w:val="clear" w:color="auto" w:fill="auto"/>
            <w:vAlign w:val="center"/>
            <w:hideMark/>
          </w:tcPr>
          <w:p w14:paraId="61BFE59C" w14:textId="77777777" w:rsidR="00C7122E" w:rsidRPr="00F86FB8" w:rsidRDefault="00C7122E" w:rsidP="000E0183">
            <w:pPr>
              <w:pStyle w:val="TableText"/>
            </w:pPr>
            <w:r w:rsidRPr="00F86FB8">
              <w:t>Total New Zealand</w:t>
            </w:r>
          </w:p>
        </w:tc>
        <w:tc>
          <w:tcPr>
            <w:tcW w:w="2263" w:type="dxa"/>
            <w:tcBorders>
              <w:top w:val="single" w:sz="4" w:space="0" w:color="9BBB59" w:themeColor="accent3"/>
              <w:bottom w:val="single" w:sz="4" w:space="0" w:color="9BBB59" w:themeColor="accent3"/>
            </w:tcBorders>
            <w:shd w:val="clear" w:color="auto" w:fill="auto"/>
            <w:vAlign w:val="center"/>
            <w:hideMark/>
          </w:tcPr>
          <w:p w14:paraId="19D881B1" w14:textId="77777777" w:rsidR="00C7122E" w:rsidRPr="00F86FB8" w:rsidRDefault="00C7122E" w:rsidP="000E0183">
            <w:pPr>
              <w:pStyle w:val="TableText"/>
              <w:tabs>
                <w:tab w:val="decimal" w:pos="1356"/>
              </w:tabs>
            </w:pPr>
            <w:r w:rsidRPr="00F86FB8">
              <w:t>6,690</w:t>
            </w:r>
          </w:p>
        </w:tc>
      </w:tr>
      <w:tr w:rsidR="00C7122E" w:rsidRPr="000C05FB" w14:paraId="45F30DAA" w14:textId="77777777" w:rsidTr="000E0183">
        <w:trPr>
          <w:cantSplit/>
        </w:trPr>
        <w:tc>
          <w:tcPr>
            <w:tcW w:w="2972" w:type="dxa"/>
            <w:vMerge w:val="restart"/>
            <w:tcBorders>
              <w:top w:val="single" w:sz="4" w:space="0" w:color="auto"/>
              <w:bottom w:val="single" w:sz="4" w:space="0" w:color="auto"/>
            </w:tcBorders>
            <w:shd w:val="clear" w:color="auto" w:fill="auto"/>
            <w:vAlign w:val="center"/>
            <w:hideMark/>
          </w:tcPr>
          <w:p w14:paraId="2F481D5E" w14:textId="77777777" w:rsidR="00C7122E" w:rsidRPr="00F86FB8" w:rsidRDefault="00C7122E" w:rsidP="000E0183">
            <w:pPr>
              <w:pStyle w:val="TableText"/>
            </w:pPr>
            <w:r w:rsidRPr="00F86FB8">
              <w:t>Crude adult (45</w:t>
            </w:r>
            <w:r>
              <w:t>–</w:t>
            </w:r>
            <w:r w:rsidRPr="00F86FB8">
              <w:t>64</w:t>
            </w:r>
            <w:r>
              <w:t>-</w:t>
            </w:r>
            <w:r w:rsidRPr="00F86FB8">
              <w:t>year</w:t>
            </w:r>
            <w:r>
              <w:t>-</w:t>
            </w:r>
            <w:r w:rsidRPr="00F86FB8">
              <w:t>olds)</w:t>
            </w:r>
            <w:r w:rsidR="000E0183">
              <w:br/>
            </w:r>
            <w:r w:rsidRPr="00F86FB8">
              <w:t>ASH rates per 100,000</w:t>
            </w:r>
          </w:p>
        </w:tc>
        <w:tc>
          <w:tcPr>
            <w:tcW w:w="1990" w:type="dxa"/>
            <w:tcBorders>
              <w:top w:val="single" w:sz="4" w:space="0" w:color="auto"/>
              <w:bottom w:val="single" w:sz="4" w:space="0" w:color="9BBB59" w:themeColor="accent3"/>
            </w:tcBorders>
            <w:shd w:val="clear" w:color="auto" w:fill="auto"/>
            <w:vAlign w:val="center"/>
            <w:hideMark/>
          </w:tcPr>
          <w:p w14:paraId="7C9B692D" w14:textId="77777777" w:rsidR="00C7122E" w:rsidRPr="00F86FB8" w:rsidRDefault="00C7122E" w:rsidP="000E0183">
            <w:pPr>
              <w:pStyle w:val="TableText"/>
            </w:pPr>
            <w:r w:rsidRPr="00F86FB8">
              <w:t>Pacific peoples</w:t>
            </w:r>
          </w:p>
        </w:tc>
        <w:tc>
          <w:tcPr>
            <w:tcW w:w="2263" w:type="dxa"/>
            <w:tcBorders>
              <w:top w:val="single" w:sz="4" w:space="0" w:color="auto"/>
              <w:bottom w:val="single" w:sz="4" w:space="0" w:color="9BBB59" w:themeColor="accent3"/>
            </w:tcBorders>
            <w:shd w:val="clear" w:color="auto" w:fill="auto"/>
            <w:vAlign w:val="center"/>
            <w:hideMark/>
          </w:tcPr>
          <w:p w14:paraId="711ECEDE" w14:textId="77777777" w:rsidR="00C7122E" w:rsidRPr="00F86FB8" w:rsidRDefault="00C7122E" w:rsidP="000E0183">
            <w:pPr>
              <w:pStyle w:val="TableText"/>
              <w:tabs>
                <w:tab w:val="decimal" w:pos="1356"/>
              </w:tabs>
            </w:pPr>
            <w:r w:rsidRPr="00F86FB8">
              <w:t>8,787</w:t>
            </w:r>
          </w:p>
        </w:tc>
      </w:tr>
      <w:tr w:rsidR="00C7122E" w:rsidRPr="000C05FB" w14:paraId="38932FEF" w14:textId="77777777" w:rsidTr="000E0183">
        <w:trPr>
          <w:cantSplit/>
        </w:trPr>
        <w:tc>
          <w:tcPr>
            <w:tcW w:w="2972" w:type="dxa"/>
            <w:vMerge/>
            <w:tcBorders>
              <w:top w:val="single" w:sz="4" w:space="0" w:color="auto"/>
              <w:bottom w:val="single" w:sz="4" w:space="0" w:color="auto"/>
            </w:tcBorders>
            <w:vAlign w:val="center"/>
            <w:hideMark/>
          </w:tcPr>
          <w:p w14:paraId="186005B5" w14:textId="77777777" w:rsidR="00C7122E" w:rsidRPr="00F86FB8" w:rsidRDefault="00C7122E" w:rsidP="000E0183">
            <w:pPr>
              <w:pStyle w:val="TableText"/>
            </w:pPr>
          </w:p>
        </w:tc>
        <w:tc>
          <w:tcPr>
            <w:tcW w:w="1990" w:type="dxa"/>
            <w:tcBorders>
              <w:top w:val="single" w:sz="4" w:space="0" w:color="9BBB59" w:themeColor="accent3"/>
              <w:bottom w:val="single" w:sz="4" w:space="0" w:color="auto"/>
            </w:tcBorders>
            <w:shd w:val="clear" w:color="auto" w:fill="auto"/>
            <w:vAlign w:val="center"/>
            <w:hideMark/>
          </w:tcPr>
          <w:p w14:paraId="36C7A727" w14:textId="77777777" w:rsidR="00C7122E" w:rsidRPr="00F86FB8" w:rsidRDefault="00C7122E" w:rsidP="000E0183">
            <w:pPr>
              <w:pStyle w:val="TableText"/>
            </w:pPr>
            <w:r w:rsidRPr="00F86FB8">
              <w:t>Total New Zealand</w:t>
            </w:r>
          </w:p>
        </w:tc>
        <w:tc>
          <w:tcPr>
            <w:tcW w:w="2263" w:type="dxa"/>
            <w:tcBorders>
              <w:top w:val="single" w:sz="4" w:space="0" w:color="9BBB59" w:themeColor="accent3"/>
              <w:bottom w:val="single" w:sz="4" w:space="0" w:color="auto"/>
            </w:tcBorders>
            <w:shd w:val="clear" w:color="auto" w:fill="auto"/>
            <w:vAlign w:val="center"/>
            <w:hideMark/>
          </w:tcPr>
          <w:p w14:paraId="24645810" w14:textId="77777777" w:rsidR="00C7122E" w:rsidRPr="00F86FB8" w:rsidRDefault="00C7122E" w:rsidP="000E0183">
            <w:pPr>
              <w:pStyle w:val="TableText"/>
              <w:tabs>
                <w:tab w:val="decimal" w:pos="1356"/>
              </w:tabs>
            </w:pPr>
            <w:r w:rsidRPr="00F86FB8">
              <w:t>3,789</w:t>
            </w:r>
          </w:p>
        </w:tc>
      </w:tr>
    </w:tbl>
    <w:p w14:paraId="01A2C0AA" w14:textId="77777777" w:rsidR="00C7122E" w:rsidRDefault="00C7122E" w:rsidP="000E0183">
      <w:pPr>
        <w:rPr>
          <w:rStyle w:val="Hyperlink"/>
          <w:rFonts w:eastAsia="MS Gothic"/>
        </w:rPr>
      </w:pPr>
    </w:p>
    <w:p w14:paraId="5BC5EF41" w14:textId="77777777" w:rsidR="00C7122E" w:rsidRDefault="00C7122E" w:rsidP="000E0183">
      <w:pPr>
        <w:pStyle w:val="Figure"/>
      </w:pPr>
      <w:bookmarkStart w:id="30" w:name="_Toc428368055"/>
      <w:bookmarkStart w:id="31" w:name="_Toc428370433"/>
      <w:bookmarkStart w:id="32" w:name="_Toc445801439"/>
      <w:bookmarkStart w:id="33" w:name="_Toc447527137"/>
      <w:bookmarkStart w:id="34" w:name="_Toc458409417"/>
      <w:bookmarkStart w:id="35" w:name="_Toc531260436"/>
      <w:r w:rsidRPr="00A119E8">
        <w:lastRenderedPageBreak/>
        <w:t xml:space="preserve">Figure </w:t>
      </w:r>
      <w:r w:rsidR="007B01E7">
        <w:rPr>
          <w:noProof/>
        </w:rPr>
        <w:fldChar w:fldCharType="begin"/>
      </w:r>
      <w:r w:rsidR="007B01E7">
        <w:rPr>
          <w:noProof/>
        </w:rPr>
        <w:instrText xml:space="preserve"> SEQ Figure \* ARABIC </w:instrText>
      </w:r>
      <w:r w:rsidR="007B01E7">
        <w:rPr>
          <w:noProof/>
        </w:rPr>
        <w:fldChar w:fldCharType="separate"/>
      </w:r>
      <w:r w:rsidR="001A0619">
        <w:rPr>
          <w:noProof/>
        </w:rPr>
        <w:t>1</w:t>
      </w:r>
      <w:r w:rsidR="007B01E7">
        <w:rPr>
          <w:noProof/>
        </w:rPr>
        <w:fldChar w:fldCharType="end"/>
      </w:r>
      <w:r>
        <w:rPr>
          <w:noProof/>
        </w:rPr>
        <w:t>A</w:t>
      </w:r>
      <w:r>
        <w:t>: Crude ASH rates per 100,000 population (0–</w:t>
      </w:r>
      <w:r w:rsidRPr="00A119E8">
        <w:t xml:space="preserve">4-year-olds), Pacific </w:t>
      </w:r>
      <w:r>
        <w:t>peoples</w:t>
      </w:r>
      <w:r w:rsidRPr="00A119E8">
        <w:t xml:space="preserve"> and to</w:t>
      </w:r>
      <w:r>
        <w:t>tal New Zealand population, 2006</w:t>
      </w:r>
      <w:r w:rsidRPr="00A119E8">
        <w:t>–201</w:t>
      </w:r>
      <w:bookmarkEnd w:id="30"/>
      <w:bookmarkEnd w:id="31"/>
      <w:bookmarkEnd w:id="32"/>
      <w:bookmarkEnd w:id="33"/>
      <w:bookmarkEnd w:id="34"/>
      <w:r>
        <w:t>6</w:t>
      </w:r>
      <w:bookmarkEnd w:id="35"/>
    </w:p>
    <w:p w14:paraId="537884FA" w14:textId="77777777" w:rsidR="00C7122E" w:rsidRDefault="00C7122E" w:rsidP="00C7122E">
      <w:r>
        <w:rPr>
          <w:noProof/>
          <w:lang w:eastAsia="ja-JP"/>
        </w:rPr>
        <w:drawing>
          <wp:inline distT="0" distB="0" distL="0" distR="0" wp14:anchorId="28B8801F" wp14:editId="4917EEEA">
            <wp:extent cx="4680065" cy="2618510"/>
            <wp:effectExtent l="0" t="0" r="25400" b="10795"/>
            <wp:docPr id="5" name="Chart 5" title="Figure 1A: Crude ASH rates per 100,000 population (0–4-year-olds), Pacific peoples and total New Zealand population, 2006–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192537F" w14:textId="77777777" w:rsidR="00C7122E" w:rsidRDefault="00C7122E" w:rsidP="000E0183">
      <w:pPr>
        <w:pStyle w:val="Source"/>
      </w:pPr>
      <w:r w:rsidRPr="00721AC9">
        <w:t>Source: National Minimum Dataset</w:t>
      </w:r>
      <w:bookmarkStart w:id="36" w:name="_Toc428368056"/>
      <w:bookmarkStart w:id="37" w:name="_Toc428370434"/>
      <w:bookmarkStart w:id="38" w:name="_Toc445801440"/>
      <w:bookmarkStart w:id="39" w:name="_Toc447527138"/>
      <w:bookmarkStart w:id="40" w:name="_Toc458409418"/>
      <w:r>
        <w:t xml:space="preserve"> and Statistics New Zealand</w:t>
      </w:r>
    </w:p>
    <w:p w14:paraId="7599FF75" w14:textId="77777777" w:rsidR="00C7122E" w:rsidRPr="00476768" w:rsidRDefault="00C7122E" w:rsidP="000E0183"/>
    <w:p w14:paraId="2FEA20EB" w14:textId="77777777" w:rsidR="00C7122E" w:rsidRDefault="00C7122E" w:rsidP="000E0183">
      <w:pPr>
        <w:pStyle w:val="Figure"/>
      </w:pPr>
      <w:bookmarkStart w:id="41" w:name="_Toc531260437"/>
      <w:r w:rsidRPr="00A119E8">
        <w:t xml:space="preserve">Figure </w:t>
      </w:r>
      <w:r>
        <w:t>1B: Crude ASH rates per 100,000 population (0–</w:t>
      </w:r>
      <w:r w:rsidRPr="00A119E8">
        <w:t xml:space="preserve">4-year-olds), Pacific peoples, </w:t>
      </w:r>
      <w:r>
        <w:t>Auckland region</w:t>
      </w:r>
      <w:r w:rsidRPr="00A119E8">
        <w:t xml:space="preserve"> </w:t>
      </w:r>
      <w:r>
        <w:t>DHBs, 2006</w:t>
      </w:r>
      <w:r w:rsidRPr="00A119E8">
        <w:t>–201</w:t>
      </w:r>
      <w:bookmarkEnd w:id="36"/>
      <w:bookmarkEnd w:id="37"/>
      <w:bookmarkEnd w:id="38"/>
      <w:bookmarkEnd w:id="39"/>
      <w:bookmarkEnd w:id="40"/>
      <w:r>
        <w:t>6</w:t>
      </w:r>
      <w:bookmarkEnd w:id="41"/>
    </w:p>
    <w:p w14:paraId="43FDA320" w14:textId="77777777" w:rsidR="00C7122E" w:rsidRDefault="00C7122E" w:rsidP="00C7122E">
      <w:r>
        <w:rPr>
          <w:noProof/>
          <w:lang w:eastAsia="ja-JP"/>
        </w:rPr>
        <w:drawing>
          <wp:inline distT="0" distB="0" distL="0" distR="0" wp14:anchorId="3635760D" wp14:editId="3BFEB1E8">
            <wp:extent cx="4680065" cy="2560320"/>
            <wp:effectExtent l="0" t="0" r="6350" b="0"/>
            <wp:docPr id="26" name="Chart 26" title="Figure 1B: Crude ASH rates per 100,000 population (0–4-year-olds), Pacific peoples, Auckland region DHBs, 2006–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467CE99" w14:textId="77777777" w:rsidR="00C7122E" w:rsidRDefault="00C7122E" w:rsidP="000E0183">
      <w:pPr>
        <w:pStyle w:val="Source"/>
      </w:pPr>
      <w:r w:rsidRPr="00721AC9">
        <w:t>Source: National Minimum Dataset and Statistics New Zealand</w:t>
      </w:r>
    </w:p>
    <w:p w14:paraId="4D6DCAD4" w14:textId="77777777" w:rsidR="000E0183" w:rsidRPr="000E0183" w:rsidRDefault="000E0183" w:rsidP="000E0183"/>
    <w:p w14:paraId="080AFB9D" w14:textId="77777777" w:rsidR="00C7122E" w:rsidRDefault="00C7122E" w:rsidP="000E0183">
      <w:pPr>
        <w:pStyle w:val="Figure"/>
      </w:pPr>
      <w:bookmarkStart w:id="42" w:name="_Toc531260438"/>
      <w:r w:rsidRPr="00A119E8">
        <w:lastRenderedPageBreak/>
        <w:t xml:space="preserve">Figure </w:t>
      </w:r>
      <w:r>
        <w:t>1C: Crude ASH rates per 100,000 population (0–</w:t>
      </w:r>
      <w:r w:rsidRPr="00A119E8">
        <w:t xml:space="preserve">4-year-olds), Pacific peoples, </w:t>
      </w:r>
      <w:r>
        <w:t>priority</w:t>
      </w:r>
      <w:r w:rsidRPr="00A119E8">
        <w:t xml:space="preserve"> </w:t>
      </w:r>
      <w:r>
        <w:t>DHBs outside the Auckland region, 2006</w:t>
      </w:r>
      <w:r w:rsidRPr="00A119E8">
        <w:t>–201</w:t>
      </w:r>
      <w:r>
        <w:t>6</w:t>
      </w:r>
      <w:bookmarkEnd w:id="42"/>
    </w:p>
    <w:p w14:paraId="28636C49" w14:textId="77777777" w:rsidR="00C7122E" w:rsidRDefault="00C7122E" w:rsidP="00C7122E">
      <w:r>
        <w:rPr>
          <w:noProof/>
          <w:lang w:eastAsia="ja-JP"/>
        </w:rPr>
        <w:drawing>
          <wp:inline distT="0" distB="0" distL="0" distR="0" wp14:anchorId="34FBDB50" wp14:editId="3D195139">
            <wp:extent cx="4779818" cy="2560320"/>
            <wp:effectExtent l="0" t="0" r="1905" b="0"/>
            <wp:docPr id="29" name="Chart 29" title="Figure 1C: Crude ASH rates per 100,000 population (0–4-year-olds), Pacific peoples, priority DHBs outside the Auckland region, 2006–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93DF37B" w14:textId="77777777" w:rsidR="00C7122E" w:rsidRPr="00721AC9" w:rsidRDefault="00C7122E" w:rsidP="000E0183">
      <w:pPr>
        <w:pStyle w:val="Source"/>
      </w:pPr>
      <w:r w:rsidRPr="00721AC9">
        <w:t>Source: National Minimum Dataset and Statistics New Zealand</w:t>
      </w:r>
    </w:p>
    <w:p w14:paraId="28B269B0" w14:textId="77777777" w:rsidR="00C7122E" w:rsidRDefault="00C7122E" w:rsidP="000E0183"/>
    <w:p w14:paraId="5F8D3AA9" w14:textId="77777777" w:rsidR="00C7122E" w:rsidRDefault="00C7122E" w:rsidP="000E0183">
      <w:pPr>
        <w:pStyle w:val="Figure"/>
      </w:pPr>
      <w:bookmarkStart w:id="43" w:name="_Toc458409419"/>
      <w:bookmarkStart w:id="44" w:name="_Toc531260439"/>
      <w:r w:rsidRPr="00A119E8">
        <w:t xml:space="preserve">Figure </w:t>
      </w:r>
      <w:r>
        <w:t>1</w:t>
      </w:r>
      <w:r>
        <w:rPr>
          <w:noProof/>
        </w:rPr>
        <w:t>D</w:t>
      </w:r>
      <w:r>
        <w:t>: Crude ASH rates per 100,000 population (45–6</w:t>
      </w:r>
      <w:r w:rsidRPr="00A119E8">
        <w:t xml:space="preserve">4-year-olds), Pacific </w:t>
      </w:r>
      <w:r>
        <w:t>peoples</w:t>
      </w:r>
      <w:r w:rsidRPr="00A119E8">
        <w:t xml:space="preserve"> and to</w:t>
      </w:r>
      <w:r>
        <w:t>tal New Zealand population, 2006</w:t>
      </w:r>
      <w:r w:rsidRPr="00A119E8">
        <w:t>–201</w:t>
      </w:r>
      <w:bookmarkEnd w:id="43"/>
      <w:r>
        <w:t>6</w:t>
      </w:r>
      <w:bookmarkEnd w:id="44"/>
    </w:p>
    <w:p w14:paraId="4810484D" w14:textId="77777777" w:rsidR="00C7122E" w:rsidRDefault="00C7122E" w:rsidP="00C7122E">
      <w:r>
        <w:rPr>
          <w:noProof/>
          <w:lang w:eastAsia="ja-JP"/>
        </w:rPr>
        <w:drawing>
          <wp:inline distT="0" distB="0" distL="0" distR="0" wp14:anchorId="0F4DC449" wp14:editId="356FF06C">
            <wp:extent cx="4779818" cy="2651760"/>
            <wp:effectExtent l="0" t="0" r="20955" b="15240"/>
            <wp:docPr id="64" name="Chart 64" title="Figure 1D: Crude ASH rates per 100,000 population (45–64-year-olds), Pacific peoples and total New Zealand population, 2006–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3B282D2" w14:textId="77777777" w:rsidR="00C7122E" w:rsidRDefault="00C7122E" w:rsidP="000E0183">
      <w:pPr>
        <w:pStyle w:val="Source"/>
      </w:pPr>
      <w:r w:rsidRPr="00721AC9">
        <w:t>Source: National Minimum Dataset and Statistics New Zealand</w:t>
      </w:r>
    </w:p>
    <w:p w14:paraId="62518BC0" w14:textId="77777777" w:rsidR="000E0183" w:rsidRPr="000E0183" w:rsidRDefault="000E0183" w:rsidP="000E0183"/>
    <w:p w14:paraId="6D6B404E" w14:textId="77777777" w:rsidR="00C7122E" w:rsidRDefault="00C7122E" w:rsidP="000E0183">
      <w:pPr>
        <w:pStyle w:val="Figure"/>
      </w:pPr>
      <w:bookmarkStart w:id="45" w:name="_Toc458409420"/>
      <w:bookmarkStart w:id="46" w:name="_Toc531260440"/>
      <w:r w:rsidRPr="00A119E8">
        <w:lastRenderedPageBreak/>
        <w:t xml:space="preserve">Figure </w:t>
      </w:r>
      <w:r>
        <w:t>1E: Crude ASH rates per 100,000 population (45–6</w:t>
      </w:r>
      <w:r w:rsidRPr="00A119E8">
        <w:t xml:space="preserve">4-year-olds), Pacific peoples, </w:t>
      </w:r>
      <w:r>
        <w:t>Auckland region</w:t>
      </w:r>
      <w:r w:rsidRPr="00A119E8">
        <w:t xml:space="preserve"> </w:t>
      </w:r>
      <w:r>
        <w:t>DHBs, 2006</w:t>
      </w:r>
      <w:r w:rsidRPr="00A119E8">
        <w:t>–201</w:t>
      </w:r>
      <w:bookmarkEnd w:id="45"/>
      <w:r>
        <w:t>6</w:t>
      </w:r>
      <w:bookmarkEnd w:id="46"/>
    </w:p>
    <w:p w14:paraId="468EDE55" w14:textId="77777777" w:rsidR="00C7122E" w:rsidRPr="009C4A7A" w:rsidRDefault="00C7122E" w:rsidP="00C7122E">
      <w:r>
        <w:rPr>
          <w:noProof/>
          <w:lang w:eastAsia="ja-JP"/>
        </w:rPr>
        <w:drawing>
          <wp:inline distT="0" distB="0" distL="0" distR="0" wp14:anchorId="22673927" wp14:editId="6D083F71">
            <wp:extent cx="4671752" cy="2643448"/>
            <wp:effectExtent l="0" t="0" r="14605" b="24130"/>
            <wp:docPr id="65" name="Chart 65" title="Figure 1E: Crude ASH rates per 100,000 population (45–64-year-olds), Pacific peoples, Auckland region DHBs, 2006–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1F42F3A" w14:textId="77777777" w:rsidR="00C7122E" w:rsidRDefault="00C7122E" w:rsidP="000E0183">
      <w:pPr>
        <w:pStyle w:val="Source"/>
      </w:pPr>
      <w:r w:rsidRPr="00721AC9">
        <w:t>Source: National Minimum Dataset and Statistics New Zealand</w:t>
      </w:r>
    </w:p>
    <w:p w14:paraId="3FC4C7CB" w14:textId="77777777" w:rsidR="00C7122E" w:rsidRDefault="00C7122E" w:rsidP="000E0183"/>
    <w:p w14:paraId="7B319D2B" w14:textId="77777777" w:rsidR="00C7122E" w:rsidRDefault="00C7122E" w:rsidP="000E0183">
      <w:pPr>
        <w:pStyle w:val="Figure"/>
      </w:pPr>
      <w:bookmarkStart w:id="47" w:name="_Toc531260441"/>
      <w:r w:rsidRPr="00A119E8">
        <w:t xml:space="preserve">Figure </w:t>
      </w:r>
      <w:r>
        <w:t>1F: Crude ASH rates per 100,000 population (45–6</w:t>
      </w:r>
      <w:r w:rsidRPr="00A119E8">
        <w:t xml:space="preserve">4-year-olds), Pacific peoples, </w:t>
      </w:r>
      <w:r>
        <w:t>priority region</w:t>
      </w:r>
      <w:r w:rsidRPr="00A119E8">
        <w:t xml:space="preserve"> </w:t>
      </w:r>
      <w:r>
        <w:t>DHBs outside the Auckland region, 2006</w:t>
      </w:r>
      <w:r w:rsidRPr="00A119E8">
        <w:t>–201</w:t>
      </w:r>
      <w:r>
        <w:t>6</w:t>
      </w:r>
      <w:bookmarkEnd w:id="47"/>
    </w:p>
    <w:p w14:paraId="39678670" w14:textId="77777777" w:rsidR="00C7122E" w:rsidRPr="009C4A7A" w:rsidRDefault="00C7122E" w:rsidP="00C7122E">
      <w:r>
        <w:rPr>
          <w:noProof/>
          <w:lang w:eastAsia="ja-JP"/>
        </w:rPr>
        <w:drawing>
          <wp:inline distT="0" distB="0" distL="0" distR="0" wp14:anchorId="7076CDAE" wp14:editId="18BD8154">
            <wp:extent cx="4671752" cy="2468880"/>
            <wp:effectExtent l="0" t="0" r="14605" b="26670"/>
            <wp:docPr id="66" name="Chart 66" title="Figure 1F: Crude ASH rates per 100,000 population (45–64-year-olds), Pacific peoples, priority region DHBs outside the Auckland region, 2006–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39D4E6D" w14:textId="77777777" w:rsidR="00C7122E" w:rsidRDefault="00C7122E" w:rsidP="000E0183">
      <w:pPr>
        <w:pStyle w:val="Source"/>
      </w:pPr>
      <w:r w:rsidRPr="00721AC9">
        <w:t>Source: National Minimum Dataset and Statistics New Zealand</w:t>
      </w:r>
    </w:p>
    <w:p w14:paraId="54D6A056" w14:textId="77777777" w:rsidR="000E0183" w:rsidRDefault="000E0183" w:rsidP="000E0183"/>
    <w:p w14:paraId="48D1DCEE" w14:textId="77777777" w:rsidR="000E0183" w:rsidRDefault="000E0183" w:rsidP="000E0183">
      <w:pPr>
        <w:pStyle w:val="Note"/>
        <w:ind w:left="0" w:right="0" w:firstLine="0"/>
      </w:pPr>
      <w:r w:rsidRPr="00A11460">
        <w:t>Notes</w:t>
      </w:r>
    </w:p>
    <w:p w14:paraId="3615808F" w14:textId="77777777" w:rsidR="000E0183" w:rsidRPr="000E0183" w:rsidRDefault="000E0183" w:rsidP="000E0183">
      <w:pPr>
        <w:pStyle w:val="Note"/>
        <w:ind w:left="0" w:right="0" w:firstLine="0"/>
        <w:rPr>
          <w:b/>
        </w:rPr>
      </w:pPr>
      <w:r w:rsidRPr="000E0183">
        <w:rPr>
          <w:b/>
        </w:rPr>
        <w:t>Figures 1A–1F:</w:t>
      </w:r>
    </w:p>
    <w:p w14:paraId="71F1CF94" w14:textId="77777777" w:rsidR="000E0183" w:rsidRDefault="000E0183" w:rsidP="000E0183">
      <w:pPr>
        <w:pStyle w:val="Note"/>
        <w:ind w:left="0" w:right="0" w:firstLine="0"/>
      </w:pPr>
      <w:r>
        <w:t>Timeframes: this data reflects a calendar year (1 January–30 December).</w:t>
      </w:r>
    </w:p>
    <w:p w14:paraId="64B5549A" w14:textId="77777777" w:rsidR="000E0183" w:rsidRDefault="000E0183" w:rsidP="000E0183">
      <w:pPr>
        <w:pStyle w:val="Note"/>
        <w:ind w:left="0" w:right="0" w:firstLine="0"/>
      </w:pPr>
      <w:r>
        <w:t>Numerator: the total number (count) of hospitalisations classified as being ambulatory sensitive during the relevant calendar year.</w:t>
      </w:r>
    </w:p>
    <w:p w14:paraId="1B7B9142" w14:textId="77777777" w:rsidR="000E0183" w:rsidRDefault="000E0183" w:rsidP="000E0183">
      <w:pPr>
        <w:pStyle w:val="Note"/>
        <w:ind w:left="0" w:right="0" w:firstLine="0"/>
      </w:pPr>
      <w:r>
        <w:t>Denominator: the total relevant population (total population, Pacific population, or Pacific population in the DHB), from population projections provided by Statistics New Zealand, based on the 2013 Census.</w:t>
      </w:r>
    </w:p>
    <w:p w14:paraId="6E80475F" w14:textId="77777777" w:rsidR="000E0183" w:rsidRPr="00F334E5" w:rsidRDefault="000E0183" w:rsidP="000E0183">
      <w:pPr>
        <w:pStyle w:val="Note"/>
        <w:ind w:left="0" w:right="0" w:firstLine="0"/>
      </w:pPr>
      <w:r>
        <w:t>Age: the age of the patient at the time they were admitted.</w:t>
      </w:r>
    </w:p>
    <w:p w14:paraId="4A3F02C5" w14:textId="77777777" w:rsidR="000E0183" w:rsidRPr="000E0183" w:rsidRDefault="000E0183" w:rsidP="000E0183"/>
    <w:p w14:paraId="6E5A11C3" w14:textId="77777777" w:rsidR="00C7122E" w:rsidRPr="00CC5756" w:rsidRDefault="00C7122E" w:rsidP="000E0183">
      <w:pPr>
        <w:pStyle w:val="Heading1"/>
      </w:pPr>
      <w:bookmarkStart w:id="48" w:name="_Toc503949857"/>
      <w:bookmarkStart w:id="49" w:name="_Toc531260417"/>
      <w:r>
        <w:lastRenderedPageBreak/>
        <w:t>General practitioner and nurse utilisation</w:t>
      </w:r>
      <w:bookmarkEnd w:id="48"/>
      <w:bookmarkEnd w:id="49"/>
    </w:p>
    <w:p w14:paraId="106849A6" w14:textId="77777777" w:rsidR="00FB3F7B" w:rsidRDefault="00C7122E" w:rsidP="000E0183">
      <w:r>
        <w:t>Primary health care is typically a person’s first point of access into the New Zealand health care system. Evidence shows that improving access to health care is a major factor in improving overall health for Pacific peoples.</w:t>
      </w:r>
    </w:p>
    <w:p w14:paraId="0BDE16B0" w14:textId="77777777" w:rsidR="000E0183" w:rsidRDefault="000E0183" w:rsidP="000E0183"/>
    <w:p w14:paraId="621905F3" w14:textId="77777777" w:rsidR="00FB3F7B" w:rsidRDefault="00C7122E" w:rsidP="000E0183">
      <w:r>
        <w:t>Figures 2, 4 and 6 show the national average number of GP visits, nurse visits and combined (GP and nurse) visits per person in a calendar year. All of these graphs show slightly higher GP and nurse utilisation rates across the board for the Pacific peoples population in comparison to rates for the total New Zealand population.</w:t>
      </w:r>
    </w:p>
    <w:p w14:paraId="750614F7" w14:textId="77777777" w:rsidR="000E0183" w:rsidRDefault="000E0183" w:rsidP="000E0183"/>
    <w:p w14:paraId="055F31D5" w14:textId="77777777" w:rsidR="000E0183" w:rsidRDefault="00C7122E" w:rsidP="000E0183">
      <w:r>
        <w:t xml:space="preserve">This appears to be a positive trend; however, it is important to look at this information in conjunction with other </w:t>
      </w:r>
      <w:r>
        <w:rPr>
          <w:i/>
        </w:rPr>
        <w:t>’</w:t>
      </w:r>
      <w:r w:rsidRPr="000D38BA">
        <w:rPr>
          <w:i/>
        </w:rPr>
        <w:t>Ala Mo’ui</w:t>
      </w:r>
      <w:r>
        <w:t xml:space="preserve"> indicators, and particularly ASH rates, which remain significantly higher for Pacific peoples (see Figures 1A and 1D).</w:t>
      </w:r>
    </w:p>
    <w:p w14:paraId="300773A6" w14:textId="77777777" w:rsidR="000E0183" w:rsidRDefault="000E0183" w:rsidP="000E0183"/>
    <w:p w14:paraId="28EC74C8" w14:textId="77777777" w:rsidR="000E0183" w:rsidRPr="000E0183" w:rsidRDefault="000E0183" w:rsidP="000E0183">
      <w:pPr>
        <w:pStyle w:val="Heading2"/>
      </w:pPr>
      <w:bookmarkStart w:id="50" w:name="_Toc531260418"/>
      <w:r w:rsidRPr="003B13E0">
        <w:t>Increased utilisation rates of primary health care providers in the eight priority DHBs</w:t>
      </w:r>
      <w:bookmarkEnd w:id="50"/>
    </w:p>
    <w:p w14:paraId="1248EF75" w14:textId="77777777" w:rsidR="00C7122E" w:rsidRDefault="00C7122E" w:rsidP="000E0183">
      <w:r w:rsidRPr="00B324FB">
        <w:rPr>
          <w:b/>
        </w:rPr>
        <w:t>Performance:</w:t>
      </w:r>
      <w:r w:rsidRPr="00A119E8">
        <w:t xml:space="preserve"> There is no target set for this indicator.</w:t>
      </w:r>
    </w:p>
    <w:p w14:paraId="131703F8" w14:textId="77777777" w:rsidR="00C7122E" w:rsidRPr="00A119E8" w:rsidRDefault="00C7122E" w:rsidP="000E0183"/>
    <w:p w14:paraId="74FFF7DD" w14:textId="77777777" w:rsidR="00C7122E" w:rsidRDefault="00C7122E" w:rsidP="000E0183">
      <w:pPr>
        <w:pStyle w:val="Figure"/>
      </w:pPr>
      <w:bookmarkStart w:id="51" w:name="_Toc428368085"/>
      <w:bookmarkStart w:id="52" w:name="_Toc428370463"/>
      <w:bookmarkStart w:id="53" w:name="_Toc445801468"/>
      <w:bookmarkStart w:id="54" w:name="_Toc447527167"/>
      <w:bookmarkStart w:id="55" w:name="_Toc458409449"/>
      <w:bookmarkStart w:id="56" w:name="_Toc531260442"/>
      <w:r>
        <w:t xml:space="preserve">Figure 2: GP utilisation: </w:t>
      </w:r>
      <w:r w:rsidRPr="00A119E8">
        <w:t xml:space="preserve">average </w:t>
      </w:r>
      <w:r>
        <w:t xml:space="preserve">number of </w:t>
      </w:r>
      <w:r w:rsidRPr="00A119E8">
        <w:t>visits per person per</w:t>
      </w:r>
      <w:r>
        <w:t xml:space="preserve"> calendar</w:t>
      </w:r>
      <w:r w:rsidRPr="00A119E8">
        <w:t xml:space="preserve"> year, Pacific </w:t>
      </w:r>
      <w:r>
        <w:t>peoples and total New Zealand population</w:t>
      </w:r>
      <w:r w:rsidRPr="00A119E8">
        <w:t>, 2008–201</w:t>
      </w:r>
      <w:bookmarkEnd w:id="51"/>
      <w:bookmarkEnd w:id="52"/>
      <w:bookmarkEnd w:id="53"/>
      <w:bookmarkEnd w:id="54"/>
      <w:r>
        <w:t>6</w:t>
      </w:r>
      <w:bookmarkEnd w:id="55"/>
      <w:bookmarkEnd w:id="56"/>
    </w:p>
    <w:p w14:paraId="1AD4D106" w14:textId="77777777" w:rsidR="000E0183" w:rsidRDefault="00C7122E" w:rsidP="000E0183">
      <w:r>
        <w:rPr>
          <w:noProof/>
          <w:lang w:eastAsia="ja-JP"/>
        </w:rPr>
        <w:drawing>
          <wp:inline distT="0" distB="0" distL="0" distR="0" wp14:anchorId="39172365" wp14:editId="47B5B627">
            <wp:extent cx="4671753" cy="2593571"/>
            <wp:effectExtent l="0" t="0" r="0" b="0"/>
            <wp:docPr id="22" name="Chart 22" title="Figure 2: GP utilisation: average number of visits per person per calendar year, Pacific peoples and total New Zealand population, 2008–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16390D8" w14:textId="77777777" w:rsidR="00FB3F7B" w:rsidRDefault="00C7122E" w:rsidP="000E0183">
      <w:pPr>
        <w:pStyle w:val="Source"/>
      </w:pPr>
      <w:r w:rsidRPr="00815CAA">
        <w:t xml:space="preserve">Source: </w:t>
      </w:r>
      <w:r>
        <w:t>PHO reporting</w:t>
      </w:r>
    </w:p>
    <w:p w14:paraId="13B89B1E" w14:textId="77777777" w:rsidR="00C7122E" w:rsidRDefault="00C7122E" w:rsidP="000E0183">
      <w:bookmarkStart w:id="57" w:name="_Toc428368086"/>
      <w:bookmarkStart w:id="58" w:name="_Toc428370464"/>
      <w:bookmarkStart w:id="59" w:name="_Toc445801469"/>
      <w:bookmarkStart w:id="60" w:name="_Toc447527168"/>
      <w:bookmarkStart w:id="61" w:name="_Toc458409450"/>
    </w:p>
    <w:p w14:paraId="2C239010" w14:textId="77777777" w:rsidR="00C7122E" w:rsidRDefault="00C7122E" w:rsidP="000E0183">
      <w:pPr>
        <w:pStyle w:val="Figure"/>
      </w:pPr>
      <w:bookmarkStart w:id="62" w:name="_Toc531260443"/>
      <w:r w:rsidRPr="00A119E8">
        <w:lastRenderedPageBreak/>
        <w:t xml:space="preserve">Figure </w:t>
      </w:r>
      <w:r>
        <w:t xml:space="preserve">3A: GP utilisation: </w:t>
      </w:r>
      <w:r w:rsidRPr="00A119E8">
        <w:t>average</w:t>
      </w:r>
      <w:r>
        <w:t xml:space="preserve"> number of</w:t>
      </w:r>
      <w:r w:rsidRPr="00A119E8">
        <w:t xml:space="preserve"> visits per person</w:t>
      </w:r>
      <w:r>
        <w:t xml:space="preserve"> per calendar year</w:t>
      </w:r>
      <w:r w:rsidRPr="00A119E8">
        <w:t xml:space="preserve">, Pacific peoples, </w:t>
      </w:r>
      <w:r>
        <w:t>Auckland region</w:t>
      </w:r>
      <w:r w:rsidRPr="00A119E8">
        <w:t xml:space="preserve"> DHBs, 2008–201</w:t>
      </w:r>
      <w:bookmarkEnd w:id="57"/>
      <w:bookmarkEnd w:id="58"/>
      <w:bookmarkEnd w:id="59"/>
      <w:bookmarkEnd w:id="60"/>
      <w:r>
        <w:t>6</w:t>
      </w:r>
      <w:bookmarkEnd w:id="61"/>
      <w:bookmarkEnd w:id="62"/>
    </w:p>
    <w:p w14:paraId="6B5A7832" w14:textId="77777777" w:rsidR="00C7122E" w:rsidRPr="009F5CB0" w:rsidRDefault="00C7122E" w:rsidP="00C7122E">
      <w:r>
        <w:rPr>
          <w:noProof/>
          <w:lang w:eastAsia="ja-JP"/>
        </w:rPr>
        <w:drawing>
          <wp:inline distT="0" distB="0" distL="0" distR="0" wp14:anchorId="2119D58E" wp14:editId="772264D3">
            <wp:extent cx="4696690" cy="2676699"/>
            <wp:effectExtent l="0" t="0" r="8890" b="0"/>
            <wp:docPr id="19" name="Chart 19" title="Figure 3A: GP utilisation: average number of visits per person per calendar year, Pacific peoples, Auckland region DHBs, 2008–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8C213D3" w14:textId="77777777" w:rsidR="00C7122E" w:rsidRDefault="00C7122E" w:rsidP="000E0183">
      <w:pPr>
        <w:pStyle w:val="Source"/>
      </w:pPr>
      <w:r w:rsidRPr="00CC508C">
        <w:t xml:space="preserve">Source: </w:t>
      </w:r>
      <w:r>
        <w:t xml:space="preserve">PHO </w:t>
      </w:r>
      <w:r w:rsidRPr="00CC508C">
        <w:t>reporting</w:t>
      </w:r>
    </w:p>
    <w:p w14:paraId="187F2A4C" w14:textId="77777777" w:rsidR="000E0183" w:rsidRPr="000E0183" w:rsidRDefault="000E0183" w:rsidP="000E0183"/>
    <w:p w14:paraId="61865244" w14:textId="77777777" w:rsidR="00C7122E" w:rsidRDefault="00C7122E" w:rsidP="000E0183">
      <w:pPr>
        <w:pStyle w:val="Figure"/>
      </w:pPr>
      <w:bookmarkStart w:id="63" w:name="_Toc531260444"/>
      <w:r w:rsidRPr="00A119E8">
        <w:t xml:space="preserve">Figure </w:t>
      </w:r>
      <w:r>
        <w:t xml:space="preserve">3B: GP utilisation: </w:t>
      </w:r>
      <w:r w:rsidRPr="00A119E8">
        <w:t>average</w:t>
      </w:r>
      <w:r>
        <w:t xml:space="preserve"> number of</w:t>
      </w:r>
      <w:r w:rsidRPr="00A119E8">
        <w:t xml:space="preserve"> visits per person</w:t>
      </w:r>
      <w:r>
        <w:t xml:space="preserve"> per calendar year</w:t>
      </w:r>
      <w:r w:rsidRPr="00A119E8">
        <w:t xml:space="preserve">, Pacific peoples, </w:t>
      </w:r>
      <w:r>
        <w:t>priority</w:t>
      </w:r>
      <w:r w:rsidRPr="00A119E8">
        <w:t xml:space="preserve"> DHBs</w:t>
      </w:r>
      <w:r>
        <w:t xml:space="preserve"> outside the Auckland region</w:t>
      </w:r>
      <w:r w:rsidRPr="00A119E8">
        <w:t>, 2008–201</w:t>
      </w:r>
      <w:r>
        <w:t>6</w:t>
      </w:r>
      <w:bookmarkEnd w:id="63"/>
    </w:p>
    <w:p w14:paraId="790EDE6E" w14:textId="77777777" w:rsidR="00C7122E" w:rsidRPr="009F5CB0" w:rsidRDefault="00C7122E" w:rsidP="00C7122E">
      <w:r>
        <w:rPr>
          <w:noProof/>
          <w:lang w:eastAsia="ja-JP"/>
        </w:rPr>
        <w:drawing>
          <wp:inline distT="0" distB="0" distL="0" distR="0" wp14:anchorId="7D82F45A" wp14:editId="23E50AB9">
            <wp:extent cx="4696690" cy="2618509"/>
            <wp:effectExtent l="0" t="0" r="8890" b="0"/>
            <wp:docPr id="23" name="Chart 23" title="Figure 3B: GP utilisation: average number of visits per person per calendar year, Pacific peoples, priority DHBs outside the Auckland region, 2008–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A781919" w14:textId="77777777" w:rsidR="00C7122E" w:rsidRDefault="00C7122E" w:rsidP="000E0183">
      <w:pPr>
        <w:pStyle w:val="Source"/>
      </w:pPr>
      <w:r w:rsidRPr="00CC508C">
        <w:t xml:space="preserve">Source: </w:t>
      </w:r>
      <w:r>
        <w:t xml:space="preserve">PHO </w:t>
      </w:r>
      <w:r w:rsidRPr="00CC508C">
        <w:t>reporting</w:t>
      </w:r>
    </w:p>
    <w:p w14:paraId="7C67A6B9" w14:textId="77777777" w:rsidR="000E0183" w:rsidRPr="000E0183" w:rsidRDefault="000E0183" w:rsidP="000E0183"/>
    <w:p w14:paraId="2F7414D3" w14:textId="77777777" w:rsidR="00C7122E" w:rsidRDefault="00C7122E" w:rsidP="000E0183">
      <w:pPr>
        <w:pStyle w:val="Figure"/>
      </w:pPr>
      <w:bookmarkStart w:id="64" w:name="_Toc428368087"/>
      <w:bookmarkStart w:id="65" w:name="_Toc428370465"/>
      <w:bookmarkStart w:id="66" w:name="_Toc445801470"/>
      <w:bookmarkStart w:id="67" w:name="_Toc447527169"/>
      <w:bookmarkStart w:id="68" w:name="_Toc458409451"/>
      <w:bookmarkStart w:id="69" w:name="_Toc531260445"/>
      <w:r w:rsidRPr="00A119E8">
        <w:lastRenderedPageBreak/>
        <w:t xml:space="preserve">Figure </w:t>
      </w:r>
      <w:r>
        <w:t>4: Nurse utilisation:</w:t>
      </w:r>
      <w:r w:rsidRPr="00A119E8">
        <w:t xml:space="preserve"> average</w:t>
      </w:r>
      <w:r>
        <w:t xml:space="preserve"> number of visits per person per calendar year</w:t>
      </w:r>
      <w:r w:rsidRPr="00A119E8">
        <w:t xml:space="preserve">, Pacific </w:t>
      </w:r>
      <w:r>
        <w:t>peoples and total New Zealand population</w:t>
      </w:r>
      <w:r w:rsidRPr="00A119E8">
        <w:t>, 2008–201</w:t>
      </w:r>
      <w:bookmarkEnd w:id="64"/>
      <w:bookmarkEnd w:id="65"/>
      <w:bookmarkEnd w:id="66"/>
      <w:bookmarkEnd w:id="67"/>
      <w:r>
        <w:t>6</w:t>
      </w:r>
      <w:bookmarkEnd w:id="68"/>
      <w:bookmarkEnd w:id="69"/>
    </w:p>
    <w:p w14:paraId="134FA1D2" w14:textId="77777777" w:rsidR="00C7122E" w:rsidRPr="009F5CB0" w:rsidRDefault="00C7122E" w:rsidP="00C7122E">
      <w:r>
        <w:rPr>
          <w:noProof/>
          <w:lang w:eastAsia="ja-JP"/>
        </w:rPr>
        <w:drawing>
          <wp:inline distT="0" distB="0" distL="0" distR="0" wp14:anchorId="24D90F95" wp14:editId="36379FB2">
            <wp:extent cx="4671753" cy="2660073"/>
            <wp:effectExtent l="0" t="0" r="14605" b="26035"/>
            <wp:docPr id="25" name="Chart 25" title="Figure 4: Nurse utilisation: average number of visits per person per calendar year, Pacific peoples and total New Zealand population, 2008–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0FFAD7C" w14:textId="77777777" w:rsidR="00C7122E" w:rsidRPr="00CC508C" w:rsidRDefault="00C7122E" w:rsidP="000E0183">
      <w:pPr>
        <w:pStyle w:val="Source"/>
        <w:rPr>
          <w:sz w:val="20"/>
          <w:highlight w:val="yellow"/>
        </w:rPr>
      </w:pPr>
      <w:r w:rsidRPr="00CC508C">
        <w:t xml:space="preserve">Source: </w:t>
      </w:r>
      <w:r>
        <w:t xml:space="preserve">PHO </w:t>
      </w:r>
      <w:r w:rsidRPr="00CC508C">
        <w:t>reporting</w:t>
      </w:r>
    </w:p>
    <w:p w14:paraId="1BAF50BB" w14:textId="77777777" w:rsidR="00C7122E" w:rsidRDefault="00C7122E" w:rsidP="000E0183"/>
    <w:p w14:paraId="2FB8D1F4" w14:textId="77777777" w:rsidR="00C7122E" w:rsidRPr="008C24CD" w:rsidRDefault="00C7122E" w:rsidP="000E0183">
      <w:pPr>
        <w:pStyle w:val="Figure"/>
      </w:pPr>
      <w:bookmarkStart w:id="70" w:name="_Toc428368088"/>
      <w:bookmarkStart w:id="71" w:name="_Toc428370466"/>
      <w:bookmarkStart w:id="72" w:name="_Toc445801471"/>
      <w:bookmarkStart w:id="73" w:name="_Toc447527170"/>
      <w:bookmarkStart w:id="74" w:name="_Toc458409452"/>
      <w:bookmarkStart w:id="75" w:name="_Toc531260446"/>
      <w:r w:rsidRPr="008C24CD">
        <w:t>Figure 5A: Nurse utilisation: average number of visits per person per calendar year, Pacific peoples, Auckland region DHBs, 2008–201</w:t>
      </w:r>
      <w:bookmarkEnd w:id="70"/>
      <w:bookmarkEnd w:id="71"/>
      <w:bookmarkEnd w:id="72"/>
      <w:bookmarkEnd w:id="73"/>
      <w:r w:rsidRPr="008C24CD">
        <w:t>6</w:t>
      </w:r>
      <w:bookmarkEnd w:id="74"/>
      <w:bookmarkEnd w:id="75"/>
    </w:p>
    <w:p w14:paraId="605B4412" w14:textId="77777777" w:rsidR="00C7122E" w:rsidRPr="0061370C" w:rsidRDefault="00C7122E" w:rsidP="00C7122E">
      <w:r>
        <w:rPr>
          <w:noProof/>
          <w:lang w:eastAsia="ja-JP"/>
        </w:rPr>
        <w:drawing>
          <wp:inline distT="0" distB="0" distL="0" distR="0" wp14:anchorId="0EF63DF8" wp14:editId="17B3FF74">
            <wp:extent cx="4671753" cy="2635135"/>
            <wp:effectExtent l="0" t="0" r="0" b="0"/>
            <wp:docPr id="24" name="Chart 24" title="Figure 5A: Nurse utilisation: average number of visits per person per calendar year, Pacific peoples, Auckland region DHBs, 2008–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84F5CDA" w14:textId="77777777" w:rsidR="00C7122E" w:rsidRDefault="00C7122E" w:rsidP="000E0183">
      <w:pPr>
        <w:pStyle w:val="Source"/>
      </w:pPr>
      <w:r w:rsidRPr="00CC508C">
        <w:t xml:space="preserve">Source: </w:t>
      </w:r>
      <w:r>
        <w:t xml:space="preserve">PHO </w:t>
      </w:r>
      <w:r w:rsidRPr="00CC508C">
        <w:t>reporting</w:t>
      </w:r>
    </w:p>
    <w:p w14:paraId="07A9E9C5" w14:textId="77777777" w:rsidR="000E0183" w:rsidRPr="000E0183" w:rsidRDefault="000E0183" w:rsidP="000E0183"/>
    <w:p w14:paraId="1C79E47D" w14:textId="77777777" w:rsidR="00C7122E" w:rsidRPr="008C24CD" w:rsidRDefault="00C7122E" w:rsidP="000E0183">
      <w:pPr>
        <w:pStyle w:val="Figure"/>
      </w:pPr>
      <w:bookmarkStart w:id="76" w:name="_Toc531260447"/>
      <w:r w:rsidRPr="008C24CD">
        <w:lastRenderedPageBreak/>
        <w:t>Figure 5B: Nurse utilisation: average number of visits per person per calendar year, Pacific peoples, priority DHBs outside the Auckland region, 2008–2016</w:t>
      </w:r>
      <w:bookmarkEnd w:id="76"/>
    </w:p>
    <w:p w14:paraId="0B3F528D" w14:textId="77777777" w:rsidR="00C7122E" w:rsidRPr="0061370C" w:rsidRDefault="00C7122E" w:rsidP="00C7122E">
      <w:r>
        <w:rPr>
          <w:noProof/>
          <w:lang w:eastAsia="ja-JP"/>
        </w:rPr>
        <w:drawing>
          <wp:inline distT="0" distB="0" distL="0" distR="0" wp14:anchorId="6F5BCCFF" wp14:editId="2FD433E5">
            <wp:extent cx="4705003" cy="2651760"/>
            <wp:effectExtent l="0" t="0" r="635" b="0"/>
            <wp:docPr id="27" name="Chart 27" title="Figure 5B: Nurse utilisation: average number of visits per person per calendar year, Pacific peoples, priority DHBs outside the Auckland region, 2008–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74E951C" w14:textId="77777777" w:rsidR="00C7122E" w:rsidRDefault="00C7122E" w:rsidP="000E0183">
      <w:pPr>
        <w:pStyle w:val="Source"/>
        <w:rPr>
          <w:sz w:val="20"/>
        </w:rPr>
      </w:pPr>
      <w:r w:rsidRPr="00CC508C">
        <w:t xml:space="preserve">Source: </w:t>
      </w:r>
      <w:r>
        <w:t xml:space="preserve">PHO </w:t>
      </w:r>
      <w:r w:rsidRPr="00CC508C">
        <w:t>reporting</w:t>
      </w:r>
    </w:p>
    <w:p w14:paraId="3CBB1B41" w14:textId="77777777" w:rsidR="00C7122E" w:rsidRDefault="00C7122E" w:rsidP="000E0183"/>
    <w:p w14:paraId="71115C69" w14:textId="77777777" w:rsidR="00C7122E" w:rsidRDefault="00C7122E" w:rsidP="000E0183">
      <w:pPr>
        <w:pStyle w:val="Figure"/>
      </w:pPr>
      <w:bookmarkStart w:id="77" w:name="_Toc428368089"/>
      <w:bookmarkStart w:id="78" w:name="_Toc428370467"/>
      <w:bookmarkStart w:id="79" w:name="_Toc445801472"/>
      <w:bookmarkStart w:id="80" w:name="_Toc447527171"/>
      <w:bookmarkStart w:id="81" w:name="_Toc458409453"/>
      <w:bookmarkStart w:id="82" w:name="_Toc531260448"/>
      <w:r w:rsidRPr="00A119E8">
        <w:t xml:space="preserve">Figure </w:t>
      </w:r>
      <w:r>
        <w:t>6</w:t>
      </w:r>
      <w:r w:rsidRPr="00A119E8">
        <w:t>: Total</w:t>
      </w:r>
      <w:r>
        <w:t xml:space="preserve"> GP and nurse utilisation: </w:t>
      </w:r>
      <w:r w:rsidRPr="00A119E8">
        <w:t>average</w:t>
      </w:r>
      <w:r>
        <w:t xml:space="preserve"> number of</w:t>
      </w:r>
      <w:r w:rsidRPr="00A119E8">
        <w:t xml:space="preserve"> visits per person</w:t>
      </w:r>
      <w:r>
        <w:t xml:space="preserve"> per calendar year</w:t>
      </w:r>
      <w:r w:rsidRPr="00A119E8">
        <w:t xml:space="preserve">, Pacific </w:t>
      </w:r>
      <w:r>
        <w:t>ethnicity and total ethnicity</w:t>
      </w:r>
      <w:r w:rsidRPr="00A119E8">
        <w:t>, 2008–201</w:t>
      </w:r>
      <w:bookmarkEnd w:id="77"/>
      <w:bookmarkEnd w:id="78"/>
      <w:bookmarkEnd w:id="79"/>
      <w:bookmarkEnd w:id="80"/>
      <w:r>
        <w:t>6</w:t>
      </w:r>
      <w:bookmarkEnd w:id="81"/>
      <w:bookmarkEnd w:id="82"/>
    </w:p>
    <w:p w14:paraId="42131324" w14:textId="77777777" w:rsidR="00C7122E" w:rsidRPr="00114ADD" w:rsidRDefault="00C7122E" w:rsidP="00C7122E">
      <w:pPr>
        <w:rPr>
          <w:highlight w:val="yellow"/>
        </w:rPr>
      </w:pPr>
      <w:r>
        <w:rPr>
          <w:noProof/>
          <w:lang w:eastAsia="ja-JP"/>
        </w:rPr>
        <w:drawing>
          <wp:inline distT="0" distB="0" distL="0" distR="0" wp14:anchorId="7AD7A956" wp14:editId="3E883D95">
            <wp:extent cx="4705003" cy="2635135"/>
            <wp:effectExtent l="0" t="0" r="19685" b="13335"/>
            <wp:docPr id="28" name="Chart 28" title="Figure 6: Total GP and nurse utilisation: average number of visits per person per calendar year, Pacific ethnicity and total ethnicity, 2008–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0D2349A" w14:textId="77777777" w:rsidR="00C7122E" w:rsidRPr="00CC508C" w:rsidRDefault="00C7122E" w:rsidP="000E0183">
      <w:pPr>
        <w:pStyle w:val="Source"/>
      </w:pPr>
      <w:r w:rsidRPr="00CC508C">
        <w:t xml:space="preserve">Source: </w:t>
      </w:r>
      <w:r>
        <w:t xml:space="preserve">PHO </w:t>
      </w:r>
      <w:r w:rsidRPr="00CC508C">
        <w:t>reporting</w:t>
      </w:r>
    </w:p>
    <w:p w14:paraId="4B38E0B2" w14:textId="77777777" w:rsidR="00C7122E" w:rsidRDefault="00C7122E" w:rsidP="000E0183"/>
    <w:p w14:paraId="6010E41B" w14:textId="77777777" w:rsidR="00C7122E" w:rsidRDefault="00C7122E" w:rsidP="000E0183">
      <w:pPr>
        <w:pStyle w:val="Figure"/>
      </w:pPr>
      <w:bookmarkStart w:id="83" w:name="_Toc428368090"/>
      <w:bookmarkStart w:id="84" w:name="_Toc428370468"/>
      <w:bookmarkStart w:id="85" w:name="_Toc445801473"/>
      <w:bookmarkStart w:id="86" w:name="_Toc447527172"/>
      <w:bookmarkStart w:id="87" w:name="_Toc458409454"/>
      <w:bookmarkStart w:id="88" w:name="_Toc531260449"/>
      <w:r w:rsidRPr="00A119E8">
        <w:lastRenderedPageBreak/>
        <w:t xml:space="preserve">Figure </w:t>
      </w:r>
      <w:r>
        <w:t>7A</w:t>
      </w:r>
      <w:r w:rsidRPr="00A119E8">
        <w:t xml:space="preserve">: Total GP and </w:t>
      </w:r>
      <w:r>
        <w:t xml:space="preserve">nurse utilisation: </w:t>
      </w:r>
      <w:r w:rsidRPr="00A119E8">
        <w:t>average</w:t>
      </w:r>
      <w:r>
        <w:t xml:space="preserve"> number of</w:t>
      </w:r>
      <w:r w:rsidRPr="00A119E8">
        <w:t xml:space="preserve"> visits per person</w:t>
      </w:r>
      <w:r>
        <w:t xml:space="preserve"> per calendar year</w:t>
      </w:r>
      <w:r w:rsidRPr="00A119E8">
        <w:t xml:space="preserve">, Pacific peoples, </w:t>
      </w:r>
      <w:r>
        <w:t>Auckland region</w:t>
      </w:r>
      <w:r w:rsidRPr="00A119E8">
        <w:t xml:space="preserve"> DHBs, 2008–201</w:t>
      </w:r>
      <w:bookmarkEnd w:id="83"/>
      <w:bookmarkEnd w:id="84"/>
      <w:bookmarkEnd w:id="85"/>
      <w:bookmarkEnd w:id="86"/>
      <w:r>
        <w:t>6</w:t>
      </w:r>
      <w:bookmarkEnd w:id="87"/>
      <w:bookmarkEnd w:id="88"/>
    </w:p>
    <w:p w14:paraId="030BB8AD" w14:textId="77777777" w:rsidR="00C7122E" w:rsidRDefault="00C7122E" w:rsidP="00C7122E">
      <w:pPr>
        <w:rPr>
          <w:highlight w:val="yellow"/>
        </w:rPr>
      </w:pPr>
      <w:r>
        <w:rPr>
          <w:noProof/>
          <w:lang w:eastAsia="ja-JP"/>
        </w:rPr>
        <w:drawing>
          <wp:inline distT="0" distB="0" distL="0" distR="0" wp14:anchorId="0BAF41FE" wp14:editId="5D835DFA">
            <wp:extent cx="4671753" cy="2660073"/>
            <wp:effectExtent l="0" t="0" r="0" b="6985"/>
            <wp:docPr id="30" name="Chart 30" title="Figure 7A: Total GP and nurse utilisation: average number of visits per person per calendar year, Pacific peoples, Auckland region DHBs, 2008–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3B888A8" w14:textId="77777777" w:rsidR="00C7122E" w:rsidRDefault="00C7122E" w:rsidP="000E0183">
      <w:pPr>
        <w:pStyle w:val="Source"/>
      </w:pPr>
      <w:r w:rsidRPr="00815CAA">
        <w:t xml:space="preserve">Source: </w:t>
      </w:r>
      <w:r>
        <w:t>PHO reporting</w:t>
      </w:r>
    </w:p>
    <w:p w14:paraId="095F7DA3" w14:textId="77777777" w:rsidR="00C7122E" w:rsidRDefault="00C7122E" w:rsidP="000E0183"/>
    <w:p w14:paraId="2F639049" w14:textId="77777777" w:rsidR="00C7122E" w:rsidRDefault="00C7122E" w:rsidP="000E0183">
      <w:pPr>
        <w:pStyle w:val="Figure"/>
      </w:pPr>
      <w:bookmarkStart w:id="89" w:name="_Toc531260450"/>
      <w:r w:rsidRPr="00A119E8">
        <w:t xml:space="preserve">Figure </w:t>
      </w:r>
      <w:r>
        <w:t>7B</w:t>
      </w:r>
      <w:r w:rsidRPr="00A119E8">
        <w:t xml:space="preserve">: Total GP and </w:t>
      </w:r>
      <w:r>
        <w:t xml:space="preserve">nurse utilisation: </w:t>
      </w:r>
      <w:r w:rsidRPr="00A119E8">
        <w:t>average</w:t>
      </w:r>
      <w:r>
        <w:t xml:space="preserve"> number of</w:t>
      </w:r>
      <w:r w:rsidRPr="00A119E8">
        <w:t xml:space="preserve"> visits per person</w:t>
      </w:r>
      <w:r>
        <w:t xml:space="preserve"> per calendar year, Pacific peoples,</w:t>
      </w:r>
      <w:r w:rsidRPr="00A119E8">
        <w:t xml:space="preserve"> priority DHBs</w:t>
      </w:r>
      <w:r>
        <w:t xml:space="preserve"> outside the Auckland region</w:t>
      </w:r>
      <w:r w:rsidRPr="00A119E8">
        <w:t>, 2008–201</w:t>
      </w:r>
      <w:r>
        <w:t>6</w:t>
      </w:r>
      <w:bookmarkEnd w:id="89"/>
    </w:p>
    <w:p w14:paraId="19A31198" w14:textId="77777777" w:rsidR="00C7122E" w:rsidRDefault="00C7122E" w:rsidP="000E0183">
      <w:pPr>
        <w:rPr>
          <w:highlight w:val="yellow"/>
        </w:rPr>
      </w:pPr>
      <w:r>
        <w:rPr>
          <w:noProof/>
          <w:lang w:eastAsia="ja-JP"/>
        </w:rPr>
        <w:drawing>
          <wp:inline distT="0" distB="0" distL="0" distR="0" wp14:anchorId="13B91C36" wp14:editId="3F7BF5AB">
            <wp:extent cx="4671753" cy="2601883"/>
            <wp:effectExtent l="0" t="0" r="0" b="8255"/>
            <wp:docPr id="31" name="Chart 31" title="Figure 7B: Total GP and nurse utilisation: average number of visits per person per calendar year, Pacific peoples, priority DHBs outside the Auckland region, 2008–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FE6BC3A" w14:textId="77777777" w:rsidR="00C7122E" w:rsidRDefault="00C7122E" w:rsidP="000E0183">
      <w:pPr>
        <w:pStyle w:val="Source"/>
      </w:pPr>
      <w:r w:rsidRPr="00CC508C">
        <w:t xml:space="preserve">Source: </w:t>
      </w:r>
      <w:r>
        <w:t>PHO</w:t>
      </w:r>
      <w:r w:rsidRPr="00CC508C">
        <w:t xml:space="preserve"> reporting</w:t>
      </w:r>
    </w:p>
    <w:p w14:paraId="71CFC5E6" w14:textId="77777777" w:rsidR="00C7122E" w:rsidRPr="00CC508C" w:rsidRDefault="00C7122E" w:rsidP="000E0183"/>
    <w:p w14:paraId="4AE7F7AC" w14:textId="77777777" w:rsidR="000E0183" w:rsidRDefault="000E0183" w:rsidP="000E0183">
      <w:pPr>
        <w:pStyle w:val="Note"/>
        <w:ind w:left="0" w:right="0" w:firstLine="0"/>
      </w:pPr>
      <w:r w:rsidRPr="00A11460">
        <w:t>Notes</w:t>
      </w:r>
    </w:p>
    <w:p w14:paraId="401569B6" w14:textId="77777777" w:rsidR="000E0183" w:rsidRPr="000E0183" w:rsidRDefault="000E0183" w:rsidP="000E0183">
      <w:pPr>
        <w:pStyle w:val="Note"/>
        <w:ind w:left="0" w:right="0" w:firstLine="0"/>
        <w:rPr>
          <w:b/>
        </w:rPr>
      </w:pPr>
      <w:r w:rsidRPr="000E0183">
        <w:rPr>
          <w:b/>
        </w:rPr>
        <w:t>Figures 2–7B:</w:t>
      </w:r>
    </w:p>
    <w:p w14:paraId="108537FF" w14:textId="77777777" w:rsidR="000E0183" w:rsidRDefault="000E0183" w:rsidP="000E0183">
      <w:pPr>
        <w:pStyle w:val="Note"/>
        <w:ind w:left="0" w:right="0" w:firstLine="0"/>
      </w:pPr>
      <w:r>
        <w:t>Timeframe: this data reflects a calendar year (1 January–30 December).</w:t>
      </w:r>
    </w:p>
    <w:p w14:paraId="61C1F30C" w14:textId="4685AF2B" w:rsidR="000E0183" w:rsidRDefault="000E0183" w:rsidP="000E0183">
      <w:pPr>
        <w:pStyle w:val="Note"/>
        <w:ind w:left="0" w:right="0" w:firstLine="0"/>
      </w:pPr>
      <w:r>
        <w:t>Numerator: the number (count) of each instance where people visited their GP or nurse at each PHO in the relevant reporting period, added together for the relevant DHB (DHB reporting), the numbers for all DHBs together were then added together to give a national figure (total population reporting). Source: PHO reporting</w:t>
      </w:r>
      <w:r w:rsidR="006473F7">
        <w:t>.</w:t>
      </w:r>
    </w:p>
    <w:p w14:paraId="68960326" w14:textId="119DED13" w:rsidR="000E0183" w:rsidRDefault="000E0183" w:rsidP="000E0183">
      <w:pPr>
        <w:pStyle w:val="Note"/>
        <w:ind w:left="0" w:right="0" w:firstLine="0"/>
      </w:pPr>
      <w:r>
        <w:t>Denominator: the total number of people enrolled in a PHO in the relevant DHB (DHB reporting), added together to give a national denominator (total population reporting). Source: PHO reporting</w:t>
      </w:r>
      <w:r w:rsidR="006473F7">
        <w:t>.</w:t>
      </w:r>
    </w:p>
    <w:p w14:paraId="5E03C94E" w14:textId="77777777" w:rsidR="000E0183" w:rsidRDefault="000E0183" w:rsidP="000E0183">
      <w:pPr>
        <w:pStyle w:val="Note"/>
        <w:ind w:left="0" w:right="0" w:firstLine="0"/>
      </w:pPr>
      <w:r>
        <w:t>Figures 5A, 5B, 7A and 7B</w:t>
      </w:r>
      <w:r w:rsidRPr="00A11460">
        <w:t>:</w:t>
      </w:r>
    </w:p>
    <w:p w14:paraId="524EA2E1" w14:textId="77777777" w:rsidR="000E0183" w:rsidRDefault="000E0183" w:rsidP="000E0183">
      <w:pPr>
        <w:pStyle w:val="Note"/>
        <w:ind w:left="0" w:right="0" w:firstLine="0"/>
      </w:pPr>
      <w:r>
        <w:t>In 2008, GP practices and other PHOs began to count nurse visits that were not paid for. Changes in the data therefore reflect changes in reporting as well as changes in utilisation.</w:t>
      </w:r>
    </w:p>
    <w:p w14:paraId="2DCB8102" w14:textId="77777777" w:rsidR="00C7122E" w:rsidRDefault="00C7122E" w:rsidP="000E0183"/>
    <w:p w14:paraId="7320F973" w14:textId="77777777" w:rsidR="00C7122E" w:rsidRDefault="00C7122E" w:rsidP="000E0183">
      <w:pPr>
        <w:pStyle w:val="Table"/>
      </w:pPr>
      <w:bookmarkStart w:id="90" w:name="_Toc531260401"/>
      <w:r>
        <w:lastRenderedPageBreak/>
        <w:t>Table 5</w:t>
      </w:r>
      <w:r w:rsidRPr="00A119E8">
        <w:t xml:space="preserve">: </w:t>
      </w:r>
      <w:r>
        <w:t xml:space="preserve">Count and average number of nurse and GP visits combined, Pacific peoples, priority </w:t>
      </w:r>
      <w:r w:rsidRPr="00A119E8">
        <w:t>DHBs</w:t>
      </w:r>
      <w:r>
        <w:t>, 1 January–30 December 2016</w:t>
      </w:r>
      <w:bookmarkEnd w:id="90"/>
    </w:p>
    <w:tbl>
      <w:tblPr>
        <w:tblW w:w="0" w:type="auto"/>
        <w:tblInd w:w="57" w:type="dxa"/>
        <w:tblBorders>
          <w:top w:val="single" w:sz="4" w:space="0" w:color="auto"/>
        </w:tblBorders>
        <w:tblLayout w:type="fixed"/>
        <w:tblCellMar>
          <w:left w:w="57" w:type="dxa"/>
          <w:right w:w="57" w:type="dxa"/>
        </w:tblCellMar>
        <w:tblLook w:val="04A0" w:firstRow="1" w:lastRow="0" w:firstColumn="1" w:lastColumn="0" w:noHBand="0" w:noVBand="1"/>
      </w:tblPr>
      <w:tblGrid>
        <w:gridCol w:w="1439"/>
        <w:gridCol w:w="2100"/>
        <w:gridCol w:w="1939"/>
        <w:gridCol w:w="1939"/>
        <w:gridCol w:w="1939"/>
      </w:tblGrid>
      <w:tr w:rsidR="00C7122E" w:rsidRPr="000C05FB" w14:paraId="1E8387B5" w14:textId="77777777" w:rsidTr="000E0183">
        <w:trPr>
          <w:cantSplit/>
        </w:trPr>
        <w:tc>
          <w:tcPr>
            <w:tcW w:w="1439" w:type="dxa"/>
            <w:tcBorders>
              <w:top w:val="single" w:sz="4" w:space="0" w:color="auto"/>
              <w:bottom w:val="single" w:sz="4" w:space="0" w:color="auto"/>
            </w:tcBorders>
            <w:shd w:val="clear" w:color="auto" w:fill="auto"/>
            <w:hideMark/>
          </w:tcPr>
          <w:p w14:paraId="530E94CE" w14:textId="77777777" w:rsidR="00C7122E" w:rsidRPr="000C05FB" w:rsidRDefault="00C7122E" w:rsidP="000E0183">
            <w:pPr>
              <w:pStyle w:val="TableText"/>
            </w:pPr>
          </w:p>
        </w:tc>
        <w:tc>
          <w:tcPr>
            <w:tcW w:w="2100" w:type="dxa"/>
            <w:tcBorders>
              <w:top w:val="single" w:sz="4" w:space="0" w:color="auto"/>
              <w:bottom w:val="single" w:sz="4" w:space="0" w:color="auto"/>
            </w:tcBorders>
            <w:shd w:val="clear" w:color="auto" w:fill="auto"/>
            <w:hideMark/>
          </w:tcPr>
          <w:p w14:paraId="716F8F8E" w14:textId="77777777" w:rsidR="00C7122E" w:rsidRPr="000C05FB" w:rsidRDefault="00C7122E" w:rsidP="000E0183">
            <w:pPr>
              <w:pStyle w:val="TableText"/>
              <w:rPr>
                <w:b/>
              </w:rPr>
            </w:pPr>
            <w:r w:rsidRPr="000C05FB">
              <w:rPr>
                <w:b/>
              </w:rPr>
              <w:t>Region</w:t>
            </w:r>
          </w:p>
        </w:tc>
        <w:tc>
          <w:tcPr>
            <w:tcW w:w="1939" w:type="dxa"/>
            <w:tcBorders>
              <w:top w:val="single" w:sz="4" w:space="0" w:color="auto"/>
              <w:bottom w:val="single" w:sz="4" w:space="0" w:color="auto"/>
            </w:tcBorders>
            <w:shd w:val="clear" w:color="auto" w:fill="auto"/>
            <w:hideMark/>
          </w:tcPr>
          <w:p w14:paraId="5FE329EE" w14:textId="77777777" w:rsidR="00C7122E" w:rsidRPr="003F0B8D" w:rsidRDefault="00C7122E" w:rsidP="000E0183">
            <w:pPr>
              <w:pStyle w:val="TableText"/>
              <w:jc w:val="center"/>
              <w:rPr>
                <w:b/>
              </w:rPr>
            </w:pPr>
            <w:r w:rsidRPr="003F0B8D">
              <w:rPr>
                <w:b/>
              </w:rPr>
              <w:t>Total number of consultations (count)</w:t>
            </w:r>
          </w:p>
        </w:tc>
        <w:tc>
          <w:tcPr>
            <w:tcW w:w="1939" w:type="dxa"/>
            <w:tcBorders>
              <w:top w:val="single" w:sz="4" w:space="0" w:color="auto"/>
              <w:bottom w:val="single" w:sz="4" w:space="0" w:color="auto"/>
            </w:tcBorders>
            <w:shd w:val="clear" w:color="auto" w:fill="auto"/>
            <w:hideMark/>
          </w:tcPr>
          <w:p w14:paraId="28CC664E" w14:textId="77777777" w:rsidR="00C7122E" w:rsidRPr="003F0B8D" w:rsidRDefault="00C7122E" w:rsidP="000E0183">
            <w:pPr>
              <w:pStyle w:val="TableText"/>
              <w:jc w:val="center"/>
              <w:rPr>
                <w:b/>
              </w:rPr>
            </w:pPr>
            <w:r w:rsidRPr="003F0B8D">
              <w:rPr>
                <w:b/>
              </w:rPr>
              <w:t>Number of people enrolled in DHB (count)</w:t>
            </w:r>
          </w:p>
        </w:tc>
        <w:tc>
          <w:tcPr>
            <w:tcW w:w="1939" w:type="dxa"/>
            <w:tcBorders>
              <w:top w:val="single" w:sz="4" w:space="0" w:color="auto"/>
              <w:bottom w:val="single" w:sz="4" w:space="0" w:color="auto"/>
            </w:tcBorders>
            <w:shd w:val="clear" w:color="auto" w:fill="auto"/>
            <w:hideMark/>
          </w:tcPr>
          <w:p w14:paraId="447D85D1" w14:textId="77777777" w:rsidR="00C7122E" w:rsidRPr="003F0B8D" w:rsidRDefault="00C7122E" w:rsidP="000E0183">
            <w:pPr>
              <w:pStyle w:val="TableText"/>
              <w:jc w:val="center"/>
              <w:rPr>
                <w:b/>
              </w:rPr>
            </w:pPr>
            <w:r w:rsidRPr="003F0B8D">
              <w:rPr>
                <w:b/>
              </w:rPr>
              <w:t>Average visits per person</w:t>
            </w:r>
          </w:p>
        </w:tc>
      </w:tr>
      <w:tr w:rsidR="00C7122E" w:rsidRPr="000C05FB" w14:paraId="2FB30DF0" w14:textId="77777777" w:rsidTr="000E0183">
        <w:trPr>
          <w:cantSplit/>
        </w:trPr>
        <w:tc>
          <w:tcPr>
            <w:tcW w:w="1439" w:type="dxa"/>
            <w:vMerge w:val="restart"/>
            <w:tcBorders>
              <w:top w:val="single" w:sz="4" w:space="0" w:color="auto"/>
            </w:tcBorders>
            <w:shd w:val="clear" w:color="auto" w:fill="auto"/>
            <w:hideMark/>
          </w:tcPr>
          <w:p w14:paraId="36F9E9FF" w14:textId="77777777" w:rsidR="00C7122E" w:rsidRPr="000C05FB" w:rsidRDefault="00C7122E" w:rsidP="000E0183">
            <w:pPr>
              <w:pStyle w:val="TableText"/>
              <w:ind w:right="284"/>
            </w:pPr>
            <w:r w:rsidRPr="000C05FB">
              <w:t>Auckland region</w:t>
            </w:r>
          </w:p>
        </w:tc>
        <w:tc>
          <w:tcPr>
            <w:tcW w:w="2100" w:type="dxa"/>
            <w:tcBorders>
              <w:top w:val="single" w:sz="4" w:space="0" w:color="auto"/>
              <w:bottom w:val="single" w:sz="4" w:space="0" w:color="A6A6A6" w:themeColor="background1" w:themeShade="A6"/>
            </w:tcBorders>
            <w:shd w:val="clear" w:color="auto" w:fill="auto"/>
            <w:hideMark/>
          </w:tcPr>
          <w:p w14:paraId="2C929ACE" w14:textId="77777777" w:rsidR="00C7122E" w:rsidRPr="000C05FB" w:rsidRDefault="00C7122E" w:rsidP="000E0183">
            <w:pPr>
              <w:pStyle w:val="TableText"/>
            </w:pPr>
            <w:r w:rsidRPr="000C05FB">
              <w:t>Counties Manukau</w:t>
            </w:r>
          </w:p>
        </w:tc>
        <w:tc>
          <w:tcPr>
            <w:tcW w:w="1939" w:type="dxa"/>
            <w:tcBorders>
              <w:top w:val="single" w:sz="4" w:space="0" w:color="auto"/>
              <w:bottom w:val="single" w:sz="4" w:space="0" w:color="A6A6A6" w:themeColor="background1" w:themeShade="A6"/>
            </w:tcBorders>
            <w:shd w:val="clear" w:color="auto" w:fill="auto"/>
            <w:hideMark/>
          </w:tcPr>
          <w:p w14:paraId="0F498909" w14:textId="77777777" w:rsidR="00C7122E" w:rsidRPr="003F0B8D" w:rsidRDefault="00C7122E" w:rsidP="000E0183">
            <w:pPr>
              <w:pStyle w:val="TableText"/>
              <w:tabs>
                <w:tab w:val="decimal" w:pos="1269"/>
              </w:tabs>
            </w:pPr>
            <w:r w:rsidRPr="003F0B8D">
              <w:t>481,560</w:t>
            </w:r>
          </w:p>
        </w:tc>
        <w:tc>
          <w:tcPr>
            <w:tcW w:w="1939" w:type="dxa"/>
            <w:tcBorders>
              <w:top w:val="single" w:sz="4" w:space="0" w:color="auto"/>
              <w:bottom w:val="single" w:sz="4" w:space="0" w:color="A6A6A6" w:themeColor="background1" w:themeShade="A6"/>
            </w:tcBorders>
            <w:shd w:val="clear" w:color="auto" w:fill="auto"/>
            <w:hideMark/>
          </w:tcPr>
          <w:p w14:paraId="131ADA97" w14:textId="77777777" w:rsidR="00C7122E" w:rsidRPr="003F0B8D" w:rsidRDefault="00C7122E" w:rsidP="000E0183">
            <w:pPr>
              <w:pStyle w:val="TableText"/>
              <w:tabs>
                <w:tab w:val="decimal" w:pos="1269"/>
              </w:tabs>
            </w:pPr>
            <w:r w:rsidRPr="003F0B8D">
              <w:t>107,923</w:t>
            </w:r>
          </w:p>
        </w:tc>
        <w:tc>
          <w:tcPr>
            <w:tcW w:w="1939" w:type="dxa"/>
            <w:tcBorders>
              <w:top w:val="single" w:sz="4" w:space="0" w:color="auto"/>
              <w:bottom w:val="single" w:sz="4" w:space="0" w:color="A6A6A6" w:themeColor="background1" w:themeShade="A6"/>
            </w:tcBorders>
            <w:shd w:val="clear" w:color="auto" w:fill="auto"/>
            <w:noWrap/>
            <w:hideMark/>
          </w:tcPr>
          <w:p w14:paraId="08408ECD" w14:textId="77777777" w:rsidR="00C7122E" w:rsidRPr="003F0B8D" w:rsidRDefault="00C7122E" w:rsidP="000E0183">
            <w:pPr>
              <w:pStyle w:val="TableText"/>
              <w:jc w:val="center"/>
            </w:pPr>
            <w:r w:rsidRPr="003F0B8D">
              <w:t>4.46</w:t>
            </w:r>
          </w:p>
        </w:tc>
      </w:tr>
      <w:tr w:rsidR="00C7122E" w:rsidRPr="000C05FB" w14:paraId="188BBE20" w14:textId="77777777" w:rsidTr="000E0183">
        <w:trPr>
          <w:cantSplit/>
        </w:trPr>
        <w:tc>
          <w:tcPr>
            <w:tcW w:w="1439" w:type="dxa"/>
            <w:vMerge/>
            <w:hideMark/>
          </w:tcPr>
          <w:p w14:paraId="032A8443" w14:textId="77777777" w:rsidR="00C7122E" w:rsidRPr="000C05FB" w:rsidRDefault="00C7122E" w:rsidP="000E0183">
            <w:pPr>
              <w:pStyle w:val="TableText"/>
            </w:pPr>
          </w:p>
        </w:tc>
        <w:tc>
          <w:tcPr>
            <w:tcW w:w="2100" w:type="dxa"/>
            <w:tcBorders>
              <w:top w:val="single" w:sz="4" w:space="0" w:color="A6A6A6" w:themeColor="background1" w:themeShade="A6"/>
              <w:bottom w:val="single" w:sz="4" w:space="0" w:color="A6A6A6" w:themeColor="background1" w:themeShade="A6"/>
            </w:tcBorders>
            <w:shd w:val="clear" w:color="auto" w:fill="auto"/>
            <w:hideMark/>
          </w:tcPr>
          <w:p w14:paraId="1120AA2D" w14:textId="77777777" w:rsidR="00C7122E" w:rsidRPr="000C05FB" w:rsidRDefault="00C7122E" w:rsidP="000E0183">
            <w:pPr>
              <w:pStyle w:val="TableText"/>
            </w:pPr>
            <w:r w:rsidRPr="000C05FB">
              <w:t>Auckland</w:t>
            </w:r>
          </w:p>
        </w:tc>
        <w:tc>
          <w:tcPr>
            <w:tcW w:w="1939" w:type="dxa"/>
            <w:tcBorders>
              <w:top w:val="single" w:sz="4" w:space="0" w:color="A6A6A6" w:themeColor="background1" w:themeShade="A6"/>
              <w:bottom w:val="single" w:sz="4" w:space="0" w:color="A6A6A6" w:themeColor="background1" w:themeShade="A6"/>
            </w:tcBorders>
            <w:shd w:val="clear" w:color="auto" w:fill="auto"/>
            <w:hideMark/>
          </w:tcPr>
          <w:p w14:paraId="2D2D3DCB" w14:textId="77777777" w:rsidR="00C7122E" w:rsidRPr="003F0B8D" w:rsidRDefault="00C7122E" w:rsidP="000E0183">
            <w:pPr>
              <w:pStyle w:val="TableText"/>
              <w:tabs>
                <w:tab w:val="decimal" w:pos="1269"/>
              </w:tabs>
            </w:pPr>
            <w:r w:rsidRPr="003F0B8D">
              <w:t>430,817</w:t>
            </w:r>
          </w:p>
        </w:tc>
        <w:tc>
          <w:tcPr>
            <w:tcW w:w="1939" w:type="dxa"/>
            <w:tcBorders>
              <w:top w:val="single" w:sz="4" w:space="0" w:color="A6A6A6" w:themeColor="background1" w:themeShade="A6"/>
              <w:bottom w:val="single" w:sz="4" w:space="0" w:color="A6A6A6" w:themeColor="background1" w:themeShade="A6"/>
            </w:tcBorders>
            <w:shd w:val="clear" w:color="auto" w:fill="auto"/>
            <w:hideMark/>
          </w:tcPr>
          <w:p w14:paraId="3BA85D21" w14:textId="77777777" w:rsidR="00C7122E" w:rsidRPr="003F0B8D" w:rsidRDefault="00C7122E" w:rsidP="000E0183">
            <w:pPr>
              <w:pStyle w:val="TableText"/>
              <w:tabs>
                <w:tab w:val="decimal" w:pos="1269"/>
              </w:tabs>
            </w:pPr>
            <w:r w:rsidRPr="003F0B8D">
              <w:t>112,709</w:t>
            </w:r>
          </w:p>
        </w:tc>
        <w:tc>
          <w:tcPr>
            <w:tcW w:w="1939" w:type="dxa"/>
            <w:tcBorders>
              <w:top w:val="single" w:sz="4" w:space="0" w:color="A6A6A6" w:themeColor="background1" w:themeShade="A6"/>
              <w:bottom w:val="single" w:sz="4" w:space="0" w:color="A6A6A6" w:themeColor="background1" w:themeShade="A6"/>
            </w:tcBorders>
            <w:shd w:val="clear" w:color="auto" w:fill="auto"/>
            <w:noWrap/>
            <w:hideMark/>
          </w:tcPr>
          <w:p w14:paraId="4509804C" w14:textId="77777777" w:rsidR="00C7122E" w:rsidRPr="003F0B8D" w:rsidRDefault="00C7122E" w:rsidP="000E0183">
            <w:pPr>
              <w:pStyle w:val="TableText"/>
              <w:jc w:val="center"/>
            </w:pPr>
            <w:r w:rsidRPr="003F0B8D">
              <w:t>3.82</w:t>
            </w:r>
          </w:p>
        </w:tc>
      </w:tr>
      <w:tr w:rsidR="00C7122E" w:rsidRPr="000C05FB" w14:paraId="7FDFB9DD" w14:textId="77777777" w:rsidTr="000E0183">
        <w:trPr>
          <w:cantSplit/>
        </w:trPr>
        <w:tc>
          <w:tcPr>
            <w:tcW w:w="1439" w:type="dxa"/>
            <w:vMerge/>
            <w:tcBorders>
              <w:bottom w:val="single" w:sz="4" w:space="0" w:color="auto"/>
            </w:tcBorders>
            <w:hideMark/>
          </w:tcPr>
          <w:p w14:paraId="44099549" w14:textId="77777777" w:rsidR="00C7122E" w:rsidRPr="000C05FB" w:rsidRDefault="00C7122E" w:rsidP="000E0183">
            <w:pPr>
              <w:pStyle w:val="TableText"/>
            </w:pPr>
          </w:p>
        </w:tc>
        <w:tc>
          <w:tcPr>
            <w:tcW w:w="2100" w:type="dxa"/>
            <w:tcBorders>
              <w:top w:val="single" w:sz="4" w:space="0" w:color="A6A6A6" w:themeColor="background1" w:themeShade="A6"/>
              <w:bottom w:val="single" w:sz="4" w:space="0" w:color="auto"/>
            </w:tcBorders>
            <w:shd w:val="clear" w:color="auto" w:fill="auto"/>
            <w:hideMark/>
          </w:tcPr>
          <w:p w14:paraId="3EB0EC2F" w14:textId="77777777" w:rsidR="00C7122E" w:rsidRPr="000C05FB" w:rsidRDefault="00C7122E" w:rsidP="000E0183">
            <w:pPr>
              <w:pStyle w:val="TableText"/>
            </w:pPr>
            <w:r w:rsidRPr="000C05FB">
              <w:t>Waitemata</w:t>
            </w:r>
          </w:p>
        </w:tc>
        <w:tc>
          <w:tcPr>
            <w:tcW w:w="1939" w:type="dxa"/>
            <w:tcBorders>
              <w:top w:val="single" w:sz="4" w:space="0" w:color="A6A6A6" w:themeColor="background1" w:themeShade="A6"/>
              <w:bottom w:val="single" w:sz="4" w:space="0" w:color="auto"/>
            </w:tcBorders>
            <w:shd w:val="clear" w:color="auto" w:fill="auto"/>
            <w:hideMark/>
          </w:tcPr>
          <w:p w14:paraId="246198AC" w14:textId="77777777" w:rsidR="00C7122E" w:rsidRPr="003F0B8D" w:rsidRDefault="00C7122E" w:rsidP="000E0183">
            <w:pPr>
              <w:pStyle w:val="TableText"/>
              <w:tabs>
                <w:tab w:val="decimal" w:pos="1269"/>
              </w:tabs>
            </w:pPr>
            <w:r w:rsidRPr="003F0B8D">
              <w:t>45,072</w:t>
            </w:r>
          </w:p>
        </w:tc>
        <w:tc>
          <w:tcPr>
            <w:tcW w:w="1939" w:type="dxa"/>
            <w:tcBorders>
              <w:top w:val="single" w:sz="4" w:space="0" w:color="A6A6A6" w:themeColor="background1" w:themeShade="A6"/>
              <w:bottom w:val="single" w:sz="4" w:space="0" w:color="auto"/>
            </w:tcBorders>
            <w:shd w:val="clear" w:color="auto" w:fill="auto"/>
            <w:hideMark/>
          </w:tcPr>
          <w:p w14:paraId="4F2AD0E8" w14:textId="77777777" w:rsidR="00C7122E" w:rsidRPr="003F0B8D" w:rsidRDefault="00C7122E" w:rsidP="000E0183">
            <w:pPr>
              <w:pStyle w:val="TableText"/>
              <w:tabs>
                <w:tab w:val="decimal" w:pos="1269"/>
              </w:tabs>
            </w:pPr>
            <w:r w:rsidRPr="003F0B8D">
              <w:t>11,492</w:t>
            </w:r>
          </w:p>
        </w:tc>
        <w:tc>
          <w:tcPr>
            <w:tcW w:w="1939" w:type="dxa"/>
            <w:tcBorders>
              <w:top w:val="single" w:sz="4" w:space="0" w:color="A6A6A6" w:themeColor="background1" w:themeShade="A6"/>
              <w:bottom w:val="single" w:sz="4" w:space="0" w:color="auto"/>
            </w:tcBorders>
            <w:shd w:val="clear" w:color="auto" w:fill="auto"/>
            <w:noWrap/>
            <w:hideMark/>
          </w:tcPr>
          <w:p w14:paraId="389D26A1" w14:textId="77777777" w:rsidR="00C7122E" w:rsidRPr="003F0B8D" w:rsidRDefault="00C7122E" w:rsidP="000E0183">
            <w:pPr>
              <w:pStyle w:val="TableText"/>
              <w:jc w:val="center"/>
            </w:pPr>
            <w:r w:rsidRPr="003F0B8D">
              <w:t>3.92</w:t>
            </w:r>
          </w:p>
        </w:tc>
      </w:tr>
      <w:tr w:rsidR="00C7122E" w:rsidRPr="000C05FB" w14:paraId="3B11D202" w14:textId="77777777" w:rsidTr="000E0183">
        <w:trPr>
          <w:cantSplit/>
        </w:trPr>
        <w:tc>
          <w:tcPr>
            <w:tcW w:w="1439" w:type="dxa"/>
            <w:vMerge w:val="restart"/>
            <w:tcBorders>
              <w:top w:val="single" w:sz="4" w:space="0" w:color="auto"/>
            </w:tcBorders>
            <w:shd w:val="clear" w:color="auto" w:fill="auto"/>
            <w:hideMark/>
          </w:tcPr>
          <w:p w14:paraId="44EA4926" w14:textId="77777777" w:rsidR="00C7122E" w:rsidRPr="000C05FB" w:rsidRDefault="00C7122E" w:rsidP="000E0183">
            <w:pPr>
              <w:pStyle w:val="TableText"/>
            </w:pPr>
            <w:r w:rsidRPr="000C05FB">
              <w:t>Rest of New Zealand</w:t>
            </w:r>
          </w:p>
        </w:tc>
        <w:tc>
          <w:tcPr>
            <w:tcW w:w="2100" w:type="dxa"/>
            <w:tcBorders>
              <w:top w:val="single" w:sz="4" w:space="0" w:color="auto"/>
              <w:bottom w:val="single" w:sz="4" w:space="0" w:color="A6A6A6" w:themeColor="background1" w:themeShade="A6"/>
            </w:tcBorders>
            <w:shd w:val="clear" w:color="auto" w:fill="auto"/>
            <w:hideMark/>
          </w:tcPr>
          <w:p w14:paraId="6B050600" w14:textId="77777777" w:rsidR="00C7122E" w:rsidRPr="000C05FB" w:rsidRDefault="00C7122E" w:rsidP="000E0183">
            <w:pPr>
              <w:pStyle w:val="TableText"/>
            </w:pPr>
            <w:r w:rsidRPr="000C05FB">
              <w:t>Capital &amp; Coast</w:t>
            </w:r>
          </w:p>
        </w:tc>
        <w:tc>
          <w:tcPr>
            <w:tcW w:w="1939" w:type="dxa"/>
            <w:tcBorders>
              <w:top w:val="single" w:sz="4" w:space="0" w:color="auto"/>
              <w:bottom w:val="single" w:sz="4" w:space="0" w:color="A6A6A6" w:themeColor="background1" w:themeShade="A6"/>
            </w:tcBorders>
            <w:shd w:val="clear" w:color="auto" w:fill="auto"/>
            <w:hideMark/>
          </w:tcPr>
          <w:p w14:paraId="3AC42DFA" w14:textId="77777777" w:rsidR="00C7122E" w:rsidRPr="003F0B8D" w:rsidRDefault="00C7122E" w:rsidP="000E0183">
            <w:pPr>
              <w:pStyle w:val="TableText"/>
              <w:tabs>
                <w:tab w:val="decimal" w:pos="1269"/>
              </w:tabs>
            </w:pPr>
            <w:r w:rsidRPr="003F0B8D">
              <w:t>95,227</w:t>
            </w:r>
          </w:p>
        </w:tc>
        <w:tc>
          <w:tcPr>
            <w:tcW w:w="1939" w:type="dxa"/>
            <w:tcBorders>
              <w:top w:val="single" w:sz="4" w:space="0" w:color="auto"/>
              <w:bottom w:val="single" w:sz="4" w:space="0" w:color="A6A6A6" w:themeColor="background1" w:themeShade="A6"/>
            </w:tcBorders>
            <w:shd w:val="clear" w:color="auto" w:fill="auto"/>
            <w:hideMark/>
          </w:tcPr>
          <w:p w14:paraId="1324B2F4" w14:textId="77777777" w:rsidR="00C7122E" w:rsidRPr="003F0B8D" w:rsidRDefault="00C7122E" w:rsidP="000E0183">
            <w:pPr>
              <w:pStyle w:val="TableText"/>
              <w:tabs>
                <w:tab w:val="decimal" w:pos="1269"/>
              </w:tabs>
            </w:pPr>
            <w:r w:rsidRPr="003F0B8D">
              <w:t>22,632</w:t>
            </w:r>
          </w:p>
        </w:tc>
        <w:tc>
          <w:tcPr>
            <w:tcW w:w="1939" w:type="dxa"/>
            <w:tcBorders>
              <w:top w:val="single" w:sz="4" w:space="0" w:color="auto"/>
              <w:bottom w:val="single" w:sz="4" w:space="0" w:color="A6A6A6" w:themeColor="background1" w:themeShade="A6"/>
            </w:tcBorders>
            <w:shd w:val="clear" w:color="auto" w:fill="auto"/>
            <w:noWrap/>
            <w:hideMark/>
          </w:tcPr>
          <w:p w14:paraId="01F1FA09" w14:textId="77777777" w:rsidR="00C7122E" w:rsidRPr="003F0B8D" w:rsidRDefault="00C7122E" w:rsidP="000E0183">
            <w:pPr>
              <w:pStyle w:val="TableText"/>
              <w:jc w:val="center"/>
            </w:pPr>
            <w:r w:rsidRPr="003F0B8D">
              <w:t>4.21</w:t>
            </w:r>
          </w:p>
        </w:tc>
      </w:tr>
      <w:tr w:rsidR="00C7122E" w:rsidRPr="000C05FB" w14:paraId="19E2A4ED" w14:textId="77777777" w:rsidTr="000E0183">
        <w:trPr>
          <w:cantSplit/>
        </w:trPr>
        <w:tc>
          <w:tcPr>
            <w:tcW w:w="1439" w:type="dxa"/>
            <w:vMerge/>
            <w:hideMark/>
          </w:tcPr>
          <w:p w14:paraId="35B26D0C" w14:textId="77777777" w:rsidR="00C7122E" w:rsidRPr="000C05FB" w:rsidRDefault="00C7122E" w:rsidP="000E0183">
            <w:pPr>
              <w:pStyle w:val="TableText"/>
            </w:pPr>
          </w:p>
        </w:tc>
        <w:tc>
          <w:tcPr>
            <w:tcW w:w="2100" w:type="dxa"/>
            <w:tcBorders>
              <w:top w:val="single" w:sz="4" w:space="0" w:color="A6A6A6" w:themeColor="background1" w:themeShade="A6"/>
              <w:bottom w:val="single" w:sz="4" w:space="0" w:color="A6A6A6" w:themeColor="background1" w:themeShade="A6"/>
            </w:tcBorders>
            <w:shd w:val="clear" w:color="auto" w:fill="auto"/>
            <w:hideMark/>
          </w:tcPr>
          <w:p w14:paraId="190E396E" w14:textId="77777777" w:rsidR="00C7122E" w:rsidRPr="000C05FB" w:rsidRDefault="00C7122E" w:rsidP="000E0183">
            <w:pPr>
              <w:pStyle w:val="TableText"/>
            </w:pPr>
            <w:r w:rsidRPr="000C05FB">
              <w:t>Canterbury</w:t>
            </w:r>
          </w:p>
        </w:tc>
        <w:tc>
          <w:tcPr>
            <w:tcW w:w="1939" w:type="dxa"/>
            <w:tcBorders>
              <w:top w:val="single" w:sz="4" w:space="0" w:color="A6A6A6" w:themeColor="background1" w:themeShade="A6"/>
              <w:bottom w:val="single" w:sz="4" w:space="0" w:color="A6A6A6" w:themeColor="background1" w:themeShade="A6"/>
            </w:tcBorders>
            <w:shd w:val="clear" w:color="auto" w:fill="auto"/>
            <w:hideMark/>
          </w:tcPr>
          <w:p w14:paraId="51BE0328" w14:textId="77777777" w:rsidR="00C7122E" w:rsidRPr="003F0B8D" w:rsidRDefault="00C7122E" w:rsidP="000E0183">
            <w:pPr>
              <w:pStyle w:val="TableText"/>
              <w:tabs>
                <w:tab w:val="decimal" w:pos="1269"/>
              </w:tabs>
            </w:pPr>
            <w:r w:rsidRPr="003F0B8D">
              <w:t>27,677</w:t>
            </w:r>
          </w:p>
        </w:tc>
        <w:tc>
          <w:tcPr>
            <w:tcW w:w="1939" w:type="dxa"/>
            <w:tcBorders>
              <w:top w:val="single" w:sz="4" w:space="0" w:color="A6A6A6" w:themeColor="background1" w:themeShade="A6"/>
              <w:bottom w:val="single" w:sz="4" w:space="0" w:color="A6A6A6" w:themeColor="background1" w:themeShade="A6"/>
            </w:tcBorders>
            <w:shd w:val="clear" w:color="auto" w:fill="auto"/>
            <w:hideMark/>
          </w:tcPr>
          <w:p w14:paraId="018BF957" w14:textId="77777777" w:rsidR="00C7122E" w:rsidRPr="003F0B8D" w:rsidRDefault="00C7122E" w:rsidP="000E0183">
            <w:pPr>
              <w:pStyle w:val="TableText"/>
              <w:tabs>
                <w:tab w:val="decimal" w:pos="1269"/>
              </w:tabs>
            </w:pPr>
            <w:r w:rsidRPr="003F0B8D">
              <w:t>13,369</w:t>
            </w:r>
          </w:p>
        </w:tc>
        <w:tc>
          <w:tcPr>
            <w:tcW w:w="1939" w:type="dxa"/>
            <w:tcBorders>
              <w:top w:val="single" w:sz="4" w:space="0" w:color="A6A6A6" w:themeColor="background1" w:themeShade="A6"/>
              <w:bottom w:val="single" w:sz="4" w:space="0" w:color="A6A6A6" w:themeColor="background1" w:themeShade="A6"/>
            </w:tcBorders>
            <w:shd w:val="clear" w:color="auto" w:fill="auto"/>
            <w:noWrap/>
            <w:hideMark/>
          </w:tcPr>
          <w:p w14:paraId="71E92FFB" w14:textId="77777777" w:rsidR="00C7122E" w:rsidRPr="003F0B8D" w:rsidRDefault="00C7122E" w:rsidP="000E0183">
            <w:pPr>
              <w:pStyle w:val="TableText"/>
              <w:jc w:val="center"/>
            </w:pPr>
            <w:r w:rsidRPr="003F0B8D">
              <w:t>2.07</w:t>
            </w:r>
          </w:p>
        </w:tc>
      </w:tr>
      <w:tr w:rsidR="00C7122E" w:rsidRPr="000C05FB" w14:paraId="67D319E0" w14:textId="77777777" w:rsidTr="000E0183">
        <w:trPr>
          <w:cantSplit/>
        </w:trPr>
        <w:tc>
          <w:tcPr>
            <w:tcW w:w="1439" w:type="dxa"/>
            <w:vMerge/>
            <w:hideMark/>
          </w:tcPr>
          <w:p w14:paraId="26DDD6F7" w14:textId="77777777" w:rsidR="00C7122E" w:rsidRPr="000C05FB" w:rsidRDefault="00C7122E" w:rsidP="000E0183">
            <w:pPr>
              <w:pStyle w:val="TableText"/>
            </w:pPr>
          </w:p>
        </w:tc>
        <w:tc>
          <w:tcPr>
            <w:tcW w:w="2100" w:type="dxa"/>
            <w:tcBorders>
              <w:top w:val="single" w:sz="4" w:space="0" w:color="A6A6A6" w:themeColor="background1" w:themeShade="A6"/>
              <w:bottom w:val="single" w:sz="4" w:space="0" w:color="A6A6A6" w:themeColor="background1" w:themeShade="A6"/>
            </w:tcBorders>
            <w:shd w:val="clear" w:color="auto" w:fill="auto"/>
            <w:hideMark/>
          </w:tcPr>
          <w:p w14:paraId="278C846B" w14:textId="77777777" w:rsidR="00C7122E" w:rsidRPr="000C05FB" w:rsidRDefault="00C7122E" w:rsidP="000E0183">
            <w:pPr>
              <w:pStyle w:val="TableText"/>
            </w:pPr>
            <w:r w:rsidRPr="000C05FB">
              <w:t>Hutt Valley</w:t>
            </w:r>
          </w:p>
        </w:tc>
        <w:tc>
          <w:tcPr>
            <w:tcW w:w="1939" w:type="dxa"/>
            <w:tcBorders>
              <w:top w:val="single" w:sz="4" w:space="0" w:color="A6A6A6" w:themeColor="background1" w:themeShade="A6"/>
              <w:bottom w:val="single" w:sz="4" w:space="0" w:color="A6A6A6" w:themeColor="background1" w:themeShade="A6"/>
            </w:tcBorders>
            <w:shd w:val="clear" w:color="auto" w:fill="auto"/>
            <w:hideMark/>
          </w:tcPr>
          <w:p w14:paraId="54C0C9AC" w14:textId="77777777" w:rsidR="00C7122E" w:rsidRPr="003F0B8D" w:rsidRDefault="00C7122E" w:rsidP="000E0183">
            <w:pPr>
              <w:pStyle w:val="TableText"/>
              <w:tabs>
                <w:tab w:val="decimal" w:pos="1269"/>
              </w:tabs>
            </w:pPr>
            <w:r w:rsidRPr="003F0B8D">
              <w:t>34,450</w:t>
            </w:r>
          </w:p>
        </w:tc>
        <w:tc>
          <w:tcPr>
            <w:tcW w:w="1939" w:type="dxa"/>
            <w:tcBorders>
              <w:top w:val="single" w:sz="4" w:space="0" w:color="A6A6A6" w:themeColor="background1" w:themeShade="A6"/>
              <w:bottom w:val="single" w:sz="4" w:space="0" w:color="A6A6A6" w:themeColor="background1" w:themeShade="A6"/>
            </w:tcBorders>
            <w:shd w:val="clear" w:color="auto" w:fill="auto"/>
            <w:hideMark/>
          </w:tcPr>
          <w:p w14:paraId="0305AC4C" w14:textId="77777777" w:rsidR="00C7122E" w:rsidRPr="003F0B8D" w:rsidRDefault="00C7122E" w:rsidP="000E0183">
            <w:pPr>
              <w:pStyle w:val="TableText"/>
              <w:tabs>
                <w:tab w:val="decimal" w:pos="1269"/>
              </w:tabs>
            </w:pPr>
            <w:r w:rsidRPr="003F0B8D">
              <w:t>10,232</w:t>
            </w:r>
          </w:p>
        </w:tc>
        <w:tc>
          <w:tcPr>
            <w:tcW w:w="1939" w:type="dxa"/>
            <w:tcBorders>
              <w:top w:val="single" w:sz="4" w:space="0" w:color="A6A6A6" w:themeColor="background1" w:themeShade="A6"/>
              <w:bottom w:val="single" w:sz="4" w:space="0" w:color="A6A6A6" w:themeColor="background1" w:themeShade="A6"/>
            </w:tcBorders>
            <w:shd w:val="clear" w:color="auto" w:fill="auto"/>
            <w:noWrap/>
            <w:hideMark/>
          </w:tcPr>
          <w:p w14:paraId="0BAF86CD" w14:textId="77777777" w:rsidR="00C7122E" w:rsidRPr="003F0B8D" w:rsidRDefault="00C7122E" w:rsidP="000E0183">
            <w:pPr>
              <w:pStyle w:val="TableText"/>
              <w:jc w:val="center"/>
            </w:pPr>
            <w:r w:rsidRPr="003F0B8D">
              <w:t>3.37</w:t>
            </w:r>
          </w:p>
        </w:tc>
      </w:tr>
      <w:tr w:rsidR="00C7122E" w:rsidRPr="000C05FB" w14:paraId="7FC963F8" w14:textId="77777777" w:rsidTr="000E0183">
        <w:trPr>
          <w:cantSplit/>
        </w:trPr>
        <w:tc>
          <w:tcPr>
            <w:tcW w:w="1439" w:type="dxa"/>
            <w:vMerge/>
            <w:hideMark/>
          </w:tcPr>
          <w:p w14:paraId="28948813" w14:textId="77777777" w:rsidR="00C7122E" w:rsidRPr="000C05FB" w:rsidRDefault="00C7122E" w:rsidP="000E0183">
            <w:pPr>
              <w:pStyle w:val="TableText"/>
            </w:pPr>
          </w:p>
        </w:tc>
        <w:tc>
          <w:tcPr>
            <w:tcW w:w="2100" w:type="dxa"/>
            <w:tcBorders>
              <w:top w:val="single" w:sz="4" w:space="0" w:color="A6A6A6" w:themeColor="background1" w:themeShade="A6"/>
              <w:bottom w:val="single" w:sz="4" w:space="0" w:color="A6A6A6" w:themeColor="background1" w:themeShade="A6"/>
            </w:tcBorders>
            <w:shd w:val="clear" w:color="auto" w:fill="auto"/>
            <w:hideMark/>
          </w:tcPr>
          <w:p w14:paraId="6535060F" w14:textId="77777777" w:rsidR="00C7122E" w:rsidRPr="000C05FB" w:rsidRDefault="00C7122E" w:rsidP="000E0183">
            <w:pPr>
              <w:pStyle w:val="TableText"/>
            </w:pPr>
            <w:r w:rsidRPr="000C05FB">
              <w:t>Hawke</w:t>
            </w:r>
            <w:r>
              <w:t>’</w:t>
            </w:r>
            <w:r w:rsidRPr="000C05FB">
              <w:t>s Bay</w:t>
            </w:r>
          </w:p>
        </w:tc>
        <w:tc>
          <w:tcPr>
            <w:tcW w:w="1939" w:type="dxa"/>
            <w:tcBorders>
              <w:top w:val="single" w:sz="4" w:space="0" w:color="A6A6A6" w:themeColor="background1" w:themeShade="A6"/>
              <w:bottom w:val="single" w:sz="4" w:space="0" w:color="A6A6A6" w:themeColor="background1" w:themeShade="A6"/>
            </w:tcBorders>
            <w:shd w:val="clear" w:color="auto" w:fill="auto"/>
            <w:hideMark/>
          </w:tcPr>
          <w:p w14:paraId="3E366064" w14:textId="77777777" w:rsidR="00C7122E" w:rsidRPr="003F0B8D" w:rsidRDefault="00C7122E" w:rsidP="000E0183">
            <w:pPr>
              <w:pStyle w:val="TableText"/>
              <w:tabs>
                <w:tab w:val="decimal" w:pos="1269"/>
              </w:tabs>
            </w:pPr>
            <w:r w:rsidRPr="003F0B8D">
              <w:t>22,531</w:t>
            </w:r>
          </w:p>
        </w:tc>
        <w:tc>
          <w:tcPr>
            <w:tcW w:w="1939" w:type="dxa"/>
            <w:tcBorders>
              <w:top w:val="single" w:sz="4" w:space="0" w:color="A6A6A6" w:themeColor="background1" w:themeShade="A6"/>
              <w:bottom w:val="single" w:sz="4" w:space="0" w:color="A6A6A6" w:themeColor="background1" w:themeShade="A6"/>
            </w:tcBorders>
            <w:shd w:val="clear" w:color="auto" w:fill="auto"/>
            <w:hideMark/>
          </w:tcPr>
          <w:p w14:paraId="471CA83B" w14:textId="77777777" w:rsidR="00C7122E" w:rsidRPr="003F0B8D" w:rsidRDefault="00C7122E" w:rsidP="000E0183">
            <w:pPr>
              <w:pStyle w:val="TableText"/>
              <w:tabs>
                <w:tab w:val="decimal" w:pos="1269"/>
              </w:tabs>
            </w:pPr>
            <w:r w:rsidRPr="003F0B8D">
              <w:t>5,381</w:t>
            </w:r>
          </w:p>
        </w:tc>
        <w:tc>
          <w:tcPr>
            <w:tcW w:w="1939" w:type="dxa"/>
            <w:tcBorders>
              <w:top w:val="single" w:sz="4" w:space="0" w:color="A6A6A6" w:themeColor="background1" w:themeShade="A6"/>
              <w:bottom w:val="single" w:sz="4" w:space="0" w:color="A6A6A6" w:themeColor="background1" w:themeShade="A6"/>
            </w:tcBorders>
            <w:shd w:val="clear" w:color="auto" w:fill="auto"/>
            <w:noWrap/>
            <w:hideMark/>
          </w:tcPr>
          <w:p w14:paraId="316EB959" w14:textId="77777777" w:rsidR="00C7122E" w:rsidRPr="003F0B8D" w:rsidRDefault="00C7122E" w:rsidP="000E0183">
            <w:pPr>
              <w:pStyle w:val="TableText"/>
              <w:jc w:val="center"/>
            </w:pPr>
            <w:r w:rsidRPr="003F0B8D">
              <w:t>4.19</w:t>
            </w:r>
          </w:p>
        </w:tc>
      </w:tr>
      <w:tr w:rsidR="00C7122E" w:rsidRPr="000C05FB" w14:paraId="47CFA603" w14:textId="77777777" w:rsidTr="000E0183">
        <w:trPr>
          <w:cantSplit/>
        </w:trPr>
        <w:tc>
          <w:tcPr>
            <w:tcW w:w="1439" w:type="dxa"/>
            <w:vMerge/>
            <w:tcBorders>
              <w:bottom w:val="single" w:sz="4" w:space="0" w:color="auto"/>
            </w:tcBorders>
            <w:hideMark/>
          </w:tcPr>
          <w:p w14:paraId="6C0D1CB9" w14:textId="77777777" w:rsidR="00C7122E" w:rsidRPr="000C05FB" w:rsidRDefault="00C7122E" w:rsidP="000E0183">
            <w:pPr>
              <w:pStyle w:val="TableText"/>
            </w:pPr>
          </w:p>
        </w:tc>
        <w:tc>
          <w:tcPr>
            <w:tcW w:w="2100" w:type="dxa"/>
            <w:tcBorders>
              <w:top w:val="single" w:sz="4" w:space="0" w:color="A6A6A6" w:themeColor="background1" w:themeShade="A6"/>
              <w:bottom w:val="single" w:sz="4" w:space="0" w:color="auto"/>
            </w:tcBorders>
            <w:shd w:val="clear" w:color="auto" w:fill="auto"/>
            <w:hideMark/>
          </w:tcPr>
          <w:p w14:paraId="4E13DA52" w14:textId="77777777" w:rsidR="00C7122E" w:rsidRPr="000C05FB" w:rsidRDefault="00C7122E" w:rsidP="000E0183">
            <w:pPr>
              <w:pStyle w:val="TableText"/>
            </w:pPr>
            <w:r w:rsidRPr="000C05FB">
              <w:t>Waikato</w:t>
            </w:r>
          </w:p>
        </w:tc>
        <w:tc>
          <w:tcPr>
            <w:tcW w:w="1939" w:type="dxa"/>
            <w:tcBorders>
              <w:top w:val="single" w:sz="4" w:space="0" w:color="A6A6A6" w:themeColor="background1" w:themeShade="A6"/>
              <w:bottom w:val="single" w:sz="4" w:space="0" w:color="auto"/>
            </w:tcBorders>
            <w:shd w:val="clear" w:color="auto" w:fill="auto"/>
            <w:hideMark/>
          </w:tcPr>
          <w:p w14:paraId="6AAB5207" w14:textId="77777777" w:rsidR="00C7122E" w:rsidRPr="003F0B8D" w:rsidRDefault="00C7122E" w:rsidP="000E0183">
            <w:pPr>
              <w:pStyle w:val="TableText"/>
              <w:tabs>
                <w:tab w:val="decimal" w:pos="1269"/>
              </w:tabs>
            </w:pPr>
            <w:r w:rsidRPr="003F0B8D">
              <w:t>36</w:t>
            </w:r>
            <w:r>
              <w:t>,</w:t>
            </w:r>
            <w:r w:rsidRPr="003F0B8D">
              <w:t>581</w:t>
            </w:r>
          </w:p>
        </w:tc>
        <w:tc>
          <w:tcPr>
            <w:tcW w:w="1939" w:type="dxa"/>
            <w:tcBorders>
              <w:top w:val="single" w:sz="4" w:space="0" w:color="A6A6A6" w:themeColor="background1" w:themeShade="A6"/>
              <w:bottom w:val="single" w:sz="4" w:space="0" w:color="auto"/>
            </w:tcBorders>
            <w:shd w:val="clear" w:color="auto" w:fill="auto"/>
            <w:hideMark/>
          </w:tcPr>
          <w:p w14:paraId="4976D95E" w14:textId="77777777" w:rsidR="00C7122E" w:rsidRPr="003F0B8D" w:rsidRDefault="00C7122E" w:rsidP="000E0183">
            <w:pPr>
              <w:pStyle w:val="TableText"/>
              <w:tabs>
                <w:tab w:val="decimal" w:pos="1269"/>
              </w:tabs>
            </w:pPr>
            <w:r w:rsidRPr="003F0B8D">
              <w:t>10</w:t>
            </w:r>
            <w:r>
              <w:t>,</w:t>
            </w:r>
            <w:r w:rsidRPr="003F0B8D">
              <w:t>243</w:t>
            </w:r>
          </w:p>
        </w:tc>
        <w:tc>
          <w:tcPr>
            <w:tcW w:w="1939" w:type="dxa"/>
            <w:tcBorders>
              <w:top w:val="single" w:sz="4" w:space="0" w:color="A6A6A6" w:themeColor="background1" w:themeShade="A6"/>
              <w:bottom w:val="single" w:sz="4" w:space="0" w:color="auto"/>
            </w:tcBorders>
            <w:shd w:val="clear" w:color="auto" w:fill="auto"/>
            <w:noWrap/>
            <w:hideMark/>
          </w:tcPr>
          <w:p w14:paraId="6F7DCA88" w14:textId="77777777" w:rsidR="00C7122E" w:rsidRPr="003F0B8D" w:rsidRDefault="00C7122E" w:rsidP="000E0183">
            <w:pPr>
              <w:pStyle w:val="TableText"/>
              <w:jc w:val="center"/>
            </w:pPr>
            <w:r w:rsidRPr="003F0B8D">
              <w:t>3.57</w:t>
            </w:r>
          </w:p>
        </w:tc>
      </w:tr>
      <w:tr w:rsidR="00C7122E" w:rsidRPr="000C05FB" w14:paraId="469C4041" w14:textId="77777777" w:rsidTr="000E0183">
        <w:trPr>
          <w:cantSplit/>
        </w:trPr>
        <w:tc>
          <w:tcPr>
            <w:tcW w:w="3539" w:type="dxa"/>
            <w:gridSpan w:val="2"/>
            <w:tcBorders>
              <w:top w:val="single" w:sz="4" w:space="0" w:color="auto"/>
              <w:bottom w:val="single" w:sz="4" w:space="0" w:color="auto"/>
            </w:tcBorders>
          </w:tcPr>
          <w:p w14:paraId="04209C6E" w14:textId="77777777" w:rsidR="00C7122E" w:rsidRPr="000C05FB" w:rsidRDefault="00C7122E" w:rsidP="000E0183">
            <w:pPr>
              <w:pStyle w:val="TableText"/>
            </w:pPr>
            <w:r>
              <w:t>Total New Zealand (all population)</w:t>
            </w:r>
          </w:p>
        </w:tc>
        <w:tc>
          <w:tcPr>
            <w:tcW w:w="1939" w:type="dxa"/>
            <w:tcBorders>
              <w:top w:val="single" w:sz="4" w:space="0" w:color="auto"/>
              <w:bottom w:val="single" w:sz="4" w:space="0" w:color="auto"/>
            </w:tcBorders>
            <w:shd w:val="clear" w:color="auto" w:fill="auto"/>
          </w:tcPr>
          <w:p w14:paraId="721DEB8B" w14:textId="77777777" w:rsidR="00C7122E" w:rsidRPr="00FF7E5E" w:rsidRDefault="00C7122E" w:rsidP="000E0183">
            <w:pPr>
              <w:pStyle w:val="TableText"/>
              <w:tabs>
                <w:tab w:val="decimal" w:pos="1269"/>
              </w:tabs>
              <w:rPr>
                <w:rFonts w:cs="Arial"/>
                <w:color w:val="000000"/>
                <w:lang w:eastAsia="en-NZ"/>
              </w:rPr>
            </w:pPr>
            <w:r w:rsidRPr="00FF7E5E">
              <w:rPr>
                <w:rFonts w:cs="Arial"/>
                <w:color w:val="000000"/>
              </w:rPr>
              <w:t>1</w:t>
            </w:r>
            <w:r>
              <w:rPr>
                <w:rFonts w:cs="Arial"/>
                <w:color w:val="000000"/>
              </w:rPr>
              <w:t>,</w:t>
            </w:r>
            <w:r w:rsidRPr="00FF7E5E">
              <w:rPr>
                <w:rFonts w:cs="Arial"/>
                <w:color w:val="000000"/>
              </w:rPr>
              <w:t>646</w:t>
            </w:r>
            <w:r>
              <w:rPr>
                <w:rFonts w:cs="Arial"/>
                <w:color w:val="000000"/>
              </w:rPr>
              <w:t>,</w:t>
            </w:r>
            <w:r w:rsidRPr="00FF7E5E">
              <w:rPr>
                <w:rFonts w:cs="Arial"/>
                <w:color w:val="000000"/>
              </w:rPr>
              <w:t>668</w:t>
            </w:r>
          </w:p>
        </w:tc>
        <w:tc>
          <w:tcPr>
            <w:tcW w:w="1939" w:type="dxa"/>
            <w:tcBorders>
              <w:top w:val="single" w:sz="4" w:space="0" w:color="auto"/>
              <w:bottom w:val="single" w:sz="4" w:space="0" w:color="auto"/>
            </w:tcBorders>
            <w:shd w:val="clear" w:color="auto" w:fill="auto"/>
          </w:tcPr>
          <w:p w14:paraId="00E22D8F" w14:textId="77777777" w:rsidR="00C7122E" w:rsidRPr="00FF7E5E" w:rsidRDefault="00C7122E" w:rsidP="000E0183">
            <w:pPr>
              <w:pStyle w:val="TableText"/>
              <w:tabs>
                <w:tab w:val="decimal" w:pos="1269"/>
              </w:tabs>
              <w:rPr>
                <w:rFonts w:cs="Arial"/>
                <w:color w:val="000000"/>
                <w:lang w:eastAsia="en-NZ"/>
              </w:rPr>
            </w:pPr>
            <w:r w:rsidRPr="00FF7E5E">
              <w:rPr>
                <w:rFonts w:cs="Arial"/>
                <w:color w:val="000000"/>
              </w:rPr>
              <w:t>4</w:t>
            </w:r>
            <w:r>
              <w:rPr>
                <w:rFonts w:cs="Arial"/>
                <w:color w:val="000000"/>
              </w:rPr>
              <w:t>,</w:t>
            </w:r>
            <w:r w:rsidRPr="00FF7E5E">
              <w:rPr>
                <w:rFonts w:cs="Arial"/>
                <w:color w:val="000000"/>
              </w:rPr>
              <w:t>397</w:t>
            </w:r>
            <w:r>
              <w:rPr>
                <w:rFonts w:cs="Arial"/>
                <w:color w:val="000000"/>
              </w:rPr>
              <w:t>,</w:t>
            </w:r>
            <w:r w:rsidRPr="00FF7E5E">
              <w:rPr>
                <w:rFonts w:cs="Arial"/>
                <w:color w:val="000000"/>
              </w:rPr>
              <w:t>088</w:t>
            </w:r>
          </w:p>
        </w:tc>
        <w:tc>
          <w:tcPr>
            <w:tcW w:w="1939" w:type="dxa"/>
            <w:tcBorders>
              <w:top w:val="single" w:sz="4" w:space="0" w:color="auto"/>
              <w:bottom w:val="single" w:sz="4" w:space="0" w:color="auto"/>
            </w:tcBorders>
            <w:shd w:val="clear" w:color="auto" w:fill="auto"/>
            <w:noWrap/>
          </w:tcPr>
          <w:p w14:paraId="7FFA7660" w14:textId="77777777" w:rsidR="00C7122E" w:rsidRPr="00FF7E5E" w:rsidRDefault="00C7122E" w:rsidP="000E0183">
            <w:pPr>
              <w:pStyle w:val="TableText"/>
              <w:jc w:val="center"/>
            </w:pPr>
            <w:r w:rsidRPr="00FF7E5E">
              <w:t>3.74</w:t>
            </w:r>
          </w:p>
        </w:tc>
      </w:tr>
    </w:tbl>
    <w:p w14:paraId="7359DAE5" w14:textId="77777777" w:rsidR="000E0183" w:rsidRDefault="000E0183" w:rsidP="00471BF1"/>
    <w:p w14:paraId="592F88DD" w14:textId="77777777" w:rsidR="00C7122E" w:rsidRPr="00CC5756" w:rsidRDefault="00C7122E" w:rsidP="00920348">
      <w:pPr>
        <w:pStyle w:val="Heading1"/>
      </w:pPr>
      <w:bookmarkStart w:id="91" w:name="_Toc503949858"/>
      <w:bookmarkStart w:id="92" w:name="_Toc531260419"/>
      <w:r>
        <w:lastRenderedPageBreak/>
        <w:t>Access to mental health services</w:t>
      </w:r>
      <w:bookmarkEnd w:id="91"/>
      <w:bookmarkEnd w:id="92"/>
    </w:p>
    <w:p w14:paraId="4E118D9C" w14:textId="77777777" w:rsidR="00550A2B" w:rsidRDefault="00550A2B" w:rsidP="00550A2B">
      <w:r>
        <w:t>Nationally, the rate of access to mental health services for Pacific peoples is very close (within 0.4 percent) to the rate for the total New Zealand population (see Figure 8). The rate for most of the eight priority DHBs is within 1 percent of the rate for the total New Zealand population. It should be highlighted that Auckland DHB has shown consistently higher rates of mental health service utilisation since the 2009/10 financial year.</w:t>
      </w:r>
    </w:p>
    <w:p w14:paraId="63937A31" w14:textId="77777777" w:rsidR="00C7122E" w:rsidRDefault="00C7122E" w:rsidP="00471BF1"/>
    <w:p w14:paraId="2BC39360" w14:textId="03471538" w:rsidR="00C7122E" w:rsidRDefault="00C7122E" w:rsidP="00471BF1">
      <w:r w:rsidRPr="00A119E8">
        <w:t xml:space="preserve">The three Auckland DHBs </w:t>
      </w:r>
      <w:r>
        <w:t xml:space="preserve">provide designated mental health </w:t>
      </w:r>
      <w:r w:rsidRPr="00A119E8">
        <w:t>services for Pacific people</w:t>
      </w:r>
      <w:r>
        <w:t>s</w:t>
      </w:r>
      <w:r w:rsidRPr="00A119E8">
        <w:t xml:space="preserve">. Auckland </w:t>
      </w:r>
      <w:r>
        <w:t xml:space="preserve">DHB </w:t>
      </w:r>
      <w:r w:rsidRPr="00A119E8">
        <w:t xml:space="preserve">has </w:t>
      </w:r>
      <w:r w:rsidRPr="00CF0CA0">
        <w:t>Lotofale</w:t>
      </w:r>
      <w:r w:rsidRPr="00A119E8">
        <w:t xml:space="preserve">, Waitemata </w:t>
      </w:r>
      <w:r>
        <w:t>DHB</w:t>
      </w:r>
      <w:r w:rsidRPr="00A119E8">
        <w:t xml:space="preserve"> has Takanga a Fohe and Counties Manukau </w:t>
      </w:r>
      <w:r>
        <w:t>DHB</w:t>
      </w:r>
      <w:r w:rsidRPr="00A119E8">
        <w:t xml:space="preserve"> has Faleola. </w:t>
      </w:r>
      <w:r>
        <w:t xml:space="preserve">The </w:t>
      </w:r>
      <w:r w:rsidRPr="00A119E8">
        <w:t xml:space="preserve">three DHBs share addiction services through TUPU. </w:t>
      </w:r>
      <w:r w:rsidR="00550A2B">
        <w:t>It is likely</w:t>
      </w:r>
      <w:r>
        <w:t xml:space="preserve"> this arrangement</w:t>
      </w:r>
      <w:r w:rsidRPr="00A119E8">
        <w:t xml:space="preserve"> </w:t>
      </w:r>
      <w:r w:rsidR="00550A2B">
        <w:t>has contributed to</w:t>
      </w:r>
      <w:r w:rsidRPr="00A119E8">
        <w:t xml:space="preserve"> access rates for both mental health </w:t>
      </w:r>
      <w:r>
        <w:t xml:space="preserve">services </w:t>
      </w:r>
      <w:r w:rsidRPr="00A119E8">
        <w:t>and alcohol and drug services for Pacific people</w:t>
      </w:r>
      <w:r>
        <w:t>s in those DHBs</w:t>
      </w:r>
      <w:r w:rsidRPr="00A119E8">
        <w:t>.</w:t>
      </w:r>
    </w:p>
    <w:p w14:paraId="549CB862" w14:textId="77777777" w:rsidR="00C7122E" w:rsidRDefault="00C7122E" w:rsidP="00471BF1"/>
    <w:p w14:paraId="1B5A6F3B" w14:textId="77777777" w:rsidR="00471BF1" w:rsidRDefault="00471BF1" w:rsidP="00471BF1">
      <w:pPr>
        <w:pStyle w:val="Heading2"/>
      </w:pPr>
      <w:bookmarkStart w:id="93" w:name="_Toc531260420"/>
      <w:r w:rsidRPr="00375D06">
        <w:rPr>
          <w:lang w:eastAsia="en-NZ"/>
        </w:rPr>
        <w:t>Improv</w:t>
      </w:r>
      <w:r>
        <w:rPr>
          <w:lang w:eastAsia="en-NZ"/>
        </w:rPr>
        <w:t>ed</w:t>
      </w:r>
      <w:r w:rsidRPr="00375D06">
        <w:rPr>
          <w:lang w:eastAsia="en-NZ"/>
        </w:rPr>
        <w:t xml:space="preserve"> health status </w:t>
      </w:r>
      <w:r>
        <w:rPr>
          <w:lang w:eastAsia="en-NZ"/>
        </w:rPr>
        <w:t xml:space="preserve">among </w:t>
      </w:r>
      <w:r w:rsidRPr="00375D06">
        <w:rPr>
          <w:lang w:eastAsia="en-NZ"/>
        </w:rPr>
        <w:t>Pacific people with severe mental illness through improved access rates</w:t>
      </w:r>
      <w:bookmarkEnd w:id="93"/>
    </w:p>
    <w:p w14:paraId="7769E5EC" w14:textId="77777777" w:rsidR="00C7122E" w:rsidRPr="00A119E8" w:rsidRDefault="00C7122E" w:rsidP="00471BF1">
      <w:pPr>
        <w:keepNext/>
      </w:pPr>
      <w:r w:rsidRPr="002E4949">
        <w:rPr>
          <w:b/>
        </w:rPr>
        <w:t xml:space="preserve">Performance: </w:t>
      </w:r>
      <w:r w:rsidRPr="002E4949">
        <w:t xml:space="preserve">There </w:t>
      </w:r>
      <w:r w:rsidRPr="00A119E8">
        <w:t>is no target set for this indicator.</w:t>
      </w:r>
    </w:p>
    <w:p w14:paraId="34A6977B" w14:textId="77777777" w:rsidR="00C7122E" w:rsidRPr="00A119E8" w:rsidRDefault="00C7122E" w:rsidP="00471BF1">
      <w:pPr>
        <w:keepNext/>
      </w:pPr>
    </w:p>
    <w:p w14:paraId="760E1030" w14:textId="77777777" w:rsidR="00C7122E" w:rsidRDefault="00C7122E" w:rsidP="00471BF1">
      <w:pPr>
        <w:pStyle w:val="Figure"/>
      </w:pPr>
      <w:bookmarkStart w:id="94" w:name="_Toc428368057"/>
      <w:bookmarkStart w:id="95" w:name="_Toc428370435"/>
      <w:bookmarkStart w:id="96" w:name="_Toc445801441"/>
      <w:bookmarkStart w:id="97" w:name="_Toc447527139"/>
      <w:bookmarkStart w:id="98" w:name="_Toc458409421"/>
      <w:bookmarkStart w:id="99" w:name="_Toc531260451"/>
      <w:r w:rsidRPr="00A119E8">
        <w:t xml:space="preserve">Figure </w:t>
      </w:r>
      <w:r>
        <w:t>8: Percentage of the population using DHB specialist</w:t>
      </w:r>
      <w:r w:rsidRPr="00A119E8">
        <w:t xml:space="preserve"> mental health services, Pacific </w:t>
      </w:r>
      <w:r>
        <w:t>peoples and total New Zealand population, 2009/10</w:t>
      </w:r>
      <w:r w:rsidRPr="00A119E8">
        <w:t>–201</w:t>
      </w:r>
      <w:bookmarkEnd w:id="94"/>
      <w:bookmarkEnd w:id="95"/>
      <w:bookmarkEnd w:id="96"/>
      <w:bookmarkEnd w:id="97"/>
      <w:bookmarkEnd w:id="98"/>
      <w:r>
        <w:t>6</w:t>
      </w:r>
      <w:bookmarkEnd w:id="99"/>
    </w:p>
    <w:p w14:paraId="148FFEB8" w14:textId="77777777" w:rsidR="00C7122E" w:rsidRDefault="00C7122E" w:rsidP="00F05093">
      <w:pPr>
        <w:keepNext/>
      </w:pPr>
      <w:r>
        <w:rPr>
          <w:noProof/>
          <w:lang w:eastAsia="ja-JP"/>
        </w:rPr>
        <w:drawing>
          <wp:inline distT="0" distB="0" distL="0" distR="0" wp14:anchorId="118C87DA" wp14:editId="57446ACB">
            <wp:extent cx="4688378" cy="2668386"/>
            <wp:effectExtent l="0" t="0" r="17145" b="17780"/>
            <wp:docPr id="73" name="Chart 73" title="Figure 8: Percentage of the population using DHB specialist mental health services, Pacific peoples and total New Zealand population, 2009/10–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32BA74A" w14:textId="77777777" w:rsidR="00C7122E" w:rsidRDefault="00C7122E" w:rsidP="00471BF1">
      <w:pPr>
        <w:pStyle w:val="Source"/>
      </w:pPr>
      <w:r w:rsidRPr="00375D06">
        <w:t>Source: PRIMHD and Statistics New Zealand</w:t>
      </w:r>
    </w:p>
    <w:p w14:paraId="6CBDC8E7" w14:textId="77777777" w:rsidR="00C7122E" w:rsidRDefault="00C7122E" w:rsidP="00471BF1">
      <w:pPr>
        <w:pStyle w:val="Note"/>
      </w:pPr>
      <w:r>
        <w:t>*</w:t>
      </w:r>
      <w:r w:rsidR="00471BF1">
        <w:tab/>
      </w:r>
      <w:r>
        <w:t>These years are calendar years; all others are financial years.</w:t>
      </w:r>
    </w:p>
    <w:p w14:paraId="47D12C0C" w14:textId="77777777" w:rsidR="00471BF1" w:rsidRPr="00471BF1" w:rsidRDefault="00471BF1" w:rsidP="00471BF1"/>
    <w:p w14:paraId="3E939204" w14:textId="77777777" w:rsidR="00C7122E" w:rsidRDefault="00C7122E" w:rsidP="00471BF1">
      <w:pPr>
        <w:pStyle w:val="Figure"/>
      </w:pPr>
      <w:bookmarkStart w:id="100" w:name="_Toc428368058"/>
      <w:bookmarkStart w:id="101" w:name="_Toc428370436"/>
      <w:bookmarkStart w:id="102" w:name="_Toc445801442"/>
      <w:bookmarkStart w:id="103" w:name="_Toc447527140"/>
      <w:bookmarkStart w:id="104" w:name="_Toc458409422"/>
      <w:bookmarkStart w:id="105" w:name="_Toc531260452"/>
      <w:r w:rsidRPr="00A119E8">
        <w:lastRenderedPageBreak/>
        <w:t xml:space="preserve">Figure </w:t>
      </w:r>
      <w:r>
        <w:t>9A</w:t>
      </w:r>
      <w:r w:rsidRPr="00A119E8">
        <w:t xml:space="preserve">: </w:t>
      </w:r>
      <w:r>
        <w:t>Percentage of population using</w:t>
      </w:r>
      <w:r w:rsidRPr="00A119E8">
        <w:t xml:space="preserve"> </w:t>
      </w:r>
      <w:r>
        <w:t>DHB specialist</w:t>
      </w:r>
      <w:r w:rsidRPr="00A119E8">
        <w:t xml:space="preserve"> mental health services, Pacific peoples, </w:t>
      </w:r>
      <w:r>
        <w:t>Auckland region</w:t>
      </w:r>
      <w:r w:rsidRPr="00A119E8">
        <w:t xml:space="preserve"> DHBs, 20</w:t>
      </w:r>
      <w:r>
        <w:t>09/10</w:t>
      </w:r>
      <w:r w:rsidRPr="00A119E8">
        <w:t>–20</w:t>
      </w:r>
      <w:bookmarkEnd w:id="100"/>
      <w:bookmarkEnd w:id="101"/>
      <w:bookmarkEnd w:id="102"/>
      <w:bookmarkEnd w:id="103"/>
      <w:bookmarkEnd w:id="104"/>
      <w:r>
        <w:t>16</w:t>
      </w:r>
      <w:bookmarkEnd w:id="105"/>
    </w:p>
    <w:p w14:paraId="3E556C22" w14:textId="77777777" w:rsidR="00C7122E" w:rsidRDefault="00C7122E" w:rsidP="00C7122E">
      <w:r>
        <w:rPr>
          <w:noProof/>
          <w:lang w:eastAsia="ja-JP"/>
        </w:rPr>
        <w:drawing>
          <wp:inline distT="0" distB="0" distL="0" distR="0" wp14:anchorId="76C1DB37" wp14:editId="0603B549">
            <wp:extent cx="4688378" cy="2626822"/>
            <wp:effectExtent l="0" t="0" r="0" b="2540"/>
            <wp:docPr id="74" name="Chart 74" title="Figure 9A: Percentage of population using DHB specialist mental health services, Pacific peoples, Auckland region DHBs, 2009/10–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E223588" w14:textId="77777777" w:rsidR="00C7122E" w:rsidRPr="00375D06" w:rsidRDefault="00C7122E" w:rsidP="00471BF1">
      <w:pPr>
        <w:pStyle w:val="Source"/>
      </w:pPr>
      <w:r w:rsidRPr="00375D06">
        <w:t>Source: PRIMHD and Statistics New Zealand</w:t>
      </w:r>
    </w:p>
    <w:p w14:paraId="316C92CD" w14:textId="77777777" w:rsidR="00C7122E" w:rsidRDefault="00C7122E" w:rsidP="00471BF1">
      <w:pPr>
        <w:pStyle w:val="Note"/>
      </w:pPr>
      <w:r>
        <w:t>*</w:t>
      </w:r>
      <w:r w:rsidR="00471BF1">
        <w:tab/>
      </w:r>
      <w:r>
        <w:t>These years are calendar years; all others are financial years.</w:t>
      </w:r>
    </w:p>
    <w:p w14:paraId="2D4887A2" w14:textId="77777777" w:rsidR="00C7122E" w:rsidRDefault="00C7122E" w:rsidP="00471BF1"/>
    <w:p w14:paraId="52881E6D" w14:textId="77777777" w:rsidR="00C7122E" w:rsidRDefault="00C7122E" w:rsidP="00471BF1">
      <w:pPr>
        <w:pStyle w:val="Figure"/>
      </w:pPr>
      <w:bookmarkStart w:id="106" w:name="_Toc531260453"/>
      <w:r w:rsidRPr="00A119E8">
        <w:t xml:space="preserve">Figure </w:t>
      </w:r>
      <w:r>
        <w:t>9B</w:t>
      </w:r>
      <w:r w:rsidRPr="00A119E8">
        <w:t xml:space="preserve">: </w:t>
      </w:r>
      <w:r>
        <w:t>Percentage of the population using</w:t>
      </w:r>
      <w:r w:rsidRPr="00A119E8">
        <w:t xml:space="preserve"> </w:t>
      </w:r>
      <w:r>
        <w:t>DHB specialist</w:t>
      </w:r>
      <w:r w:rsidRPr="00A119E8">
        <w:t xml:space="preserve"> mental health services, Pacific peoples, </w:t>
      </w:r>
      <w:r>
        <w:t>priority</w:t>
      </w:r>
      <w:r w:rsidRPr="00A119E8">
        <w:t xml:space="preserve"> DHBs</w:t>
      </w:r>
      <w:r>
        <w:t xml:space="preserve"> outside the Auckland region</w:t>
      </w:r>
      <w:r w:rsidRPr="00A119E8">
        <w:t>, 20</w:t>
      </w:r>
      <w:r>
        <w:t>09/10</w:t>
      </w:r>
      <w:r w:rsidRPr="00A119E8">
        <w:t>–20</w:t>
      </w:r>
      <w:r>
        <w:t>16</w:t>
      </w:r>
      <w:bookmarkEnd w:id="106"/>
    </w:p>
    <w:p w14:paraId="4B042DDD" w14:textId="77777777" w:rsidR="00C7122E" w:rsidRDefault="00C7122E" w:rsidP="00C7122E">
      <w:r>
        <w:rPr>
          <w:noProof/>
          <w:lang w:eastAsia="ja-JP"/>
        </w:rPr>
        <w:drawing>
          <wp:inline distT="0" distB="0" distL="0" distR="0" wp14:anchorId="574E5F00" wp14:editId="749F66A7">
            <wp:extent cx="4671753" cy="2651760"/>
            <wp:effectExtent l="0" t="0" r="0" b="0"/>
            <wp:docPr id="20" name="Chart 20" title="Figure 9B: Percentage of the population using DHB specialist mental health services, Pacific peoples, priority DHBs outside the Auckland region, 2009/10–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A605132" w14:textId="77777777" w:rsidR="00C7122E" w:rsidRPr="00375D06" w:rsidRDefault="00C7122E" w:rsidP="00471BF1">
      <w:pPr>
        <w:pStyle w:val="Source"/>
      </w:pPr>
      <w:r w:rsidRPr="00375D06">
        <w:t>Source: PRIMHD and Statistics New Zealand</w:t>
      </w:r>
    </w:p>
    <w:p w14:paraId="5C17EA2B" w14:textId="77777777" w:rsidR="00C7122E" w:rsidRDefault="00C7122E" w:rsidP="00471BF1">
      <w:pPr>
        <w:pStyle w:val="Note"/>
      </w:pPr>
      <w:r>
        <w:t>*</w:t>
      </w:r>
      <w:r w:rsidR="00471BF1">
        <w:tab/>
      </w:r>
      <w:r>
        <w:t>A</w:t>
      </w:r>
      <w:r w:rsidRPr="000467BB">
        <w:t>ccess rate</w:t>
      </w:r>
      <w:r>
        <w:t xml:space="preserve"> recorded by calendar year</w:t>
      </w:r>
      <w:r w:rsidRPr="000467BB">
        <w:t>.</w:t>
      </w:r>
      <w:r w:rsidRPr="00C102B4">
        <w:t xml:space="preserve"> </w:t>
      </w:r>
      <w:r>
        <w:t>These years are calendar years; all others are financial years.</w:t>
      </w:r>
    </w:p>
    <w:p w14:paraId="1C7F48F8" w14:textId="77777777" w:rsidR="00471BF1" w:rsidRDefault="00471BF1" w:rsidP="00471BF1"/>
    <w:p w14:paraId="5A1F014C" w14:textId="77777777" w:rsidR="00471BF1" w:rsidRDefault="00471BF1" w:rsidP="00471BF1">
      <w:pPr>
        <w:pStyle w:val="Note"/>
      </w:pPr>
      <w:r>
        <w:t>Notes</w:t>
      </w:r>
    </w:p>
    <w:p w14:paraId="7281AB14" w14:textId="77777777" w:rsidR="00471BF1" w:rsidRPr="00471BF1" w:rsidRDefault="00471BF1" w:rsidP="00471BF1">
      <w:pPr>
        <w:pStyle w:val="Note"/>
        <w:rPr>
          <w:b/>
        </w:rPr>
      </w:pPr>
      <w:r w:rsidRPr="00471BF1">
        <w:rPr>
          <w:b/>
        </w:rPr>
        <w:t>Figures 8, 9A and 9B:</w:t>
      </w:r>
    </w:p>
    <w:p w14:paraId="738D22BC" w14:textId="77777777" w:rsidR="00471BF1" w:rsidRDefault="00471BF1" w:rsidP="00471BF1">
      <w:pPr>
        <w:pStyle w:val="Note"/>
        <w:ind w:left="0" w:right="0" w:firstLine="0"/>
      </w:pPr>
      <w:r w:rsidRPr="00546CFB">
        <w:t>Timeframes: the data reflect</w:t>
      </w:r>
      <w:r>
        <w:t>s</w:t>
      </w:r>
      <w:r w:rsidRPr="00546CFB">
        <w:t xml:space="preserve"> a </w:t>
      </w:r>
      <w:r>
        <w:t>12-month period. In 2015, we moved to reporting in a calendar year instead of a financial year. The calendar year (2015, 2016) is 1 January–30 December. The financial year (2014/15, 2013/14 etc) is 1 July–30 June.</w:t>
      </w:r>
    </w:p>
    <w:p w14:paraId="087A8BE6" w14:textId="729CAD51" w:rsidR="00471BF1" w:rsidRDefault="00471BF1" w:rsidP="00471BF1">
      <w:pPr>
        <w:pStyle w:val="Note"/>
        <w:ind w:left="0" w:right="0" w:firstLine="0"/>
      </w:pPr>
      <w:r>
        <w:t xml:space="preserve">Numerator: the number (count) of unique clients (one person) seen at least once by specialist mental health services within the reporting period. Source: </w:t>
      </w:r>
      <w:r w:rsidRPr="00375D06">
        <w:t>PRIMHD</w:t>
      </w:r>
      <w:r>
        <w:t xml:space="preserve"> reporting</w:t>
      </w:r>
      <w:r w:rsidR="006473F7">
        <w:t>.</w:t>
      </w:r>
    </w:p>
    <w:p w14:paraId="6055A4EF" w14:textId="7FB1FE33" w:rsidR="00471BF1" w:rsidRDefault="00471BF1" w:rsidP="00471BF1">
      <w:pPr>
        <w:pStyle w:val="Note"/>
        <w:ind w:left="0" w:right="0" w:firstLine="0"/>
      </w:pPr>
      <w:r>
        <w:t xml:space="preserve">Denominator: the </w:t>
      </w:r>
      <w:r w:rsidRPr="00C86921">
        <w:t>number</w:t>
      </w:r>
      <w:r>
        <w:t xml:space="preserve"> of people in the total population (Pacific population or total population). Calendar year reports use December population figures; financial year reports use June population figures. Source: Statistics New Zealand population projections, based on the 2013 Census</w:t>
      </w:r>
      <w:r w:rsidR="006473F7">
        <w:t>.</w:t>
      </w:r>
    </w:p>
    <w:p w14:paraId="50A54F5F" w14:textId="77777777" w:rsidR="00471BF1" w:rsidRDefault="00471BF1" w:rsidP="00471BF1">
      <w:pPr>
        <w:pStyle w:val="Note"/>
        <w:ind w:left="0" w:right="0" w:firstLine="0"/>
      </w:pPr>
      <w:r>
        <w:t>Both numerator and denominator include all age groups.</w:t>
      </w:r>
    </w:p>
    <w:p w14:paraId="70E2D496" w14:textId="77777777" w:rsidR="00471BF1" w:rsidRDefault="00471BF1" w:rsidP="00471BF1">
      <w:pPr>
        <w:pStyle w:val="Note"/>
        <w:ind w:left="0" w:right="0" w:firstLine="0"/>
      </w:pPr>
      <w:r>
        <w:lastRenderedPageBreak/>
        <w:t xml:space="preserve">Sources: </w:t>
      </w:r>
      <w:r w:rsidRPr="00B85B7C">
        <w:t xml:space="preserve">PRIMHD is the national system for collecting information </w:t>
      </w:r>
      <w:r>
        <w:t>about New Zealanders</w:t>
      </w:r>
      <w:r w:rsidRPr="00B85B7C">
        <w:t xml:space="preserve"> using mental health and addiction services.</w:t>
      </w:r>
    </w:p>
    <w:p w14:paraId="49027FF8" w14:textId="77777777" w:rsidR="00471BF1" w:rsidRPr="00F334E5" w:rsidRDefault="00471BF1" w:rsidP="00471BF1">
      <w:pPr>
        <w:pStyle w:val="Note"/>
        <w:ind w:left="0" w:right="0" w:firstLine="0"/>
      </w:pPr>
      <w:r>
        <w:t>Our data reflects only DHB-provided services.</w:t>
      </w:r>
    </w:p>
    <w:p w14:paraId="7FF42222" w14:textId="77777777" w:rsidR="00C7122E" w:rsidRDefault="00C7122E" w:rsidP="00471BF1"/>
    <w:p w14:paraId="53CE78C6" w14:textId="77777777" w:rsidR="00C7122E" w:rsidRDefault="00C7122E" w:rsidP="00471BF1">
      <w:pPr>
        <w:pStyle w:val="Table"/>
      </w:pPr>
      <w:bookmarkStart w:id="107" w:name="_Toc531260402"/>
      <w:r>
        <w:t>Table 6</w:t>
      </w:r>
      <w:r w:rsidRPr="00A119E8">
        <w:t xml:space="preserve">: </w:t>
      </w:r>
      <w:r>
        <w:t xml:space="preserve">Number and percentage of people using DHB specialist mental health services, Pacific peoples by priority </w:t>
      </w:r>
      <w:r w:rsidRPr="00A119E8">
        <w:t>DHBs</w:t>
      </w:r>
      <w:r>
        <w:t>, 1 January–30 December 2016</w:t>
      </w:r>
      <w:bookmarkEnd w:id="107"/>
    </w:p>
    <w:tbl>
      <w:tblPr>
        <w:tblW w:w="0" w:type="auto"/>
        <w:tblInd w:w="57" w:type="dxa"/>
        <w:tblLayout w:type="fixed"/>
        <w:tblCellMar>
          <w:left w:w="57" w:type="dxa"/>
          <w:right w:w="57" w:type="dxa"/>
        </w:tblCellMar>
        <w:tblLook w:val="04A0" w:firstRow="1" w:lastRow="0" w:firstColumn="1" w:lastColumn="0" w:noHBand="0" w:noVBand="1"/>
      </w:tblPr>
      <w:tblGrid>
        <w:gridCol w:w="1439"/>
        <w:gridCol w:w="2100"/>
        <w:gridCol w:w="1939"/>
        <w:gridCol w:w="1939"/>
        <w:gridCol w:w="1939"/>
      </w:tblGrid>
      <w:tr w:rsidR="00C7122E" w:rsidRPr="00471BF1" w14:paraId="3C5C6ABF" w14:textId="77777777" w:rsidTr="00471BF1">
        <w:trPr>
          <w:cantSplit/>
        </w:trPr>
        <w:tc>
          <w:tcPr>
            <w:tcW w:w="1439" w:type="dxa"/>
            <w:tcBorders>
              <w:top w:val="single" w:sz="4" w:space="0" w:color="auto"/>
              <w:bottom w:val="single" w:sz="4" w:space="0" w:color="auto"/>
            </w:tcBorders>
            <w:shd w:val="clear" w:color="auto" w:fill="auto"/>
            <w:hideMark/>
          </w:tcPr>
          <w:p w14:paraId="32FC18AD" w14:textId="77777777" w:rsidR="00C7122E" w:rsidRPr="00471BF1" w:rsidRDefault="00C7122E" w:rsidP="00471BF1">
            <w:pPr>
              <w:pStyle w:val="TableText"/>
              <w:rPr>
                <w:b/>
              </w:rPr>
            </w:pPr>
          </w:p>
        </w:tc>
        <w:tc>
          <w:tcPr>
            <w:tcW w:w="2100" w:type="dxa"/>
            <w:tcBorders>
              <w:top w:val="single" w:sz="4" w:space="0" w:color="auto"/>
              <w:bottom w:val="single" w:sz="4" w:space="0" w:color="auto"/>
            </w:tcBorders>
            <w:shd w:val="clear" w:color="auto" w:fill="auto"/>
            <w:hideMark/>
          </w:tcPr>
          <w:p w14:paraId="0C4B6909" w14:textId="77777777" w:rsidR="00C7122E" w:rsidRPr="00471BF1" w:rsidRDefault="00C7122E" w:rsidP="00471BF1">
            <w:pPr>
              <w:pStyle w:val="TableText"/>
              <w:rPr>
                <w:rFonts w:cs="Arial"/>
                <w:b/>
                <w:color w:val="000000"/>
                <w:lang w:eastAsia="en-NZ"/>
              </w:rPr>
            </w:pPr>
            <w:r w:rsidRPr="00471BF1">
              <w:rPr>
                <w:rFonts w:cs="Arial"/>
                <w:b/>
                <w:color w:val="000000"/>
              </w:rPr>
              <w:t>Region</w:t>
            </w:r>
          </w:p>
        </w:tc>
        <w:tc>
          <w:tcPr>
            <w:tcW w:w="1939" w:type="dxa"/>
            <w:tcBorders>
              <w:top w:val="single" w:sz="4" w:space="0" w:color="auto"/>
              <w:bottom w:val="single" w:sz="4" w:space="0" w:color="auto"/>
            </w:tcBorders>
          </w:tcPr>
          <w:p w14:paraId="44093CFC" w14:textId="77777777" w:rsidR="00C7122E" w:rsidRPr="00471BF1" w:rsidRDefault="00C7122E" w:rsidP="00471BF1">
            <w:pPr>
              <w:pStyle w:val="TableText"/>
              <w:jc w:val="center"/>
              <w:rPr>
                <w:rFonts w:cs="Arial"/>
                <w:b/>
                <w:bCs/>
                <w:color w:val="000000"/>
              </w:rPr>
            </w:pPr>
            <w:r w:rsidRPr="00471BF1">
              <w:rPr>
                <w:rFonts w:cs="Arial"/>
                <w:b/>
                <w:bCs/>
                <w:color w:val="000000"/>
              </w:rPr>
              <w:t>Number of people accessing services (count)</w:t>
            </w:r>
          </w:p>
        </w:tc>
        <w:tc>
          <w:tcPr>
            <w:tcW w:w="1939" w:type="dxa"/>
            <w:tcBorders>
              <w:top w:val="single" w:sz="4" w:space="0" w:color="auto"/>
              <w:bottom w:val="single" w:sz="4" w:space="0" w:color="auto"/>
            </w:tcBorders>
          </w:tcPr>
          <w:p w14:paraId="31756AA9" w14:textId="77777777" w:rsidR="00C7122E" w:rsidRPr="00471BF1" w:rsidRDefault="00C7122E" w:rsidP="00471BF1">
            <w:pPr>
              <w:pStyle w:val="TableText"/>
              <w:jc w:val="center"/>
              <w:rPr>
                <w:rFonts w:cs="Arial"/>
                <w:b/>
                <w:bCs/>
                <w:color w:val="000000"/>
              </w:rPr>
            </w:pPr>
            <w:r w:rsidRPr="00471BF1">
              <w:rPr>
                <w:rFonts w:cs="Arial"/>
                <w:b/>
                <w:bCs/>
                <w:color w:val="000000"/>
              </w:rPr>
              <w:t>Total population (count)</w:t>
            </w:r>
          </w:p>
        </w:tc>
        <w:tc>
          <w:tcPr>
            <w:tcW w:w="1939" w:type="dxa"/>
            <w:tcBorders>
              <w:top w:val="single" w:sz="4" w:space="0" w:color="auto"/>
              <w:bottom w:val="single" w:sz="4" w:space="0" w:color="auto"/>
            </w:tcBorders>
            <w:shd w:val="clear" w:color="auto" w:fill="auto"/>
            <w:hideMark/>
          </w:tcPr>
          <w:p w14:paraId="0089AA71" w14:textId="77777777" w:rsidR="00C7122E" w:rsidRPr="00471BF1" w:rsidRDefault="00C7122E" w:rsidP="00471BF1">
            <w:pPr>
              <w:pStyle w:val="TableText"/>
              <w:jc w:val="center"/>
              <w:rPr>
                <w:rFonts w:cs="Arial"/>
                <w:b/>
                <w:bCs/>
                <w:color w:val="000000"/>
              </w:rPr>
            </w:pPr>
            <w:r w:rsidRPr="00471BF1">
              <w:rPr>
                <w:rFonts w:cs="Arial"/>
                <w:b/>
                <w:bCs/>
                <w:color w:val="000000"/>
              </w:rPr>
              <w:t>Percentage of people accessing services</w:t>
            </w:r>
          </w:p>
        </w:tc>
      </w:tr>
      <w:tr w:rsidR="00C7122E" w:rsidRPr="000C05FB" w14:paraId="4E876D93" w14:textId="77777777" w:rsidTr="00471BF1">
        <w:trPr>
          <w:cantSplit/>
        </w:trPr>
        <w:tc>
          <w:tcPr>
            <w:tcW w:w="1439" w:type="dxa"/>
            <w:vMerge w:val="restart"/>
            <w:tcBorders>
              <w:top w:val="single" w:sz="4" w:space="0" w:color="auto"/>
              <w:bottom w:val="single" w:sz="4" w:space="0" w:color="auto"/>
            </w:tcBorders>
            <w:shd w:val="clear" w:color="auto" w:fill="auto"/>
            <w:hideMark/>
          </w:tcPr>
          <w:p w14:paraId="4077F5FB" w14:textId="77777777" w:rsidR="00C7122E" w:rsidRPr="000C05FB" w:rsidRDefault="00C7122E" w:rsidP="00471BF1">
            <w:pPr>
              <w:pStyle w:val="TableText"/>
              <w:ind w:right="284"/>
            </w:pPr>
            <w:r w:rsidRPr="000C05FB">
              <w:t>Auckland region</w:t>
            </w:r>
          </w:p>
        </w:tc>
        <w:tc>
          <w:tcPr>
            <w:tcW w:w="2100" w:type="dxa"/>
            <w:tcBorders>
              <w:top w:val="single" w:sz="4" w:space="0" w:color="auto"/>
              <w:bottom w:val="single" w:sz="4" w:space="0" w:color="9BBB59" w:themeColor="accent3"/>
            </w:tcBorders>
            <w:shd w:val="clear" w:color="auto" w:fill="auto"/>
            <w:hideMark/>
          </w:tcPr>
          <w:p w14:paraId="55248642" w14:textId="77777777" w:rsidR="00C7122E" w:rsidRPr="00766910" w:rsidRDefault="00C7122E" w:rsidP="00471BF1">
            <w:pPr>
              <w:pStyle w:val="TableText"/>
            </w:pPr>
            <w:r w:rsidRPr="00766910">
              <w:t>Counties Manukau</w:t>
            </w:r>
          </w:p>
        </w:tc>
        <w:tc>
          <w:tcPr>
            <w:tcW w:w="1939" w:type="dxa"/>
            <w:tcBorders>
              <w:top w:val="single" w:sz="4" w:space="0" w:color="auto"/>
              <w:bottom w:val="single" w:sz="4" w:space="0" w:color="9BBB59" w:themeColor="accent3"/>
            </w:tcBorders>
          </w:tcPr>
          <w:p w14:paraId="753F7747" w14:textId="77777777" w:rsidR="00C7122E" w:rsidRPr="00766910" w:rsidRDefault="00C7122E" w:rsidP="00471BF1">
            <w:pPr>
              <w:pStyle w:val="TableText"/>
              <w:tabs>
                <w:tab w:val="decimal" w:pos="1134"/>
              </w:tabs>
            </w:pPr>
            <w:r w:rsidRPr="00766910">
              <w:t>3</w:t>
            </w:r>
            <w:r>
              <w:t>,</w:t>
            </w:r>
            <w:r w:rsidRPr="00766910">
              <w:t>656</w:t>
            </w:r>
          </w:p>
        </w:tc>
        <w:tc>
          <w:tcPr>
            <w:tcW w:w="1939" w:type="dxa"/>
            <w:tcBorders>
              <w:top w:val="single" w:sz="4" w:space="0" w:color="auto"/>
              <w:bottom w:val="single" w:sz="4" w:space="0" w:color="9BBB59" w:themeColor="accent3"/>
            </w:tcBorders>
          </w:tcPr>
          <w:p w14:paraId="1ECFCED0" w14:textId="77777777" w:rsidR="00C7122E" w:rsidRPr="00766910" w:rsidRDefault="00C7122E" w:rsidP="00471BF1">
            <w:pPr>
              <w:pStyle w:val="TableText"/>
              <w:tabs>
                <w:tab w:val="decimal" w:pos="1276"/>
              </w:tabs>
            </w:pPr>
            <w:r w:rsidRPr="00766910">
              <w:t>114</w:t>
            </w:r>
            <w:r>
              <w:t>,</w:t>
            </w:r>
            <w:r w:rsidRPr="00766910">
              <w:t>110</w:t>
            </w:r>
          </w:p>
        </w:tc>
        <w:tc>
          <w:tcPr>
            <w:tcW w:w="1939" w:type="dxa"/>
            <w:tcBorders>
              <w:top w:val="single" w:sz="4" w:space="0" w:color="auto"/>
              <w:bottom w:val="single" w:sz="4" w:space="0" w:color="9BBB59" w:themeColor="accent3"/>
            </w:tcBorders>
            <w:shd w:val="clear" w:color="auto" w:fill="auto"/>
            <w:noWrap/>
            <w:hideMark/>
          </w:tcPr>
          <w:p w14:paraId="253DCA52" w14:textId="77777777" w:rsidR="00C7122E" w:rsidRPr="00766910" w:rsidRDefault="00C7122E" w:rsidP="00471BF1">
            <w:pPr>
              <w:pStyle w:val="TableText"/>
              <w:jc w:val="center"/>
            </w:pPr>
            <w:r w:rsidRPr="00766910">
              <w:t>3.2%</w:t>
            </w:r>
          </w:p>
        </w:tc>
      </w:tr>
      <w:tr w:rsidR="00C7122E" w:rsidRPr="000C05FB" w14:paraId="5741F363" w14:textId="77777777" w:rsidTr="00471BF1">
        <w:trPr>
          <w:cantSplit/>
        </w:trPr>
        <w:tc>
          <w:tcPr>
            <w:tcW w:w="1439" w:type="dxa"/>
            <w:vMerge/>
            <w:tcBorders>
              <w:top w:val="single" w:sz="4" w:space="0" w:color="auto"/>
              <w:bottom w:val="single" w:sz="4" w:space="0" w:color="auto"/>
            </w:tcBorders>
            <w:hideMark/>
          </w:tcPr>
          <w:p w14:paraId="3C838CAD" w14:textId="77777777" w:rsidR="00C7122E" w:rsidRPr="000C05FB" w:rsidRDefault="00C7122E" w:rsidP="00471BF1">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1DB88E62" w14:textId="77777777" w:rsidR="00C7122E" w:rsidRPr="00766910" w:rsidRDefault="00C7122E" w:rsidP="00471BF1">
            <w:pPr>
              <w:pStyle w:val="TableText"/>
            </w:pPr>
            <w:r w:rsidRPr="00766910">
              <w:t>Auckland</w:t>
            </w:r>
          </w:p>
        </w:tc>
        <w:tc>
          <w:tcPr>
            <w:tcW w:w="1939" w:type="dxa"/>
            <w:tcBorders>
              <w:top w:val="single" w:sz="4" w:space="0" w:color="9BBB59" w:themeColor="accent3"/>
              <w:bottom w:val="single" w:sz="4" w:space="0" w:color="9BBB59" w:themeColor="accent3"/>
            </w:tcBorders>
          </w:tcPr>
          <w:p w14:paraId="4C3B0EA8" w14:textId="77777777" w:rsidR="00C7122E" w:rsidRPr="00766910" w:rsidRDefault="00C7122E" w:rsidP="00471BF1">
            <w:pPr>
              <w:pStyle w:val="TableText"/>
              <w:tabs>
                <w:tab w:val="decimal" w:pos="1134"/>
              </w:tabs>
            </w:pPr>
            <w:r w:rsidRPr="00766910">
              <w:t>2</w:t>
            </w:r>
            <w:r>
              <w:t>,</w:t>
            </w:r>
            <w:r w:rsidRPr="00766910">
              <w:t>148</w:t>
            </w:r>
          </w:p>
        </w:tc>
        <w:tc>
          <w:tcPr>
            <w:tcW w:w="1939" w:type="dxa"/>
            <w:tcBorders>
              <w:top w:val="single" w:sz="4" w:space="0" w:color="9BBB59" w:themeColor="accent3"/>
              <w:bottom w:val="single" w:sz="4" w:space="0" w:color="9BBB59" w:themeColor="accent3"/>
            </w:tcBorders>
          </w:tcPr>
          <w:p w14:paraId="10AE20B2" w14:textId="77777777" w:rsidR="00C7122E" w:rsidRPr="00766910" w:rsidRDefault="00C7122E" w:rsidP="00471BF1">
            <w:pPr>
              <w:pStyle w:val="TableText"/>
              <w:tabs>
                <w:tab w:val="decimal" w:pos="1276"/>
              </w:tabs>
            </w:pPr>
            <w:r w:rsidRPr="00766910">
              <w:t>54</w:t>
            </w:r>
            <w:r>
              <w:t>,</w:t>
            </w:r>
            <w:r w:rsidRPr="00766910">
              <w:t>200</w:t>
            </w:r>
          </w:p>
        </w:tc>
        <w:tc>
          <w:tcPr>
            <w:tcW w:w="1939" w:type="dxa"/>
            <w:tcBorders>
              <w:top w:val="single" w:sz="4" w:space="0" w:color="9BBB59" w:themeColor="accent3"/>
              <w:bottom w:val="single" w:sz="4" w:space="0" w:color="9BBB59" w:themeColor="accent3"/>
            </w:tcBorders>
            <w:shd w:val="clear" w:color="auto" w:fill="auto"/>
            <w:noWrap/>
            <w:hideMark/>
          </w:tcPr>
          <w:p w14:paraId="03290218" w14:textId="77777777" w:rsidR="00C7122E" w:rsidRPr="00766910" w:rsidRDefault="00C7122E" w:rsidP="00471BF1">
            <w:pPr>
              <w:pStyle w:val="TableText"/>
              <w:jc w:val="center"/>
            </w:pPr>
            <w:r w:rsidRPr="00766910">
              <w:t>4.0%</w:t>
            </w:r>
          </w:p>
        </w:tc>
      </w:tr>
      <w:tr w:rsidR="00C7122E" w:rsidRPr="000C05FB" w14:paraId="2BD222A5" w14:textId="77777777" w:rsidTr="00471BF1">
        <w:trPr>
          <w:cantSplit/>
        </w:trPr>
        <w:tc>
          <w:tcPr>
            <w:tcW w:w="1439" w:type="dxa"/>
            <w:vMerge/>
            <w:tcBorders>
              <w:top w:val="single" w:sz="4" w:space="0" w:color="auto"/>
              <w:bottom w:val="single" w:sz="4" w:space="0" w:color="auto"/>
            </w:tcBorders>
            <w:hideMark/>
          </w:tcPr>
          <w:p w14:paraId="1822FE4D" w14:textId="77777777" w:rsidR="00C7122E" w:rsidRPr="000C05FB" w:rsidRDefault="00C7122E" w:rsidP="00471BF1">
            <w:pPr>
              <w:pStyle w:val="TableText"/>
            </w:pPr>
          </w:p>
        </w:tc>
        <w:tc>
          <w:tcPr>
            <w:tcW w:w="2100" w:type="dxa"/>
            <w:tcBorders>
              <w:top w:val="single" w:sz="4" w:space="0" w:color="9BBB59" w:themeColor="accent3"/>
              <w:bottom w:val="single" w:sz="4" w:space="0" w:color="auto"/>
            </w:tcBorders>
            <w:shd w:val="clear" w:color="auto" w:fill="auto"/>
            <w:hideMark/>
          </w:tcPr>
          <w:p w14:paraId="11829895" w14:textId="77777777" w:rsidR="00C7122E" w:rsidRPr="00766910" w:rsidRDefault="00C7122E" w:rsidP="00471BF1">
            <w:pPr>
              <w:pStyle w:val="TableText"/>
            </w:pPr>
            <w:r w:rsidRPr="00766910">
              <w:t>Waitemata</w:t>
            </w:r>
          </w:p>
        </w:tc>
        <w:tc>
          <w:tcPr>
            <w:tcW w:w="1939" w:type="dxa"/>
            <w:tcBorders>
              <w:top w:val="single" w:sz="4" w:space="0" w:color="9BBB59" w:themeColor="accent3"/>
              <w:bottom w:val="single" w:sz="4" w:space="0" w:color="auto"/>
            </w:tcBorders>
          </w:tcPr>
          <w:p w14:paraId="5A243FFA" w14:textId="77777777" w:rsidR="00C7122E" w:rsidRPr="00766910" w:rsidRDefault="00C7122E" w:rsidP="00471BF1">
            <w:pPr>
              <w:pStyle w:val="TableText"/>
              <w:tabs>
                <w:tab w:val="decimal" w:pos="1134"/>
              </w:tabs>
            </w:pPr>
            <w:r w:rsidRPr="00766910">
              <w:t>1</w:t>
            </w:r>
            <w:r>
              <w:t>,</w:t>
            </w:r>
            <w:r w:rsidRPr="00766910">
              <w:t>340</w:t>
            </w:r>
          </w:p>
        </w:tc>
        <w:tc>
          <w:tcPr>
            <w:tcW w:w="1939" w:type="dxa"/>
            <w:tcBorders>
              <w:top w:val="single" w:sz="4" w:space="0" w:color="9BBB59" w:themeColor="accent3"/>
              <w:bottom w:val="single" w:sz="4" w:space="0" w:color="auto"/>
            </w:tcBorders>
          </w:tcPr>
          <w:p w14:paraId="3BB74E56" w14:textId="77777777" w:rsidR="00C7122E" w:rsidRPr="00766910" w:rsidRDefault="00C7122E" w:rsidP="00471BF1">
            <w:pPr>
              <w:pStyle w:val="TableText"/>
              <w:tabs>
                <w:tab w:val="decimal" w:pos="1276"/>
              </w:tabs>
            </w:pPr>
            <w:r w:rsidRPr="00766910">
              <w:t>42</w:t>
            </w:r>
            <w:r>
              <w:t>,</w:t>
            </w:r>
            <w:r w:rsidRPr="00766910">
              <w:t>320</w:t>
            </w:r>
          </w:p>
        </w:tc>
        <w:tc>
          <w:tcPr>
            <w:tcW w:w="1939" w:type="dxa"/>
            <w:tcBorders>
              <w:top w:val="single" w:sz="4" w:space="0" w:color="9BBB59" w:themeColor="accent3"/>
              <w:bottom w:val="single" w:sz="4" w:space="0" w:color="auto"/>
            </w:tcBorders>
            <w:shd w:val="clear" w:color="auto" w:fill="auto"/>
            <w:noWrap/>
            <w:hideMark/>
          </w:tcPr>
          <w:p w14:paraId="0244FE08" w14:textId="77777777" w:rsidR="00C7122E" w:rsidRPr="00766910" w:rsidRDefault="00C7122E" w:rsidP="00471BF1">
            <w:pPr>
              <w:pStyle w:val="TableText"/>
              <w:jc w:val="center"/>
            </w:pPr>
            <w:r w:rsidRPr="00766910">
              <w:t>3.2%</w:t>
            </w:r>
          </w:p>
        </w:tc>
      </w:tr>
      <w:tr w:rsidR="00C7122E" w:rsidRPr="000C05FB" w14:paraId="3EF219E9" w14:textId="77777777" w:rsidTr="00471BF1">
        <w:trPr>
          <w:cantSplit/>
        </w:trPr>
        <w:tc>
          <w:tcPr>
            <w:tcW w:w="1439" w:type="dxa"/>
            <w:vMerge w:val="restart"/>
            <w:tcBorders>
              <w:top w:val="single" w:sz="4" w:space="0" w:color="auto"/>
              <w:bottom w:val="single" w:sz="4" w:space="0" w:color="auto"/>
            </w:tcBorders>
            <w:shd w:val="clear" w:color="auto" w:fill="auto"/>
            <w:hideMark/>
          </w:tcPr>
          <w:p w14:paraId="3787CE17" w14:textId="77777777" w:rsidR="00C7122E" w:rsidRPr="000C05FB" w:rsidRDefault="00C7122E" w:rsidP="00471BF1">
            <w:pPr>
              <w:pStyle w:val="TableText"/>
            </w:pPr>
            <w:r w:rsidRPr="000C05FB">
              <w:t>Rest of New Zealand</w:t>
            </w:r>
          </w:p>
        </w:tc>
        <w:tc>
          <w:tcPr>
            <w:tcW w:w="2100" w:type="dxa"/>
            <w:tcBorders>
              <w:top w:val="single" w:sz="4" w:space="0" w:color="auto"/>
              <w:bottom w:val="single" w:sz="4" w:space="0" w:color="9BBB59" w:themeColor="accent3"/>
            </w:tcBorders>
            <w:shd w:val="clear" w:color="auto" w:fill="auto"/>
            <w:hideMark/>
          </w:tcPr>
          <w:p w14:paraId="6FFA1109" w14:textId="77777777" w:rsidR="00C7122E" w:rsidRPr="00766910" w:rsidRDefault="00C7122E" w:rsidP="00471BF1">
            <w:pPr>
              <w:pStyle w:val="TableText"/>
            </w:pPr>
            <w:r w:rsidRPr="00766910">
              <w:t>Capital &amp; Coast</w:t>
            </w:r>
          </w:p>
        </w:tc>
        <w:tc>
          <w:tcPr>
            <w:tcW w:w="1939" w:type="dxa"/>
            <w:tcBorders>
              <w:top w:val="single" w:sz="4" w:space="0" w:color="auto"/>
              <w:bottom w:val="single" w:sz="4" w:space="0" w:color="9BBB59" w:themeColor="accent3"/>
            </w:tcBorders>
          </w:tcPr>
          <w:p w14:paraId="676C6773" w14:textId="77777777" w:rsidR="00C7122E" w:rsidRPr="00766910" w:rsidRDefault="00C7122E" w:rsidP="00471BF1">
            <w:pPr>
              <w:pStyle w:val="TableText"/>
              <w:tabs>
                <w:tab w:val="decimal" w:pos="1134"/>
              </w:tabs>
            </w:pPr>
            <w:r w:rsidRPr="00766910">
              <w:t>666</w:t>
            </w:r>
          </w:p>
        </w:tc>
        <w:tc>
          <w:tcPr>
            <w:tcW w:w="1939" w:type="dxa"/>
            <w:tcBorders>
              <w:top w:val="single" w:sz="4" w:space="0" w:color="auto"/>
              <w:bottom w:val="single" w:sz="4" w:space="0" w:color="9BBB59" w:themeColor="accent3"/>
            </w:tcBorders>
          </w:tcPr>
          <w:p w14:paraId="44C9973F" w14:textId="77777777" w:rsidR="00C7122E" w:rsidRPr="00766910" w:rsidRDefault="00C7122E" w:rsidP="00471BF1">
            <w:pPr>
              <w:pStyle w:val="TableText"/>
              <w:tabs>
                <w:tab w:val="decimal" w:pos="1276"/>
              </w:tabs>
            </w:pPr>
            <w:r w:rsidRPr="00766910">
              <w:t>21</w:t>
            </w:r>
            <w:r>
              <w:t>,</w:t>
            </w:r>
            <w:r w:rsidRPr="00766910">
              <w:t>380</w:t>
            </w:r>
          </w:p>
        </w:tc>
        <w:tc>
          <w:tcPr>
            <w:tcW w:w="1939" w:type="dxa"/>
            <w:tcBorders>
              <w:top w:val="single" w:sz="4" w:space="0" w:color="auto"/>
              <w:bottom w:val="single" w:sz="4" w:space="0" w:color="9BBB59" w:themeColor="accent3"/>
            </w:tcBorders>
            <w:shd w:val="clear" w:color="auto" w:fill="auto"/>
            <w:noWrap/>
            <w:hideMark/>
          </w:tcPr>
          <w:p w14:paraId="04BC1805" w14:textId="77777777" w:rsidR="00C7122E" w:rsidRPr="00766910" w:rsidRDefault="00C7122E" w:rsidP="00471BF1">
            <w:pPr>
              <w:pStyle w:val="TableText"/>
              <w:jc w:val="center"/>
            </w:pPr>
            <w:r w:rsidRPr="00766910">
              <w:t>3.1%</w:t>
            </w:r>
          </w:p>
        </w:tc>
      </w:tr>
      <w:tr w:rsidR="00C7122E" w:rsidRPr="000C05FB" w14:paraId="4BD1EE9B" w14:textId="77777777" w:rsidTr="00471BF1">
        <w:trPr>
          <w:cantSplit/>
        </w:trPr>
        <w:tc>
          <w:tcPr>
            <w:tcW w:w="1439" w:type="dxa"/>
            <w:vMerge/>
            <w:tcBorders>
              <w:top w:val="single" w:sz="4" w:space="0" w:color="auto"/>
              <w:bottom w:val="single" w:sz="4" w:space="0" w:color="auto"/>
            </w:tcBorders>
            <w:hideMark/>
          </w:tcPr>
          <w:p w14:paraId="68D8CBEB" w14:textId="77777777" w:rsidR="00C7122E" w:rsidRPr="000C05FB" w:rsidRDefault="00C7122E" w:rsidP="00471BF1">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6013F320" w14:textId="77777777" w:rsidR="00C7122E" w:rsidRPr="00766910" w:rsidRDefault="00C7122E" w:rsidP="00471BF1">
            <w:pPr>
              <w:pStyle w:val="TableText"/>
            </w:pPr>
            <w:r w:rsidRPr="00766910">
              <w:t>Canterbury</w:t>
            </w:r>
          </w:p>
        </w:tc>
        <w:tc>
          <w:tcPr>
            <w:tcW w:w="1939" w:type="dxa"/>
            <w:tcBorders>
              <w:top w:val="single" w:sz="4" w:space="0" w:color="9BBB59" w:themeColor="accent3"/>
              <w:bottom w:val="single" w:sz="4" w:space="0" w:color="9BBB59" w:themeColor="accent3"/>
            </w:tcBorders>
          </w:tcPr>
          <w:p w14:paraId="7862FD05" w14:textId="77777777" w:rsidR="00C7122E" w:rsidRPr="00766910" w:rsidRDefault="00C7122E" w:rsidP="00471BF1">
            <w:pPr>
              <w:pStyle w:val="TableText"/>
              <w:tabs>
                <w:tab w:val="decimal" w:pos="1134"/>
              </w:tabs>
            </w:pPr>
            <w:r w:rsidRPr="00766910">
              <w:t>441</w:t>
            </w:r>
          </w:p>
        </w:tc>
        <w:tc>
          <w:tcPr>
            <w:tcW w:w="1939" w:type="dxa"/>
            <w:tcBorders>
              <w:top w:val="single" w:sz="4" w:space="0" w:color="9BBB59" w:themeColor="accent3"/>
              <w:bottom w:val="single" w:sz="4" w:space="0" w:color="9BBB59" w:themeColor="accent3"/>
            </w:tcBorders>
          </w:tcPr>
          <w:p w14:paraId="0891A653" w14:textId="77777777" w:rsidR="00C7122E" w:rsidRPr="00766910" w:rsidRDefault="00C7122E" w:rsidP="00471BF1">
            <w:pPr>
              <w:pStyle w:val="TableText"/>
              <w:tabs>
                <w:tab w:val="decimal" w:pos="1276"/>
              </w:tabs>
            </w:pPr>
            <w:r w:rsidRPr="00766910">
              <w:t>13</w:t>
            </w:r>
            <w:r>
              <w:t>,</w:t>
            </w:r>
            <w:r w:rsidRPr="00766910">
              <w:t>350</w:t>
            </w:r>
          </w:p>
        </w:tc>
        <w:tc>
          <w:tcPr>
            <w:tcW w:w="1939" w:type="dxa"/>
            <w:tcBorders>
              <w:top w:val="single" w:sz="4" w:space="0" w:color="9BBB59" w:themeColor="accent3"/>
              <w:bottom w:val="single" w:sz="4" w:space="0" w:color="9BBB59" w:themeColor="accent3"/>
            </w:tcBorders>
            <w:shd w:val="clear" w:color="auto" w:fill="auto"/>
            <w:noWrap/>
            <w:hideMark/>
          </w:tcPr>
          <w:p w14:paraId="56A67B38" w14:textId="77777777" w:rsidR="00C7122E" w:rsidRPr="00766910" w:rsidRDefault="00C7122E" w:rsidP="00471BF1">
            <w:pPr>
              <w:pStyle w:val="TableText"/>
              <w:jc w:val="center"/>
            </w:pPr>
            <w:r w:rsidRPr="00766910">
              <w:t>3.3%</w:t>
            </w:r>
          </w:p>
        </w:tc>
      </w:tr>
      <w:tr w:rsidR="00C7122E" w:rsidRPr="000C05FB" w14:paraId="73FEA4C4" w14:textId="77777777" w:rsidTr="00471BF1">
        <w:trPr>
          <w:cantSplit/>
        </w:trPr>
        <w:tc>
          <w:tcPr>
            <w:tcW w:w="1439" w:type="dxa"/>
            <w:vMerge/>
            <w:tcBorders>
              <w:top w:val="single" w:sz="4" w:space="0" w:color="auto"/>
              <w:bottom w:val="single" w:sz="4" w:space="0" w:color="auto"/>
            </w:tcBorders>
            <w:hideMark/>
          </w:tcPr>
          <w:p w14:paraId="4FBB934A" w14:textId="77777777" w:rsidR="00C7122E" w:rsidRPr="000C05FB" w:rsidRDefault="00C7122E" w:rsidP="00471BF1">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6A0E55B2" w14:textId="77777777" w:rsidR="00C7122E" w:rsidRPr="00766910" w:rsidRDefault="00C7122E" w:rsidP="00471BF1">
            <w:pPr>
              <w:pStyle w:val="TableText"/>
            </w:pPr>
            <w:r w:rsidRPr="00766910">
              <w:t>Hutt Valley</w:t>
            </w:r>
          </w:p>
        </w:tc>
        <w:tc>
          <w:tcPr>
            <w:tcW w:w="1939" w:type="dxa"/>
            <w:tcBorders>
              <w:top w:val="single" w:sz="4" w:space="0" w:color="9BBB59" w:themeColor="accent3"/>
              <w:bottom w:val="single" w:sz="4" w:space="0" w:color="9BBB59" w:themeColor="accent3"/>
            </w:tcBorders>
          </w:tcPr>
          <w:p w14:paraId="42FA895F" w14:textId="77777777" w:rsidR="00C7122E" w:rsidRPr="00766910" w:rsidRDefault="00C7122E" w:rsidP="00471BF1">
            <w:pPr>
              <w:pStyle w:val="TableText"/>
              <w:tabs>
                <w:tab w:val="decimal" w:pos="1134"/>
              </w:tabs>
            </w:pPr>
            <w:r w:rsidRPr="00766910">
              <w:t>428</w:t>
            </w:r>
          </w:p>
        </w:tc>
        <w:tc>
          <w:tcPr>
            <w:tcW w:w="1939" w:type="dxa"/>
            <w:tcBorders>
              <w:top w:val="single" w:sz="4" w:space="0" w:color="9BBB59" w:themeColor="accent3"/>
              <w:bottom w:val="single" w:sz="4" w:space="0" w:color="9BBB59" w:themeColor="accent3"/>
            </w:tcBorders>
          </w:tcPr>
          <w:p w14:paraId="2074D715" w14:textId="77777777" w:rsidR="00C7122E" w:rsidRPr="00766910" w:rsidRDefault="00C7122E" w:rsidP="00471BF1">
            <w:pPr>
              <w:pStyle w:val="TableText"/>
              <w:tabs>
                <w:tab w:val="decimal" w:pos="1276"/>
              </w:tabs>
            </w:pPr>
            <w:r w:rsidRPr="00766910">
              <w:t>11</w:t>
            </w:r>
            <w:r>
              <w:t>,</w:t>
            </w:r>
            <w:r w:rsidRPr="00766910">
              <w:t>390</w:t>
            </w:r>
          </w:p>
        </w:tc>
        <w:tc>
          <w:tcPr>
            <w:tcW w:w="1939" w:type="dxa"/>
            <w:tcBorders>
              <w:top w:val="single" w:sz="4" w:space="0" w:color="9BBB59" w:themeColor="accent3"/>
              <w:bottom w:val="single" w:sz="4" w:space="0" w:color="9BBB59" w:themeColor="accent3"/>
            </w:tcBorders>
            <w:shd w:val="clear" w:color="auto" w:fill="auto"/>
            <w:noWrap/>
            <w:hideMark/>
          </w:tcPr>
          <w:p w14:paraId="3D6C04BD" w14:textId="77777777" w:rsidR="00C7122E" w:rsidRPr="00766910" w:rsidRDefault="00C7122E" w:rsidP="00471BF1">
            <w:pPr>
              <w:pStyle w:val="TableText"/>
              <w:jc w:val="center"/>
            </w:pPr>
            <w:r w:rsidRPr="00766910">
              <w:t>3.8%</w:t>
            </w:r>
          </w:p>
        </w:tc>
      </w:tr>
      <w:tr w:rsidR="00C7122E" w:rsidRPr="000C05FB" w14:paraId="32D854EB" w14:textId="77777777" w:rsidTr="00471BF1">
        <w:trPr>
          <w:cantSplit/>
        </w:trPr>
        <w:tc>
          <w:tcPr>
            <w:tcW w:w="1439" w:type="dxa"/>
            <w:vMerge/>
            <w:tcBorders>
              <w:top w:val="single" w:sz="4" w:space="0" w:color="auto"/>
              <w:bottom w:val="single" w:sz="4" w:space="0" w:color="auto"/>
            </w:tcBorders>
            <w:hideMark/>
          </w:tcPr>
          <w:p w14:paraId="0B03F8CE" w14:textId="77777777" w:rsidR="00C7122E" w:rsidRPr="000C05FB" w:rsidRDefault="00C7122E" w:rsidP="00471BF1">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326CA538" w14:textId="77777777" w:rsidR="00C7122E" w:rsidRPr="00766910" w:rsidRDefault="00C7122E" w:rsidP="00471BF1">
            <w:pPr>
              <w:pStyle w:val="TableText"/>
            </w:pPr>
            <w:r w:rsidRPr="00766910">
              <w:t>Hawke</w:t>
            </w:r>
            <w:r>
              <w:t>’</w:t>
            </w:r>
            <w:r w:rsidRPr="00766910">
              <w:t>s Bay</w:t>
            </w:r>
          </w:p>
        </w:tc>
        <w:tc>
          <w:tcPr>
            <w:tcW w:w="1939" w:type="dxa"/>
            <w:tcBorders>
              <w:top w:val="single" w:sz="4" w:space="0" w:color="9BBB59" w:themeColor="accent3"/>
              <w:bottom w:val="single" w:sz="4" w:space="0" w:color="9BBB59" w:themeColor="accent3"/>
            </w:tcBorders>
          </w:tcPr>
          <w:p w14:paraId="0D0B1988" w14:textId="77777777" w:rsidR="00C7122E" w:rsidRPr="00766910" w:rsidRDefault="00C7122E" w:rsidP="00471BF1">
            <w:pPr>
              <w:pStyle w:val="TableText"/>
              <w:tabs>
                <w:tab w:val="decimal" w:pos="1134"/>
              </w:tabs>
            </w:pPr>
            <w:r w:rsidRPr="00766910">
              <w:t>155</w:t>
            </w:r>
          </w:p>
        </w:tc>
        <w:tc>
          <w:tcPr>
            <w:tcW w:w="1939" w:type="dxa"/>
            <w:tcBorders>
              <w:top w:val="single" w:sz="4" w:space="0" w:color="9BBB59" w:themeColor="accent3"/>
              <w:bottom w:val="single" w:sz="4" w:space="0" w:color="9BBB59" w:themeColor="accent3"/>
            </w:tcBorders>
          </w:tcPr>
          <w:p w14:paraId="7DDF351E" w14:textId="77777777" w:rsidR="00C7122E" w:rsidRPr="00766910" w:rsidRDefault="00C7122E" w:rsidP="00471BF1">
            <w:pPr>
              <w:pStyle w:val="TableText"/>
              <w:tabs>
                <w:tab w:val="decimal" w:pos="1276"/>
              </w:tabs>
            </w:pPr>
            <w:r w:rsidRPr="00766910">
              <w:t>6</w:t>
            </w:r>
            <w:r>
              <w:t>,</w:t>
            </w:r>
            <w:r w:rsidRPr="00766910">
              <w:t>130</w:t>
            </w:r>
          </w:p>
        </w:tc>
        <w:tc>
          <w:tcPr>
            <w:tcW w:w="1939" w:type="dxa"/>
            <w:tcBorders>
              <w:top w:val="single" w:sz="4" w:space="0" w:color="9BBB59" w:themeColor="accent3"/>
              <w:bottom w:val="single" w:sz="4" w:space="0" w:color="9BBB59" w:themeColor="accent3"/>
            </w:tcBorders>
            <w:shd w:val="clear" w:color="auto" w:fill="auto"/>
            <w:noWrap/>
            <w:hideMark/>
          </w:tcPr>
          <w:p w14:paraId="7705C15F" w14:textId="77777777" w:rsidR="00C7122E" w:rsidRPr="00766910" w:rsidRDefault="00C7122E" w:rsidP="00471BF1">
            <w:pPr>
              <w:pStyle w:val="TableText"/>
              <w:jc w:val="center"/>
            </w:pPr>
            <w:r w:rsidRPr="00766910">
              <w:t>2.5%</w:t>
            </w:r>
          </w:p>
        </w:tc>
      </w:tr>
      <w:tr w:rsidR="00C7122E" w:rsidRPr="000C05FB" w14:paraId="4D6AFDE6" w14:textId="77777777" w:rsidTr="00471BF1">
        <w:trPr>
          <w:cantSplit/>
        </w:trPr>
        <w:tc>
          <w:tcPr>
            <w:tcW w:w="1439" w:type="dxa"/>
            <w:vMerge/>
            <w:tcBorders>
              <w:top w:val="single" w:sz="4" w:space="0" w:color="auto"/>
              <w:bottom w:val="single" w:sz="4" w:space="0" w:color="auto"/>
            </w:tcBorders>
            <w:hideMark/>
          </w:tcPr>
          <w:p w14:paraId="303E9B81" w14:textId="77777777" w:rsidR="00C7122E" w:rsidRPr="000C05FB" w:rsidRDefault="00C7122E" w:rsidP="00471BF1">
            <w:pPr>
              <w:pStyle w:val="TableText"/>
            </w:pPr>
          </w:p>
        </w:tc>
        <w:tc>
          <w:tcPr>
            <w:tcW w:w="2100" w:type="dxa"/>
            <w:tcBorders>
              <w:top w:val="single" w:sz="4" w:space="0" w:color="9BBB59" w:themeColor="accent3"/>
              <w:bottom w:val="single" w:sz="4" w:space="0" w:color="auto"/>
            </w:tcBorders>
            <w:shd w:val="clear" w:color="auto" w:fill="auto"/>
            <w:hideMark/>
          </w:tcPr>
          <w:p w14:paraId="6CE07F6C" w14:textId="77777777" w:rsidR="00C7122E" w:rsidRPr="00766910" w:rsidRDefault="00C7122E" w:rsidP="00471BF1">
            <w:pPr>
              <w:pStyle w:val="TableText"/>
            </w:pPr>
            <w:r w:rsidRPr="00766910">
              <w:t>Waikato</w:t>
            </w:r>
          </w:p>
        </w:tc>
        <w:tc>
          <w:tcPr>
            <w:tcW w:w="1939" w:type="dxa"/>
            <w:tcBorders>
              <w:top w:val="single" w:sz="4" w:space="0" w:color="9BBB59" w:themeColor="accent3"/>
              <w:bottom w:val="single" w:sz="4" w:space="0" w:color="auto"/>
            </w:tcBorders>
          </w:tcPr>
          <w:p w14:paraId="7B855116" w14:textId="77777777" w:rsidR="00C7122E" w:rsidRPr="00766910" w:rsidRDefault="00C7122E" w:rsidP="00471BF1">
            <w:pPr>
              <w:pStyle w:val="TableText"/>
              <w:tabs>
                <w:tab w:val="decimal" w:pos="1134"/>
              </w:tabs>
            </w:pPr>
            <w:r w:rsidRPr="00766910">
              <w:t>397</w:t>
            </w:r>
          </w:p>
        </w:tc>
        <w:tc>
          <w:tcPr>
            <w:tcW w:w="1939" w:type="dxa"/>
            <w:tcBorders>
              <w:top w:val="single" w:sz="4" w:space="0" w:color="9BBB59" w:themeColor="accent3"/>
              <w:bottom w:val="single" w:sz="4" w:space="0" w:color="auto"/>
            </w:tcBorders>
          </w:tcPr>
          <w:p w14:paraId="4484A6C3" w14:textId="77777777" w:rsidR="00C7122E" w:rsidRPr="00766910" w:rsidRDefault="00C7122E" w:rsidP="00471BF1">
            <w:pPr>
              <w:pStyle w:val="TableText"/>
              <w:tabs>
                <w:tab w:val="decimal" w:pos="1276"/>
              </w:tabs>
            </w:pPr>
            <w:r w:rsidRPr="00766910">
              <w:t>11</w:t>
            </w:r>
            <w:r>
              <w:t>,</w:t>
            </w:r>
            <w:r w:rsidRPr="00766910">
              <w:t>800</w:t>
            </w:r>
          </w:p>
        </w:tc>
        <w:tc>
          <w:tcPr>
            <w:tcW w:w="1939" w:type="dxa"/>
            <w:tcBorders>
              <w:top w:val="single" w:sz="4" w:space="0" w:color="9BBB59" w:themeColor="accent3"/>
              <w:bottom w:val="single" w:sz="4" w:space="0" w:color="auto"/>
            </w:tcBorders>
            <w:shd w:val="clear" w:color="auto" w:fill="auto"/>
            <w:noWrap/>
            <w:hideMark/>
          </w:tcPr>
          <w:p w14:paraId="2FFE64BA" w14:textId="77777777" w:rsidR="00C7122E" w:rsidRPr="00766910" w:rsidRDefault="00C7122E" w:rsidP="00471BF1">
            <w:pPr>
              <w:pStyle w:val="TableText"/>
              <w:jc w:val="center"/>
            </w:pPr>
            <w:r w:rsidRPr="00766910">
              <w:t>3.4%</w:t>
            </w:r>
          </w:p>
        </w:tc>
      </w:tr>
      <w:tr w:rsidR="00C7122E" w:rsidRPr="000C05FB" w14:paraId="62FE6194" w14:textId="77777777" w:rsidTr="00471BF1">
        <w:trPr>
          <w:cantSplit/>
        </w:trPr>
        <w:tc>
          <w:tcPr>
            <w:tcW w:w="3539" w:type="dxa"/>
            <w:gridSpan w:val="2"/>
            <w:tcBorders>
              <w:top w:val="single" w:sz="4" w:space="0" w:color="auto"/>
              <w:bottom w:val="single" w:sz="4" w:space="0" w:color="000000"/>
            </w:tcBorders>
          </w:tcPr>
          <w:p w14:paraId="1C9B4197" w14:textId="77777777" w:rsidR="00C7122E" w:rsidRPr="00766910" w:rsidRDefault="00C7122E" w:rsidP="00471BF1">
            <w:pPr>
              <w:pStyle w:val="TableText"/>
            </w:pPr>
            <w:r>
              <w:t>Total New Zealand (all population)</w:t>
            </w:r>
          </w:p>
        </w:tc>
        <w:tc>
          <w:tcPr>
            <w:tcW w:w="1939" w:type="dxa"/>
            <w:tcBorders>
              <w:top w:val="single" w:sz="4" w:space="0" w:color="auto"/>
              <w:bottom w:val="single" w:sz="4" w:space="0" w:color="auto"/>
            </w:tcBorders>
          </w:tcPr>
          <w:p w14:paraId="0B2FF9F4" w14:textId="77777777" w:rsidR="00C7122E" w:rsidRPr="00766910" w:rsidRDefault="00C7122E" w:rsidP="00471BF1">
            <w:pPr>
              <w:pStyle w:val="TableText"/>
              <w:tabs>
                <w:tab w:val="decimal" w:pos="1134"/>
              </w:tabs>
            </w:pPr>
            <w:r>
              <w:t>164,125</w:t>
            </w:r>
          </w:p>
        </w:tc>
        <w:tc>
          <w:tcPr>
            <w:tcW w:w="1939" w:type="dxa"/>
            <w:tcBorders>
              <w:top w:val="single" w:sz="4" w:space="0" w:color="auto"/>
              <w:bottom w:val="single" w:sz="4" w:space="0" w:color="auto"/>
            </w:tcBorders>
          </w:tcPr>
          <w:p w14:paraId="4A94ACAE" w14:textId="77777777" w:rsidR="00C7122E" w:rsidRPr="00766910" w:rsidRDefault="00C7122E" w:rsidP="00471BF1">
            <w:pPr>
              <w:pStyle w:val="TableText"/>
              <w:tabs>
                <w:tab w:val="decimal" w:pos="1276"/>
              </w:tabs>
            </w:pPr>
            <w:r>
              <w:t>4,715,555</w:t>
            </w:r>
          </w:p>
        </w:tc>
        <w:tc>
          <w:tcPr>
            <w:tcW w:w="1939" w:type="dxa"/>
            <w:tcBorders>
              <w:top w:val="single" w:sz="4" w:space="0" w:color="auto"/>
              <w:bottom w:val="single" w:sz="4" w:space="0" w:color="auto"/>
            </w:tcBorders>
            <w:shd w:val="clear" w:color="auto" w:fill="auto"/>
            <w:noWrap/>
          </w:tcPr>
          <w:p w14:paraId="44B15B0A" w14:textId="77777777" w:rsidR="00C7122E" w:rsidRPr="00766910" w:rsidRDefault="00C7122E" w:rsidP="00471BF1">
            <w:pPr>
              <w:pStyle w:val="TableText"/>
              <w:jc w:val="center"/>
            </w:pPr>
            <w:r>
              <w:t>3.5%</w:t>
            </w:r>
          </w:p>
        </w:tc>
      </w:tr>
    </w:tbl>
    <w:p w14:paraId="53F24787" w14:textId="77777777" w:rsidR="00C7122E" w:rsidRDefault="00C7122E" w:rsidP="00471BF1"/>
    <w:p w14:paraId="10AEDAF1" w14:textId="77777777" w:rsidR="00C7122E" w:rsidRDefault="00C7122E" w:rsidP="00471BF1">
      <w:pPr>
        <w:pStyle w:val="Heading1"/>
      </w:pPr>
      <w:bookmarkStart w:id="108" w:name="_Toc503949859"/>
      <w:bookmarkStart w:id="109" w:name="_Toc531260421"/>
      <w:r>
        <w:lastRenderedPageBreak/>
        <w:t>Access to drug and alcohol services</w:t>
      </w:r>
      <w:bookmarkEnd w:id="108"/>
      <w:bookmarkEnd w:id="109"/>
    </w:p>
    <w:p w14:paraId="1F11FB50" w14:textId="060775BB" w:rsidR="00C7122E" w:rsidRDefault="001F6C6D" w:rsidP="00471BF1">
      <w:r w:rsidRPr="001F6C6D">
        <w:t>The Ministry of Health is committed to</w:t>
      </w:r>
      <w:r w:rsidR="00C7122E">
        <w:t xml:space="preserve"> improving outcomes in rela</w:t>
      </w:r>
      <w:r>
        <w:t>tion to alcohol and drug issues.</w:t>
      </w:r>
      <w:r w:rsidR="00C7122E">
        <w:t xml:space="preserve"> </w:t>
      </w:r>
      <w:r w:rsidR="00C7122E">
        <w:rPr>
          <w:i/>
        </w:rPr>
        <w:t>’</w:t>
      </w:r>
      <w:r w:rsidR="00C7122E" w:rsidRPr="009B275C">
        <w:rPr>
          <w:i/>
        </w:rPr>
        <w:t>Ala Mo’ui</w:t>
      </w:r>
      <w:r w:rsidR="00C7122E">
        <w:t xml:space="preserve"> supports this by monitoring Pacific peoples’ utilisation of alcohol and drug services.</w:t>
      </w:r>
    </w:p>
    <w:p w14:paraId="0FE2E28A" w14:textId="77777777" w:rsidR="00C7122E" w:rsidRDefault="00C7122E" w:rsidP="00471BF1"/>
    <w:p w14:paraId="0E197DA3" w14:textId="77777777" w:rsidR="00C7122E" w:rsidRDefault="00C7122E" w:rsidP="00471BF1">
      <w:r>
        <w:t>Figure 10 shows that nationally, between 2014 and 2016, rates of utilisation of alcohol and drug services were slightly higher for the Pacific peoples population than rates for the total New Zealand population. In particular, rates for Pacific peoples in the Auckland DHBs were consistently higher (see Figure 11A).</w:t>
      </w:r>
    </w:p>
    <w:p w14:paraId="02F57DDB" w14:textId="77777777" w:rsidR="00C7122E" w:rsidRDefault="00C7122E" w:rsidP="00471BF1"/>
    <w:p w14:paraId="1EE9F169" w14:textId="77777777" w:rsidR="00471BF1" w:rsidRDefault="00471BF1" w:rsidP="00471BF1">
      <w:pPr>
        <w:pStyle w:val="Heading2"/>
      </w:pPr>
      <w:bookmarkStart w:id="110" w:name="_Toc531260422"/>
      <w:r w:rsidRPr="0069548E">
        <w:rPr>
          <w:lang w:eastAsia="en-NZ"/>
        </w:rPr>
        <w:t>Improv</w:t>
      </w:r>
      <w:r>
        <w:rPr>
          <w:lang w:eastAsia="en-NZ"/>
        </w:rPr>
        <w:t>ed</w:t>
      </w:r>
      <w:r w:rsidRPr="0069548E">
        <w:rPr>
          <w:lang w:eastAsia="en-NZ"/>
        </w:rPr>
        <w:t xml:space="preserve"> health status </w:t>
      </w:r>
      <w:r>
        <w:rPr>
          <w:lang w:eastAsia="en-NZ"/>
        </w:rPr>
        <w:t xml:space="preserve">among </w:t>
      </w:r>
      <w:r w:rsidRPr="0069548E">
        <w:rPr>
          <w:lang w:eastAsia="en-NZ"/>
        </w:rPr>
        <w:t>Pacific people with alcohol and drug addiction through improved access rates to alcohol and drug services</w:t>
      </w:r>
      <w:bookmarkEnd w:id="110"/>
    </w:p>
    <w:p w14:paraId="0FDEFB21" w14:textId="77777777" w:rsidR="00C7122E" w:rsidRPr="00A119E8" w:rsidRDefault="00C7122E" w:rsidP="00471BF1">
      <w:r w:rsidRPr="007A28AF">
        <w:rPr>
          <w:b/>
        </w:rPr>
        <w:t xml:space="preserve">Performance: </w:t>
      </w:r>
      <w:r w:rsidRPr="007A28AF">
        <w:t xml:space="preserve">There </w:t>
      </w:r>
      <w:r w:rsidRPr="00A119E8">
        <w:t>is no target set for this indicator.</w:t>
      </w:r>
    </w:p>
    <w:p w14:paraId="7854CB05" w14:textId="77777777" w:rsidR="00C7122E" w:rsidRPr="00A119E8" w:rsidRDefault="00C7122E" w:rsidP="00471BF1"/>
    <w:p w14:paraId="67FD7B32" w14:textId="77777777" w:rsidR="00C7122E" w:rsidRDefault="00C7122E" w:rsidP="00471BF1">
      <w:pPr>
        <w:pStyle w:val="Figure"/>
      </w:pPr>
      <w:bookmarkStart w:id="111" w:name="_Toc428368059"/>
      <w:bookmarkStart w:id="112" w:name="_Toc428370437"/>
      <w:bookmarkStart w:id="113" w:name="_Toc445801443"/>
      <w:bookmarkStart w:id="114" w:name="_Toc447527141"/>
      <w:bookmarkStart w:id="115" w:name="_Toc458409423"/>
      <w:bookmarkStart w:id="116" w:name="_Toc531260454"/>
      <w:r w:rsidRPr="00A119E8">
        <w:t xml:space="preserve">Figure </w:t>
      </w:r>
      <w:r>
        <w:t>10</w:t>
      </w:r>
      <w:r w:rsidRPr="00A119E8">
        <w:t xml:space="preserve">: </w:t>
      </w:r>
      <w:r>
        <w:t>Percentage of the population using</w:t>
      </w:r>
      <w:r w:rsidRPr="00A119E8">
        <w:t xml:space="preserve"> DHB alcohol an</w:t>
      </w:r>
      <w:r>
        <w:t>d drug services, Pacific</w:t>
      </w:r>
      <w:r w:rsidRPr="00A119E8">
        <w:t xml:space="preserve"> </w:t>
      </w:r>
      <w:r>
        <w:t>peoples and total New Zealand population, 20</w:t>
      </w:r>
      <w:r w:rsidRPr="00A119E8">
        <w:t>12</w:t>
      </w:r>
      <w:r>
        <w:t>/13</w:t>
      </w:r>
      <w:r w:rsidRPr="00A119E8">
        <w:t>–20</w:t>
      </w:r>
      <w:bookmarkEnd w:id="111"/>
      <w:bookmarkEnd w:id="112"/>
      <w:bookmarkEnd w:id="113"/>
      <w:bookmarkEnd w:id="114"/>
      <w:bookmarkEnd w:id="115"/>
      <w:r>
        <w:t>16</w:t>
      </w:r>
      <w:bookmarkEnd w:id="116"/>
    </w:p>
    <w:p w14:paraId="026C1B17" w14:textId="77777777" w:rsidR="00C7122E" w:rsidRPr="005C352C" w:rsidRDefault="00C7122E" w:rsidP="00C7122E">
      <w:r>
        <w:rPr>
          <w:noProof/>
          <w:lang w:eastAsia="ja-JP"/>
        </w:rPr>
        <w:drawing>
          <wp:inline distT="0" distB="0" distL="0" distR="0" wp14:anchorId="223204D6" wp14:editId="73F05C6E">
            <wp:extent cx="4680065" cy="2676698"/>
            <wp:effectExtent l="0" t="0" r="25400" b="9525"/>
            <wp:docPr id="75" name="Chart 75" title="Figure 10: Percentage of the population using DHB alcohol and drug services, Pacific peoples and total New Zealand population, 2012/13–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857E061" w14:textId="77777777" w:rsidR="00C7122E" w:rsidRPr="00375D06" w:rsidRDefault="00C7122E" w:rsidP="00471BF1">
      <w:pPr>
        <w:pStyle w:val="Source"/>
      </w:pPr>
      <w:r w:rsidRPr="00375D06">
        <w:t>Source: PRIMHD and Statistics New Zealand</w:t>
      </w:r>
    </w:p>
    <w:p w14:paraId="2E47A45C" w14:textId="77777777" w:rsidR="00C7122E" w:rsidRPr="000467BB" w:rsidRDefault="00C7122E" w:rsidP="00471BF1">
      <w:pPr>
        <w:pStyle w:val="Note"/>
      </w:pPr>
      <w:r>
        <w:t>*</w:t>
      </w:r>
      <w:r w:rsidR="00471BF1">
        <w:tab/>
      </w:r>
      <w:r>
        <w:t>These years are calendar years; all others are financial years.</w:t>
      </w:r>
    </w:p>
    <w:p w14:paraId="0D7933F5" w14:textId="77777777" w:rsidR="00C7122E" w:rsidRPr="00A119E8" w:rsidRDefault="00C7122E" w:rsidP="00471BF1"/>
    <w:p w14:paraId="7DCB00B9" w14:textId="77777777" w:rsidR="00C7122E" w:rsidRDefault="00C7122E" w:rsidP="00471BF1">
      <w:pPr>
        <w:pStyle w:val="Figure"/>
      </w:pPr>
      <w:bookmarkStart w:id="117" w:name="_Toc428368060"/>
      <w:bookmarkStart w:id="118" w:name="_Toc428370438"/>
      <w:bookmarkStart w:id="119" w:name="_Toc445801444"/>
      <w:bookmarkStart w:id="120" w:name="_Toc447527142"/>
      <w:bookmarkStart w:id="121" w:name="_Toc458409424"/>
      <w:bookmarkStart w:id="122" w:name="_Toc531260455"/>
      <w:r w:rsidRPr="00A119E8">
        <w:lastRenderedPageBreak/>
        <w:t xml:space="preserve">Figure </w:t>
      </w:r>
      <w:r>
        <w:t>11A</w:t>
      </w:r>
      <w:r w:rsidRPr="00A119E8">
        <w:t xml:space="preserve">: </w:t>
      </w:r>
      <w:r>
        <w:t>Percentage of the population using</w:t>
      </w:r>
      <w:r w:rsidRPr="00A119E8">
        <w:t xml:space="preserve"> DHB alcohol and drug services, Pacific peoples, </w:t>
      </w:r>
      <w:r>
        <w:t>Auckland region DHBs, 2012/13</w:t>
      </w:r>
      <w:r w:rsidRPr="00A119E8">
        <w:t>–</w:t>
      </w:r>
      <w:bookmarkEnd w:id="117"/>
      <w:bookmarkEnd w:id="118"/>
      <w:bookmarkEnd w:id="119"/>
      <w:bookmarkEnd w:id="120"/>
      <w:bookmarkEnd w:id="121"/>
      <w:r>
        <w:t>2016</w:t>
      </w:r>
      <w:bookmarkEnd w:id="122"/>
    </w:p>
    <w:p w14:paraId="6FE7C309" w14:textId="77777777" w:rsidR="00C7122E" w:rsidRDefault="00C7122E" w:rsidP="00C7122E">
      <w:r w:rsidRPr="00FD5E5E">
        <w:rPr>
          <w:noProof/>
          <w:color w:val="000000"/>
          <w:lang w:eastAsia="ja-JP"/>
        </w:rPr>
        <w:drawing>
          <wp:inline distT="0" distB="0" distL="0" distR="0" wp14:anchorId="6716EE3B" wp14:editId="75BE3A74">
            <wp:extent cx="4680066" cy="2610197"/>
            <wp:effectExtent l="0" t="0" r="6350" b="0"/>
            <wp:docPr id="76" name="Chart 76" title="Figure 11A: Percentage of the population using DHB alcohol and drug services, Pacific peoples, Auckland region DHBs, 2012/13–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932223D" w14:textId="77777777" w:rsidR="00C7122E" w:rsidRPr="00375D06" w:rsidRDefault="00C7122E" w:rsidP="00471BF1">
      <w:pPr>
        <w:pStyle w:val="Source"/>
      </w:pPr>
      <w:r w:rsidRPr="00375D06">
        <w:t>Source: PRIMHD and Statistics New Zealand</w:t>
      </w:r>
    </w:p>
    <w:p w14:paraId="03583C48" w14:textId="77777777" w:rsidR="00C7122E" w:rsidRDefault="00C7122E" w:rsidP="00471BF1">
      <w:pPr>
        <w:pStyle w:val="Note"/>
      </w:pPr>
      <w:r>
        <w:t>*</w:t>
      </w:r>
      <w:r w:rsidR="00471BF1">
        <w:tab/>
      </w:r>
      <w:r>
        <w:t>These years are calendar years; all others are financial years.</w:t>
      </w:r>
    </w:p>
    <w:p w14:paraId="6B0D3985" w14:textId="77777777" w:rsidR="00C7122E" w:rsidRDefault="00C7122E" w:rsidP="00471BF1"/>
    <w:p w14:paraId="75649953" w14:textId="77777777" w:rsidR="00C7122E" w:rsidRDefault="00C7122E" w:rsidP="00471BF1">
      <w:pPr>
        <w:pStyle w:val="Figure"/>
      </w:pPr>
      <w:bookmarkStart w:id="123" w:name="_Toc531260456"/>
      <w:r w:rsidRPr="00A119E8">
        <w:t xml:space="preserve">Figure </w:t>
      </w:r>
      <w:r>
        <w:t>11B</w:t>
      </w:r>
      <w:r w:rsidRPr="00A119E8">
        <w:t xml:space="preserve">: </w:t>
      </w:r>
      <w:r>
        <w:t>Percentage of the population using</w:t>
      </w:r>
      <w:r w:rsidRPr="00A119E8">
        <w:t xml:space="preserve"> DHB alcohol and drug services, Pacific peoples, </w:t>
      </w:r>
      <w:r>
        <w:t>priority DHBs outside the Auckland region, 2012/13</w:t>
      </w:r>
      <w:r w:rsidRPr="00A119E8">
        <w:t>–</w:t>
      </w:r>
      <w:r>
        <w:t>2016</w:t>
      </w:r>
      <w:bookmarkEnd w:id="123"/>
    </w:p>
    <w:p w14:paraId="2F5B08A7" w14:textId="77777777" w:rsidR="00C7122E" w:rsidRDefault="00C7122E" w:rsidP="00C7122E">
      <w:r>
        <w:rPr>
          <w:noProof/>
          <w:lang w:eastAsia="ja-JP"/>
        </w:rPr>
        <w:drawing>
          <wp:inline distT="0" distB="0" distL="0" distR="0" wp14:anchorId="1DD558FF" wp14:editId="1CC3F4FF">
            <wp:extent cx="4680066" cy="2626822"/>
            <wp:effectExtent l="0" t="0" r="6350" b="2540"/>
            <wp:docPr id="77" name="Chart 77" title="Figure 11B: Percentage of the population using DHB alcohol and drug services, Pacific peoples, priority DHBs outside the Auckland region, 2012/13–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267C01D" w14:textId="77777777" w:rsidR="00C7122E" w:rsidRPr="00375D06" w:rsidRDefault="00C7122E" w:rsidP="00471BF1">
      <w:pPr>
        <w:pStyle w:val="Source"/>
      </w:pPr>
      <w:r w:rsidRPr="00375D06">
        <w:t>Source: PRIMHD and Statistics New Zealand</w:t>
      </w:r>
    </w:p>
    <w:p w14:paraId="71420361" w14:textId="77777777" w:rsidR="00C7122E" w:rsidRPr="00A65D50" w:rsidRDefault="00C7122E" w:rsidP="00471BF1">
      <w:pPr>
        <w:pStyle w:val="Note"/>
      </w:pPr>
      <w:r>
        <w:t>*</w:t>
      </w:r>
      <w:r w:rsidR="00471BF1">
        <w:tab/>
      </w:r>
      <w:r>
        <w:t>These years are calendar years; all others are financial years.</w:t>
      </w:r>
    </w:p>
    <w:p w14:paraId="0C88A131" w14:textId="77777777" w:rsidR="00C7122E" w:rsidRDefault="00C7122E" w:rsidP="00471BF1"/>
    <w:p w14:paraId="709C9F80" w14:textId="77777777" w:rsidR="00471BF1" w:rsidRDefault="00471BF1" w:rsidP="00FD5E5E">
      <w:pPr>
        <w:pStyle w:val="Note"/>
        <w:keepNext/>
        <w:ind w:left="0" w:right="0" w:firstLine="0"/>
      </w:pPr>
      <w:r>
        <w:lastRenderedPageBreak/>
        <w:t>Notes</w:t>
      </w:r>
    </w:p>
    <w:p w14:paraId="439FF560" w14:textId="77777777" w:rsidR="00471BF1" w:rsidRPr="00471BF1" w:rsidRDefault="00471BF1" w:rsidP="00FD5E5E">
      <w:pPr>
        <w:pStyle w:val="Note"/>
        <w:keepNext/>
        <w:ind w:left="0" w:right="0" w:firstLine="0"/>
        <w:rPr>
          <w:b/>
        </w:rPr>
      </w:pPr>
      <w:r w:rsidRPr="00471BF1">
        <w:rPr>
          <w:b/>
        </w:rPr>
        <w:t>Figures 10, 11A and 11B:</w:t>
      </w:r>
    </w:p>
    <w:p w14:paraId="6A9531B9" w14:textId="77777777" w:rsidR="00471BF1" w:rsidRDefault="00471BF1" w:rsidP="00FD5E5E">
      <w:pPr>
        <w:pStyle w:val="Note"/>
        <w:keepNext/>
        <w:ind w:left="0" w:right="0" w:firstLine="0"/>
      </w:pPr>
      <w:r w:rsidRPr="00546CFB">
        <w:t>Timeframes: the data reflect</w:t>
      </w:r>
      <w:r>
        <w:t>s</w:t>
      </w:r>
      <w:r w:rsidRPr="00546CFB">
        <w:t xml:space="preserve"> a </w:t>
      </w:r>
      <w:r>
        <w:t>12-month period. In 2015, we moved to reporting in a calendar year instead of a financial year. The calendar year (2015, 2016) is 1 January–30 December. The financial year (2014/15, 2013/14 etc) is 1 July–30 June.</w:t>
      </w:r>
    </w:p>
    <w:p w14:paraId="78A17BD7" w14:textId="6A71DB71" w:rsidR="00471BF1" w:rsidRDefault="00471BF1" w:rsidP="00FD5E5E">
      <w:pPr>
        <w:pStyle w:val="Note"/>
        <w:keepNext/>
        <w:ind w:left="0" w:right="0" w:firstLine="0"/>
      </w:pPr>
      <w:r>
        <w:t xml:space="preserve">Numerator: the number (count) of unique clients (one person) seen at least once by alcohol and drug addiction services within the reporting period. Source: </w:t>
      </w:r>
      <w:r w:rsidRPr="00375D06">
        <w:t>PRIMHD</w:t>
      </w:r>
      <w:r>
        <w:t xml:space="preserve"> reporting</w:t>
      </w:r>
      <w:r w:rsidR="006473F7">
        <w:t>.</w:t>
      </w:r>
    </w:p>
    <w:p w14:paraId="6618EE0D" w14:textId="2CFC7410" w:rsidR="00471BF1" w:rsidRDefault="00471BF1" w:rsidP="00FD5E5E">
      <w:pPr>
        <w:pStyle w:val="Note"/>
        <w:keepNext/>
        <w:ind w:left="0" w:right="0" w:firstLine="0"/>
      </w:pPr>
      <w:r>
        <w:t xml:space="preserve">Denominator: the </w:t>
      </w:r>
      <w:r w:rsidRPr="00C86921">
        <w:t>number</w:t>
      </w:r>
      <w:r>
        <w:t xml:space="preserve"> of people in the total population (Pacific population or total population). Calendar year reports use December population figures; financial year reports use June population figures. Source: Statistics New Zealand population projections, based on the 2013 Census</w:t>
      </w:r>
      <w:r w:rsidR="006473F7">
        <w:t>.</w:t>
      </w:r>
    </w:p>
    <w:p w14:paraId="657147CE" w14:textId="77777777" w:rsidR="00471BF1" w:rsidRDefault="00471BF1" w:rsidP="00FD5E5E">
      <w:pPr>
        <w:pStyle w:val="Note"/>
        <w:keepNext/>
        <w:ind w:left="0" w:right="0" w:firstLine="0"/>
      </w:pPr>
      <w:r>
        <w:t>Both numerator and denominator include all age groups.</w:t>
      </w:r>
    </w:p>
    <w:p w14:paraId="45DC96EE" w14:textId="77777777" w:rsidR="00471BF1" w:rsidRDefault="00471BF1" w:rsidP="00471BF1">
      <w:pPr>
        <w:pStyle w:val="Note"/>
        <w:ind w:left="0" w:right="0" w:firstLine="0"/>
      </w:pPr>
      <w:r>
        <w:t xml:space="preserve">Sources: </w:t>
      </w:r>
      <w:r w:rsidRPr="00B85B7C">
        <w:t xml:space="preserve">PRIMHD is the national system for collecting information </w:t>
      </w:r>
      <w:r>
        <w:t>about New Zealanders</w:t>
      </w:r>
      <w:r w:rsidRPr="00B85B7C">
        <w:t xml:space="preserve"> using mental health and addiction services.</w:t>
      </w:r>
    </w:p>
    <w:p w14:paraId="3A971449" w14:textId="77777777" w:rsidR="00471BF1" w:rsidRDefault="00471BF1" w:rsidP="00471BF1">
      <w:pPr>
        <w:pStyle w:val="Note"/>
        <w:ind w:left="0" w:right="0" w:firstLine="0"/>
      </w:pPr>
      <w:r>
        <w:t>Our data reflects only DHB-provided services.</w:t>
      </w:r>
    </w:p>
    <w:p w14:paraId="50F1F69B" w14:textId="77777777" w:rsidR="00C7122E" w:rsidRDefault="00C7122E" w:rsidP="00471BF1"/>
    <w:p w14:paraId="6D8E7A16" w14:textId="77777777" w:rsidR="00C7122E" w:rsidRDefault="00C7122E" w:rsidP="00471BF1">
      <w:pPr>
        <w:pStyle w:val="Table"/>
      </w:pPr>
      <w:bookmarkStart w:id="124" w:name="_Toc531260403"/>
      <w:r>
        <w:t>Table 7</w:t>
      </w:r>
      <w:r w:rsidRPr="00A119E8">
        <w:t xml:space="preserve">: </w:t>
      </w:r>
      <w:r>
        <w:t xml:space="preserve">Count and percentage of people using DHB alcohol and drug services, Pacific peoples by priority </w:t>
      </w:r>
      <w:r w:rsidRPr="00A119E8">
        <w:t>DHBs</w:t>
      </w:r>
      <w:r>
        <w:t>, 1 January–30 December 2016</w:t>
      </w:r>
      <w:bookmarkEnd w:id="124"/>
    </w:p>
    <w:tbl>
      <w:tblPr>
        <w:tblW w:w="0" w:type="auto"/>
        <w:tblInd w:w="57" w:type="dxa"/>
        <w:tblLayout w:type="fixed"/>
        <w:tblCellMar>
          <w:left w:w="57" w:type="dxa"/>
          <w:right w:w="57" w:type="dxa"/>
        </w:tblCellMar>
        <w:tblLook w:val="04A0" w:firstRow="1" w:lastRow="0" w:firstColumn="1" w:lastColumn="0" w:noHBand="0" w:noVBand="1"/>
      </w:tblPr>
      <w:tblGrid>
        <w:gridCol w:w="1439"/>
        <w:gridCol w:w="2100"/>
        <w:gridCol w:w="1939"/>
        <w:gridCol w:w="1939"/>
        <w:gridCol w:w="1939"/>
      </w:tblGrid>
      <w:tr w:rsidR="00C7122E" w:rsidRPr="00471BF1" w14:paraId="27D37E34" w14:textId="77777777" w:rsidTr="00471BF1">
        <w:trPr>
          <w:cantSplit/>
        </w:trPr>
        <w:tc>
          <w:tcPr>
            <w:tcW w:w="1439" w:type="dxa"/>
            <w:tcBorders>
              <w:top w:val="single" w:sz="4" w:space="0" w:color="auto"/>
              <w:bottom w:val="single" w:sz="4" w:space="0" w:color="auto"/>
            </w:tcBorders>
            <w:shd w:val="clear" w:color="auto" w:fill="auto"/>
            <w:hideMark/>
          </w:tcPr>
          <w:p w14:paraId="0DEE9FC5" w14:textId="77777777" w:rsidR="00C7122E" w:rsidRPr="00471BF1" w:rsidRDefault="00C7122E" w:rsidP="00471BF1">
            <w:pPr>
              <w:pStyle w:val="TableText"/>
              <w:rPr>
                <w:b/>
              </w:rPr>
            </w:pPr>
          </w:p>
        </w:tc>
        <w:tc>
          <w:tcPr>
            <w:tcW w:w="2100" w:type="dxa"/>
            <w:tcBorders>
              <w:top w:val="single" w:sz="4" w:space="0" w:color="auto"/>
              <w:bottom w:val="single" w:sz="4" w:space="0" w:color="auto"/>
            </w:tcBorders>
            <w:shd w:val="clear" w:color="auto" w:fill="auto"/>
            <w:hideMark/>
          </w:tcPr>
          <w:p w14:paraId="1674131F" w14:textId="77777777" w:rsidR="00C7122E" w:rsidRPr="00471BF1" w:rsidRDefault="00C7122E" w:rsidP="00471BF1">
            <w:pPr>
              <w:pStyle w:val="TableText"/>
              <w:rPr>
                <w:rFonts w:cs="Arial"/>
                <w:b/>
                <w:color w:val="000000"/>
                <w:lang w:eastAsia="en-NZ"/>
              </w:rPr>
            </w:pPr>
            <w:r w:rsidRPr="00471BF1">
              <w:rPr>
                <w:rFonts w:cs="Arial"/>
                <w:b/>
                <w:color w:val="000000"/>
              </w:rPr>
              <w:t>Region</w:t>
            </w:r>
          </w:p>
        </w:tc>
        <w:tc>
          <w:tcPr>
            <w:tcW w:w="1939" w:type="dxa"/>
            <w:tcBorders>
              <w:top w:val="single" w:sz="4" w:space="0" w:color="auto"/>
              <w:bottom w:val="single" w:sz="4" w:space="0" w:color="auto"/>
            </w:tcBorders>
          </w:tcPr>
          <w:p w14:paraId="7E0E5BD5" w14:textId="77777777" w:rsidR="00C7122E" w:rsidRPr="00471BF1" w:rsidRDefault="00C7122E" w:rsidP="00471BF1">
            <w:pPr>
              <w:pStyle w:val="TableText"/>
              <w:jc w:val="center"/>
              <w:rPr>
                <w:b/>
              </w:rPr>
            </w:pPr>
            <w:r w:rsidRPr="00471BF1">
              <w:rPr>
                <w:b/>
              </w:rPr>
              <w:t>Number of people accessing services (count)</w:t>
            </w:r>
          </w:p>
        </w:tc>
        <w:tc>
          <w:tcPr>
            <w:tcW w:w="1939" w:type="dxa"/>
            <w:tcBorders>
              <w:top w:val="single" w:sz="4" w:space="0" w:color="auto"/>
              <w:bottom w:val="single" w:sz="4" w:space="0" w:color="auto"/>
            </w:tcBorders>
          </w:tcPr>
          <w:p w14:paraId="07E5F6D7" w14:textId="77777777" w:rsidR="00C7122E" w:rsidRPr="00471BF1" w:rsidRDefault="00C7122E" w:rsidP="00471BF1">
            <w:pPr>
              <w:pStyle w:val="TableText"/>
              <w:jc w:val="center"/>
              <w:rPr>
                <w:b/>
              </w:rPr>
            </w:pPr>
            <w:r w:rsidRPr="00471BF1">
              <w:rPr>
                <w:b/>
              </w:rPr>
              <w:t>Total population (count)</w:t>
            </w:r>
          </w:p>
        </w:tc>
        <w:tc>
          <w:tcPr>
            <w:tcW w:w="1939" w:type="dxa"/>
            <w:tcBorders>
              <w:top w:val="single" w:sz="4" w:space="0" w:color="auto"/>
              <w:bottom w:val="single" w:sz="4" w:space="0" w:color="auto"/>
            </w:tcBorders>
            <w:shd w:val="clear" w:color="auto" w:fill="auto"/>
            <w:hideMark/>
          </w:tcPr>
          <w:p w14:paraId="1C3B3E58" w14:textId="77777777" w:rsidR="00C7122E" w:rsidRPr="00471BF1" w:rsidRDefault="00C7122E" w:rsidP="00471BF1">
            <w:pPr>
              <w:pStyle w:val="TableText"/>
              <w:jc w:val="center"/>
              <w:rPr>
                <w:b/>
              </w:rPr>
            </w:pPr>
            <w:r w:rsidRPr="00471BF1">
              <w:rPr>
                <w:b/>
              </w:rPr>
              <w:t>Percentage of people accessing services</w:t>
            </w:r>
          </w:p>
        </w:tc>
      </w:tr>
      <w:tr w:rsidR="00C7122E" w:rsidRPr="000C05FB" w14:paraId="296B7FA5" w14:textId="77777777" w:rsidTr="00471BF1">
        <w:trPr>
          <w:cantSplit/>
        </w:trPr>
        <w:tc>
          <w:tcPr>
            <w:tcW w:w="1439" w:type="dxa"/>
            <w:vMerge w:val="restart"/>
            <w:tcBorders>
              <w:top w:val="single" w:sz="4" w:space="0" w:color="auto"/>
              <w:bottom w:val="single" w:sz="4" w:space="0" w:color="auto"/>
            </w:tcBorders>
            <w:shd w:val="clear" w:color="auto" w:fill="auto"/>
            <w:hideMark/>
          </w:tcPr>
          <w:p w14:paraId="779D4842" w14:textId="77777777" w:rsidR="00C7122E" w:rsidRPr="00766910" w:rsidRDefault="00C7122E" w:rsidP="00471BF1">
            <w:pPr>
              <w:pStyle w:val="TableText"/>
              <w:ind w:right="284"/>
            </w:pPr>
            <w:r w:rsidRPr="00766910">
              <w:t>Auckland region</w:t>
            </w:r>
          </w:p>
        </w:tc>
        <w:tc>
          <w:tcPr>
            <w:tcW w:w="2100" w:type="dxa"/>
            <w:tcBorders>
              <w:top w:val="single" w:sz="4" w:space="0" w:color="auto"/>
              <w:bottom w:val="single" w:sz="4" w:space="0" w:color="9BBB59" w:themeColor="accent3"/>
            </w:tcBorders>
            <w:shd w:val="clear" w:color="auto" w:fill="auto"/>
            <w:hideMark/>
          </w:tcPr>
          <w:p w14:paraId="67EA1518" w14:textId="77777777" w:rsidR="00C7122E" w:rsidRPr="00766910" w:rsidRDefault="00C7122E" w:rsidP="00471BF1">
            <w:pPr>
              <w:pStyle w:val="TableText"/>
              <w:rPr>
                <w:rFonts w:cs="Arial"/>
                <w:color w:val="000000"/>
              </w:rPr>
            </w:pPr>
            <w:r w:rsidRPr="00766910">
              <w:rPr>
                <w:rFonts w:cs="Arial"/>
                <w:color w:val="000000"/>
              </w:rPr>
              <w:t>Counties Manukau</w:t>
            </w:r>
          </w:p>
        </w:tc>
        <w:tc>
          <w:tcPr>
            <w:tcW w:w="1939" w:type="dxa"/>
            <w:tcBorders>
              <w:top w:val="single" w:sz="4" w:space="0" w:color="auto"/>
              <w:bottom w:val="single" w:sz="4" w:space="0" w:color="9BBB59" w:themeColor="accent3"/>
            </w:tcBorders>
          </w:tcPr>
          <w:p w14:paraId="1A382325" w14:textId="77777777" w:rsidR="00C7122E" w:rsidRPr="00766910" w:rsidRDefault="00C7122E" w:rsidP="00471BF1">
            <w:pPr>
              <w:pStyle w:val="TableText"/>
              <w:tabs>
                <w:tab w:val="decimal" w:pos="1134"/>
              </w:tabs>
            </w:pPr>
            <w:r w:rsidRPr="00766910">
              <w:t>1</w:t>
            </w:r>
            <w:r>
              <w:t>,</w:t>
            </w:r>
            <w:r w:rsidRPr="00766910">
              <w:t>487</w:t>
            </w:r>
          </w:p>
        </w:tc>
        <w:tc>
          <w:tcPr>
            <w:tcW w:w="1939" w:type="dxa"/>
            <w:tcBorders>
              <w:top w:val="single" w:sz="4" w:space="0" w:color="auto"/>
              <w:bottom w:val="single" w:sz="4" w:space="0" w:color="9BBB59" w:themeColor="accent3"/>
            </w:tcBorders>
          </w:tcPr>
          <w:p w14:paraId="76A90BB8" w14:textId="77777777" w:rsidR="00C7122E" w:rsidRPr="00766910" w:rsidRDefault="00C7122E" w:rsidP="00471BF1">
            <w:pPr>
              <w:pStyle w:val="TableText"/>
              <w:tabs>
                <w:tab w:val="decimal" w:pos="1276"/>
              </w:tabs>
            </w:pPr>
            <w:r w:rsidRPr="00766910">
              <w:t>114</w:t>
            </w:r>
            <w:r>
              <w:t>,</w:t>
            </w:r>
            <w:r w:rsidRPr="00766910">
              <w:t>110</w:t>
            </w:r>
          </w:p>
        </w:tc>
        <w:tc>
          <w:tcPr>
            <w:tcW w:w="1939" w:type="dxa"/>
            <w:tcBorders>
              <w:top w:val="single" w:sz="4" w:space="0" w:color="auto"/>
              <w:bottom w:val="single" w:sz="4" w:space="0" w:color="9BBB59" w:themeColor="accent3"/>
            </w:tcBorders>
            <w:shd w:val="clear" w:color="auto" w:fill="auto"/>
            <w:noWrap/>
            <w:hideMark/>
          </w:tcPr>
          <w:p w14:paraId="4E338469" w14:textId="77777777" w:rsidR="00C7122E" w:rsidRPr="00766910" w:rsidRDefault="00C7122E" w:rsidP="00471BF1">
            <w:pPr>
              <w:pStyle w:val="TableText"/>
              <w:jc w:val="center"/>
            </w:pPr>
            <w:r w:rsidRPr="00766910">
              <w:t>1.3%</w:t>
            </w:r>
          </w:p>
        </w:tc>
      </w:tr>
      <w:tr w:rsidR="00C7122E" w:rsidRPr="000C05FB" w14:paraId="3E2F8C6A" w14:textId="77777777" w:rsidTr="00471BF1">
        <w:trPr>
          <w:cantSplit/>
        </w:trPr>
        <w:tc>
          <w:tcPr>
            <w:tcW w:w="1439" w:type="dxa"/>
            <w:vMerge/>
            <w:tcBorders>
              <w:top w:val="single" w:sz="4" w:space="0" w:color="auto"/>
              <w:bottom w:val="single" w:sz="4" w:space="0" w:color="auto"/>
            </w:tcBorders>
            <w:hideMark/>
          </w:tcPr>
          <w:p w14:paraId="1C0CAC11" w14:textId="77777777" w:rsidR="00C7122E" w:rsidRPr="00766910" w:rsidRDefault="00C7122E" w:rsidP="00471BF1">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2D31DAD3" w14:textId="77777777" w:rsidR="00C7122E" w:rsidRPr="00766910" w:rsidRDefault="00C7122E" w:rsidP="00471BF1">
            <w:pPr>
              <w:pStyle w:val="TableText"/>
              <w:rPr>
                <w:rFonts w:cs="Arial"/>
                <w:color w:val="000000"/>
              </w:rPr>
            </w:pPr>
            <w:r w:rsidRPr="00766910">
              <w:rPr>
                <w:rFonts w:cs="Arial"/>
                <w:color w:val="000000"/>
              </w:rPr>
              <w:t>Auckland</w:t>
            </w:r>
          </w:p>
        </w:tc>
        <w:tc>
          <w:tcPr>
            <w:tcW w:w="1939" w:type="dxa"/>
            <w:tcBorders>
              <w:top w:val="single" w:sz="4" w:space="0" w:color="9BBB59" w:themeColor="accent3"/>
              <w:bottom w:val="single" w:sz="4" w:space="0" w:color="9BBB59" w:themeColor="accent3"/>
            </w:tcBorders>
          </w:tcPr>
          <w:p w14:paraId="6CA4918A" w14:textId="77777777" w:rsidR="00C7122E" w:rsidRPr="00766910" w:rsidRDefault="00C7122E" w:rsidP="00471BF1">
            <w:pPr>
              <w:pStyle w:val="TableText"/>
              <w:tabs>
                <w:tab w:val="decimal" w:pos="1134"/>
              </w:tabs>
            </w:pPr>
            <w:r w:rsidRPr="00766910">
              <w:t>752</w:t>
            </w:r>
          </w:p>
        </w:tc>
        <w:tc>
          <w:tcPr>
            <w:tcW w:w="1939" w:type="dxa"/>
            <w:tcBorders>
              <w:top w:val="single" w:sz="4" w:space="0" w:color="9BBB59" w:themeColor="accent3"/>
              <w:bottom w:val="single" w:sz="4" w:space="0" w:color="9BBB59" w:themeColor="accent3"/>
            </w:tcBorders>
          </w:tcPr>
          <w:p w14:paraId="00704084" w14:textId="77777777" w:rsidR="00C7122E" w:rsidRPr="00766910" w:rsidRDefault="00C7122E" w:rsidP="00471BF1">
            <w:pPr>
              <w:pStyle w:val="TableText"/>
              <w:tabs>
                <w:tab w:val="decimal" w:pos="1276"/>
              </w:tabs>
            </w:pPr>
            <w:r w:rsidRPr="00766910">
              <w:t>54</w:t>
            </w:r>
            <w:r>
              <w:t>,</w:t>
            </w:r>
            <w:r w:rsidRPr="00766910">
              <w:t>200</w:t>
            </w:r>
          </w:p>
        </w:tc>
        <w:tc>
          <w:tcPr>
            <w:tcW w:w="1939" w:type="dxa"/>
            <w:tcBorders>
              <w:top w:val="single" w:sz="4" w:space="0" w:color="9BBB59" w:themeColor="accent3"/>
              <w:bottom w:val="single" w:sz="4" w:space="0" w:color="9BBB59" w:themeColor="accent3"/>
            </w:tcBorders>
            <w:shd w:val="clear" w:color="auto" w:fill="auto"/>
            <w:noWrap/>
            <w:hideMark/>
          </w:tcPr>
          <w:p w14:paraId="6D67B249" w14:textId="77777777" w:rsidR="00C7122E" w:rsidRPr="00766910" w:rsidRDefault="00C7122E" w:rsidP="00471BF1">
            <w:pPr>
              <w:pStyle w:val="TableText"/>
              <w:jc w:val="center"/>
            </w:pPr>
            <w:r w:rsidRPr="00766910">
              <w:t>1.4%</w:t>
            </w:r>
          </w:p>
        </w:tc>
      </w:tr>
      <w:tr w:rsidR="00C7122E" w:rsidRPr="000C05FB" w14:paraId="73555666" w14:textId="77777777" w:rsidTr="00471BF1">
        <w:trPr>
          <w:cantSplit/>
        </w:trPr>
        <w:tc>
          <w:tcPr>
            <w:tcW w:w="1439" w:type="dxa"/>
            <w:vMerge/>
            <w:tcBorders>
              <w:top w:val="single" w:sz="4" w:space="0" w:color="auto"/>
              <w:bottom w:val="single" w:sz="4" w:space="0" w:color="auto"/>
            </w:tcBorders>
            <w:hideMark/>
          </w:tcPr>
          <w:p w14:paraId="412A811F" w14:textId="77777777" w:rsidR="00C7122E" w:rsidRPr="00766910" w:rsidRDefault="00C7122E" w:rsidP="00471BF1">
            <w:pPr>
              <w:pStyle w:val="TableText"/>
            </w:pPr>
          </w:p>
        </w:tc>
        <w:tc>
          <w:tcPr>
            <w:tcW w:w="2100" w:type="dxa"/>
            <w:tcBorders>
              <w:top w:val="single" w:sz="4" w:space="0" w:color="9BBB59" w:themeColor="accent3"/>
              <w:bottom w:val="single" w:sz="4" w:space="0" w:color="auto"/>
            </w:tcBorders>
            <w:shd w:val="clear" w:color="auto" w:fill="auto"/>
            <w:hideMark/>
          </w:tcPr>
          <w:p w14:paraId="16A84819" w14:textId="77777777" w:rsidR="00C7122E" w:rsidRPr="00766910" w:rsidRDefault="00C7122E" w:rsidP="00471BF1">
            <w:pPr>
              <w:pStyle w:val="TableText"/>
              <w:rPr>
                <w:rFonts w:cs="Arial"/>
                <w:color w:val="000000"/>
              </w:rPr>
            </w:pPr>
            <w:r w:rsidRPr="00766910">
              <w:rPr>
                <w:rFonts w:cs="Arial"/>
                <w:color w:val="000000"/>
              </w:rPr>
              <w:t>Waitemata</w:t>
            </w:r>
          </w:p>
        </w:tc>
        <w:tc>
          <w:tcPr>
            <w:tcW w:w="1939" w:type="dxa"/>
            <w:tcBorders>
              <w:top w:val="single" w:sz="4" w:space="0" w:color="9BBB59" w:themeColor="accent3"/>
              <w:bottom w:val="single" w:sz="4" w:space="0" w:color="auto"/>
            </w:tcBorders>
          </w:tcPr>
          <w:p w14:paraId="50E2A5A5" w14:textId="77777777" w:rsidR="00C7122E" w:rsidRPr="00766910" w:rsidRDefault="00C7122E" w:rsidP="00471BF1">
            <w:pPr>
              <w:pStyle w:val="TableText"/>
              <w:tabs>
                <w:tab w:val="decimal" w:pos="1134"/>
              </w:tabs>
            </w:pPr>
            <w:r w:rsidRPr="00766910">
              <w:t>481</w:t>
            </w:r>
          </w:p>
        </w:tc>
        <w:tc>
          <w:tcPr>
            <w:tcW w:w="1939" w:type="dxa"/>
            <w:tcBorders>
              <w:top w:val="single" w:sz="4" w:space="0" w:color="9BBB59" w:themeColor="accent3"/>
              <w:bottom w:val="single" w:sz="4" w:space="0" w:color="auto"/>
            </w:tcBorders>
          </w:tcPr>
          <w:p w14:paraId="21F99E7C" w14:textId="77777777" w:rsidR="00C7122E" w:rsidRPr="00766910" w:rsidRDefault="00C7122E" w:rsidP="00471BF1">
            <w:pPr>
              <w:pStyle w:val="TableText"/>
              <w:tabs>
                <w:tab w:val="decimal" w:pos="1276"/>
              </w:tabs>
            </w:pPr>
            <w:r w:rsidRPr="00766910">
              <w:t>42</w:t>
            </w:r>
            <w:r>
              <w:t>,</w:t>
            </w:r>
            <w:r w:rsidRPr="00766910">
              <w:t>320</w:t>
            </w:r>
          </w:p>
        </w:tc>
        <w:tc>
          <w:tcPr>
            <w:tcW w:w="1939" w:type="dxa"/>
            <w:tcBorders>
              <w:top w:val="single" w:sz="4" w:space="0" w:color="9BBB59" w:themeColor="accent3"/>
              <w:bottom w:val="single" w:sz="4" w:space="0" w:color="auto"/>
            </w:tcBorders>
            <w:shd w:val="clear" w:color="auto" w:fill="auto"/>
            <w:noWrap/>
            <w:hideMark/>
          </w:tcPr>
          <w:p w14:paraId="0041B1F9" w14:textId="77777777" w:rsidR="00C7122E" w:rsidRPr="00766910" w:rsidRDefault="00C7122E" w:rsidP="00471BF1">
            <w:pPr>
              <w:pStyle w:val="TableText"/>
              <w:jc w:val="center"/>
            </w:pPr>
            <w:r w:rsidRPr="00766910">
              <w:t>1.1%</w:t>
            </w:r>
          </w:p>
        </w:tc>
      </w:tr>
      <w:tr w:rsidR="00C7122E" w:rsidRPr="000C05FB" w14:paraId="59424913" w14:textId="77777777" w:rsidTr="00471BF1">
        <w:trPr>
          <w:cantSplit/>
        </w:trPr>
        <w:tc>
          <w:tcPr>
            <w:tcW w:w="1439" w:type="dxa"/>
            <w:vMerge w:val="restart"/>
            <w:tcBorders>
              <w:top w:val="single" w:sz="4" w:space="0" w:color="auto"/>
              <w:bottom w:val="single" w:sz="4" w:space="0" w:color="auto"/>
            </w:tcBorders>
            <w:shd w:val="clear" w:color="auto" w:fill="auto"/>
            <w:hideMark/>
          </w:tcPr>
          <w:p w14:paraId="2BE0890F" w14:textId="77777777" w:rsidR="00C7122E" w:rsidRPr="00766910" w:rsidRDefault="00C7122E" w:rsidP="00471BF1">
            <w:pPr>
              <w:pStyle w:val="TableText"/>
            </w:pPr>
            <w:r w:rsidRPr="00766910">
              <w:t>Rest of New Zealand</w:t>
            </w:r>
          </w:p>
        </w:tc>
        <w:tc>
          <w:tcPr>
            <w:tcW w:w="2100" w:type="dxa"/>
            <w:tcBorders>
              <w:top w:val="single" w:sz="4" w:space="0" w:color="auto"/>
              <w:bottom w:val="single" w:sz="4" w:space="0" w:color="9BBB59" w:themeColor="accent3"/>
            </w:tcBorders>
            <w:shd w:val="clear" w:color="auto" w:fill="auto"/>
            <w:hideMark/>
          </w:tcPr>
          <w:p w14:paraId="5FF6CC01" w14:textId="77777777" w:rsidR="00C7122E" w:rsidRPr="00766910" w:rsidRDefault="00C7122E" w:rsidP="00471BF1">
            <w:pPr>
              <w:pStyle w:val="TableText"/>
              <w:rPr>
                <w:rFonts w:cs="Arial"/>
                <w:color w:val="000000"/>
              </w:rPr>
            </w:pPr>
            <w:r w:rsidRPr="00766910">
              <w:rPr>
                <w:rFonts w:cs="Arial"/>
                <w:color w:val="000000"/>
              </w:rPr>
              <w:t>Capital &amp; Coast</w:t>
            </w:r>
          </w:p>
        </w:tc>
        <w:tc>
          <w:tcPr>
            <w:tcW w:w="1939" w:type="dxa"/>
            <w:tcBorders>
              <w:top w:val="single" w:sz="4" w:space="0" w:color="auto"/>
              <w:bottom w:val="single" w:sz="4" w:space="0" w:color="9BBB59" w:themeColor="accent3"/>
            </w:tcBorders>
          </w:tcPr>
          <w:p w14:paraId="19FD2E1D" w14:textId="77777777" w:rsidR="00C7122E" w:rsidRPr="00766910" w:rsidRDefault="00C7122E" w:rsidP="00471BF1">
            <w:pPr>
              <w:pStyle w:val="TableText"/>
              <w:tabs>
                <w:tab w:val="decimal" w:pos="1134"/>
              </w:tabs>
            </w:pPr>
            <w:r w:rsidRPr="00766910">
              <w:t>128</w:t>
            </w:r>
          </w:p>
        </w:tc>
        <w:tc>
          <w:tcPr>
            <w:tcW w:w="1939" w:type="dxa"/>
            <w:tcBorders>
              <w:top w:val="single" w:sz="4" w:space="0" w:color="auto"/>
              <w:bottom w:val="single" w:sz="4" w:space="0" w:color="9BBB59" w:themeColor="accent3"/>
            </w:tcBorders>
          </w:tcPr>
          <w:p w14:paraId="20DEC9A8" w14:textId="77777777" w:rsidR="00C7122E" w:rsidRPr="00766910" w:rsidRDefault="00C7122E" w:rsidP="00471BF1">
            <w:pPr>
              <w:pStyle w:val="TableText"/>
              <w:tabs>
                <w:tab w:val="decimal" w:pos="1276"/>
              </w:tabs>
            </w:pPr>
            <w:r w:rsidRPr="00766910">
              <w:t>21</w:t>
            </w:r>
            <w:r>
              <w:t>,</w:t>
            </w:r>
            <w:r w:rsidRPr="00766910">
              <w:t>380</w:t>
            </w:r>
          </w:p>
        </w:tc>
        <w:tc>
          <w:tcPr>
            <w:tcW w:w="1939" w:type="dxa"/>
            <w:tcBorders>
              <w:top w:val="single" w:sz="4" w:space="0" w:color="auto"/>
              <w:bottom w:val="single" w:sz="4" w:space="0" w:color="9BBB59" w:themeColor="accent3"/>
            </w:tcBorders>
            <w:shd w:val="clear" w:color="auto" w:fill="auto"/>
            <w:noWrap/>
            <w:hideMark/>
          </w:tcPr>
          <w:p w14:paraId="1DEAF193" w14:textId="77777777" w:rsidR="00C7122E" w:rsidRPr="00766910" w:rsidRDefault="00C7122E" w:rsidP="00471BF1">
            <w:pPr>
              <w:pStyle w:val="TableText"/>
              <w:jc w:val="center"/>
            </w:pPr>
            <w:r w:rsidRPr="00766910">
              <w:t>0.6%</w:t>
            </w:r>
          </w:p>
        </w:tc>
      </w:tr>
      <w:tr w:rsidR="00C7122E" w:rsidRPr="000C05FB" w14:paraId="12E3DFB1" w14:textId="77777777" w:rsidTr="00471BF1">
        <w:trPr>
          <w:cantSplit/>
        </w:trPr>
        <w:tc>
          <w:tcPr>
            <w:tcW w:w="1439" w:type="dxa"/>
            <w:vMerge/>
            <w:tcBorders>
              <w:top w:val="single" w:sz="4" w:space="0" w:color="auto"/>
              <w:bottom w:val="single" w:sz="4" w:space="0" w:color="auto"/>
            </w:tcBorders>
            <w:hideMark/>
          </w:tcPr>
          <w:p w14:paraId="5EFA5257" w14:textId="77777777" w:rsidR="00C7122E" w:rsidRPr="00766910" w:rsidRDefault="00C7122E" w:rsidP="00471BF1">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4435B7C9" w14:textId="77777777" w:rsidR="00C7122E" w:rsidRPr="00766910" w:rsidRDefault="00C7122E" w:rsidP="00471BF1">
            <w:pPr>
              <w:pStyle w:val="TableText"/>
              <w:rPr>
                <w:rFonts w:cs="Arial"/>
                <w:color w:val="000000"/>
              </w:rPr>
            </w:pPr>
            <w:r w:rsidRPr="00766910">
              <w:rPr>
                <w:rFonts w:cs="Arial"/>
                <w:color w:val="000000"/>
              </w:rPr>
              <w:t>Canterbury</w:t>
            </w:r>
          </w:p>
        </w:tc>
        <w:tc>
          <w:tcPr>
            <w:tcW w:w="1939" w:type="dxa"/>
            <w:tcBorders>
              <w:top w:val="single" w:sz="4" w:space="0" w:color="9BBB59" w:themeColor="accent3"/>
              <w:bottom w:val="single" w:sz="4" w:space="0" w:color="9BBB59" w:themeColor="accent3"/>
            </w:tcBorders>
          </w:tcPr>
          <w:p w14:paraId="5BD86E3D" w14:textId="77777777" w:rsidR="00C7122E" w:rsidRPr="00766910" w:rsidRDefault="00C7122E" w:rsidP="00471BF1">
            <w:pPr>
              <w:pStyle w:val="TableText"/>
              <w:tabs>
                <w:tab w:val="decimal" w:pos="1134"/>
              </w:tabs>
            </w:pPr>
            <w:r w:rsidRPr="00766910">
              <w:t>139</w:t>
            </w:r>
          </w:p>
        </w:tc>
        <w:tc>
          <w:tcPr>
            <w:tcW w:w="1939" w:type="dxa"/>
            <w:tcBorders>
              <w:top w:val="single" w:sz="4" w:space="0" w:color="9BBB59" w:themeColor="accent3"/>
              <w:bottom w:val="single" w:sz="4" w:space="0" w:color="9BBB59" w:themeColor="accent3"/>
            </w:tcBorders>
          </w:tcPr>
          <w:p w14:paraId="1909FA4C" w14:textId="77777777" w:rsidR="00C7122E" w:rsidRPr="00766910" w:rsidRDefault="00C7122E" w:rsidP="00471BF1">
            <w:pPr>
              <w:pStyle w:val="TableText"/>
              <w:tabs>
                <w:tab w:val="decimal" w:pos="1276"/>
              </w:tabs>
            </w:pPr>
            <w:r w:rsidRPr="00766910">
              <w:t>13</w:t>
            </w:r>
            <w:r>
              <w:t>,</w:t>
            </w:r>
            <w:r w:rsidRPr="00766910">
              <w:t>350</w:t>
            </w:r>
          </w:p>
        </w:tc>
        <w:tc>
          <w:tcPr>
            <w:tcW w:w="1939" w:type="dxa"/>
            <w:tcBorders>
              <w:top w:val="single" w:sz="4" w:space="0" w:color="9BBB59" w:themeColor="accent3"/>
              <w:bottom w:val="single" w:sz="4" w:space="0" w:color="9BBB59" w:themeColor="accent3"/>
            </w:tcBorders>
            <w:shd w:val="clear" w:color="auto" w:fill="auto"/>
            <w:noWrap/>
            <w:hideMark/>
          </w:tcPr>
          <w:p w14:paraId="2ED3EACF" w14:textId="77777777" w:rsidR="00C7122E" w:rsidRPr="00766910" w:rsidRDefault="00C7122E" w:rsidP="00471BF1">
            <w:pPr>
              <w:pStyle w:val="TableText"/>
              <w:jc w:val="center"/>
            </w:pPr>
            <w:r w:rsidRPr="00766910">
              <w:t>1.0%</w:t>
            </w:r>
          </w:p>
        </w:tc>
      </w:tr>
      <w:tr w:rsidR="00C7122E" w:rsidRPr="000C05FB" w14:paraId="65AB7F50" w14:textId="77777777" w:rsidTr="00471BF1">
        <w:trPr>
          <w:cantSplit/>
        </w:trPr>
        <w:tc>
          <w:tcPr>
            <w:tcW w:w="1439" w:type="dxa"/>
            <w:vMerge/>
            <w:tcBorders>
              <w:top w:val="single" w:sz="4" w:space="0" w:color="auto"/>
              <w:bottom w:val="single" w:sz="4" w:space="0" w:color="auto"/>
            </w:tcBorders>
            <w:hideMark/>
          </w:tcPr>
          <w:p w14:paraId="4B0950A2" w14:textId="77777777" w:rsidR="00C7122E" w:rsidRPr="00766910" w:rsidRDefault="00C7122E" w:rsidP="00471BF1">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3F672DB2" w14:textId="77777777" w:rsidR="00C7122E" w:rsidRPr="00766910" w:rsidRDefault="00C7122E" w:rsidP="00471BF1">
            <w:pPr>
              <w:pStyle w:val="TableText"/>
              <w:rPr>
                <w:rFonts w:cs="Arial"/>
                <w:color w:val="000000"/>
              </w:rPr>
            </w:pPr>
            <w:r w:rsidRPr="00766910">
              <w:rPr>
                <w:rFonts w:cs="Arial"/>
                <w:color w:val="000000"/>
              </w:rPr>
              <w:t>Hutt Valley</w:t>
            </w:r>
          </w:p>
        </w:tc>
        <w:tc>
          <w:tcPr>
            <w:tcW w:w="1939" w:type="dxa"/>
            <w:tcBorders>
              <w:top w:val="single" w:sz="4" w:space="0" w:color="9BBB59" w:themeColor="accent3"/>
              <w:bottom w:val="single" w:sz="4" w:space="0" w:color="9BBB59" w:themeColor="accent3"/>
            </w:tcBorders>
          </w:tcPr>
          <w:p w14:paraId="7450CD25" w14:textId="77777777" w:rsidR="00C7122E" w:rsidRPr="00766910" w:rsidRDefault="00C7122E" w:rsidP="00471BF1">
            <w:pPr>
              <w:pStyle w:val="TableText"/>
              <w:tabs>
                <w:tab w:val="decimal" w:pos="1134"/>
              </w:tabs>
            </w:pPr>
            <w:r w:rsidRPr="00766910">
              <w:t>53</w:t>
            </w:r>
          </w:p>
        </w:tc>
        <w:tc>
          <w:tcPr>
            <w:tcW w:w="1939" w:type="dxa"/>
            <w:tcBorders>
              <w:top w:val="single" w:sz="4" w:space="0" w:color="9BBB59" w:themeColor="accent3"/>
              <w:bottom w:val="single" w:sz="4" w:space="0" w:color="9BBB59" w:themeColor="accent3"/>
            </w:tcBorders>
          </w:tcPr>
          <w:p w14:paraId="5ADAE938" w14:textId="77777777" w:rsidR="00C7122E" w:rsidRPr="00766910" w:rsidRDefault="00C7122E" w:rsidP="00471BF1">
            <w:pPr>
              <w:pStyle w:val="TableText"/>
              <w:tabs>
                <w:tab w:val="decimal" w:pos="1276"/>
              </w:tabs>
            </w:pPr>
            <w:r w:rsidRPr="00766910">
              <w:t>11</w:t>
            </w:r>
            <w:r>
              <w:t>,</w:t>
            </w:r>
            <w:r w:rsidRPr="00766910">
              <w:t>390</w:t>
            </w:r>
          </w:p>
        </w:tc>
        <w:tc>
          <w:tcPr>
            <w:tcW w:w="1939" w:type="dxa"/>
            <w:tcBorders>
              <w:top w:val="single" w:sz="4" w:space="0" w:color="9BBB59" w:themeColor="accent3"/>
              <w:bottom w:val="single" w:sz="4" w:space="0" w:color="9BBB59" w:themeColor="accent3"/>
            </w:tcBorders>
            <w:shd w:val="clear" w:color="auto" w:fill="auto"/>
            <w:noWrap/>
            <w:hideMark/>
          </w:tcPr>
          <w:p w14:paraId="1B31EF06" w14:textId="77777777" w:rsidR="00C7122E" w:rsidRPr="00766910" w:rsidRDefault="00C7122E" w:rsidP="00471BF1">
            <w:pPr>
              <w:pStyle w:val="TableText"/>
              <w:jc w:val="center"/>
            </w:pPr>
            <w:r w:rsidRPr="00766910">
              <w:t>0.5%</w:t>
            </w:r>
          </w:p>
        </w:tc>
      </w:tr>
      <w:tr w:rsidR="00C7122E" w:rsidRPr="000C05FB" w14:paraId="72E8AB84" w14:textId="77777777" w:rsidTr="00471BF1">
        <w:trPr>
          <w:cantSplit/>
        </w:trPr>
        <w:tc>
          <w:tcPr>
            <w:tcW w:w="1439" w:type="dxa"/>
            <w:vMerge/>
            <w:tcBorders>
              <w:top w:val="single" w:sz="4" w:space="0" w:color="auto"/>
              <w:bottom w:val="single" w:sz="4" w:space="0" w:color="auto"/>
            </w:tcBorders>
            <w:hideMark/>
          </w:tcPr>
          <w:p w14:paraId="7F3FFA7F" w14:textId="77777777" w:rsidR="00C7122E" w:rsidRPr="00766910" w:rsidRDefault="00C7122E" w:rsidP="00471BF1">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5479E38E" w14:textId="77777777" w:rsidR="00C7122E" w:rsidRPr="00766910" w:rsidRDefault="00C7122E" w:rsidP="00471BF1">
            <w:pPr>
              <w:pStyle w:val="TableText"/>
              <w:rPr>
                <w:rFonts w:cs="Arial"/>
                <w:color w:val="000000"/>
              </w:rPr>
            </w:pPr>
            <w:r w:rsidRPr="00766910">
              <w:rPr>
                <w:rFonts w:cs="Arial"/>
                <w:color w:val="000000"/>
              </w:rPr>
              <w:t>Hawke</w:t>
            </w:r>
            <w:r>
              <w:rPr>
                <w:rFonts w:cs="Arial"/>
                <w:color w:val="000000"/>
              </w:rPr>
              <w:t>’</w:t>
            </w:r>
            <w:r w:rsidRPr="00766910">
              <w:rPr>
                <w:rFonts w:cs="Arial"/>
                <w:color w:val="000000"/>
              </w:rPr>
              <w:t>s Bay</w:t>
            </w:r>
          </w:p>
        </w:tc>
        <w:tc>
          <w:tcPr>
            <w:tcW w:w="1939" w:type="dxa"/>
            <w:tcBorders>
              <w:top w:val="single" w:sz="4" w:space="0" w:color="9BBB59" w:themeColor="accent3"/>
              <w:bottom w:val="single" w:sz="4" w:space="0" w:color="9BBB59" w:themeColor="accent3"/>
            </w:tcBorders>
          </w:tcPr>
          <w:p w14:paraId="631B9D85" w14:textId="77777777" w:rsidR="00C7122E" w:rsidRPr="00766910" w:rsidRDefault="00C7122E" w:rsidP="00471BF1">
            <w:pPr>
              <w:pStyle w:val="TableText"/>
              <w:tabs>
                <w:tab w:val="decimal" w:pos="1134"/>
              </w:tabs>
            </w:pPr>
            <w:r w:rsidRPr="00766910">
              <w:t>29</w:t>
            </w:r>
          </w:p>
        </w:tc>
        <w:tc>
          <w:tcPr>
            <w:tcW w:w="1939" w:type="dxa"/>
            <w:tcBorders>
              <w:top w:val="single" w:sz="4" w:space="0" w:color="9BBB59" w:themeColor="accent3"/>
              <w:bottom w:val="single" w:sz="4" w:space="0" w:color="9BBB59" w:themeColor="accent3"/>
            </w:tcBorders>
          </w:tcPr>
          <w:p w14:paraId="3576D67A" w14:textId="77777777" w:rsidR="00C7122E" w:rsidRPr="00766910" w:rsidRDefault="00C7122E" w:rsidP="00471BF1">
            <w:pPr>
              <w:pStyle w:val="TableText"/>
              <w:tabs>
                <w:tab w:val="decimal" w:pos="1276"/>
              </w:tabs>
            </w:pPr>
            <w:r w:rsidRPr="00766910">
              <w:t>6</w:t>
            </w:r>
            <w:r>
              <w:t>,</w:t>
            </w:r>
            <w:r w:rsidRPr="00766910">
              <w:t>130</w:t>
            </w:r>
          </w:p>
        </w:tc>
        <w:tc>
          <w:tcPr>
            <w:tcW w:w="1939" w:type="dxa"/>
            <w:tcBorders>
              <w:top w:val="single" w:sz="4" w:space="0" w:color="9BBB59" w:themeColor="accent3"/>
              <w:bottom w:val="single" w:sz="4" w:space="0" w:color="9BBB59" w:themeColor="accent3"/>
            </w:tcBorders>
            <w:shd w:val="clear" w:color="auto" w:fill="auto"/>
            <w:noWrap/>
            <w:hideMark/>
          </w:tcPr>
          <w:p w14:paraId="2B0ED406" w14:textId="77777777" w:rsidR="00C7122E" w:rsidRPr="00766910" w:rsidRDefault="00C7122E" w:rsidP="00471BF1">
            <w:pPr>
              <w:pStyle w:val="TableText"/>
              <w:jc w:val="center"/>
            </w:pPr>
            <w:r w:rsidRPr="00766910">
              <w:t>0.5%</w:t>
            </w:r>
          </w:p>
        </w:tc>
      </w:tr>
      <w:tr w:rsidR="00C7122E" w:rsidRPr="000C05FB" w14:paraId="258AA199" w14:textId="77777777" w:rsidTr="00471BF1">
        <w:trPr>
          <w:cantSplit/>
        </w:trPr>
        <w:tc>
          <w:tcPr>
            <w:tcW w:w="1439" w:type="dxa"/>
            <w:vMerge/>
            <w:tcBorders>
              <w:top w:val="single" w:sz="4" w:space="0" w:color="auto"/>
              <w:bottom w:val="single" w:sz="4" w:space="0" w:color="auto"/>
            </w:tcBorders>
            <w:hideMark/>
          </w:tcPr>
          <w:p w14:paraId="6308CFC7" w14:textId="77777777" w:rsidR="00C7122E" w:rsidRPr="00766910" w:rsidRDefault="00C7122E" w:rsidP="00471BF1">
            <w:pPr>
              <w:pStyle w:val="TableText"/>
            </w:pPr>
          </w:p>
        </w:tc>
        <w:tc>
          <w:tcPr>
            <w:tcW w:w="2100" w:type="dxa"/>
            <w:tcBorders>
              <w:top w:val="single" w:sz="4" w:space="0" w:color="9BBB59" w:themeColor="accent3"/>
              <w:bottom w:val="single" w:sz="4" w:space="0" w:color="auto"/>
            </w:tcBorders>
            <w:shd w:val="clear" w:color="auto" w:fill="auto"/>
            <w:hideMark/>
          </w:tcPr>
          <w:p w14:paraId="6417E3A0" w14:textId="77777777" w:rsidR="00C7122E" w:rsidRPr="00766910" w:rsidRDefault="00C7122E" w:rsidP="00471BF1">
            <w:pPr>
              <w:pStyle w:val="TableText"/>
              <w:rPr>
                <w:rFonts w:cs="Arial"/>
                <w:color w:val="000000"/>
              </w:rPr>
            </w:pPr>
            <w:r w:rsidRPr="00766910">
              <w:rPr>
                <w:rFonts w:cs="Arial"/>
                <w:color w:val="000000"/>
              </w:rPr>
              <w:t>Waikato</w:t>
            </w:r>
          </w:p>
        </w:tc>
        <w:tc>
          <w:tcPr>
            <w:tcW w:w="1939" w:type="dxa"/>
            <w:tcBorders>
              <w:top w:val="single" w:sz="4" w:space="0" w:color="9BBB59" w:themeColor="accent3"/>
              <w:bottom w:val="single" w:sz="4" w:space="0" w:color="auto"/>
            </w:tcBorders>
          </w:tcPr>
          <w:p w14:paraId="03846545" w14:textId="77777777" w:rsidR="00C7122E" w:rsidRPr="00766910" w:rsidRDefault="00C7122E" w:rsidP="00471BF1">
            <w:pPr>
              <w:pStyle w:val="TableText"/>
              <w:tabs>
                <w:tab w:val="decimal" w:pos="1134"/>
              </w:tabs>
            </w:pPr>
            <w:r w:rsidRPr="00766910">
              <w:t>123</w:t>
            </w:r>
          </w:p>
        </w:tc>
        <w:tc>
          <w:tcPr>
            <w:tcW w:w="1939" w:type="dxa"/>
            <w:tcBorders>
              <w:top w:val="single" w:sz="4" w:space="0" w:color="9BBB59" w:themeColor="accent3"/>
              <w:bottom w:val="single" w:sz="4" w:space="0" w:color="auto"/>
            </w:tcBorders>
          </w:tcPr>
          <w:p w14:paraId="092DAA03" w14:textId="77777777" w:rsidR="00C7122E" w:rsidRPr="00766910" w:rsidRDefault="00C7122E" w:rsidP="00471BF1">
            <w:pPr>
              <w:pStyle w:val="TableText"/>
              <w:tabs>
                <w:tab w:val="decimal" w:pos="1276"/>
              </w:tabs>
            </w:pPr>
            <w:r w:rsidRPr="00766910">
              <w:t>11</w:t>
            </w:r>
            <w:r>
              <w:t>,</w:t>
            </w:r>
            <w:r w:rsidRPr="00766910">
              <w:t>800</w:t>
            </w:r>
          </w:p>
        </w:tc>
        <w:tc>
          <w:tcPr>
            <w:tcW w:w="1939" w:type="dxa"/>
            <w:tcBorders>
              <w:top w:val="single" w:sz="4" w:space="0" w:color="9BBB59" w:themeColor="accent3"/>
              <w:bottom w:val="single" w:sz="4" w:space="0" w:color="auto"/>
            </w:tcBorders>
            <w:shd w:val="clear" w:color="auto" w:fill="auto"/>
            <w:noWrap/>
            <w:hideMark/>
          </w:tcPr>
          <w:p w14:paraId="37DFF36E" w14:textId="77777777" w:rsidR="00C7122E" w:rsidRPr="00766910" w:rsidRDefault="00C7122E" w:rsidP="00471BF1">
            <w:pPr>
              <w:pStyle w:val="TableText"/>
              <w:jc w:val="center"/>
            </w:pPr>
            <w:r w:rsidRPr="00766910">
              <w:t>1.0%</w:t>
            </w:r>
          </w:p>
        </w:tc>
      </w:tr>
      <w:tr w:rsidR="00C7122E" w:rsidRPr="000C05FB" w14:paraId="23BC64CE" w14:textId="77777777" w:rsidTr="00471BF1">
        <w:trPr>
          <w:cantSplit/>
        </w:trPr>
        <w:tc>
          <w:tcPr>
            <w:tcW w:w="3539" w:type="dxa"/>
            <w:gridSpan w:val="2"/>
            <w:tcBorders>
              <w:top w:val="single" w:sz="4" w:space="0" w:color="auto"/>
              <w:bottom w:val="single" w:sz="4" w:space="0" w:color="000000"/>
            </w:tcBorders>
          </w:tcPr>
          <w:p w14:paraId="52662DDE" w14:textId="77777777" w:rsidR="00C7122E" w:rsidRPr="00766910" w:rsidRDefault="00C7122E" w:rsidP="00471BF1">
            <w:pPr>
              <w:pStyle w:val="TableText"/>
              <w:rPr>
                <w:rFonts w:cs="Arial"/>
                <w:color w:val="000000"/>
              </w:rPr>
            </w:pPr>
            <w:r>
              <w:rPr>
                <w:rFonts w:cs="Arial"/>
                <w:color w:val="000000"/>
              </w:rPr>
              <w:t>Total New Zealand (all population)</w:t>
            </w:r>
          </w:p>
        </w:tc>
        <w:tc>
          <w:tcPr>
            <w:tcW w:w="1939" w:type="dxa"/>
            <w:tcBorders>
              <w:top w:val="single" w:sz="4" w:space="0" w:color="auto"/>
              <w:bottom w:val="single" w:sz="4" w:space="0" w:color="auto"/>
            </w:tcBorders>
          </w:tcPr>
          <w:p w14:paraId="34FA7BD6" w14:textId="77777777" w:rsidR="00C7122E" w:rsidRPr="00766910" w:rsidRDefault="00C7122E" w:rsidP="00471BF1">
            <w:pPr>
              <w:pStyle w:val="TableText"/>
              <w:tabs>
                <w:tab w:val="decimal" w:pos="1134"/>
              </w:tabs>
            </w:pPr>
            <w:r>
              <w:t>45,684</w:t>
            </w:r>
          </w:p>
        </w:tc>
        <w:tc>
          <w:tcPr>
            <w:tcW w:w="1939" w:type="dxa"/>
            <w:tcBorders>
              <w:top w:val="single" w:sz="4" w:space="0" w:color="auto"/>
              <w:bottom w:val="single" w:sz="4" w:space="0" w:color="auto"/>
            </w:tcBorders>
          </w:tcPr>
          <w:p w14:paraId="086D8096" w14:textId="77777777" w:rsidR="00C7122E" w:rsidRPr="00766910" w:rsidRDefault="00C7122E" w:rsidP="00471BF1">
            <w:pPr>
              <w:pStyle w:val="TableText"/>
              <w:tabs>
                <w:tab w:val="decimal" w:pos="1276"/>
              </w:tabs>
            </w:pPr>
            <w:r>
              <w:t>4,715,555</w:t>
            </w:r>
          </w:p>
        </w:tc>
        <w:tc>
          <w:tcPr>
            <w:tcW w:w="1939" w:type="dxa"/>
            <w:tcBorders>
              <w:top w:val="single" w:sz="4" w:space="0" w:color="auto"/>
              <w:bottom w:val="single" w:sz="4" w:space="0" w:color="auto"/>
            </w:tcBorders>
            <w:shd w:val="clear" w:color="auto" w:fill="auto"/>
            <w:noWrap/>
          </w:tcPr>
          <w:p w14:paraId="6BEAA4AD" w14:textId="77777777" w:rsidR="00C7122E" w:rsidRPr="00766910" w:rsidRDefault="00C7122E" w:rsidP="00471BF1">
            <w:pPr>
              <w:pStyle w:val="TableText"/>
              <w:jc w:val="center"/>
            </w:pPr>
            <w:r>
              <w:t>1.0%</w:t>
            </w:r>
          </w:p>
        </w:tc>
      </w:tr>
    </w:tbl>
    <w:p w14:paraId="0D73F24E" w14:textId="77777777" w:rsidR="00C7122E" w:rsidRPr="00350F11" w:rsidRDefault="00C7122E" w:rsidP="00471BF1"/>
    <w:p w14:paraId="3423480B" w14:textId="77777777" w:rsidR="00C7122E" w:rsidRPr="00CC5756" w:rsidRDefault="00C7122E" w:rsidP="00471BF1">
      <w:pPr>
        <w:pStyle w:val="Heading1"/>
      </w:pPr>
      <w:bookmarkStart w:id="125" w:name="_Toc503949860"/>
      <w:bookmarkStart w:id="126" w:name="_Toc531260423"/>
      <w:r>
        <w:lastRenderedPageBreak/>
        <w:t>Smoking cessation</w:t>
      </w:r>
      <w:bookmarkEnd w:id="125"/>
      <w:bookmarkEnd w:id="126"/>
    </w:p>
    <w:p w14:paraId="488FA031" w14:textId="77777777" w:rsidR="00C7122E" w:rsidRDefault="00C7122E" w:rsidP="00471BF1">
      <w:r w:rsidRPr="00A119E8">
        <w:t xml:space="preserve">From </w:t>
      </w:r>
      <w:r>
        <w:t xml:space="preserve">the first </w:t>
      </w:r>
      <w:r w:rsidRPr="00A119E8">
        <w:t xml:space="preserve">quarter </w:t>
      </w:r>
      <w:r>
        <w:t xml:space="preserve">of </w:t>
      </w:r>
      <w:r w:rsidRPr="00A119E8">
        <w:t xml:space="preserve">2015/2016, the </w:t>
      </w:r>
      <w:r>
        <w:t xml:space="preserve">New Zealand health target relating to offering patients help to quit smoking </w:t>
      </w:r>
      <w:r w:rsidRPr="00A119E8">
        <w:t xml:space="preserve">shifted its </w:t>
      </w:r>
      <w:r w:rsidRPr="00CF0CA0">
        <w:t>focus to the entire</w:t>
      </w:r>
      <w:r>
        <w:t xml:space="preserve"> </w:t>
      </w:r>
      <w:r w:rsidRPr="00A119E8">
        <w:t>enrolled population who smoke</w:t>
      </w:r>
      <w:r>
        <w:t>;</w:t>
      </w:r>
      <w:r w:rsidRPr="00A119E8">
        <w:t xml:space="preserve"> not only those seen in primary care. </w:t>
      </w:r>
      <w:r>
        <w:t xml:space="preserve">The target now </w:t>
      </w:r>
      <w:r w:rsidRPr="00A119E8">
        <w:t>covers advice provided over 15 months, instead of 12</w:t>
      </w:r>
      <w:r w:rsidR="00471BF1">
        <w:t> </w:t>
      </w:r>
      <w:r w:rsidRPr="00A119E8">
        <w:t>months.</w:t>
      </w:r>
    </w:p>
    <w:p w14:paraId="49015B9B" w14:textId="77777777" w:rsidR="00C7122E" w:rsidRDefault="00C7122E" w:rsidP="00471BF1"/>
    <w:p w14:paraId="5424210C" w14:textId="77777777" w:rsidR="00FB3F7B" w:rsidRDefault="00C7122E" w:rsidP="00471BF1">
      <w:r>
        <w:t>The current New Zealand health target aims for 90 percent of</w:t>
      </w:r>
      <w:r w:rsidRPr="00A119E8">
        <w:t xml:space="preserve"> PHO-enrolled</w:t>
      </w:r>
      <w:r>
        <w:t xml:space="preserve"> patients who smoke to be </w:t>
      </w:r>
      <w:r w:rsidRPr="00A119E8">
        <w:t>offered help to quit smoking by a health care practitioner in the last 15 months.</w:t>
      </w:r>
    </w:p>
    <w:p w14:paraId="0914BE1A" w14:textId="77777777" w:rsidR="00C7122E" w:rsidRDefault="00C7122E" w:rsidP="00471BF1"/>
    <w:p w14:paraId="7BCD9EC5" w14:textId="77777777" w:rsidR="00C7122E" w:rsidRDefault="00C7122E" w:rsidP="00471BF1">
      <w:r>
        <w:t>Figure 12 shows that the rate of smokers aged 15–74 offered help to quit smoking between September 2015 and March 2017 was slightly higher for Pacific peoples (87.4 percent) than the rate for the total New Zealand population (86.5 percent).</w:t>
      </w:r>
    </w:p>
    <w:p w14:paraId="1A50D5AB" w14:textId="77777777" w:rsidR="00C7122E" w:rsidRPr="00A119E8" w:rsidRDefault="00C7122E" w:rsidP="00471BF1"/>
    <w:p w14:paraId="2A21BC64" w14:textId="77777777" w:rsidR="00FB3F7B" w:rsidRDefault="00C7122E" w:rsidP="00471BF1">
      <w:r w:rsidRPr="00A119E8">
        <w:t>The Ministry continues to work closely with DHBs to ensure that providers offer advice and smoking cessation support to Pacific peoples in health care settings.</w:t>
      </w:r>
    </w:p>
    <w:p w14:paraId="6B4515CD" w14:textId="77777777" w:rsidR="00C7122E" w:rsidRDefault="00C7122E" w:rsidP="00471BF1"/>
    <w:p w14:paraId="546252A1" w14:textId="77777777" w:rsidR="00C7122E" w:rsidRDefault="00C7122E" w:rsidP="00471BF1">
      <w:r>
        <w:t>Figures 13A and 13B show DHB-level progress in relation to this indicator. These graphs indicate positive trends for the Pacific peoples population, particularly in the Auckland region, where rates consistently stayed around the 90 percent mark between March 2016 and March 2017.</w:t>
      </w:r>
    </w:p>
    <w:p w14:paraId="5B08DFC0" w14:textId="77777777" w:rsidR="00C7122E" w:rsidRDefault="00C7122E" w:rsidP="00471BF1"/>
    <w:p w14:paraId="7E7CACDA" w14:textId="77777777" w:rsidR="00471BF1" w:rsidRDefault="00471BF1" w:rsidP="00471BF1">
      <w:pPr>
        <w:pStyle w:val="Heading2"/>
      </w:pPr>
      <w:bookmarkStart w:id="127" w:name="_Toc531260424"/>
      <w:r w:rsidRPr="00827726">
        <w:rPr>
          <w:lang w:eastAsia="en-NZ"/>
        </w:rPr>
        <w:t xml:space="preserve">Increased </w:t>
      </w:r>
      <w:r>
        <w:rPr>
          <w:lang w:eastAsia="en-NZ"/>
        </w:rPr>
        <w:t>proportion</w:t>
      </w:r>
      <w:r w:rsidRPr="00827726">
        <w:rPr>
          <w:lang w:eastAsia="en-NZ"/>
        </w:rPr>
        <w:t xml:space="preserve"> of Pacific people who smoke </w:t>
      </w:r>
      <w:r>
        <w:rPr>
          <w:lang w:eastAsia="en-NZ"/>
        </w:rPr>
        <w:t xml:space="preserve">who </w:t>
      </w:r>
      <w:r w:rsidRPr="00827726">
        <w:rPr>
          <w:lang w:eastAsia="en-NZ"/>
        </w:rPr>
        <w:t>are offered brief advice and support to quit smoking in primary health care</w:t>
      </w:r>
      <w:bookmarkEnd w:id="127"/>
    </w:p>
    <w:p w14:paraId="10001AD0" w14:textId="77777777" w:rsidR="00C7122E" w:rsidRPr="00A119E8" w:rsidRDefault="00C7122E" w:rsidP="00471BF1">
      <w:r w:rsidRPr="005857B1">
        <w:rPr>
          <w:b/>
        </w:rPr>
        <w:t>Performance:</w:t>
      </w:r>
      <w:r w:rsidRPr="005857B1">
        <w:t xml:space="preserve"> The</w:t>
      </w:r>
      <w:r w:rsidRPr="00A119E8">
        <w:t xml:space="preserve"> target for this indicator </w:t>
      </w:r>
      <w:r>
        <w:t>was set at</w:t>
      </w:r>
      <w:r w:rsidRPr="00A119E8">
        <w:t xml:space="preserve"> 90 percent.</w:t>
      </w:r>
    </w:p>
    <w:p w14:paraId="6F115B87" w14:textId="77777777" w:rsidR="00C7122E" w:rsidRPr="00A119E8" w:rsidRDefault="00C7122E" w:rsidP="00471BF1"/>
    <w:p w14:paraId="07F12C34" w14:textId="77777777" w:rsidR="00C7122E" w:rsidRPr="00A119E8" w:rsidRDefault="00C7122E" w:rsidP="00471BF1">
      <w:pPr>
        <w:pStyle w:val="Figure"/>
      </w:pPr>
      <w:bookmarkStart w:id="128" w:name="_Toc428368077"/>
      <w:bookmarkStart w:id="129" w:name="_Toc428370455"/>
      <w:bookmarkStart w:id="130" w:name="_Toc445801460"/>
      <w:bookmarkStart w:id="131" w:name="_Toc447527159"/>
      <w:bookmarkStart w:id="132" w:name="_Toc458409441"/>
      <w:bookmarkStart w:id="133" w:name="_Toc531260457"/>
      <w:r w:rsidRPr="00A119E8">
        <w:lastRenderedPageBreak/>
        <w:t xml:space="preserve">Figure </w:t>
      </w:r>
      <w:r>
        <w:t>12</w:t>
      </w:r>
      <w:r w:rsidRPr="00A119E8">
        <w:t xml:space="preserve">: Percentage of </w:t>
      </w:r>
      <w:r>
        <w:t xml:space="preserve">current </w:t>
      </w:r>
      <w:r w:rsidRPr="00A119E8">
        <w:t>smokers</w:t>
      </w:r>
      <w:r>
        <w:t xml:space="preserve"> aged 15–74 years</w:t>
      </w:r>
      <w:r w:rsidRPr="00A119E8">
        <w:t xml:space="preserve"> offered brief advice and support to quit in primary health care, Pacific </w:t>
      </w:r>
      <w:r>
        <w:t>peoples and total New Zealand population</w:t>
      </w:r>
      <w:r w:rsidRPr="00A119E8">
        <w:t xml:space="preserve">, </w:t>
      </w:r>
      <w:r>
        <w:t>September 2015</w:t>
      </w:r>
      <w:r w:rsidRPr="00A119E8">
        <w:t>–</w:t>
      </w:r>
      <w:bookmarkEnd w:id="128"/>
      <w:bookmarkEnd w:id="129"/>
      <w:bookmarkEnd w:id="130"/>
      <w:bookmarkEnd w:id="131"/>
      <w:bookmarkEnd w:id="132"/>
      <w:r>
        <w:t>March 2017</w:t>
      </w:r>
      <w:bookmarkEnd w:id="133"/>
    </w:p>
    <w:p w14:paraId="4A397891" w14:textId="77777777" w:rsidR="00C7122E" w:rsidRDefault="00C7122E" w:rsidP="00C7122E">
      <w:pPr>
        <w:rPr>
          <w:noProof/>
          <w:lang w:eastAsia="en-NZ"/>
        </w:rPr>
      </w:pPr>
      <w:r>
        <w:rPr>
          <w:noProof/>
          <w:lang w:eastAsia="ja-JP"/>
        </w:rPr>
        <w:drawing>
          <wp:inline distT="0" distB="0" distL="0" distR="0" wp14:anchorId="249AA39E" wp14:editId="5B83BB17">
            <wp:extent cx="4688378" cy="2626822"/>
            <wp:effectExtent l="0" t="0" r="0" b="2540"/>
            <wp:docPr id="193" name="Chart 193" title="Figure 12: Percentage of current smokers aged 15–74 years offered brief advice and support to quit in primary health care, Pacific peoples and total New Zealand population, September 2015–March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9D33CED" w14:textId="77777777" w:rsidR="00C7122E" w:rsidRPr="00A31677" w:rsidRDefault="00C7122E" w:rsidP="00471BF1">
      <w:pPr>
        <w:pStyle w:val="Source"/>
        <w:rPr>
          <w:noProof/>
          <w:lang w:eastAsia="en-NZ"/>
        </w:rPr>
      </w:pPr>
      <w:r w:rsidRPr="00A31677">
        <w:rPr>
          <w:noProof/>
          <w:lang w:eastAsia="en-NZ"/>
        </w:rPr>
        <w:t>Source: PHO reporting</w:t>
      </w:r>
    </w:p>
    <w:p w14:paraId="57D5194D" w14:textId="77777777" w:rsidR="00C7122E" w:rsidRPr="00A31677" w:rsidRDefault="00C7122E" w:rsidP="00471BF1">
      <w:pPr>
        <w:rPr>
          <w:noProof/>
          <w:lang w:eastAsia="en-NZ"/>
        </w:rPr>
      </w:pPr>
    </w:p>
    <w:p w14:paraId="25388A92" w14:textId="77777777" w:rsidR="00C7122E" w:rsidRPr="00A119E8" w:rsidRDefault="00C7122E" w:rsidP="00471BF1">
      <w:pPr>
        <w:pStyle w:val="Figure"/>
      </w:pPr>
      <w:bookmarkStart w:id="134" w:name="_Toc428368078"/>
      <w:bookmarkStart w:id="135" w:name="_Toc428370456"/>
      <w:bookmarkStart w:id="136" w:name="_Toc445801461"/>
      <w:bookmarkStart w:id="137" w:name="_Toc447527160"/>
      <w:bookmarkStart w:id="138" w:name="_Toc458409442"/>
      <w:bookmarkStart w:id="139" w:name="_Toc531260458"/>
      <w:r w:rsidRPr="00A119E8">
        <w:t xml:space="preserve">Figure </w:t>
      </w:r>
      <w:r>
        <w:t>13A</w:t>
      </w:r>
      <w:r w:rsidRPr="00A119E8">
        <w:t xml:space="preserve">: Percentage of smokers </w:t>
      </w:r>
      <w:r>
        <w:t>aged 15–74 years</w:t>
      </w:r>
      <w:r w:rsidRPr="00A119E8">
        <w:t xml:space="preserve"> offered brief advice and support to quit in primary health care, Pacific peoples, </w:t>
      </w:r>
      <w:bookmarkEnd w:id="134"/>
      <w:bookmarkEnd w:id="135"/>
      <w:bookmarkEnd w:id="136"/>
      <w:bookmarkEnd w:id="137"/>
      <w:bookmarkEnd w:id="138"/>
      <w:r>
        <w:t>Auckland region DHBs, September 2015</w:t>
      </w:r>
      <w:r w:rsidRPr="00A119E8">
        <w:t>–</w:t>
      </w:r>
      <w:r>
        <w:t>March 2017</w:t>
      </w:r>
      <w:bookmarkEnd w:id="139"/>
    </w:p>
    <w:p w14:paraId="0528D697" w14:textId="77777777" w:rsidR="00C7122E" w:rsidRDefault="00C7122E" w:rsidP="00471BF1">
      <w:r>
        <w:rPr>
          <w:noProof/>
          <w:lang w:eastAsia="ja-JP"/>
        </w:rPr>
        <w:drawing>
          <wp:inline distT="0" distB="0" distL="0" distR="0" wp14:anchorId="67AD4143" wp14:editId="7CAD945B">
            <wp:extent cx="4696690" cy="2601883"/>
            <wp:effectExtent l="0" t="0" r="8890" b="8255"/>
            <wp:docPr id="196" name="Chart 196" title="Figure 13A: Percentage of smokers aged 15–74 years offered brief advice and support to quit in primary health care, Pacific peoples, Auckland region DHBs, September 2015–March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ABD0047" w14:textId="77777777" w:rsidR="00C7122E" w:rsidRDefault="00C7122E" w:rsidP="00471BF1">
      <w:pPr>
        <w:pStyle w:val="Source"/>
        <w:rPr>
          <w:noProof/>
          <w:lang w:eastAsia="en-NZ"/>
        </w:rPr>
      </w:pPr>
      <w:r w:rsidRPr="00A31677">
        <w:rPr>
          <w:noProof/>
          <w:lang w:eastAsia="en-NZ"/>
        </w:rPr>
        <w:t>Source: PHO reporting</w:t>
      </w:r>
    </w:p>
    <w:p w14:paraId="0FC057B9" w14:textId="77777777" w:rsidR="00471BF1" w:rsidRPr="00471BF1" w:rsidRDefault="00471BF1" w:rsidP="00471BF1">
      <w:pPr>
        <w:rPr>
          <w:lang w:eastAsia="en-NZ"/>
        </w:rPr>
      </w:pPr>
    </w:p>
    <w:p w14:paraId="60F202F6" w14:textId="77777777" w:rsidR="00C7122E" w:rsidRPr="00A119E8" w:rsidRDefault="00C7122E" w:rsidP="00471BF1">
      <w:pPr>
        <w:pStyle w:val="Figure"/>
      </w:pPr>
      <w:bookmarkStart w:id="140" w:name="_Toc531260459"/>
      <w:r w:rsidRPr="00A119E8">
        <w:lastRenderedPageBreak/>
        <w:t xml:space="preserve">Figure </w:t>
      </w:r>
      <w:r>
        <w:t>13B</w:t>
      </w:r>
      <w:r w:rsidRPr="00A119E8">
        <w:t xml:space="preserve">: Percentage of smokers </w:t>
      </w:r>
      <w:r>
        <w:t>aged 15–74 years</w:t>
      </w:r>
      <w:r w:rsidRPr="00A119E8">
        <w:t xml:space="preserve"> offered brief advice and support to quit in primary health care, Pacific peoples, </w:t>
      </w:r>
      <w:r>
        <w:t>priority DHBs outside the Auckland region, September 2015</w:t>
      </w:r>
      <w:r w:rsidRPr="00A119E8">
        <w:t>–</w:t>
      </w:r>
      <w:r>
        <w:t>March 2017</w:t>
      </w:r>
      <w:bookmarkEnd w:id="140"/>
    </w:p>
    <w:p w14:paraId="3F687E65" w14:textId="77777777" w:rsidR="00471BF1" w:rsidRDefault="00C7122E" w:rsidP="00471BF1">
      <w:pPr>
        <w:rPr>
          <w:noProof/>
          <w:lang w:eastAsia="en-NZ"/>
        </w:rPr>
      </w:pPr>
      <w:r>
        <w:rPr>
          <w:noProof/>
          <w:lang w:eastAsia="ja-JP"/>
        </w:rPr>
        <w:drawing>
          <wp:inline distT="0" distB="0" distL="0" distR="0" wp14:anchorId="2A217247" wp14:editId="6029D426">
            <wp:extent cx="4696691" cy="2801389"/>
            <wp:effectExtent l="0" t="0" r="8890" b="0"/>
            <wp:docPr id="197" name="Chart 197" title="Figure 13B: Percentage of smokers aged 15–74 years offered brief advice and support to quit in primary health care, Pacific peoples, priority DHBs outside the Auckland region, September 2015–March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6C5B92B" w14:textId="77777777" w:rsidR="00C7122E" w:rsidRDefault="00C7122E" w:rsidP="00471BF1">
      <w:pPr>
        <w:pStyle w:val="Source"/>
        <w:rPr>
          <w:noProof/>
          <w:lang w:eastAsia="en-NZ"/>
        </w:rPr>
      </w:pPr>
      <w:r w:rsidRPr="00A31677">
        <w:rPr>
          <w:noProof/>
          <w:lang w:eastAsia="en-NZ"/>
        </w:rPr>
        <w:t>Source: PHO reporting</w:t>
      </w:r>
    </w:p>
    <w:p w14:paraId="0A5D5D3F" w14:textId="77777777" w:rsidR="00C7122E" w:rsidRDefault="00C7122E" w:rsidP="00471BF1">
      <w:pPr>
        <w:rPr>
          <w:noProof/>
          <w:lang w:eastAsia="en-NZ"/>
        </w:rPr>
      </w:pPr>
    </w:p>
    <w:p w14:paraId="3ACEFD53" w14:textId="77777777" w:rsidR="00471BF1" w:rsidRDefault="00471BF1" w:rsidP="00471BF1">
      <w:pPr>
        <w:pStyle w:val="Note"/>
        <w:ind w:left="0" w:right="0" w:firstLine="0"/>
      </w:pPr>
      <w:r w:rsidRPr="00A11460">
        <w:t>Notes</w:t>
      </w:r>
    </w:p>
    <w:p w14:paraId="31D91EE9" w14:textId="77777777" w:rsidR="00471BF1" w:rsidRPr="00471BF1" w:rsidRDefault="00471BF1" w:rsidP="00471BF1">
      <w:pPr>
        <w:pStyle w:val="Note"/>
        <w:ind w:left="0" w:right="0" w:firstLine="0"/>
        <w:rPr>
          <w:b/>
        </w:rPr>
      </w:pPr>
      <w:r w:rsidRPr="00471BF1">
        <w:rPr>
          <w:b/>
        </w:rPr>
        <w:t>Figures 12, 13A and 13B:</w:t>
      </w:r>
    </w:p>
    <w:p w14:paraId="7183AE9A" w14:textId="77777777" w:rsidR="00471BF1" w:rsidRDefault="00471BF1" w:rsidP="00471BF1">
      <w:pPr>
        <w:pStyle w:val="Note"/>
        <w:ind w:left="0" w:right="0" w:firstLine="0"/>
      </w:pPr>
      <w:r>
        <w:t>Timeframes: this data reflects a 15-month period. The dates on the graph are the end month of that period. ‘March 2017’ therefore covers the period 1 January 2016–31 March 2017.</w:t>
      </w:r>
    </w:p>
    <w:p w14:paraId="63CE419B" w14:textId="6BFD66DF" w:rsidR="00471BF1" w:rsidRDefault="00471BF1" w:rsidP="00471BF1">
      <w:pPr>
        <w:pStyle w:val="Note"/>
        <w:ind w:left="0" w:right="0" w:firstLine="0"/>
      </w:pPr>
      <w:r>
        <w:t>Numerator: the number (count) of people aged 15–74 enrolled in a PHO who are current smokers (within the previous 15 months) and who were offered help to quit smoking by a primary care health practitioner in the previous 15 months. Source: PHO reporting</w:t>
      </w:r>
      <w:r w:rsidR="006473F7">
        <w:t>.</w:t>
      </w:r>
    </w:p>
    <w:p w14:paraId="7AB7B44B" w14:textId="736069C7" w:rsidR="00471BF1" w:rsidRDefault="00471BF1" w:rsidP="00471BF1">
      <w:pPr>
        <w:pStyle w:val="Note"/>
        <w:ind w:left="0" w:right="0" w:firstLine="0"/>
      </w:pPr>
      <w:r>
        <w:t>Denominator: the number (count) of people aged 15–74 enrolled in a PHO who are current smokers (within the previous 15 months). Source: PHO reporting</w:t>
      </w:r>
      <w:r w:rsidR="006473F7">
        <w:t>.</w:t>
      </w:r>
    </w:p>
    <w:p w14:paraId="748C8B0B" w14:textId="77777777" w:rsidR="00C7122E" w:rsidRDefault="00C7122E" w:rsidP="00471BF1">
      <w:pPr>
        <w:rPr>
          <w:noProof/>
          <w:lang w:eastAsia="en-NZ"/>
        </w:rPr>
      </w:pPr>
    </w:p>
    <w:p w14:paraId="4EBF111E" w14:textId="77777777" w:rsidR="00C7122E" w:rsidRPr="00A119E8" w:rsidRDefault="00C7122E" w:rsidP="00471BF1">
      <w:pPr>
        <w:pStyle w:val="Table"/>
      </w:pPr>
      <w:bookmarkStart w:id="141" w:name="_Toc531260404"/>
      <w:r>
        <w:t>Table 8</w:t>
      </w:r>
      <w:r w:rsidRPr="00A119E8">
        <w:t xml:space="preserve">: </w:t>
      </w:r>
      <w:r>
        <w:t>Number and percentage of people enrolled in a PHO aged 15–74 years</w:t>
      </w:r>
      <w:r w:rsidRPr="004C5581">
        <w:t xml:space="preserve"> </w:t>
      </w:r>
      <w:r w:rsidRPr="00A119E8">
        <w:t xml:space="preserve">offered brief advice and support to quit in primary health care, Pacific peoples, </w:t>
      </w:r>
      <w:r>
        <w:t>priority DHBs, 1</w:t>
      </w:r>
      <w:r w:rsidR="00471BF1">
        <w:t> </w:t>
      </w:r>
      <w:r>
        <w:t>January 2016</w:t>
      </w:r>
      <w:r w:rsidRPr="00A119E8">
        <w:t>–</w:t>
      </w:r>
      <w:r w:rsidR="00471BF1">
        <w:t>31 March 2017</w:t>
      </w:r>
      <w:bookmarkEnd w:id="141"/>
    </w:p>
    <w:tbl>
      <w:tblPr>
        <w:tblW w:w="0" w:type="auto"/>
        <w:tblInd w:w="57" w:type="dxa"/>
        <w:tblLayout w:type="fixed"/>
        <w:tblCellMar>
          <w:left w:w="57" w:type="dxa"/>
          <w:right w:w="57" w:type="dxa"/>
        </w:tblCellMar>
        <w:tblLook w:val="04A0" w:firstRow="1" w:lastRow="0" w:firstColumn="1" w:lastColumn="0" w:noHBand="0" w:noVBand="1"/>
      </w:tblPr>
      <w:tblGrid>
        <w:gridCol w:w="1439"/>
        <w:gridCol w:w="2100"/>
        <w:gridCol w:w="1939"/>
        <w:gridCol w:w="1939"/>
        <w:gridCol w:w="1939"/>
      </w:tblGrid>
      <w:tr w:rsidR="00C7122E" w:rsidRPr="00471BF1" w14:paraId="10E333D1" w14:textId="77777777" w:rsidTr="00471BF1">
        <w:trPr>
          <w:cantSplit/>
        </w:trPr>
        <w:tc>
          <w:tcPr>
            <w:tcW w:w="1439" w:type="dxa"/>
            <w:tcBorders>
              <w:top w:val="single" w:sz="4" w:space="0" w:color="auto"/>
              <w:bottom w:val="single" w:sz="4" w:space="0" w:color="auto"/>
            </w:tcBorders>
            <w:shd w:val="clear" w:color="auto" w:fill="auto"/>
            <w:hideMark/>
          </w:tcPr>
          <w:p w14:paraId="130089F0" w14:textId="77777777" w:rsidR="00C7122E" w:rsidRPr="00471BF1" w:rsidRDefault="00C7122E" w:rsidP="00471BF1">
            <w:pPr>
              <w:pStyle w:val="TableText"/>
              <w:rPr>
                <w:b/>
              </w:rPr>
            </w:pPr>
          </w:p>
        </w:tc>
        <w:tc>
          <w:tcPr>
            <w:tcW w:w="2100" w:type="dxa"/>
            <w:tcBorders>
              <w:top w:val="single" w:sz="4" w:space="0" w:color="auto"/>
              <w:bottom w:val="single" w:sz="4" w:space="0" w:color="auto"/>
            </w:tcBorders>
            <w:shd w:val="clear" w:color="auto" w:fill="auto"/>
            <w:hideMark/>
          </w:tcPr>
          <w:p w14:paraId="16B86E18" w14:textId="77777777" w:rsidR="00C7122E" w:rsidRPr="00471BF1" w:rsidRDefault="00C7122E" w:rsidP="00471BF1">
            <w:pPr>
              <w:pStyle w:val="TableText"/>
              <w:rPr>
                <w:b/>
                <w:lang w:eastAsia="en-NZ"/>
              </w:rPr>
            </w:pPr>
            <w:r w:rsidRPr="00471BF1">
              <w:rPr>
                <w:b/>
              </w:rPr>
              <w:t>Region</w:t>
            </w:r>
          </w:p>
        </w:tc>
        <w:tc>
          <w:tcPr>
            <w:tcW w:w="1939" w:type="dxa"/>
            <w:tcBorders>
              <w:top w:val="single" w:sz="4" w:space="0" w:color="auto"/>
              <w:bottom w:val="single" w:sz="4" w:space="0" w:color="auto"/>
            </w:tcBorders>
            <w:shd w:val="clear" w:color="auto" w:fill="auto"/>
            <w:hideMark/>
          </w:tcPr>
          <w:p w14:paraId="3C644125" w14:textId="77777777" w:rsidR="00C7122E" w:rsidRPr="00471BF1" w:rsidRDefault="00C7122E" w:rsidP="00471BF1">
            <w:pPr>
              <w:pStyle w:val="TableText"/>
              <w:jc w:val="center"/>
              <w:rPr>
                <w:b/>
                <w:bCs/>
              </w:rPr>
            </w:pPr>
            <w:r w:rsidRPr="00471BF1">
              <w:rPr>
                <w:b/>
                <w:bCs/>
              </w:rPr>
              <w:t>Number given advice to quit (count)</w:t>
            </w:r>
          </w:p>
        </w:tc>
        <w:tc>
          <w:tcPr>
            <w:tcW w:w="1939" w:type="dxa"/>
            <w:tcBorders>
              <w:top w:val="single" w:sz="4" w:space="0" w:color="auto"/>
              <w:bottom w:val="single" w:sz="4" w:space="0" w:color="auto"/>
            </w:tcBorders>
            <w:shd w:val="clear" w:color="auto" w:fill="auto"/>
            <w:hideMark/>
          </w:tcPr>
          <w:p w14:paraId="6D240BA5" w14:textId="77777777" w:rsidR="00C7122E" w:rsidRPr="00471BF1" w:rsidRDefault="00C7122E" w:rsidP="00471BF1">
            <w:pPr>
              <w:pStyle w:val="TableText"/>
              <w:jc w:val="center"/>
              <w:rPr>
                <w:b/>
                <w:bCs/>
              </w:rPr>
            </w:pPr>
            <w:r w:rsidRPr="00471BF1">
              <w:rPr>
                <w:b/>
                <w:bCs/>
              </w:rPr>
              <w:t>Total eligible population (count)</w:t>
            </w:r>
          </w:p>
        </w:tc>
        <w:tc>
          <w:tcPr>
            <w:tcW w:w="1939" w:type="dxa"/>
            <w:tcBorders>
              <w:top w:val="single" w:sz="4" w:space="0" w:color="auto"/>
              <w:bottom w:val="single" w:sz="4" w:space="0" w:color="auto"/>
            </w:tcBorders>
            <w:shd w:val="clear" w:color="auto" w:fill="auto"/>
            <w:hideMark/>
          </w:tcPr>
          <w:p w14:paraId="1ADFA5AA" w14:textId="77777777" w:rsidR="00C7122E" w:rsidRPr="00471BF1" w:rsidRDefault="00C7122E" w:rsidP="00471BF1">
            <w:pPr>
              <w:pStyle w:val="TableText"/>
              <w:jc w:val="center"/>
              <w:rPr>
                <w:b/>
                <w:bCs/>
              </w:rPr>
            </w:pPr>
            <w:r w:rsidRPr="00471BF1">
              <w:rPr>
                <w:b/>
                <w:bCs/>
              </w:rPr>
              <w:t>Percentage given advice to quit</w:t>
            </w:r>
          </w:p>
        </w:tc>
      </w:tr>
      <w:tr w:rsidR="00C7122E" w:rsidRPr="00972E45" w14:paraId="5A6238CA" w14:textId="77777777" w:rsidTr="00471BF1">
        <w:trPr>
          <w:cantSplit/>
        </w:trPr>
        <w:tc>
          <w:tcPr>
            <w:tcW w:w="1439" w:type="dxa"/>
            <w:vMerge w:val="restart"/>
            <w:tcBorders>
              <w:top w:val="single" w:sz="4" w:space="0" w:color="auto"/>
              <w:bottom w:val="single" w:sz="4" w:space="0" w:color="auto"/>
            </w:tcBorders>
            <w:shd w:val="clear" w:color="auto" w:fill="auto"/>
            <w:hideMark/>
          </w:tcPr>
          <w:p w14:paraId="77479038" w14:textId="77777777" w:rsidR="00C7122E" w:rsidRPr="00A32DA3" w:rsidRDefault="00C7122E" w:rsidP="00471BF1">
            <w:pPr>
              <w:pStyle w:val="TableText"/>
              <w:ind w:right="284"/>
            </w:pPr>
            <w:r w:rsidRPr="00A32DA3">
              <w:t>Auckland region</w:t>
            </w:r>
          </w:p>
        </w:tc>
        <w:tc>
          <w:tcPr>
            <w:tcW w:w="2100" w:type="dxa"/>
            <w:tcBorders>
              <w:top w:val="single" w:sz="4" w:space="0" w:color="auto"/>
              <w:bottom w:val="single" w:sz="4" w:space="0" w:color="9BBB59" w:themeColor="accent3"/>
            </w:tcBorders>
            <w:shd w:val="clear" w:color="auto" w:fill="auto"/>
            <w:hideMark/>
          </w:tcPr>
          <w:p w14:paraId="0F74B67F" w14:textId="77777777" w:rsidR="00C7122E" w:rsidRPr="0034273F" w:rsidRDefault="00C7122E" w:rsidP="00471BF1">
            <w:pPr>
              <w:pStyle w:val="TableText"/>
              <w:rPr>
                <w:lang w:eastAsia="en-NZ"/>
              </w:rPr>
            </w:pPr>
            <w:r w:rsidRPr="0034273F">
              <w:t>Counties Manukau</w:t>
            </w:r>
          </w:p>
        </w:tc>
        <w:tc>
          <w:tcPr>
            <w:tcW w:w="1939" w:type="dxa"/>
            <w:tcBorders>
              <w:top w:val="single" w:sz="4" w:space="0" w:color="auto"/>
              <w:bottom w:val="single" w:sz="4" w:space="0" w:color="9BBB59" w:themeColor="accent3"/>
            </w:tcBorders>
            <w:shd w:val="clear" w:color="auto" w:fill="auto"/>
            <w:hideMark/>
          </w:tcPr>
          <w:p w14:paraId="0B89ED3F" w14:textId="77777777" w:rsidR="00C7122E" w:rsidRPr="0034273F" w:rsidRDefault="00C7122E" w:rsidP="00471BF1">
            <w:pPr>
              <w:pStyle w:val="TableText"/>
              <w:tabs>
                <w:tab w:val="decimal" w:pos="1134"/>
              </w:tabs>
            </w:pPr>
            <w:r w:rsidRPr="0034273F">
              <w:t>18,016</w:t>
            </w:r>
          </w:p>
        </w:tc>
        <w:tc>
          <w:tcPr>
            <w:tcW w:w="1939" w:type="dxa"/>
            <w:tcBorders>
              <w:top w:val="single" w:sz="4" w:space="0" w:color="auto"/>
              <w:bottom w:val="single" w:sz="4" w:space="0" w:color="9BBB59" w:themeColor="accent3"/>
            </w:tcBorders>
            <w:shd w:val="clear" w:color="auto" w:fill="auto"/>
            <w:hideMark/>
          </w:tcPr>
          <w:p w14:paraId="455F4BD3" w14:textId="77777777" w:rsidR="00C7122E" w:rsidRPr="0034273F" w:rsidRDefault="00C7122E" w:rsidP="00471BF1">
            <w:pPr>
              <w:pStyle w:val="TableText"/>
              <w:tabs>
                <w:tab w:val="decimal" w:pos="1134"/>
              </w:tabs>
            </w:pPr>
            <w:r w:rsidRPr="0034273F">
              <w:t>20,173</w:t>
            </w:r>
          </w:p>
        </w:tc>
        <w:tc>
          <w:tcPr>
            <w:tcW w:w="1939" w:type="dxa"/>
            <w:tcBorders>
              <w:top w:val="single" w:sz="4" w:space="0" w:color="auto"/>
              <w:bottom w:val="single" w:sz="4" w:space="0" w:color="9BBB59" w:themeColor="accent3"/>
            </w:tcBorders>
            <w:shd w:val="clear" w:color="auto" w:fill="auto"/>
            <w:noWrap/>
            <w:hideMark/>
          </w:tcPr>
          <w:p w14:paraId="73ECB17F" w14:textId="77777777" w:rsidR="00C7122E" w:rsidRPr="0034273F" w:rsidRDefault="00C7122E" w:rsidP="00471BF1">
            <w:pPr>
              <w:pStyle w:val="TableText"/>
              <w:jc w:val="center"/>
            </w:pPr>
            <w:r w:rsidRPr="0034273F">
              <w:t>89%</w:t>
            </w:r>
          </w:p>
        </w:tc>
      </w:tr>
      <w:tr w:rsidR="00C7122E" w:rsidRPr="00972E45" w14:paraId="71E198B4" w14:textId="77777777" w:rsidTr="00471BF1">
        <w:trPr>
          <w:cantSplit/>
        </w:trPr>
        <w:tc>
          <w:tcPr>
            <w:tcW w:w="1439" w:type="dxa"/>
            <w:vMerge/>
            <w:tcBorders>
              <w:top w:val="single" w:sz="4" w:space="0" w:color="auto"/>
              <w:bottom w:val="single" w:sz="4" w:space="0" w:color="auto"/>
            </w:tcBorders>
            <w:hideMark/>
          </w:tcPr>
          <w:p w14:paraId="05298DB4" w14:textId="77777777" w:rsidR="00C7122E" w:rsidRPr="00A32DA3" w:rsidRDefault="00C7122E" w:rsidP="00471BF1">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262DF095" w14:textId="77777777" w:rsidR="00C7122E" w:rsidRPr="0034273F" w:rsidRDefault="00C7122E" w:rsidP="00471BF1">
            <w:pPr>
              <w:pStyle w:val="TableText"/>
            </w:pPr>
            <w:r w:rsidRPr="0034273F">
              <w:t>Auckland</w:t>
            </w:r>
          </w:p>
        </w:tc>
        <w:tc>
          <w:tcPr>
            <w:tcW w:w="1939" w:type="dxa"/>
            <w:tcBorders>
              <w:top w:val="single" w:sz="4" w:space="0" w:color="9BBB59" w:themeColor="accent3"/>
              <w:bottom w:val="single" w:sz="4" w:space="0" w:color="9BBB59" w:themeColor="accent3"/>
            </w:tcBorders>
            <w:shd w:val="clear" w:color="auto" w:fill="auto"/>
            <w:hideMark/>
          </w:tcPr>
          <w:p w14:paraId="4B7354D4" w14:textId="77777777" w:rsidR="00C7122E" w:rsidRPr="0034273F" w:rsidRDefault="00C7122E" w:rsidP="00471BF1">
            <w:pPr>
              <w:pStyle w:val="TableText"/>
              <w:tabs>
                <w:tab w:val="decimal" w:pos="1134"/>
              </w:tabs>
            </w:pPr>
            <w:r w:rsidRPr="0034273F">
              <w:t>10,581</w:t>
            </w:r>
          </w:p>
        </w:tc>
        <w:tc>
          <w:tcPr>
            <w:tcW w:w="1939" w:type="dxa"/>
            <w:tcBorders>
              <w:top w:val="single" w:sz="4" w:space="0" w:color="9BBB59" w:themeColor="accent3"/>
              <w:bottom w:val="single" w:sz="4" w:space="0" w:color="9BBB59" w:themeColor="accent3"/>
            </w:tcBorders>
            <w:shd w:val="clear" w:color="auto" w:fill="auto"/>
            <w:hideMark/>
          </w:tcPr>
          <w:p w14:paraId="228A148C" w14:textId="77777777" w:rsidR="00C7122E" w:rsidRPr="0034273F" w:rsidRDefault="00C7122E" w:rsidP="00471BF1">
            <w:pPr>
              <w:pStyle w:val="TableText"/>
              <w:tabs>
                <w:tab w:val="decimal" w:pos="1134"/>
              </w:tabs>
            </w:pPr>
            <w:r w:rsidRPr="0034273F">
              <w:t>11,993</w:t>
            </w:r>
          </w:p>
        </w:tc>
        <w:tc>
          <w:tcPr>
            <w:tcW w:w="1939" w:type="dxa"/>
            <w:tcBorders>
              <w:top w:val="single" w:sz="4" w:space="0" w:color="9BBB59" w:themeColor="accent3"/>
              <w:bottom w:val="single" w:sz="4" w:space="0" w:color="9BBB59" w:themeColor="accent3"/>
            </w:tcBorders>
            <w:shd w:val="clear" w:color="auto" w:fill="auto"/>
            <w:noWrap/>
            <w:hideMark/>
          </w:tcPr>
          <w:p w14:paraId="2642F5EF" w14:textId="77777777" w:rsidR="00C7122E" w:rsidRPr="0034273F" w:rsidRDefault="00C7122E" w:rsidP="00471BF1">
            <w:pPr>
              <w:pStyle w:val="TableText"/>
              <w:jc w:val="center"/>
            </w:pPr>
            <w:r w:rsidRPr="0034273F">
              <w:t>88%</w:t>
            </w:r>
          </w:p>
        </w:tc>
      </w:tr>
      <w:tr w:rsidR="00C7122E" w:rsidRPr="00972E45" w14:paraId="34142C58" w14:textId="77777777" w:rsidTr="00471BF1">
        <w:trPr>
          <w:cantSplit/>
        </w:trPr>
        <w:tc>
          <w:tcPr>
            <w:tcW w:w="1439" w:type="dxa"/>
            <w:vMerge/>
            <w:tcBorders>
              <w:top w:val="single" w:sz="4" w:space="0" w:color="auto"/>
              <w:bottom w:val="single" w:sz="4" w:space="0" w:color="auto"/>
            </w:tcBorders>
            <w:hideMark/>
          </w:tcPr>
          <w:p w14:paraId="76AC2B25" w14:textId="77777777" w:rsidR="00C7122E" w:rsidRPr="00A32DA3" w:rsidRDefault="00C7122E" w:rsidP="00471BF1">
            <w:pPr>
              <w:pStyle w:val="TableText"/>
            </w:pPr>
          </w:p>
        </w:tc>
        <w:tc>
          <w:tcPr>
            <w:tcW w:w="2100" w:type="dxa"/>
            <w:tcBorders>
              <w:top w:val="single" w:sz="4" w:space="0" w:color="9BBB59" w:themeColor="accent3"/>
              <w:bottom w:val="single" w:sz="4" w:space="0" w:color="auto"/>
            </w:tcBorders>
            <w:shd w:val="clear" w:color="auto" w:fill="auto"/>
            <w:hideMark/>
          </w:tcPr>
          <w:p w14:paraId="46003116" w14:textId="77777777" w:rsidR="00C7122E" w:rsidRPr="0034273F" w:rsidRDefault="00C7122E" w:rsidP="00471BF1">
            <w:pPr>
              <w:pStyle w:val="TableText"/>
            </w:pPr>
            <w:r w:rsidRPr="0034273F">
              <w:t>Waitemata</w:t>
            </w:r>
          </w:p>
        </w:tc>
        <w:tc>
          <w:tcPr>
            <w:tcW w:w="1939" w:type="dxa"/>
            <w:tcBorders>
              <w:top w:val="single" w:sz="4" w:space="0" w:color="9BBB59" w:themeColor="accent3"/>
              <w:bottom w:val="single" w:sz="4" w:space="0" w:color="auto"/>
            </w:tcBorders>
            <w:shd w:val="clear" w:color="auto" w:fill="auto"/>
            <w:hideMark/>
          </w:tcPr>
          <w:p w14:paraId="10680292" w14:textId="77777777" w:rsidR="00C7122E" w:rsidRPr="0034273F" w:rsidRDefault="00C7122E" w:rsidP="00471BF1">
            <w:pPr>
              <w:pStyle w:val="TableText"/>
              <w:tabs>
                <w:tab w:val="decimal" w:pos="1134"/>
              </w:tabs>
            </w:pPr>
            <w:r w:rsidRPr="0034273F">
              <w:t>4</w:t>
            </w:r>
            <w:r>
              <w:t>,</w:t>
            </w:r>
            <w:r w:rsidRPr="0034273F">
              <w:t>296</w:t>
            </w:r>
          </w:p>
        </w:tc>
        <w:tc>
          <w:tcPr>
            <w:tcW w:w="1939" w:type="dxa"/>
            <w:tcBorders>
              <w:top w:val="single" w:sz="4" w:space="0" w:color="9BBB59" w:themeColor="accent3"/>
              <w:bottom w:val="single" w:sz="4" w:space="0" w:color="auto"/>
            </w:tcBorders>
            <w:shd w:val="clear" w:color="auto" w:fill="auto"/>
            <w:hideMark/>
          </w:tcPr>
          <w:p w14:paraId="01374BE5" w14:textId="77777777" w:rsidR="00C7122E" w:rsidRPr="0034273F" w:rsidRDefault="00C7122E" w:rsidP="00471BF1">
            <w:pPr>
              <w:pStyle w:val="TableText"/>
              <w:tabs>
                <w:tab w:val="decimal" w:pos="1134"/>
              </w:tabs>
            </w:pPr>
            <w:r w:rsidRPr="0034273F">
              <w:t>4</w:t>
            </w:r>
            <w:r>
              <w:t>,</w:t>
            </w:r>
            <w:r w:rsidRPr="0034273F">
              <w:t>851</w:t>
            </w:r>
          </w:p>
        </w:tc>
        <w:tc>
          <w:tcPr>
            <w:tcW w:w="1939" w:type="dxa"/>
            <w:tcBorders>
              <w:top w:val="single" w:sz="4" w:space="0" w:color="9BBB59" w:themeColor="accent3"/>
              <w:bottom w:val="single" w:sz="4" w:space="0" w:color="auto"/>
            </w:tcBorders>
            <w:shd w:val="clear" w:color="auto" w:fill="auto"/>
            <w:noWrap/>
            <w:hideMark/>
          </w:tcPr>
          <w:p w14:paraId="41675427" w14:textId="77777777" w:rsidR="00C7122E" w:rsidRPr="0034273F" w:rsidRDefault="00C7122E" w:rsidP="00471BF1">
            <w:pPr>
              <w:pStyle w:val="TableText"/>
              <w:jc w:val="center"/>
            </w:pPr>
            <w:r w:rsidRPr="0034273F">
              <w:t>89%</w:t>
            </w:r>
          </w:p>
        </w:tc>
      </w:tr>
      <w:tr w:rsidR="00C7122E" w:rsidRPr="00972E45" w14:paraId="1463F713" w14:textId="77777777" w:rsidTr="00471BF1">
        <w:trPr>
          <w:cantSplit/>
        </w:trPr>
        <w:tc>
          <w:tcPr>
            <w:tcW w:w="1439" w:type="dxa"/>
            <w:vMerge w:val="restart"/>
            <w:tcBorders>
              <w:top w:val="single" w:sz="4" w:space="0" w:color="auto"/>
              <w:bottom w:val="single" w:sz="4" w:space="0" w:color="auto"/>
            </w:tcBorders>
            <w:shd w:val="clear" w:color="auto" w:fill="auto"/>
            <w:hideMark/>
          </w:tcPr>
          <w:p w14:paraId="04F5F88D" w14:textId="77777777" w:rsidR="00C7122E" w:rsidRPr="00A32DA3" w:rsidRDefault="00C7122E" w:rsidP="00471BF1">
            <w:pPr>
              <w:pStyle w:val="TableText"/>
            </w:pPr>
            <w:r w:rsidRPr="00A32DA3">
              <w:t>Rest of New Zealand</w:t>
            </w:r>
          </w:p>
        </w:tc>
        <w:tc>
          <w:tcPr>
            <w:tcW w:w="2100" w:type="dxa"/>
            <w:tcBorders>
              <w:top w:val="single" w:sz="4" w:space="0" w:color="auto"/>
              <w:bottom w:val="single" w:sz="4" w:space="0" w:color="9BBB59" w:themeColor="accent3"/>
            </w:tcBorders>
            <w:shd w:val="clear" w:color="auto" w:fill="auto"/>
            <w:hideMark/>
          </w:tcPr>
          <w:p w14:paraId="6B4CDEC2" w14:textId="77777777" w:rsidR="00C7122E" w:rsidRPr="0034273F" w:rsidRDefault="00C7122E" w:rsidP="00471BF1">
            <w:pPr>
              <w:pStyle w:val="TableText"/>
            </w:pPr>
            <w:r w:rsidRPr="0034273F">
              <w:t>Capital &amp; Coast</w:t>
            </w:r>
          </w:p>
        </w:tc>
        <w:tc>
          <w:tcPr>
            <w:tcW w:w="1939" w:type="dxa"/>
            <w:tcBorders>
              <w:top w:val="single" w:sz="4" w:space="0" w:color="auto"/>
              <w:bottom w:val="single" w:sz="4" w:space="0" w:color="9BBB59" w:themeColor="accent3"/>
            </w:tcBorders>
            <w:shd w:val="clear" w:color="auto" w:fill="auto"/>
            <w:hideMark/>
          </w:tcPr>
          <w:p w14:paraId="7F0AB8C0" w14:textId="77777777" w:rsidR="00C7122E" w:rsidRPr="0034273F" w:rsidRDefault="00C7122E" w:rsidP="00471BF1">
            <w:pPr>
              <w:pStyle w:val="TableText"/>
              <w:tabs>
                <w:tab w:val="decimal" w:pos="1134"/>
              </w:tabs>
            </w:pPr>
            <w:r w:rsidRPr="0034273F">
              <w:t>3</w:t>
            </w:r>
            <w:r>
              <w:t>,</w:t>
            </w:r>
            <w:r w:rsidRPr="0034273F">
              <w:t>292</w:t>
            </w:r>
          </w:p>
        </w:tc>
        <w:tc>
          <w:tcPr>
            <w:tcW w:w="1939" w:type="dxa"/>
            <w:tcBorders>
              <w:top w:val="single" w:sz="4" w:space="0" w:color="auto"/>
              <w:bottom w:val="single" w:sz="4" w:space="0" w:color="9BBB59" w:themeColor="accent3"/>
            </w:tcBorders>
            <w:shd w:val="clear" w:color="auto" w:fill="auto"/>
            <w:hideMark/>
          </w:tcPr>
          <w:p w14:paraId="595E9CC1" w14:textId="77777777" w:rsidR="00C7122E" w:rsidRPr="0034273F" w:rsidRDefault="00C7122E" w:rsidP="00471BF1">
            <w:pPr>
              <w:pStyle w:val="TableText"/>
              <w:tabs>
                <w:tab w:val="decimal" w:pos="1134"/>
              </w:tabs>
            </w:pPr>
            <w:r w:rsidRPr="0034273F">
              <w:t>3</w:t>
            </w:r>
            <w:r>
              <w:t>,</w:t>
            </w:r>
            <w:r w:rsidRPr="0034273F">
              <w:t>935</w:t>
            </w:r>
          </w:p>
        </w:tc>
        <w:tc>
          <w:tcPr>
            <w:tcW w:w="1939" w:type="dxa"/>
            <w:tcBorders>
              <w:top w:val="single" w:sz="4" w:space="0" w:color="auto"/>
              <w:bottom w:val="single" w:sz="4" w:space="0" w:color="9BBB59" w:themeColor="accent3"/>
            </w:tcBorders>
            <w:shd w:val="clear" w:color="auto" w:fill="auto"/>
            <w:noWrap/>
            <w:hideMark/>
          </w:tcPr>
          <w:p w14:paraId="1DB06D76" w14:textId="77777777" w:rsidR="00C7122E" w:rsidRPr="0034273F" w:rsidRDefault="00C7122E" w:rsidP="00471BF1">
            <w:pPr>
              <w:pStyle w:val="TableText"/>
              <w:jc w:val="center"/>
            </w:pPr>
            <w:r w:rsidRPr="0034273F">
              <w:t>84%</w:t>
            </w:r>
          </w:p>
        </w:tc>
      </w:tr>
      <w:tr w:rsidR="00C7122E" w:rsidRPr="00972E45" w14:paraId="32E74B09" w14:textId="77777777" w:rsidTr="00471BF1">
        <w:trPr>
          <w:cantSplit/>
        </w:trPr>
        <w:tc>
          <w:tcPr>
            <w:tcW w:w="1439" w:type="dxa"/>
            <w:vMerge/>
            <w:tcBorders>
              <w:top w:val="single" w:sz="4" w:space="0" w:color="auto"/>
              <w:bottom w:val="single" w:sz="4" w:space="0" w:color="auto"/>
            </w:tcBorders>
            <w:hideMark/>
          </w:tcPr>
          <w:p w14:paraId="5A0A5803" w14:textId="77777777" w:rsidR="00C7122E" w:rsidRPr="00A32DA3" w:rsidRDefault="00C7122E" w:rsidP="00471BF1">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59DF4933" w14:textId="77777777" w:rsidR="00C7122E" w:rsidRPr="0034273F" w:rsidRDefault="00C7122E" w:rsidP="00471BF1">
            <w:pPr>
              <w:pStyle w:val="TableText"/>
            </w:pPr>
            <w:r w:rsidRPr="0034273F">
              <w:t>Canterbury</w:t>
            </w:r>
          </w:p>
        </w:tc>
        <w:tc>
          <w:tcPr>
            <w:tcW w:w="1939" w:type="dxa"/>
            <w:tcBorders>
              <w:top w:val="single" w:sz="4" w:space="0" w:color="9BBB59" w:themeColor="accent3"/>
              <w:bottom w:val="single" w:sz="4" w:space="0" w:color="9BBB59" w:themeColor="accent3"/>
            </w:tcBorders>
            <w:shd w:val="clear" w:color="auto" w:fill="auto"/>
            <w:hideMark/>
          </w:tcPr>
          <w:p w14:paraId="660808C2" w14:textId="77777777" w:rsidR="00C7122E" w:rsidRPr="0034273F" w:rsidRDefault="00C7122E" w:rsidP="00471BF1">
            <w:pPr>
              <w:pStyle w:val="TableText"/>
              <w:tabs>
                <w:tab w:val="decimal" w:pos="1134"/>
              </w:tabs>
            </w:pPr>
            <w:r w:rsidRPr="0034273F">
              <w:t>1</w:t>
            </w:r>
            <w:r>
              <w:t>,</w:t>
            </w:r>
            <w:r w:rsidRPr="0034273F">
              <w:t>500</w:t>
            </w:r>
          </w:p>
        </w:tc>
        <w:tc>
          <w:tcPr>
            <w:tcW w:w="1939" w:type="dxa"/>
            <w:tcBorders>
              <w:top w:val="single" w:sz="4" w:space="0" w:color="9BBB59" w:themeColor="accent3"/>
              <w:bottom w:val="single" w:sz="4" w:space="0" w:color="9BBB59" w:themeColor="accent3"/>
            </w:tcBorders>
            <w:shd w:val="clear" w:color="auto" w:fill="auto"/>
            <w:hideMark/>
          </w:tcPr>
          <w:p w14:paraId="5D44F582" w14:textId="77777777" w:rsidR="00C7122E" w:rsidRPr="0034273F" w:rsidRDefault="00C7122E" w:rsidP="00471BF1">
            <w:pPr>
              <w:pStyle w:val="TableText"/>
              <w:tabs>
                <w:tab w:val="decimal" w:pos="1134"/>
              </w:tabs>
            </w:pPr>
            <w:r w:rsidRPr="0034273F">
              <w:t>1</w:t>
            </w:r>
            <w:r>
              <w:t>,</w:t>
            </w:r>
            <w:r w:rsidRPr="0034273F">
              <w:t>823</w:t>
            </w:r>
          </w:p>
        </w:tc>
        <w:tc>
          <w:tcPr>
            <w:tcW w:w="1939" w:type="dxa"/>
            <w:tcBorders>
              <w:top w:val="single" w:sz="4" w:space="0" w:color="9BBB59" w:themeColor="accent3"/>
              <w:bottom w:val="single" w:sz="4" w:space="0" w:color="9BBB59" w:themeColor="accent3"/>
            </w:tcBorders>
            <w:shd w:val="clear" w:color="auto" w:fill="auto"/>
            <w:noWrap/>
            <w:hideMark/>
          </w:tcPr>
          <w:p w14:paraId="398B5FCF" w14:textId="77777777" w:rsidR="00C7122E" w:rsidRPr="0034273F" w:rsidRDefault="00C7122E" w:rsidP="00471BF1">
            <w:pPr>
              <w:pStyle w:val="TableText"/>
              <w:jc w:val="center"/>
            </w:pPr>
            <w:r w:rsidRPr="0034273F">
              <w:t>82%</w:t>
            </w:r>
          </w:p>
        </w:tc>
      </w:tr>
      <w:tr w:rsidR="00C7122E" w:rsidRPr="00972E45" w14:paraId="7801ABF3" w14:textId="77777777" w:rsidTr="00471BF1">
        <w:trPr>
          <w:cantSplit/>
        </w:trPr>
        <w:tc>
          <w:tcPr>
            <w:tcW w:w="1439" w:type="dxa"/>
            <w:vMerge/>
            <w:tcBorders>
              <w:top w:val="single" w:sz="4" w:space="0" w:color="auto"/>
              <w:bottom w:val="single" w:sz="4" w:space="0" w:color="auto"/>
            </w:tcBorders>
            <w:hideMark/>
          </w:tcPr>
          <w:p w14:paraId="6E367301" w14:textId="77777777" w:rsidR="00C7122E" w:rsidRPr="00A32DA3" w:rsidRDefault="00C7122E" w:rsidP="00471BF1">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39E6EC4B" w14:textId="77777777" w:rsidR="00C7122E" w:rsidRPr="0034273F" w:rsidRDefault="00C7122E" w:rsidP="00471BF1">
            <w:pPr>
              <w:pStyle w:val="TableText"/>
            </w:pPr>
            <w:r w:rsidRPr="0034273F">
              <w:t>Hutt Valley</w:t>
            </w:r>
          </w:p>
        </w:tc>
        <w:tc>
          <w:tcPr>
            <w:tcW w:w="1939" w:type="dxa"/>
            <w:tcBorders>
              <w:top w:val="single" w:sz="4" w:space="0" w:color="9BBB59" w:themeColor="accent3"/>
              <w:bottom w:val="single" w:sz="4" w:space="0" w:color="9BBB59" w:themeColor="accent3"/>
            </w:tcBorders>
            <w:shd w:val="clear" w:color="auto" w:fill="auto"/>
            <w:hideMark/>
          </w:tcPr>
          <w:p w14:paraId="6B03C7B2" w14:textId="77777777" w:rsidR="00C7122E" w:rsidRPr="0034273F" w:rsidRDefault="00C7122E" w:rsidP="00471BF1">
            <w:pPr>
              <w:pStyle w:val="TableText"/>
              <w:tabs>
                <w:tab w:val="decimal" w:pos="1134"/>
              </w:tabs>
            </w:pPr>
            <w:r w:rsidRPr="0034273F">
              <w:t>1</w:t>
            </w:r>
            <w:r>
              <w:t>,</w:t>
            </w:r>
            <w:r w:rsidRPr="0034273F">
              <w:t>624</w:t>
            </w:r>
          </w:p>
        </w:tc>
        <w:tc>
          <w:tcPr>
            <w:tcW w:w="1939" w:type="dxa"/>
            <w:tcBorders>
              <w:top w:val="single" w:sz="4" w:space="0" w:color="9BBB59" w:themeColor="accent3"/>
              <w:bottom w:val="single" w:sz="4" w:space="0" w:color="9BBB59" w:themeColor="accent3"/>
            </w:tcBorders>
            <w:shd w:val="clear" w:color="auto" w:fill="auto"/>
            <w:hideMark/>
          </w:tcPr>
          <w:p w14:paraId="0B10D853" w14:textId="77777777" w:rsidR="00C7122E" w:rsidRPr="0034273F" w:rsidRDefault="00C7122E" w:rsidP="00471BF1">
            <w:pPr>
              <w:pStyle w:val="TableText"/>
              <w:tabs>
                <w:tab w:val="decimal" w:pos="1134"/>
              </w:tabs>
            </w:pPr>
            <w:r w:rsidRPr="0034273F">
              <w:t>1</w:t>
            </w:r>
            <w:r>
              <w:t>,</w:t>
            </w:r>
            <w:r w:rsidRPr="0034273F">
              <w:t>861</w:t>
            </w:r>
          </w:p>
        </w:tc>
        <w:tc>
          <w:tcPr>
            <w:tcW w:w="1939" w:type="dxa"/>
            <w:tcBorders>
              <w:top w:val="single" w:sz="4" w:space="0" w:color="9BBB59" w:themeColor="accent3"/>
              <w:bottom w:val="single" w:sz="4" w:space="0" w:color="9BBB59" w:themeColor="accent3"/>
            </w:tcBorders>
            <w:shd w:val="clear" w:color="auto" w:fill="auto"/>
            <w:noWrap/>
            <w:hideMark/>
          </w:tcPr>
          <w:p w14:paraId="2047A7EB" w14:textId="77777777" w:rsidR="00C7122E" w:rsidRPr="0034273F" w:rsidRDefault="00C7122E" w:rsidP="00471BF1">
            <w:pPr>
              <w:pStyle w:val="TableText"/>
              <w:jc w:val="center"/>
            </w:pPr>
            <w:r w:rsidRPr="0034273F">
              <w:t>87%</w:t>
            </w:r>
          </w:p>
        </w:tc>
      </w:tr>
      <w:tr w:rsidR="00C7122E" w:rsidRPr="00972E45" w14:paraId="524E8F93" w14:textId="77777777" w:rsidTr="00471BF1">
        <w:trPr>
          <w:cantSplit/>
        </w:trPr>
        <w:tc>
          <w:tcPr>
            <w:tcW w:w="1439" w:type="dxa"/>
            <w:vMerge/>
            <w:tcBorders>
              <w:top w:val="single" w:sz="4" w:space="0" w:color="auto"/>
              <w:bottom w:val="single" w:sz="4" w:space="0" w:color="auto"/>
            </w:tcBorders>
            <w:hideMark/>
          </w:tcPr>
          <w:p w14:paraId="732E715A" w14:textId="77777777" w:rsidR="00C7122E" w:rsidRPr="00A32DA3" w:rsidRDefault="00C7122E" w:rsidP="00471BF1">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57BF6F12" w14:textId="77777777" w:rsidR="00C7122E" w:rsidRPr="0034273F" w:rsidRDefault="00C7122E" w:rsidP="00471BF1">
            <w:pPr>
              <w:pStyle w:val="TableText"/>
            </w:pPr>
            <w:r w:rsidRPr="0034273F">
              <w:t>Hawke</w:t>
            </w:r>
            <w:r>
              <w:t>’</w:t>
            </w:r>
            <w:r w:rsidRPr="0034273F">
              <w:t>s Bay</w:t>
            </w:r>
          </w:p>
        </w:tc>
        <w:tc>
          <w:tcPr>
            <w:tcW w:w="1939" w:type="dxa"/>
            <w:tcBorders>
              <w:top w:val="single" w:sz="4" w:space="0" w:color="9BBB59" w:themeColor="accent3"/>
              <w:bottom w:val="single" w:sz="4" w:space="0" w:color="9BBB59" w:themeColor="accent3"/>
            </w:tcBorders>
            <w:shd w:val="clear" w:color="auto" w:fill="auto"/>
            <w:hideMark/>
          </w:tcPr>
          <w:p w14:paraId="6614FC99" w14:textId="77777777" w:rsidR="00C7122E" w:rsidRPr="0034273F" w:rsidRDefault="00C7122E" w:rsidP="00471BF1">
            <w:pPr>
              <w:pStyle w:val="TableText"/>
              <w:tabs>
                <w:tab w:val="decimal" w:pos="1134"/>
              </w:tabs>
            </w:pPr>
            <w:r w:rsidRPr="0034273F">
              <w:t>669</w:t>
            </w:r>
          </w:p>
        </w:tc>
        <w:tc>
          <w:tcPr>
            <w:tcW w:w="1939" w:type="dxa"/>
            <w:tcBorders>
              <w:top w:val="single" w:sz="4" w:space="0" w:color="9BBB59" w:themeColor="accent3"/>
              <w:bottom w:val="single" w:sz="4" w:space="0" w:color="9BBB59" w:themeColor="accent3"/>
            </w:tcBorders>
            <w:shd w:val="clear" w:color="auto" w:fill="auto"/>
            <w:hideMark/>
          </w:tcPr>
          <w:p w14:paraId="4E2B6B79" w14:textId="77777777" w:rsidR="00C7122E" w:rsidRPr="0034273F" w:rsidRDefault="00C7122E" w:rsidP="00471BF1">
            <w:pPr>
              <w:pStyle w:val="TableText"/>
              <w:tabs>
                <w:tab w:val="decimal" w:pos="1134"/>
              </w:tabs>
            </w:pPr>
            <w:r w:rsidRPr="0034273F">
              <w:t>822</w:t>
            </w:r>
          </w:p>
        </w:tc>
        <w:tc>
          <w:tcPr>
            <w:tcW w:w="1939" w:type="dxa"/>
            <w:tcBorders>
              <w:top w:val="single" w:sz="4" w:space="0" w:color="9BBB59" w:themeColor="accent3"/>
              <w:bottom w:val="single" w:sz="4" w:space="0" w:color="9BBB59" w:themeColor="accent3"/>
            </w:tcBorders>
            <w:shd w:val="clear" w:color="auto" w:fill="auto"/>
            <w:noWrap/>
            <w:hideMark/>
          </w:tcPr>
          <w:p w14:paraId="72C6DE64" w14:textId="77777777" w:rsidR="00C7122E" w:rsidRPr="0034273F" w:rsidRDefault="00C7122E" w:rsidP="00471BF1">
            <w:pPr>
              <w:pStyle w:val="TableText"/>
              <w:jc w:val="center"/>
            </w:pPr>
            <w:r w:rsidRPr="0034273F">
              <w:t>81%</w:t>
            </w:r>
          </w:p>
        </w:tc>
      </w:tr>
      <w:tr w:rsidR="00C7122E" w:rsidRPr="00972E45" w14:paraId="45C87027" w14:textId="77777777" w:rsidTr="00471BF1">
        <w:trPr>
          <w:cantSplit/>
        </w:trPr>
        <w:tc>
          <w:tcPr>
            <w:tcW w:w="1439" w:type="dxa"/>
            <w:vMerge/>
            <w:tcBorders>
              <w:top w:val="single" w:sz="4" w:space="0" w:color="auto"/>
              <w:bottom w:val="single" w:sz="4" w:space="0" w:color="000000"/>
            </w:tcBorders>
            <w:hideMark/>
          </w:tcPr>
          <w:p w14:paraId="2AE6CDF3" w14:textId="77777777" w:rsidR="00C7122E" w:rsidRPr="00A32DA3" w:rsidRDefault="00C7122E" w:rsidP="00471BF1">
            <w:pPr>
              <w:pStyle w:val="TableText"/>
            </w:pPr>
          </w:p>
        </w:tc>
        <w:tc>
          <w:tcPr>
            <w:tcW w:w="2100" w:type="dxa"/>
            <w:tcBorders>
              <w:top w:val="single" w:sz="4" w:space="0" w:color="9BBB59" w:themeColor="accent3"/>
              <w:bottom w:val="single" w:sz="4" w:space="0" w:color="auto"/>
            </w:tcBorders>
            <w:shd w:val="clear" w:color="auto" w:fill="auto"/>
            <w:hideMark/>
          </w:tcPr>
          <w:p w14:paraId="7377AB0E" w14:textId="77777777" w:rsidR="00C7122E" w:rsidRPr="0034273F" w:rsidRDefault="00C7122E" w:rsidP="00471BF1">
            <w:pPr>
              <w:pStyle w:val="TableText"/>
            </w:pPr>
            <w:r w:rsidRPr="0034273F">
              <w:t>Waikato</w:t>
            </w:r>
          </w:p>
        </w:tc>
        <w:tc>
          <w:tcPr>
            <w:tcW w:w="1939" w:type="dxa"/>
            <w:tcBorders>
              <w:top w:val="single" w:sz="4" w:space="0" w:color="9BBB59" w:themeColor="accent3"/>
              <w:bottom w:val="single" w:sz="4" w:space="0" w:color="auto"/>
            </w:tcBorders>
            <w:shd w:val="clear" w:color="auto" w:fill="auto"/>
            <w:hideMark/>
          </w:tcPr>
          <w:p w14:paraId="50EA38BD" w14:textId="77777777" w:rsidR="00C7122E" w:rsidRPr="0034273F" w:rsidRDefault="00C7122E" w:rsidP="00471BF1">
            <w:pPr>
              <w:pStyle w:val="TableText"/>
              <w:tabs>
                <w:tab w:val="decimal" w:pos="1134"/>
              </w:tabs>
            </w:pPr>
            <w:r w:rsidRPr="0034273F">
              <w:t>1</w:t>
            </w:r>
            <w:r>
              <w:t>,</w:t>
            </w:r>
            <w:r w:rsidRPr="0034273F">
              <w:t>417</w:t>
            </w:r>
          </w:p>
        </w:tc>
        <w:tc>
          <w:tcPr>
            <w:tcW w:w="1939" w:type="dxa"/>
            <w:tcBorders>
              <w:top w:val="single" w:sz="4" w:space="0" w:color="9BBB59" w:themeColor="accent3"/>
              <w:bottom w:val="single" w:sz="4" w:space="0" w:color="auto"/>
            </w:tcBorders>
            <w:shd w:val="clear" w:color="auto" w:fill="auto"/>
            <w:hideMark/>
          </w:tcPr>
          <w:p w14:paraId="448F7FDB" w14:textId="77777777" w:rsidR="00C7122E" w:rsidRPr="0034273F" w:rsidRDefault="00C7122E" w:rsidP="00471BF1">
            <w:pPr>
              <w:pStyle w:val="TableText"/>
              <w:tabs>
                <w:tab w:val="decimal" w:pos="1134"/>
              </w:tabs>
            </w:pPr>
            <w:r w:rsidRPr="0034273F">
              <w:t>1</w:t>
            </w:r>
            <w:r>
              <w:t>,</w:t>
            </w:r>
            <w:r w:rsidRPr="0034273F">
              <w:t>672</w:t>
            </w:r>
          </w:p>
        </w:tc>
        <w:tc>
          <w:tcPr>
            <w:tcW w:w="1939" w:type="dxa"/>
            <w:tcBorders>
              <w:top w:val="single" w:sz="4" w:space="0" w:color="9BBB59" w:themeColor="accent3"/>
              <w:bottom w:val="single" w:sz="4" w:space="0" w:color="auto"/>
            </w:tcBorders>
            <w:shd w:val="clear" w:color="auto" w:fill="auto"/>
            <w:noWrap/>
            <w:hideMark/>
          </w:tcPr>
          <w:p w14:paraId="5028BC30" w14:textId="77777777" w:rsidR="00C7122E" w:rsidRPr="0034273F" w:rsidRDefault="00C7122E" w:rsidP="00471BF1">
            <w:pPr>
              <w:pStyle w:val="TableText"/>
              <w:jc w:val="center"/>
            </w:pPr>
            <w:r w:rsidRPr="0034273F">
              <w:t>85%</w:t>
            </w:r>
          </w:p>
        </w:tc>
      </w:tr>
    </w:tbl>
    <w:p w14:paraId="35836588" w14:textId="77777777" w:rsidR="00C7122E" w:rsidRDefault="00C7122E" w:rsidP="00471BF1"/>
    <w:p w14:paraId="0CDAD253" w14:textId="77777777" w:rsidR="00C7122E" w:rsidRPr="00CC5756" w:rsidRDefault="00C7122E" w:rsidP="00471BF1">
      <w:pPr>
        <w:pStyle w:val="Heading1"/>
      </w:pPr>
      <w:bookmarkStart w:id="142" w:name="_Toc503949861"/>
      <w:bookmarkStart w:id="143" w:name="_Toc531260425"/>
      <w:r>
        <w:lastRenderedPageBreak/>
        <w:t>Cervical screening</w:t>
      </w:r>
      <w:bookmarkEnd w:id="142"/>
      <w:bookmarkEnd w:id="143"/>
    </w:p>
    <w:p w14:paraId="41C36B4E" w14:textId="77777777" w:rsidR="00C7122E" w:rsidRDefault="00C7122E" w:rsidP="00D63061">
      <w:r>
        <w:rPr>
          <w:i/>
        </w:rPr>
        <w:t>’</w:t>
      </w:r>
      <w:r w:rsidRPr="001953FB">
        <w:rPr>
          <w:i/>
        </w:rPr>
        <w:t>Ala Mo’ui</w:t>
      </w:r>
      <w:r>
        <w:rPr>
          <w:i/>
        </w:rPr>
        <w:t xml:space="preserve"> </w:t>
      </w:r>
      <w:r>
        <w:t>notes that maximising coverage and participation in cervical screening is an important factor in improving the health of Pacific women. The National Screening Unit provides cervical screening in New Zealand.</w:t>
      </w:r>
    </w:p>
    <w:p w14:paraId="00F86F2C" w14:textId="77777777" w:rsidR="00C7122E" w:rsidRDefault="00C7122E" w:rsidP="00D63061"/>
    <w:p w14:paraId="55CDAAAC" w14:textId="77777777" w:rsidR="00FB3F7B" w:rsidRDefault="00C7122E" w:rsidP="00D63061">
      <w:r w:rsidRPr="00D63061">
        <w:t>Rates of cervical screening have consistently increased for the Pacific peoples population. As at Marc</w:t>
      </w:r>
      <w:r>
        <w:t>h 2017, the rate was 75.9 percent: slightly higher than the rate for the total New Zealand population (75.7 percent). This a marked improved from March 2014, when the Pacific peoples rate was 69.8 percent, well below the 77 percent rate for the total New Zealand population.</w:t>
      </w:r>
    </w:p>
    <w:p w14:paraId="4E197176" w14:textId="77777777" w:rsidR="00C7122E" w:rsidRDefault="00C7122E" w:rsidP="00D63061"/>
    <w:p w14:paraId="41228D2A" w14:textId="77777777" w:rsidR="00D63061" w:rsidRDefault="00D63061" w:rsidP="00D63061">
      <w:pPr>
        <w:pStyle w:val="Heading2"/>
      </w:pPr>
      <w:bookmarkStart w:id="144" w:name="_Toc531260426"/>
      <w:r w:rsidRPr="008E232E">
        <w:t>Increase</w:t>
      </w:r>
      <w:r>
        <w:t>d</w:t>
      </w:r>
      <w:r w:rsidRPr="008E232E">
        <w:t xml:space="preserve"> </w:t>
      </w:r>
      <w:r>
        <w:t>proportion</w:t>
      </w:r>
      <w:r w:rsidRPr="008E232E">
        <w:t xml:space="preserve"> of enrolled Pacif</w:t>
      </w:r>
      <w:r>
        <w:t>ic women aged 25–69 years old who</w:t>
      </w:r>
      <w:r w:rsidRPr="008E232E">
        <w:t xml:space="preserve"> </w:t>
      </w:r>
      <w:r>
        <w:t xml:space="preserve">have </w:t>
      </w:r>
      <w:r w:rsidRPr="008E232E">
        <w:t>receive</w:t>
      </w:r>
      <w:r>
        <w:t>d</w:t>
      </w:r>
      <w:r w:rsidRPr="008E232E">
        <w:t xml:space="preserve"> a cervical s</w:t>
      </w:r>
      <w:r>
        <w:t>mear in the past three years, to</w:t>
      </w:r>
      <w:r w:rsidRPr="008E232E">
        <w:t xml:space="preserve"> equal</w:t>
      </w:r>
      <w:r>
        <w:t xml:space="preserve"> or exceed </w:t>
      </w:r>
      <w:r w:rsidRPr="008E232E">
        <w:t xml:space="preserve">the </w:t>
      </w:r>
      <w:r>
        <w:t>proportion</w:t>
      </w:r>
      <w:r w:rsidRPr="008E232E">
        <w:t xml:space="preserve"> </w:t>
      </w:r>
      <w:r>
        <w:t>in</w:t>
      </w:r>
      <w:r w:rsidRPr="008E232E">
        <w:t xml:space="preserve"> the total population</w:t>
      </w:r>
      <w:bookmarkEnd w:id="144"/>
    </w:p>
    <w:p w14:paraId="658E612B" w14:textId="77777777" w:rsidR="00C7122E" w:rsidRPr="00A119E8" w:rsidRDefault="00C7122E" w:rsidP="00D63061">
      <w:r w:rsidRPr="005857B1">
        <w:rPr>
          <w:b/>
        </w:rPr>
        <w:t>Performance:</w:t>
      </w:r>
      <w:r w:rsidRPr="005857B1">
        <w:t xml:space="preserve"> The</w:t>
      </w:r>
      <w:r w:rsidRPr="00A119E8">
        <w:t xml:space="preserve"> target for this indicator </w:t>
      </w:r>
      <w:r>
        <w:t>was set at</w:t>
      </w:r>
      <w:r w:rsidRPr="00A119E8">
        <w:t xml:space="preserve"> 80 percent.</w:t>
      </w:r>
    </w:p>
    <w:p w14:paraId="22329174" w14:textId="77777777" w:rsidR="00C7122E" w:rsidRPr="00A119E8" w:rsidRDefault="00C7122E" w:rsidP="00D63061"/>
    <w:p w14:paraId="0902D906" w14:textId="77777777" w:rsidR="00C7122E" w:rsidRDefault="00C7122E" w:rsidP="00D63061">
      <w:pPr>
        <w:pStyle w:val="Figure"/>
      </w:pPr>
      <w:bookmarkStart w:id="145" w:name="_Toc428368083"/>
      <w:bookmarkStart w:id="146" w:name="_Toc428370461"/>
      <w:bookmarkStart w:id="147" w:name="_Toc445801466"/>
      <w:bookmarkStart w:id="148" w:name="_Toc447527165"/>
      <w:bookmarkStart w:id="149" w:name="_Toc458409447"/>
      <w:bookmarkStart w:id="150" w:name="_Toc531260460"/>
      <w:r w:rsidRPr="00A119E8">
        <w:t xml:space="preserve">Figure </w:t>
      </w:r>
      <w:r>
        <w:t>14</w:t>
      </w:r>
      <w:r w:rsidRPr="00A119E8">
        <w:t xml:space="preserve">: Percentage of women aged 25–69 years who received a cervical smear </w:t>
      </w:r>
      <w:r>
        <w:t xml:space="preserve">test </w:t>
      </w:r>
      <w:r w:rsidRPr="00A119E8">
        <w:t xml:space="preserve">in the past three years, </w:t>
      </w:r>
      <w:r>
        <w:t>Pacific peoples and total New Zealand population</w:t>
      </w:r>
      <w:r w:rsidRPr="00A119E8">
        <w:t xml:space="preserve">, </w:t>
      </w:r>
      <w:r>
        <w:t xml:space="preserve">March </w:t>
      </w:r>
      <w:r w:rsidRPr="00A119E8">
        <w:t>201</w:t>
      </w:r>
      <w:r>
        <w:t>4</w:t>
      </w:r>
      <w:r w:rsidRPr="00A119E8">
        <w:t>–</w:t>
      </w:r>
      <w:r>
        <w:t xml:space="preserve">March </w:t>
      </w:r>
      <w:r w:rsidRPr="00A119E8">
        <w:t>201</w:t>
      </w:r>
      <w:bookmarkEnd w:id="145"/>
      <w:bookmarkEnd w:id="146"/>
      <w:bookmarkEnd w:id="147"/>
      <w:bookmarkEnd w:id="148"/>
      <w:bookmarkEnd w:id="149"/>
      <w:r>
        <w:t>7</w:t>
      </w:r>
      <w:bookmarkEnd w:id="150"/>
    </w:p>
    <w:p w14:paraId="4D4C7267" w14:textId="77777777" w:rsidR="00C7122E" w:rsidRDefault="00C7122E" w:rsidP="00C7122E">
      <w:pPr>
        <w:rPr>
          <w:sz w:val="20"/>
        </w:rPr>
      </w:pPr>
      <w:r>
        <w:rPr>
          <w:noProof/>
          <w:lang w:eastAsia="ja-JP"/>
        </w:rPr>
        <w:drawing>
          <wp:inline distT="0" distB="0" distL="0" distR="0" wp14:anchorId="3FBCA526" wp14:editId="4318797F">
            <wp:extent cx="4680065" cy="2917768"/>
            <wp:effectExtent l="0" t="0" r="6350" b="0"/>
            <wp:docPr id="68" name="Chart 68" title="Figure 14: Percentage of women aged 25–69 years who received a cervical smear test in the past three years, Pacific peoples and total New Zealand population, March 2014–March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8CDAE3E" w14:textId="77777777" w:rsidR="00C7122E" w:rsidRPr="005C54C4" w:rsidRDefault="00C7122E" w:rsidP="00D63061">
      <w:pPr>
        <w:pStyle w:val="Source"/>
      </w:pPr>
      <w:r w:rsidRPr="005C54C4">
        <w:t xml:space="preserve">Source: NCSP reporting </w:t>
      </w:r>
      <w:r>
        <w:t>and Statistics New Zealand</w:t>
      </w:r>
    </w:p>
    <w:p w14:paraId="55A22550" w14:textId="77777777" w:rsidR="00C7122E" w:rsidRPr="00A119E8" w:rsidRDefault="00C7122E" w:rsidP="00D63061"/>
    <w:p w14:paraId="487E4F05" w14:textId="77777777" w:rsidR="00C7122E" w:rsidRDefault="00C7122E" w:rsidP="00D63061">
      <w:pPr>
        <w:pStyle w:val="Figure"/>
      </w:pPr>
      <w:bookmarkStart w:id="151" w:name="_Toc428368084"/>
      <w:bookmarkStart w:id="152" w:name="_Toc428370462"/>
      <w:bookmarkStart w:id="153" w:name="_Toc445801467"/>
      <w:bookmarkStart w:id="154" w:name="_Toc447527166"/>
      <w:bookmarkStart w:id="155" w:name="_Toc458409448"/>
      <w:bookmarkStart w:id="156" w:name="_Toc531260461"/>
      <w:r w:rsidRPr="00A119E8">
        <w:lastRenderedPageBreak/>
        <w:t xml:space="preserve">Figure </w:t>
      </w:r>
      <w:r>
        <w:t>15A</w:t>
      </w:r>
      <w:r w:rsidRPr="00A119E8">
        <w:t xml:space="preserve">: Percentage of women aged 25–69 years who received a cervical smear in the past three years, Pacific peoples, </w:t>
      </w:r>
      <w:r>
        <w:t>Auckland region</w:t>
      </w:r>
      <w:r w:rsidRPr="00A119E8">
        <w:t xml:space="preserve"> DHBs, </w:t>
      </w:r>
      <w:bookmarkEnd w:id="151"/>
      <w:bookmarkEnd w:id="152"/>
      <w:bookmarkEnd w:id="153"/>
      <w:bookmarkEnd w:id="154"/>
      <w:bookmarkEnd w:id="155"/>
      <w:r>
        <w:t>March 2014–March 2017</w:t>
      </w:r>
      <w:bookmarkEnd w:id="156"/>
    </w:p>
    <w:p w14:paraId="30AA4E4E" w14:textId="77777777" w:rsidR="00C7122E" w:rsidRDefault="00C7122E" w:rsidP="00C7122E">
      <w:r>
        <w:rPr>
          <w:noProof/>
          <w:lang w:eastAsia="ja-JP"/>
        </w:rPr>
        <w:drawing>
          <wp:inline distT="0" distB="0" distL="0" distR="0" wp14:anchorId="1CF9DD0C" wp14:editId="38A1DC04">
            <wp:extent cx="4688378" cy="2884517"/>
            <wp:effectExtent l="0" t="0" r="0" b="0"/>
            <wp:docPr id="69" name="Chart 69" title="Figure 15A: Percentage of women aged 25–69 years who received a cervical smear in the past three years, Pacific peoples, Auckland region DHBs, March 2014–March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08AD7DC" w14:textId="77777777" w:rsidR="00C7122E" w:rsidRDefault="00C7122E" w:rsidP="00D63061">
      <w:pPr>
        <w:pStyle w:val="Source"/>
      </w:pPr>
      <w:r w:rsidRPr="005C54C4">
        <w:t xml:space="preserve">Source: NCSP reporting </w:t>
      </w:r>
      <w:r>
        <w:t>and Statistics New Zealand</w:t>
      </w:r>
    </w:p>
    <w:p w14:paraId="3987DE60" w14:textId="77777777" w:rsidR="00C7122E" w:rsidRDefault="00C7122E" w:rsidP="00D63061"/>
    <w:p w14:paraId="2C6ADF58" w14:textId="77777777" w:rsidR="00C7122E" w:rsidRDefault="00C7122E" w:rsidP="00D63061">
      <w:pPr>
        <w:pStyle w:val="Figure"/>
      </w:pPr>
      <w:bookmarkStart w:id="157" w:name="_Toc531260462"/>
      <w:r w:rsidRPr="00A119E8">
        <w:t xml:space="preserve">Figure </w:t>
      </w:r>
      <w:r>
        <w:t>15B</w:t>
      </w:r>
      <w:r w:rsidRPr="00A119E8">
        <w:t xml:space="preserve">: Percentage of women aged 25–69 years who received a cervical smear in the past three years, Pacific peoples, </w:t>
      </w:r>
      <w:r>
        <w:t>priority</w:t>
      </w:r>
      <w:r w:rsidRPr="00A119E8">
        <w:t xml:space="preserve"> DHBs</w:t>
      </w:r>
      <w:r>
        <w:t xml:space="preserve"> outside the Auckland region</w:t>
      </w:r>
      <w:r w:rsidRPr="00A119E8">
        <w:t xml:space="preserve">, </w:t>
      </w:r>
      <w:r>
        <w:t>March 2014–March 2017</w:t>
      </w:r>
      <w:bookmarkEnd w:id="157"/>
    </w:p>
    <w:p w14:paraId="1B06FDF9" w14:textId="77777777" w:rsidR="00C7122E" w:rsidRDefault="00C7122E" w:rsidP="00C7122E">
      <w:r>
        <w:rPr>
          <w:noProof/>
          <w:lang w:eastAsia="ja-JP"/>
        </w:rPr>
        <w:drawing>
          <wp:inline distT="0" distB="0" distL="0" distR="0" wp14:anchorId="34826A4F" wp14:editId="0A351EE9">
            <wp:extent cx="4688378" cy="2951018"/>
            <wp:effectExtent l="0" t="0" r="0" b="1905"/>
            <wp:docPr id="70" name="Chart 70" title="Figure 15B: Percentage of women aged 25–69 years who received a cervical smear in the past three years, Pacific peoples, priority DHBs outside the Auckland region, March 2014–March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764A0C79" w14:textId="77777777" w:rsidR="00C7122E" w:rsidRDefault="00C7122E" w:rsidP="00D63061">
      <w:pPr>
        <w:pStyle w:val="Source"/>
      </w:pPr>
      <w:r w:rsidRPr="005C54C4">
        <w:t xml:space="preserve">Source: NCSP reporting </w:t>
      </w:r>
      <w:r>
        <w:t>and Statistics New Zealand</w:t>
      </w:r>
    </w:p>
    <w:p w14:paraId="11CD880E" w14:textId="77777777" w:rsidR="00C7122E" w:rsidRDefault="00C7122E" w:rsidP="00D63061"/>
    <w:p w14:paraId="14E92B93" w14:textId="77777777" w:rsidR="00D63061" w:rsidRDefault="00D63061" w:rsidP="00D63061">
      <w:pPr>
        <w:pStyle w:val="Note"/>
        <w:keepNext/>
        <w:ind w:left="0" w:right="0" w:firstLine="0"/>
      </w:pPr>
      <w:r>
        <w:lastRenderedPageBreak/>
        <w:t>Notes</w:t>
      </w:r>
    </w:p>
    <w:p w14:paraId="50395981" w14:textId="77777777" w:rsidR="00D63061" w:rsidRPr="00D63061" w:rsidRDefault="00D63061" w:rsidP="002B0737">
      <w:pPr>
        <w:pStyle w:val="Note"/>
        <w:keepNext/>
        <w:ind w:left="0" w:right="0" w:firstLine="0"/>
        <w:rPr>
          <w:b/>
        </w:rPr>
      </w:pPr>
      <w:r w:rsidRPr="00D63061">
        <w:rPr>
          <w:b/>
        </w:rPr>
        <w:t>Figures 14, 15A and 15B:</w:t>
      </w:r>
    </w:p>
    <w:p w14:paraId="432B7F0F" w14:textId="77777777" w:rsidR="00D63061" w:rsidRDefault="00D63061" w:rsidP="002B0737">
      <w:pPr>
        <w:pStyle w:val="Note"/>
        <w:keepNext/>
        <w:ind w:left="0" w:right="0" w:firstLine="0"/>
      </w:pPr>
      <w:r w:rsidRPr="00546CFB">
        <w:t>Timeframes: the data reflect</w:t>
      </w:r>
      <w:r>
        <w:t>s</w:t>
      </w:r>
      <w:r w:rsidRPr="00546CFB">
        <w:t xml:space="preserve"> a </w:t>
      </w:r>
      <w:r>
        <w:t>quarter (</w:t>
      </w:r>
      <w:r w:rsidRPr="003A3588">
        <w:t>three months).</w:t>
      </w:r>
      <w:r>
        <w:t xml:space="preserve"> The dates shown on the graph are the end month of the quarter. For this report, ‘March 2017’ covers the period 1 January–31 March 2017.</w:t>
      </w:r>
    </w:p>
    <w:p w14:paraId="76B62A14" w14:textId="77777777" w:rsidR="00D63061" w:rsidRDefault="00D63061" w:rsidP="002B0737">
      <w:pPr>
        <w:pStyle w:val="Note"/>
        <w:keepNext/>
        <w:ind w:left="0" w:right="0" w:firstLine="0"/>
      </w:pPr>
      <w:r>
        <w:t xml:space="preserve">Numerator: the number (count) of women aged 25–69 years at the end of the relevant reporting period who had received a cervical smear test in the previous three years. Source: </w:t>
      </w:r>
      <w:r w:rsidRPr="005C54C4">
        <w:t>NCSP reporting</w:t>
      </w:r>
    </w:p>
    <w:p w14:paraId="457933FB" w14:textId="77777777" w:rsidR="00D63061" w:rsidRDefault="00D63061" w:rsidP="002B0737">
      <w:pPr>
        <w:pStyle w:val="Note"/>
        <w:keepNext/>
        <w:ind w:left="0" w:right="0" w:firstLine="0"/>
      </w:pPr>
      <w:r>
        <w:t xml:space="preserve">Denominator: the </w:t>
      </w:r>
      <w:r w:rsidRPr="00C86921">
        <w:t>number</w:t>
      </w:r>
      <w:r>
        <w:t xml:space="preserve"> (count) of women aged 25–69 years at the end of the relevant reporting period in the relevant population (total New Zealand population, total New Zealand Pacific population and Pacific population in each DHB). Source: Statistics New Zealand population projections, based on the 2013 Census</w:t>
      </w:r>
    </w:p>
    <w:p w14:paraId="55CC019E" w14:textId="77777777" w:rsidR="00D63061" w:rsidRDefault="00D63061" w:rsidP="00D63061">
      <w:pPr>
        <w:pStyle w:val="Note"/>
        <w:ind w:left="0" w:right="0" w:firstLine="0"/>
      </w:pPr>
      <w:r>
        <w:t>Sources: After February 2016, ethnicity was classified using the demographic information recorded on the Ministry of Health’s National Health Index. Prior to this date, ethnicity was classified using demographic information collected by the NCSP. Variation in the coverage level after February 2016 therefore reflects changes in ethnicity classification and changes in coverage.</w:t>
      </w:r>
    </w:p>
    <w:p w14:paraId="0E66F7A6" w14:textId="77777777" w:rsidR="00C7122E" w:rsidRDefault="00C7122E" w:rsidP="00D63061"/>
    <w:p w14:paraId="1F374857" w14:textId="77777777" w:rsidR="00C7122E" w:rsidRPr="00A32DA3" w:rsidRDefault="00C7122E" w:rsidP="00D63061">
      <w:pPr>
        <w:pStyle w:val="Table"/>
      </w:pPr>
      <w:bookmarkStart w:id="158" w:name="_Toc531260405"/>
      <w:r>
        <w:t>Table 9</w:t>
      </w:r>
      <w:r w:rsidRPr="00A119E8">
        <w:t xml:space="preserve">: </w:t>
      </w:r>
      <w:r>
        <w:t xml:space="preserve">Number and percentage of women aged 25-69 years who received a cervical smear test in the previous three years, Pacific peoples, by priority </w:t>
      </w:r>
      <w:r w:rsidRPr="00A119E8">
        <w:t>DHBs</w:t>
      </w:r>
      <w:r>
        <w:t>, 1 January– 31 March 2017</w:t>
      </w:r>
      <w:bookmarkEnd w:id="158"/>
    </w:p>
    <w:tbl>
      <w:tblPr>
        <w:tblW w:w="0" w:type="auto"/>
        <w:tblInd w:w="57" w:type="dxa"/>
        <w:tblLayout w:type="fixed"/>
        <w:tblCellMar>
          <w:left w:w="57" w:type="dxa"/>
          <w:right w:w="57" w:type="dxa"/>
        </w:tblCellMar>
        <w:tblLook w:val="04A0" w:firstRow="1" w:lastRow="0" w:firstColumn="1" w:lastColumn="0" w:noHBand="0" w:noVBand="1"/>
      </w:tblPr>
      <w:tblGrid>
        <w:gridCol w:w="1439"/>
        <w:gridCol w:w="2100"/>
        <w:gridCol w:w="1939"/>
        <w:gridCol w:w="1939"/>
        <w:gridCol w:w="1939"/>
      </w:tblGrid>
      <w:tr w:rsidR="00C7122E" w:rsidRPr="005E185B" w14:paraId="1D2BAC7F" w14:textId="77777777" w:rsidTr="00D63061">
        <w:trPr>
          <w:cantSplit/>
        </w:trPr>
        <w:tc>
          <w:tcPr>
            <w:tcW w:w="1439" w:type="dxa"/>
            <w:tcBorders>
              <w:top w:val="single" w:sz="4" w:space="0" w:color="auto"/>
              <w:bottom w:val="single" w:sz="4" w:space="0" w:color="auto"/>
            </w:tcBorders>
            <w:shd w:val="clear" w:color="auto" w:fill="auto"/>
            <w:hideMark/>
          </w:tcPr>
          <w:p w14:paraId="26DEEB74" w14:textId="77777777" w:rsidR="00C7122E" w:rsidRPr="00A32DA3" w:rsidRDefault="00C7122E" w:rsidP="00D63061">
            <w:pPr>
              <w:pStyle w:val="TableText"/>
            </w:pPr>
          </w:p>
        </w:tc>
        <w:tc>
          <w:tcPr>
            <w:tcW w:w="2100" w:type="dxa"/>
            <w:tcBorders>
              <w:top w:val="single" w:sz="4" w:space="0" w:color="auto"/>
              <w:bottom w:val="single" w:sz="4" w:space="0" w:color="auto"/>
            </w:tcBorders>
            <w:shd w:val="clear" w:color="auto" w:fill="auto"/>
            <w:hideMark/>
          </w:tcPr>
          <w:p w14:paraId="50FB7D4F" w14:textId="77777777" w:rsidR="00C7122E" w:rsidRPr="00A32DA3" w:rsidRDefault="00C7122E" w:rsidP="00D63061">
            <w:pPr>
              <w:pStyle w:val="TableText"/>
              <w:rPr>
                <w:rFonts w:cs="Arial"/>
                <w:b/>
                <w:color w:val="000000"/>
                <w:lang w:eastAsia="en-NZ"/>
              </w:rPr>
            </w:pPr>
            <w:r w:rsidRPr="00A32DA3">
              <w:rPr>
                <w:rFonts w:cs="Arial"/>
                <w:b/>
                <w:color w:val="000000"/>
              </w:rPr>
              <w:t>Region</w:t>
            </w:r>
          </w:p>
        </w:tc>
        <w:tc>
          <w:tcPr>
            <w:tcW w:w="1939" w:type="dxa"/>
            <w:tcBorders>
              <w:top w:val="single" w:sz="4" w:space="0" w:color="auto"/>
              <w:bottom w:val="single" w:sz="4" w:space="0" w:color="auto"/>
            </w:tcBorders>
            <w:shd w:val="clear" w:color="auto" w:fill="auto"/>
            <w:hideMark/>
          </w:tcPr>
          <w:p w14:paraId="5B031411" w14:textId="77777777" w:rsidR="00C7122E" w:rsidRPr="00A32DA3" w:rsidRDefault="00C7122E" w:rsidP="00D63061">
            <w:pPr>
              <w:pStyle w:val="TableText"/>
              <w:jc w:val="center"/>
              <w:rPr>
                <w:rFonts w:cs="Arial"/>
                <w:b/>
                <w:bCs/>
                <w:color w:val="000000"/>
              </w:rPr>
            </w:pPr>
            <w:r w:rsidRPr="00A32DA3">
              <w:rPr>
                <w:rFonts w:cs="Arial"/>
                <w:b/>
                <w:bCs/>
                <w:color w:val="000000"/>
              </w:rPr>
              <w:t>Number screened (count)</w:t>
            </w:r>
          </w:p>
        </w:tc>
        <w:tc>
          <w:tcPr>
            <w:tcW w:w="1939" w:type="dxa"/>
            <w:tcBorders>
              <w:top w:val="single" w:sz="4" w:space="0" w:color="auto"/>
              <w:bottom w:val="single" w:sz="4" w:space="0" w:color="auto"/>
            </w:tcBorders>
            <w:shd w:val="clear" w:color="auto" w:fill="auto"/>
            <w:hideMark/>
          </w:tcPr>
          <w:p w14:paraId="2025BE3F" w14:textId="77777777" w:rsidR="00C7122E" w:rsidRPr="00A32DA3" w:rsidRDefault="00C7122E" w:rsidP="00D63061">
            <w:pPr>
              <w:pStyle w:val="TableText"/>
              <w:jc w:val="center"/>
              <w:rPr>
                <w:rFonts w:cs="Arial"/>
                <w:b/>
                <w:bCs/>
                <w:color w:val="000000"/>
              </w:rPr>
            </w:pPr>
            <w:r w:rsidRPr="00A32DA3">
              <w:rPr>
                <w:rFonts w:cs="Arial"/>
                <w:b/>
                <w:bCs/>
                <w:color w:val="000000"/>
              </w:rPr>
              <w:t>Total eligible population (count)</w:t>
            </w:r>
          </w:p>
        </w:tc>
        <w:tc>
          <w:tcPr>
            <w:tcW w:w="1939" w:type="dxa"/>
            <w:tcBorders>
              <w:top w:val="single" w:sz="4" w:space="0" w:color="auto"/>
              <w:bottom w:val="single" w:sz="4" w:space="0" w:color="auto"/>
            </w:tcBorders>
            <w:shd w:val="clear" w:color="auto" w:fill="auto"/>
            <w:hideMark/>
          </w:tcPr>
          <w:p w14:paraId="63004A35" w14:textId="77777777" w:rsidR="00C7122E" w:rsidRPr="00A32DA3" w:rsidRDefault="00C7122E" w:rsidP="00D63061">
            <w:pPr>
              <w:pStyle w:val="TableText"/>
              <w:jc w:val="center"/>
              <w:rPr>
                <w:rFonts w:cs="Arial"/>
                <w:b/>
                <w:bCs/>
                <w:color w:val="000000"/>
              </w:rPr>
            </w:pPr>
            <w:r w:rsidRPr="00A32DA3">
              <w:rPr>
                <w:rFonts w:cs="Arial"/>
                <w:b/>
                <w:bCs/>
                <w:color w:val="000000"/>
              </w:rPr>
              <w:t>Percentage</w:t>
            </w:r>
            <w:r w:rsidR="00D63061">
              <w:rPr>
                <w:rFonts w:cs="Arial"/>
                <w:b/>
                <w:bCs/>
                <w:color w:val="000000"/>
              </w:rPr>
              <w:br/>
            </w:r>
            <w:r w:rsidRPr="00A32DA3">
              <w:rPr>
                <w:rFonts w:cs="Arial"/>
                <w:b/>
                <w:bCs/>
                <w:color w:val="000000"/>
              </w:rPr>
              <w:t>screened</w:t>
            </w:r>
          </w:p>
        </w:tc>
      </w:tr>
      <w:tr w:rsidR="00C7122E" w:rsidRPr="00972E45" w14:paraId="368C6E5B" w14:textId="77777777" w:rsidTr="00D63061">
        <w:trPr>
          <w:cantSplit/>
        </w:trPr>
        <w:tc>
          <w:tcPr>
            <w:tcW w:w="1439" w:type="dxa"/>
            <w:vMerge w:val="restart"/>
            <w:tcBorders>
              <w:top w:val="single" w:sz="4" w:space="0" w:color="auto"/>
              <w:bottom w:val="single" w:sz="4" w:space="0" w:color="auto"/>
            </w:tcBorders>
            <w:shd w:val="clear" w:color="auto" w:fill="auto"/>
            <w:hideMark/>
          </w:tcPr>
          <w:p w14:paraId="2F85446D" w14:textId="77777777" w:rsidR="00C7122E" w:rsidRPr="00A32DA3" w:rsidRDefault="00C7122E" w:rsidP="00D63061">
            <w:pPr>
              <w:pStyle w:val="TableText"/>
              <w:ind w:right="284"/>
            </w:pPr>
            <w:r w:rsidRPr="00A32DA3">
              <w:t>Auckland region</w:t>
            </w:r>
          </w:p>
        </w:tc>
        <w:tc>
          <w:tcPr>
            <w:tcW w:w="2100" w:type="dxa"/>
            <w:tcBorders>
              <w:top w:val="single" w:sz="4" w:space="0" w:color="auto"/>
              <w:bottom w:val="single" w:sz="4" w:space="0" w:color="9BBB59" w:themeColor="accent3"/>
            </w:tcBorders>
            <w:shd w:val="clear" w:color="auto" w:fill="auto"/>
            <w:hideMark/>
          </w:tcPr>
          <w:p w14:paraId="269EDD98" w14:textId="77777777" w:rsidR="00C7122E" w:rsidRPr="00A32DA3" w:rsidRDefault="00C7122E" w:rsidP="00D63061">
            <w:pPr>
              <w:pStyle w:val="TableText"/>
              <w:rPr>
                <w:rFonts w:cs="Arial"/>
                <w:color w:val="000000"/>
              </w:rPr>
            </w:pPr>
            <w:r w:rsidRPr="00A32DA3">
              <w:rPr>
                <w:rFonts w:cs="Arial"/>
                <w:color w:val="000000"/>
              </w:rPr>
              <w:t>Counties Manukau</w:t>
            </w:r>
          </w:p>
        </w:tc>
        <w:tc>
          <w:tcPr>
            <w:tcW w:w="1939" w:type="dxa"/>
            <w:tcBorders>
              <w:top w:val="single" w:sz="4" w:space="0" w:color="auto"/>
              <w:bottom w:val="single" w:sz="4" w:space="0" w:color="9BBB59" w:themeColor="accent3"/>
            </w:tcBorders>
            <w:shd w:val="clear" w:color="auto" w:fill="auto"/>
            <w:hideMark/>
          </w:tcPr>
          <w:p w14:paraId="37A7DB73" w14:textId="77777777" w:rsidR="00C7122E" w:rsidRPr="00A32DA3" w:rsidRDefault="00C7122E" w:rsidP="00D63061">
            <w:pPr>
              <w:pStyle w:val="TableText"/>
              <w:tabs>
                <w:tab w:val="decimal" w:pos="1134"/>
              </w:tabs>
              <w:rPr>
                <w:rFonts w:cs="Arial"/>
                <w:color w:val="000000"/>
              </w:rPr>
            </w:pPr>
            <w:r w:rsidRPr="00A32DA3">
              <w:rPr>
                <w:rFonts w:cs="Arial"/>
                <w:color w:val="000000"/>
              </w:rPr>
              <w:t>21,016</w:t>
            </w:r>
          </w:p>
        </w:tc>
        <w:tc>
          <w:tcPr>
            <w:tcW w:w="1939" w:type="dxa"/>
            <w:tcBorders>
              <w:top w:val="single" w:sz="4" w:space="0" w:color="auto"/>
              <w:bottom w:val="single" w:sz="4" w:space="0" w:color="9BBB59" w:themeColor="accent3"/>
            </w:tcBorders>
            <w:shd w:val="clear" w:color="auto" w:fill="auto"/>
            <w:hideMark/>
          </w:tcPr>
          <w:p w14:paraId="3D9A8C57" w14:textId="77777777" w:rsidR="00C7122E" w:rsidRPr="00A32DA3" w:rsidRDefault="00C7122E" w:rsidP="00D63061">
            <w:pPr>
              <w:pStyle w:val="TableText"/>
              <w:tabs>
                <w:tab w:val="decimal" w:pos="1134"/>
              </w:tabs>
              <w:rPr>
                <w:rFonts w:cs="Arial"/>
                <w:color w:val="000000"/>
              </w:rPr>
            </w:pPr>
            <w:r w:rsidRPr="00A32DA3">
              <w:rPr>
                <w:rFonts w:cs="Arial"/>
                <w:color w:val="000000"/>
              </w:rPr>
              <w:t>25,736</w:t>
            </w:r>
          </w:p>
        </w:tc>
        <w:tc>
          <w:tcPr>
            <w:tcW w:w="1939" w:type="dxa"/>
            <w:tcBorders>
              <w:top w:val="single" w:sz="4" w:space="0" w:color="auto"/>
              <w:bottom w:val="single" w:sz="4" w:space="0" w:color="9BBB59" w:themeColor="accent3"/>
            </w:tcBorders>
            <w:shd w:val="clear" w:color="auto" w:fill="auto"/>
            <w:noWrap/>
            <w:hideMark/>
          </w:tcPr>
          <w:p w14:paraId="6D06BCF8" w14:textId="77777777" w:rsidR="00C7122E" w:rsidRPr="00A32DA3" w:rsidRDefault="00C7122E" w:rsidP="00D63061">
            <w:pPr>
              <w:pStyle w:val="TableText"/>
              <w:jc w:val="center"/>
              <w:rPr>
                <w:rFonts w:cs="Arial"/>
                <w:color w:val="000000"/>
              </w:rPr>
            </w:pPr>
            <w:r w:rsidRPr="00A32DA3">
              <w:rPr>
                <w:rFonts w:cs="Arial"/>
                <w:color w:val="000000"/>
              </w:rPr>
              <w:t>82%</w:t>
            </w:r>
          </w:p>
        </w:tc>
      </w:tr>
      <w:tr w:rsidR="00C7122E" w:rsidRPr="00972E45" w14:paraId="65397217" w14:textId="77777777" w:rsidTr="00D63061">
        <w:trPr>
          <w:cantSplit/>
        </w:trPr>
        <w:tc>
          <w:tcPr>
            <w:tcW w:w="1439" w:type="dxa"/>
            <w:vMerge/>
            <w:tcBorders>
              <w:top w:val="single" w:sz="4" w:space="0" w:color="auto"/>
              <w:bottom w:val="single" w:sz="4" w:space="0" w:color="auto"/>
            </w:tcBorders>
            <w:hideMark/>
          </w:tcPr>
          <w:p w14:paraId="44726111" w14:textId="77777777" w:rsidR="00C7122E" w:rsidRPr="00A32DA3" w:rsidRDefault="00C7122E" w:rsidP="00D63061">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73029201" w14:textId="77777777" w:rsidR="00C7122E" w:rsidRPr="00A32DA3" w:rsidRDefault="00C7122E" w:rsidP="00D63061">
            <w:pPr>
              <w:pStyle w:val="TableText"/>
              <w:rPr>
                <w:rFonts w:cs="Arial"/>
                <w:color w:val="000000"/>
              </w:rPr>
            </w:pPr>
            <w:r w:rsidRPr="00A32DA3">
              <w:rPr>
                <w:rFonts w:cs="Arial"/>
                <w:color w:val="000000"/>
              </w:rPr>
              <w:t>Auckland</w:t>
            </w:r>
          </w:p>
        </w:tc>
        <w:tc>
          <w:tcPr>
            <w:tcW w:w="1939" w:type="dxa"/>
            <w:tcBorders>
              <w:top w:val="single" w:sz="4" w:space="0" w:color="9BBB59" w:themeColor="accent3"/>
              <w:bottom w:val="single" w:sz="4" w:space="0" w:color="9BBB59" w:themeColor="accent3"/>
            </w:tcBorders>
            <w:shd w:val="clear" w:color="auto" w:fill="auto"/>
            <w:hideMark/>
          </w:tcPr>
          <w:p w14:paraId="44A81F7B" w14:textId="77777777" w:rsidR="00C7122E" w:rsidRPr="00A32DA3" w:rsidRDefault="00C7122E" w:rsidP="00D63061">
            <w:pPr>
              <w:pStyle w:val="TableText"/>
              <w:tabs>
                <w:tab w:val="decimal" w:pos="1134"/>
              </w:tabs>
              <w:rPr>
                <w:rFonts w:cs="Arial"/>
                <w:color w:val="000000"/>
              </w:rPr>
            </w:pPr>
            <w:r w:rsidRPr="00A32DA3">
              <w:rPr>
                <w:rFonts w:cs="Arial"/>
                <w:color w:val="000000"/>
              </w:rPr>
              <w:t>9,347</w:t>
            </w:r>
          </w:p>
        </w:tc>
        <w:tc>
          <w:tcPr>
            <w:tcW w:w="1939" w:type="dxa"/>
            <w:tcBorders>
              <w:top w:val="single" w:sz="4" w:space="0" w:color="9BBB59" w:themeColor="accent3"/>
              <w:bottom w:val="single" w:sz="4" w:space="0" w:color="9BBB59" w:themeColor="accent3"/>
            </w:tcBorders>
            <w:shd w:val="clear" w:color="auto" w:fill="auto"/>
            <w:hideMark/>
          </w:tcPr>
          <w:p w14:paraId="00CC99EA" w14:textId="77777777" w:rsidR="00C7122E" w:rsidRPr="00A32DA3" w:rsidRDefault="00C7122E" w:rsidP="00D63061">
            <w:pPr>
              <w:pStyle w:val="TableText"/>
              <w:tabs>
                <w:tab w:val="decimal" w:pos="1134"/>
              </w:tabs>
              <w:rPr>
                <w:rFonts w:cs="Arial"/>
                <w:color w:val="000000"/>
              </w:rPr>
            </w:pPr>
            <w:r w:rsidRPr="00A32DA3">
              <w:rPr>
                <w:rFonts w:cs="Arial"/>
                <w:color w:val="000000"/>
              </w:rPr>
              <w:t>12,986</w:t>
            </w:r>
          </w:p>
        </w:tc>
        <w:tc>
          <w:tcPr>
            <w:tcW w:w="1939" w:type="dxa"/>
            <w:tcBorders>
              <w:top w:val="single" w:sz="4" w:space="0" w:color="9BBB59" w:themeColor="accent3"/>
              <w:bottom w:val="single" w:sz="4" w:space="0" w:color="9BBB59" w:themeColor="accent3"/>
            </w:tcBorders>
            <w:shd w:val="clear" w:color="auto" w:fill="auto"/>
            <w:noWrap/>
            <w:hideMark/>
          </w:tcPr>
          <w:p w14:paraId="44394C85" w14:textId="77777777" w:rsidR="00C7122E" w:rsidRPr="00A32DA3" w:rsidRDefault="00C7122E" w:rsidP="00D63061">
            <w:pPr>
              <w:pStyle w:val="TableText"/>
              <w:jc w:val="center"/>
              <w:rPr>
                <w:rFonts w:cs="Arial"/>
                <w:color w:val="000000"/>
              </w:rPr>
            </w:pPr>
            <w:r w:rsidRPr="00A32DA3">
              <w:rPr>
                <w:rFonts w:cs="Arial"/>
                <w:color w:val="000000"/>
              </w:rPr>
              <w:t>72%</w:t>
            </w:r>
          </w:p>
        </w:tc>
      </w:tr>
      <w:tr w:rsidR="00C7122E" w:rsidRPr="00972E45" w14:paraId="4AC7E9A4" w14:textId="77777777" w:rsidTr="00D63061">
        <w:trPr>
          <w:cantSplit/>
        </w:trPr>
        <w:tc>
          <w:tcPr>
            <w:tcW w:w="1439" w:type="dxa"/>
            <w:vMerge/>
            <w:tcBorders>
              <w:top w:val="single" w:sz="4" w:space="0" w:color="auto"/>
              <w:bottom w:val="single" w:sz="4" w:space="0" w:color="auto"/>
            </w:tcBorders>
            <w:hideMark/>
          </w:tcPr>
          <w:p w14:paraId="67DAD79C" w14:textId="77777777" w:rsidR="00C7122E" w:rsidRPr="00A32DA3" w:rsidRDefault="00C7122E" w:rsidP="00D63061">
            <w:pPr>
              <w:pStyle w:val="TableText"/>
            </w:pPr>
          </w:p>
        </w:tc>
        <w:tc>
          <w:tcPr>
            <w:tcW w:w="2100" w:type="dxa"/>
            <w:tcBorders>
              <w:top w:val="single" w:sz="4" w:space="0" w:color="9BBB59" w:themeColor="accent3"/>
              <w:bottom w:val="single" w:sz="4" w:space="0" w:color="auto"/>
            </w:tcBorders>
            <w:shd w:val="clear" w:color="auto" w:fill="auto"/>
            <w:hideMark/>
          </w:tcPr>
          <w:p w14:paraId="518E7428" w14:textId="77777777" w:rsidR="00C7122E" w:rsidRPr="00A32DA3" w:rsidRDefault="00C7122E" w:rsidP="00D63061">
            <w:pPr>
              <w:pStyle w:val="TableText"/>
              <w:rPr>
                <w:rFonts w:cs="Arial"/>
                <w:color w:val="000000"/>
              </w:rPr>
            </w:pPr>
            <w:r w:rsidRPr="00A32DA3">
              <w:rPr>
                <w:rFonts w:cs="Arial"/>
                <w:color w:val="000000"/>
              </w:rPr>
              <w:t>Waitemata</w:t>
            </w:r>
          </w:p>
        </w:tc>
        <w:tc>
          <w:tcPr>
            <w:tcW w:w="1939" w:type="dxa"/>
            <w:tcBorders>
              <w:top w:val="single" w:sz="4" w:space="0" w:color="9BBB59" w:themeColor="accent3"/>
              <w:bottom w:val="single" w:sz="4" w:space="0" w:color="auto"/>
            </w:tcBorders>
            <w:shd w:val="clear" w:color="auto" w:fill="auto"/>
            <w:hideMark/>
          </w:tcPr>
          <w:p w14:paraId="610AFF5E" w14:textId="77777777" w:rsidR="00C7122E" w:rsidRPr="00A32DA3" w:rsidRDefault="00C7122E" w:rsidP="00D63061">
            <w:pPr>
              <w:pStyle w:val="TableText"/>
              <w:tabs>
                <w:tab w:val="decimal" w:pos="1134"/>
              </w:tabs>
              <w:rPr>
                <w:rFonts w:cs="Arial"/>
                <w:color w:val="000000"/>
              </w:rPr>
            </w:pPr>
            <w:r w:rsidRPr="00A32DA3">
              <w:rPr>
                <w:rFonts w:cs="Arial"/>
                <w:color w:val="000000"/>
              </w:rPr>
              <w:t>7,095</w:t>
            </w:r>
          </w:p>
        </w:tc>
        <w:tc>
          <w:tcPr>
            <w:tcW w:w="1939" w:type="dxa"/>
            <w:tcBorders>
              <w:top w:val="single" w:sz="4" w:space="0" w:color="9BBB59" w:themeColor="accent3"/>
              <w:bottom w:val="single" w:sz="4" w:space="0" w:color="auto"/>
            </w:tcBorders>
            <w:shd w:val="clear" w:color="auto" w:fill="auto"/>
            <w:hideMark/>
          </w:tcPr>
          <w:p w14:paraId="7DF39502" w14:textId="77777777" w:rsidR="00C7122E" w:rsidRPr="00A32DA3" w:rsidRDefault="00C7122E" w:rsidP="00D63061">
            <w:pPr>
              <w:pStyle w:val="TableText"/>
              <w:tabs>
                <w:tab w:val="decimal" w:pos="1134"/>
              </w:tabs>
              <w:rPr>
                <w:rFonts w:cs="Arial"/>
                <w:color w:val="000000"/>
              </w:rPr>
            </w:pPr>
            <w:r w:rsidRPr="00A32DA3">
              <w:rPr>
                <w:rFonts w:cs="Arial"/>
                <w:color w:val="000000"/>
              </w:rPr>
              <w:t>9,666</w:t>
            </w:r>
          </w:p>
        </w:tc>
        <w:tc>
          <w:tcPr>
            <w:tcW w:w="1939" w:type="dxa"/>
            <w:tcBorders>
              <w:top w:val="single" w:sz="4" w:space="0" w:color="9BBB59" w:themeColor="accent3"/>
              <w:bottom w:val="single" w:sz="4" w:space="0" w:color="auto"/>
            </w:tcBorders>
            <w:shd w:val="clear" w:color="auto" w:fill="auto"/>
            <w:noWrap/>
            <w:hideMark/>
          </w:tcPr>
          <w:p w14:paraId="04A86218" w14:textId="77777777" w:rsidR="00C7122E" w:rsidRPr="00A32DA3" w:rsidRDefault="00C7122E" w:rsidP="00D63061">
            <w:pPr>
              <w:pStyle w:val="TableText"/>
              <w:jc w:val="center"/>
              <w:rPr>
                <w:rFonts w:cs="Arial"/>
                <w:color w:val="000000"/>
              </w:rPr>
            </w:pPr>
            <w:r w:rsidRPr="00A32DA3">
              <w:rPr>
                <w:rFonts w:cs="Arial"/>
                <w:color w:val="000000"/>
              </w:rPr>
              <w:t>73%</w:t>
            </w:r>
          </w:p>
        </w:tc>
      </w:tr>
      <w:tr w:rsidR="00C7122E" w:rsidRPr="00972E45" w14:paraId="7561FA6F" w14:textId="77777777" w:rsidTr="00D63061">
        <w:trPr>
          <w:cantSplit/>
        </w:trPr>
        <w:tc>
          <w:tcPr>
            <w:tcW w:w="1439" w:type="dxa"/>
            <w:vMerge w:val="restart"/>
            <w:tcBorders>
              <w:top w:val="single" w:sz="4" w:space="0" w:color="auto"/>
              <w:bottom w:val="single" w:sz="4" w:space="0" w:color="auto"/>
            </w:tcBorders>
            <w:shd w:val="clear" w:color="auto" w:fill="auto"/>
            <w:hideMark/>
          </w:tcPr>
          <w:p w14:paraId="725B17E2" w14:textId="77777777" w:rsidR="00C7122E" w:rsidRPr="00A32DA3" w:rsidRDefault="00C7122E" w:rsidP="00D63061">
            <w:pPr>
              <w:pStyle w:val="TableText"/>
            </w:pPr>
            <w:r w:rsidRPr="00A32DA3">
              <w:t>Rest of New Zealand</w:t>
            </w:r>
          </w:p>
        </w:tc>
        <w:tc>
          <w:tcPr>
            <w:tcW w:w="2100" w:type="dxa"/>
            <w:tcBorders>
              <w:top w:val="single" w:sz="4" w:space="0" w:color="auto"/>
              <w:bottom w:val="single" w:sz="4" w:space="0" w:color="9BBB59" w:themeColor="accent3"/>
            </w:tcBorders>
            <w:shd w:val="clear" w:color="auto" w:fill="auto"/>
            <w:hideMark/>
          </w:tcPr>
          <w:p w14:paraId="2BB03B1B" w14:textId="77777777" w:rsidR="00C7122E" w:rsidRPr="00A32DA3" w:rsidRDefault="00C7122E" w:rsidP="00D63061">
            <w:pPr>
              <w:pStyle w:val="TableText"/>
              <w:rPr>
                <w:rFonts w:cs="Arial"/>
                <w:color w:val="000000"/>
              </w:rPr>
            </w:pPr>
            <w:r w:rsidRPr="00A32DA3">
              <w:rPr>
                <w:rFonts w:cs="Arial"/>
                <w:color w:val="000000"/>
              </w:rPr>
              <w:t>Capital &amp; Coast</w:t>
            </w:r>
          </w:p>
        </w:tc>
        <w:tc>
          <w:tcPr>
            <w:tcW w:w="1939" w:type="dxa"/>
            <w:tcBorders>
              <w:top w:val="single" w:sz="4" w:space="0" w:color="auto"/>
              <w:bottom w:val="single" w:sz="4" w:space="0" w:color="9BBB59" w:themeColor="accent3"/>
            </w:tcBorders>
            <w:shd w:val="clear" w:color="auto" w:fill="auto"/>
            <w:hideMark/>
          </w:tcPr>
          <w:p w14:paraId="22D833FB" w14:textId="77777777" w:rsidR="00C7122E" w:rsidRPr="00A32DA3" w:rsidRDefault="00C7122E" w:rsidP="00D63061">
            <w:pPr>
              <w:pStyle w:val="TableText"/>
              <w:tabs>
                <w:tab w:val="decimal" w:pos="1134"/>
              </w:tabs>
              <w:rPr>
                <w:rFonts w:cs="Arial"/>
                <w:color w:val="000000"/>
              </w:rPr>
            </w:pPr>
            <w:r w:rsidRPr="00A32DA3">
              <w:rPr>
                <w:rFonts w:cs="Arial"/>
                <w:color w:val="000000"/>
              </w:rPr>
              <w:t>3,383</w:t>
            </w:r>
          </w:p>
        </w:tc>
        <w:tc>
          <w:tcPr>
            <w:tcW w:w="1939" w:type="dxa"/>
            <w:tcBorders>
              <w:top w:val="single" w:sz="4" w:space="0" w:color="auto"/>
              <w:bottom w:val="single" w:sz="4" w:space="0" w:color="9BBB59" w:themeColor="accent3"/>
            </w:tcBorders>
            <w:shd w:val="clear" w:color="auto" w:fill="auto"/>
            <w:hideMark/>
          </w:tcPr>
          <w:p w14:paraId="5B4EEE5C" w14:textId="77777777" w:rsidR="00C7122E" w:rsidRPr="00A32DA3" w:rsidRDefault="00C7122E" w:rsidP="00D63061">
            <w:pPr>
              <w:pStyle w:val="TableText"/>
              <w:tabs>
                <w:tab w:val="decimal" w:pos="1134"/>
              </w:tabs>
              <w:rPr>
                <w:rFonts w:cs="Arial"/>
                <w:color w:val="000000"/>
              </w:rPr>
            </w:pPr>
            <w:r w:rsidRPr="00A32DA3">
              <w:rPr>
                <w:rFonts w:cs="Arial"/>
                <w:color w:val="000000"/>
              </w:rPr>
              <w:t>5,039</w:t>
            </w:r>
          </w:p>
        </w:tc>
        <w:tc>
          <w:tcPr>
            <w:tcW w:w="1939" w:type="dxa"/>
            <w:tcBorders>
              <w:top w:val="single" w:sz="4" w:space="0" w:color="auto"/>
              <w:bottom w:val="single" w:sz="4" w:space="0" w:color="9BBB59" w:themeColor="accent3"/>
            </w:tcBorders>
            <w:shd w:val="clear" w:color="auto" w:fill="auto"/>
            <w:noWrap/>
            <w:hideMark/>
          </w:tcPr>
          <w:p w14:paraId="7E1B38E1" w14:textId="77777777" w:rsidR="00C7122E" w:rsidRPr="00A32DA3" w:rsidRDefault="00C7122E" w:rsidP="00D63061">
            <w:pPr>
              <w:pStyle w:val="TableText"/>
              <w:jc w:val="center"/>
              <w:rPr>
                <w:rFonts w:cs="Arial"/>
                <w:color w:val="000000"/>
              </w:rPr>
            </w:pPr>
            <w:r w:rsidRPr="00A32DA3">
              <w:rPr>
                <w:rFonts w:cs="Arial"/>
                <w:color w:val="000000"/>
              </w:rPr>
              <w:t>67%</w:t>
            </w:r>
          </w:p>
        </w:tc>
      </w:tr>
      <w:tr w:rsidR="00C7122E" w:rsidRPr="00972E45" w14:paraId="2DEFB1C4" w14:textId="77777777" w:rsidTr="00D63061">
        <w:trPr>
          <w:cantSplit/>
        </w:trPr>
        <w:tc>
          <w:tcPr>
            <w:tcW w:w="1439" w:type="dxa"/>
            <w:vMerge/>
            <w:tcBorders>
              <w:top w:val="single" w:sz="4" w:space="0" w:color="auto"/>
              <w:bottom w:val="single" w:sz="4" w:space="0" w:color="auto"/>
            </w:tcBorders>
            <w:hideMark/>
          </w:tcPr>
          <w:p w14:paraId="4AD16757" w14:textId="77777777" w:rsidR="00C7122E" w:rsidRPr="00A32DA3" w:rsidRDefault="00C7122E" w:rsidP="00D63061">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5E76478D" w14:textId="77777777" w:rsidR="00C7122E" w:rsidRPr="00A32DA3" w:rsidRDefault="00C7122E" w:rsidP="00D63061">
            <w:pPr>
              <w:pStyle w:val="TableText"/>
              <w:rPr>
                <w:rFonts w:cs="Arial"/>
                <w:color w:val="000000"/>
              </w:rPr>
            </w:pPr>
            <w:r w:rsidRPr="00A32DA3">
              <w:rPr>
                <w:rFonts w:cs="Arial"/>
                <w:color w:val="000000"/>
              </w:rPr>
              <w:t>Canterbury</w:t>
            </w:r>
          </w:p>
        </w:tc>
        <w:tc>
          <w:tcPr>
            <w:tcW w:w="1939" w:type="dxa"/>
            <w:tcBorders>
              <w:top w:val="single" w:sz="4" w:space="0" w:color="9BBB59" w:themeColor="accent3"/>
              <w:bottom w:val="single" w:sz="4" w:space="0" w:color="9BBB59" w:themeColor="accent3"/>
            </w:tcBorders>
            <w:shd w:val="clear" w:color="auto" w:fill="auto"/>
            <w:hideMark/>
          </w:tcPr>
          <w:p w14:paraId="7AA3C8FB" w14:textId="77777777" w:rsidR="00C7122E" w:rsidRPr="00A32DA3" w:rsidRDefault="00C7122E" w:rsidP="00D63061">
            <w:pPr>
              <w:pStyle w:val="TableText"/>
              <w:tabs>
                <w:tab w:val="decimal" w:pos="1134"/>
              </w:tabs>
              <w:rPr>
                <w:rFonts w:cs="Arial"/>
                <w:color w:val="000000"/>
              </w:rPr>
            </w:pPr>
            <w:r w:rsidRPr="00A32DA3">
              <w:rPr>
                <w:rFonts w:cs="Arial"/>
                <w:color w:val="000000"/>
              </w:rPr>
              <w:t>2,038</w:t>
            </w:r>
          </w:p>
        </w:tc>
        <w:tc>
          <w:tcPr>
            <w:tcW w:w="1939" w:type="dxa"/>
            <w:tcBorders>
              <w:top w:val="single" w:sz="4" w:space="0" w:color="9BBB59" w:themeColor="accent3"/>
              <w:bottom w:val="single" w:sz="4" w:space="0" w:color="9BBB59" w:themeColor="accent3"/>
            </w:tcBorders>
            <w:shd w:val="clear" w:color="auto" w:fill="auto"/>
            <w:hideMark/>
          </w:tcPr>
          <w:p w14:paraId="78624070" w14:textId="77777777" w:rsidR="00C7122E" w:rsidRPr="00A32DA3" w:rsidRDefault="00C7122E" w:rsidP="00D63061">
            <w:pPr>
              <w:pStyle w:val="TableText"/>
              <w:tabs>
                <w:tab w:val="decimal" w:pos="1134"/>
              </w:tabs>
              <w:rPr>
                <w:rFonts w:cs="Arial"/>
                <w:color w:val="000000"/>
              </w:rPr>
            </w:pPr>
            <w:r w:rsidRPr="00A32DA3">
              <w:rPr>
                <w:rFonts w:cs="Arial"/>
                <w:color w:val="000000"/>
              </w:rPr>
              <w:t>2,772</w:t>
            </w:r>
          </w:p>
        </w:tc>
        <w:tc>
          <w:tcPr>
            <w:tcW w:w="1939" w:type="dxa"/>
            <w:tcBorders>
              <w:top w:val="single" w:sz="4" w:space="0" w:color="9BBB59" w:themeColor="accent3"/>
              <w:bottom w:val="single" w:sz="4" w:space="0" w:color="9BBB59" w:themeColor="accent3"/>
            </w:tcBorders>
            <w:shd w:val="clear" w:color="auto" w:fill="auto"/>
            <w:noWrap/>
            <w:hideMark/>
          </w:tcPr>
          <w:p w14:paraId="6C4F013F" w14:textId="77777777" w:rsidR="00C7122E" w:rsidRPr="00A32DA3" w:rsidRDefault="00C7122E" w:rsidP="00D63061">
            <w:pPr>
              <w:pStyle w:val="TableText"/>
              <w:jc w:val="center"/>
              <w:rPr>
                <w:rFonts w:cs="Arial"/>
                <w:color w:val="000000"/>
              </w:rPr>
            </w:pPr>
            <w:r w:rsidRPr="00A32DA3">
              <w:rPr>
                <w:rFonts w:cs="Arial"/>
                <w:color w:val="000000"/>
              </w:rPr>
              <w:t>74%</w:t>
            </w:r>
          </w:p>
        </w:tc>
      </w:tr>
      <w:tr w:rsidR="00C7122E" w:rsidRPr="00972E45" w14:paraId="71666103" w14:textId="77777777" w:rsidTr="00D63061">
        <w:trPr>
          <w:cantSplit/>
        </w:trPr>
        <w:tc>
          <w:tcPr>
            <w:tcW w:w="1439" w:type="dxa"/>
            <w:vMerge/>
            <w:tcBorders>
              <w:top w:val="single" w:sz="4" w:space="0" w:color="auto"/>
              <w:bottom w:val="single" w:sz="4" w:space="0" w:color="auto"/>
            </w:tcBorders>
            <w:hideMark/>
          </w:tcPr>
          <w:p w14:paraId="5F838AFC" w14:textId="77777777" w:rsidR="00C7122E" w:rsidRPr="00A32DA3" w:rsidRDefault="00C7122E" w:rsidP="00D63061">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5477DD22" w14:textId="77777777" w:rsidR="00C7122E" w:rsidRPr="00A32DA3" w:rsidRDefault="00C7122E" w:rsidP="00D63061">
            <w:pPr>
              <w:pStyle w:val="TableText"/>
              <w:rPr>
                <w:rFonts w:cs="Arial"/>
                <w:color w:val="000000"/>
              </w:rPr>
            </w:pPr>
            <w:r w:rsidRPr="00A32DA3">
              <w:rPr>
                <w:rFonts w:cs="Arial"/>
                <w:color w:val="000000"/>
              </w:rPr>
              <w:t>Hutt Valley</w:t>
            </w:r>
          </w:p>
        </w:tc>
        <w:tc>
          <w:tcPr>
            <w:tcW w:w="1939" w:type="dxa"/>
            <w:tcBorders>
              <w:top w:val="single" w:sz="4" w:space="0" w:color="9BBB59" w:themeColor="accent3"/>
              <w:bottom w:val="single" w:sz="4" w:space="0" w:color="9BBB59" w:themeColor="accent3"/>
            </w:tcBorders>
            <w:shd w:val="clear" w:color="auto" w:fill="auto"/>
            <w:hideMark/>
          </w:tcPr>
          <w:p w14:paraId="156B374C" w14:textId="77777777" w:rsidR="00C7122E" w:rsidRPr="00A32DA3" w:rsidRDefault="00C7122E" w:rsidP="00D63061">
            <w:pPr>
              <w:pStyle w:val="TableText"/>
              <w:tabs>
                <w:tab w:val="decimal" w:pos="1134"/>
              </w:tabs>
              <w:rPr>
                <w:rFonts w:cs="Arial"/>
                <w:color w:val="000000"/>
              </w:rPr>
            </w:pPr>
            <w:r w:rsidRPr="00A32DA3">
              <w:rPr>
                <w:rFonts w:cs="Arial"/>
                <w:color w:val="000000"/>
              </w:rPr>
              <w:t>1,841</w:t>
            </w:r>
          </w:p>
        </w:tc>
        <w:tc>
          <w:tcPr>
            <w:tcW w:w="1939" w:type="dxa"/>
            <w:tcBorders>
              <w:top w:val="single" w:sz="4" w:space="0" w:color="9BBB59" w:themeColor="accent3"/>
              <w:bottom w:val="single" w:sz="4" w:space="0" w:color="9BBB59" w:themeColor="accent3"/>
            </w:tcBorders>
            <w:shd w:val="clear" w:color="auto" w:fill="auto"/>
            <w:hideMark/>
          </w:tcPr>
          <w:p w14:paraId="4D351F32" w14:textId="77777777" w:rsidR="00C7122E" w:rsidRPr="00A32DA3" w:rsidRDefault="00C7122E" w:rsidP="00D63061">
            <w:pPr>
              <w:pStyle w:val="TableText"/>
              <w:tabs>
                <w:tab w:val="decimal" w:pos="1134"/>
              </w:tabs>
              <w:rPr>
                <w:rFonts w:cs="Arial"/>
                <w:color w:val="000000"/>
              </w:rPr>
            </w:pPr>
            <w:r w:rsidRPr="00A32DA3">
              <w:rPr>
                <w:rFonts w:cs="Arial"/>
                <w:color w:val="000000"/>
              </w:rPr>
              <w:t>2,580</w:t>
            </w:r>
          </w:p>
        </w:tc>
        <w:tc>
          <w:tcPr>
            <w:tcW w:w="1939" w:type="dxa"/>
            <w:tcBorders>
              <w:top w:val="single" w:sz="4" w:space="0" w:color="9BBB59" w:themeColor="accent3"/>
              <w:bottom w:val="single" w:sz="4" w:space="0" w:color="9BBB59" w:themeColor="accent3"/>
            </w:tcBorders>
            <w:shd w:val="clear" w:color="auto" w:fill="auto"/>
            <w:noWrap/>
            <w:hideMark/>
          </w:tcPr>
          <w:p w14:paraId="09FAB109" w14:textId="77777777" w:rsidR="00C7122E" w:rsidRPr="00A32DA3" w:rsidRDefault="00C7122E" w:rsidP="00D63061">
            <w:pPr>
              <w:pStyle w:val="TableText"/>
              <w:jc w:val="center"/>
              <w:rPr>
                <w:rFonts w:cs="Arial"/>
                <w:color w:val="000000"/>
              </w:rPr>
            </w:pPr>
            <w:r w:rsidRPr="00A32DA3">
              <w:rPr>
                <w:rFonts w:cs="Arial"/>
                <w:color w:val="000000"/>
              </w:rPr>
              <w:t>71%</w:t>
            </w:r>
          </w:p>
        </w:tc>
      </w:tr>
      <w:tr w:rsidR="00C7122E" w:rsidRPr="00972E45" w14:paraId="68C1F273" w14:textId="77777777" w:rsidTr="00D63061">
        <w:trPr>
          <w:cantSplit/>
        </w:trPr>
        <w:tc>
          <w:tcPr>
            <w:tcW w:w="1439" w:type="dxa"/>
            <w:vMerge/>
            <w:tcBorders>
              <w:top w:val="single" w:sz="4" w:space="0" w:color="auto"/>
              <w:bottom w:val="single" w:sz="4" w:space="0" w:color="auto"/>
            </w:tcBorders>
            <w:hideMark/>
          </w:tcPr>
          <w:p w14:paraId="7FA49983" w14:textId="77777777" w:rsidR="00C7122E" w:rsidRPr="00A32DA3" w:rsidRDefault="00C7122E" w:rsidP="00D63061">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68A2264E" w14:textId="77777777" w:rsidR="00C7122E" w:rsidRPr="00A32DA3" w:rsidRDefault="00C7122E" w:rsidP="00D63061">
            <w:pPr>
              <w:pStyle w:val="TableText"/>
              <w:rPr>
                <w:rFonts w:cs="Arial"/>
                <w:color w:val="000000"/>
              </w:rPr>
            </w:pPr>
            <w:r w:rsidRPr="00A32DA3">
              <w:rPr>
                <w:rFonts w:cs="Arial"/>
                <w:color w:val="000000"/>
              </w:rPr>
              <w:t>Hawke</w:t>
            </w:r>
            <w:r>
              <w:rPr>
                <w:rFonts w:cs="Arial"/>
                <w:color w:val="000000"/>
              </w:rPr>
              <w:t>’</w:t>
            </w:r>
            <w:r w:rsidRPr="00A32DA3">
              <w:rPr>
                <w:rFonts w:cs="Arial"/>
                <w:color w:val="000000"/>
              </w:rPr>
              <w:t>s Bay</w:t>
            </w:r>
          </w:p>
        </w:tc>
        <w:tc>
          <w:tcPr>
            <w:tcW w:w="1939" w:type="dxa"/>
            <w:tcBorders>
              <w:top w:val="single" w:sz="4" w:space="0" w:color="9BBB59" w:themeColor="accent3"/>
              <w:bottom w:val="single" w:sz="4" w:space="0" w:color="9BBB59" w:themeColor="accent3"/>
            </w:tcBorders>
            <w:shd w:val="clear" w:color="auto" w:fill="auto"/>
            <w:hideMark/>
          </w:tcPr>
          <w:p w14:paraId="2FA477F2" w14:textId="77777777" w:rsidR="00C7122E" w:rsidRPr="00A32DA3" w:rsidRDefault="00C7122E" w:rsidP="00D63061">
            <w:pPr>
              <w:pStyle w:val="TableText"/>
              <w:tabs>
                <w:tab w:val="decimal" w:pos="1134"/>
              </w:tabs>
              <w:rPr>
                <w:rFonts w:cs="Arial"/>
                <w:color w:val="000000"/>
              </w:rPr>
            </w:pPr>
            <w:r w:rsidRPr="00A32DA3">
              <w:rPr>
                <w:rFonts w:cs="Arial"/>
                <w:color w:val="000000"/>
              </w:rPr>
              <w:t>835</w:t>
            </w:r>
          </w:p>
        </w:tc>
        <w:tc>
          <w:tcPr>
            <w:tcW w:w="1939" w:type="dxa"/>
            <w:tcBorders>
              <w:top w:val="single" w:sz="4" w:space="0" w:color="9BBB59" w:themeColor="accent3"/>
              <w:bottom w:val="single" w:sz="4" w:space="0" w:color="9BBB59" w:themeColor="accent3"/>
            </w:tcBorders>
            <w:shd w:val="clear" w:color="auto" w:fill="auto"/>
            <w:hideMark/>
          </w:tcPr>
          <w:p w14:paraId="539A512F" w14:textId="77777777" w:rsidR="00C7122E" w:rsidRPr="00A32DA3" w:rsidRDefault="00C7122E" w:rsidP="00D63061">
            <w:pPr>
              <w:pStyle w:val="TableText"/>
              <w:tabs>
                <w:tab w:val="decimal" w:pos="1134"/>
              </w:tabs>
              <w:rPr>
                <w:rFonts w:cs="Arial"/>
                <w:color w:val="000000"/>
              </w:rPr>
            </w:pPr>
            <w:r w:rsidRPr="00A32DA3">
              <w:rPr>
                <w:rFonts w:cs="Arial"/>
                <w:color w:val="000000"/>
              </w:rPr>
              <w:t>1,131</w:t>
            </w:r>
          </w:p>
        </w:tc>
        <w:tc>
          <w:tcPr>
            <w:tcW w:w="1939" w:type="dxa"/>
            <w:tcBorders>
              <w:top w:val="single" w:sz="4" w:space="0" w:color="9BBB59" w:themeColor="accent3"/>
              <w:bottom w:val="single" w:sz="4" w:space="0" w:color="9BBB59" w:themeColor="accent3"/>
            </w:tcBorders>
            <w:shd w:val="clear" w:color="auto" w:fill="auto"/>
            <w:noWrap/>
            <w:hideMark/>
          </w:tcPr>
          <w:p w14:paraId="622962D8" w14:textId="77777777" w:rsidR="00C7122E" w:rsidRPr="00A32DA3" w:rsidRDefault="00C7122E" w:rsidP="00D63061">
            <w:pPr>
              <w:pStyle w:val="TableText"/>
              <w:jc w:val="center"/>
              <w:rPr>
                <w:rFonts w:cs="Arial"/>
                <w:color w:val="000000"/>
              </w:rPr>
            </w:pPr>
            <w:r w:rsidRPr="00A32DA3">
              <w:rPr>
                <w:rFonts w:cs="Arial"/>
                <w:color w:val="000000"/>
              </w:rPr>
              <w:t>74%</w:t>
            </w:r>
          </w:p>
        </w:tc>
      </w:tr>
      <w:tr w:rsidR="00C7122E" w:rsidRPr="00972E45" w14:paraId="4F50CE85" w14:textId="77777777" w:rsidTr="00D63061">
        <w:trPr>
          <w:cantSplit/>
        </w:trPr>
        <w:tc>
          <w:tcPr>
            <w:tcW w:w="1439" w:type="dxa"/>
            <w:vMerge/>
            <w:tcBorders>
              <w:top w:val="single" w:sz="4" w:space="0" w:color="auto"/>
              <w:bottom w:val="single" w:sz="4" w:space="0" w:color="000000"/>
            </w:tcBorders>
            <w:hideMark/>
          </w:tcPr>
          <w:p w14:paraId="737F1AE3" w14:textId="77777777" w:rsidR="00C7122E" w:rsidRPr="00A32DA3" w:rsidRDefault="00C7122E" w:rsidP="00D63061">
            <w:pPr>
              <w:pStyle w:val="TableText"/>
            </w:pPr>
          </w:p>
        </w:tc>
        <w:tc>
          <w:tcPr>
            <w:tcW w:w="2100" w:type="dxa"/>
            <w:tcBorders>
              <w:top w:val="single" w:sz="4" w:space="0" w:color="9BBB59" w:themeColor="accent3"/>
              <w:bottom w:val="single" w:sz="4" w:space="0" w:color="auto"/>
            </w:tcBorders>
            <w:shd w:val="clear" w:color="auto" w:fill="auto"/>
            <w:hideMark/>
          </w:tcPr>
          <w:p w14:paraId="6E3772FE" w14:textId="77777777" w:rsidR="00C7122E" w:rsidRPr="00A32DA3" w:rsidRDefault="00C7122E" w:rsidP="00D63061">
            <w:pPr>
              <w:pStyle w:val="TableText"/>
              <w:rPr>
                <w:rFonts w:cs="Arial"/>
                <w:color w:val="000000"/>
              </w:rPr>
            </w:pPr>
            <w:r w:rsidRPr="00A32DA3">
              <w:rPr>
                <w:rFonts w:cs="Arial"/>
                <w:color w:val="000000"/>
              </w:rPr>
              <w:t>Waikato</w:t>
            </w:r>
          </w:p>
        </w:tc>
        <w:tc>
          <w:tcPr>
            <w:tcW w:w="1939" w:type="dxa"/>
            <w:tcBorders>
              <w:top w:val="single" w:sz="4" w:space="0" w:color="9BBB59" w:themeColor="accent3"/>
              <w:bottom w:val="single" w:sz="4" w:space="0" w:color="auto"/>
            </w:tcBorders>
            <w:shd w:val="clear" w:color="auto" w:fill="auto"/>
            <w:hideMark/>
          </w:tcPr>
          <w:p w14:paraId="60437647" w14:textId="77777777" w:rsidR="00C7122E" w:rsidRPr="00A32DA3" w:rsidRDefault="00C7122E" w:rsidP="00D63061">
            <w:pPr>
              <w:pStyle w:val="TableText"/>
              <w:tabs>
                <w:tab w:val="decimal" w:pos="1134"/>
              </w:tabs>
              <w:rPr>
                <w:rFonts w:cs="Arial"/>
                <w:color w:val="000000"/>
              </w:rPr>
            </w:pPr>
            <w:r w:rsidRPr="00A32DA3">
              <w:rPr>
                <w:rFonts w:cs="Arial"/>
                <w:color w:val="000000"/>
              </w:rPr>
              <w:t>1,962</w:t>
            </w:r>
          </w:p>
        </w:tc>
        <w:tc>
          <w:tcPr>
            <w:tcW w:w="1939" w:type="dxa"/>
            <w:tcBorders>
              <w:top w:val="single" w:sz="4" w:space="0" w:color="9BBB59" w:themeColor="accent3"/>
              <w:bottom w:val="single" w:sz="4" w:space="0" w:color="auto"/>
            </w:tcBorders>
            <w:shd w:val="clear" w:color="auto" w:fill="auto"/>
            <w:hideMark/>
          </w:tcPr>
          <w:p w14:paraId="171D7350" w14:textId="77777777" w:rsidR="00C7122E" w:rsidRPr="00A32DA3" w:rsidRDefault="00C7122E" w:rsidP="00D63061">
            <w:pPr>
              <w:pStyle w:val="TableText"/>
              <w:tabs>
                <w:tab w:val="decimal" w:pos="1134"/>
              </w:tabs>
              <w:rPr>
                <w:rFonts w:cs="Arial"/>
                <w:color w:val="000000"/>
              </w:rPr>
            </w:pPr>
            <w:r w:rsidRPr="00A32DA3">
              <w:rPr>
                <w:rFonts w:cs="Arial"/>
                <w:color w:val="000000"/>
              </w:rPr>
              <w:t>2,478</w:t>
            </w:r>
          </w:p>
        </w:tc>
        <w:tc>
          <w:tcPr>
            <w:tcW w:w="1939" w:type="dxa"/>
            <w:tcBorders>
              <w:top w:val="single" w:sz="4" w:space="0" w:color="9BBB59" w:themeColor="accent3"/>
              <w:bottom w:val="single" w:sz="4" w:space="0" w:color="auto"/>
            </w:tcBorders>
            <w:shd w:val="clear" w:color="auto" w:fill="auto"/>
            <w:noWrap/>
            <w:hideMark/>
          </w:tcPr>
          <w:p w14:paraId="5FDD7EA8" w14:textId="77777777" w:rsidR="00C7122E" w:rsidRPr="00A32DA3" w:rsidRDefault="00C7122E" w:rsidP="00D63061">
            <w:pPr>
              <w:pStyle w:val="TableText"/>
              <w:jc w:val="center"/>
              <w:rPr>
                <w:rFonts w:cs="Arial"/>
                <w:color w:val="000000"/>
              </w:rPr>
            </w:pPr>
            <w:r w:rsidRPr="00A32DA3">
              <w:rPr>
                <w:rFonts w:cs="Arial"/>
                <w:color w:val="000000"/>
              </w:rPr>
              <w:t>79%</w:t>
            </w:r>
          </w:p>
        </w:tc>
      </w:tr>
    </w:tbl>
    <w:p w14:paraId="6A0F95D6" w14:textId="77777777" w:rsidR="00C7122E" w:rsidRPr="00F56760" w:rsidRDefault="00C7122E" w:rsidP="00D63061"/>
    <w:p w14:paraId="72F4248E" w14:textId="77777777" w:rsidR="00C7122E" w:rsidRDefault="00C7122E" w:rsidP="00D63061">
      <w:pPr>
        <w:pStyle w:val="Heading1"/>
      </w:pPr>
      <w:bookmarkStart w:id="159" w:name="_Toc503949862"/>
      <w:bookmarkStart w:id="160" w:name="_Toc531260427"/>
      <w:r>
        <w:lastRenderedPageBreak/>
        <w:t>More heart and diabetes checks</w:t>
      </w:r>
      <w:bookmarkEnd w:id="159"/>
      <w:bookmarkEnd w:id="160"/>
    </w:p>
    <w:p w14:paraId="7E085A4B" w14:textId="7EC31AE0" w:rsidR="003C2699" w:rsidRDefault="003C2699" w:rsidP="003C2699">
      <w:r w:rsidRPr="00B7747B">
        <w:rPr>
          <w:i/>
        </w:rPr>
        <w:t>’Ala Mo’</w:t>
      </w:r>
      <w:r>
        <w:rPr>
          <w:i/>
        </w:rPr>
        <w:t>ui</w:t>
      </w:r>
      <w:r>
        <w:t xml:space="preserve"> highlights cardiovascular risk assessments as an area of importance for improving Pacific peoples’ health outcomes.</w:t>
      </w:r>
    </w:p>
    <w:p w14:paraId="217CE8B5" w14:textId="77777777" w:rsidR="003C2699" w:rsidRDefault="003C2699" w:rsidP="003C2699"/>
    <w:p w14:paraId="38FEE323" w14:textId="77777777" w:rsidR="00C7122E" w:rsidRDefault="00C7122E" w:rsidP="00D63061">
      <w:r>
        <w:t>Figure 16 shows that the proportion of Pacific people with diabetes is still significantly higher than the equivalent proportion in the total New Zealand population. This proportion has continually increased since 2010: it was 10.2 percent in 2016, compared to 5.45 percent for the total New Zealand population. It is important that we continue to monitor and support Pacific peoples’ access to heart and diabetes checks.</w:t>
      </w:r>
    </w:p>
    <w:p w14:paraId="5C7C32F6" w14:textId="77777777" w:rsidR="00C7122E" w:rsidRDefault="00C7122E" w:rsidP="00D63061"/>
    <w:p w14:paraId="23BBDDE9" w14:textId="1DEAF87E" w:rsidR="00FB3F7B" w:rsidRDefault="00C7122E" w:rsidP="00D63061">
      <w:r>
        <w:t>As Figure 18 shows, the p</w:t>
      </w:r>
      <w:r w:rsidRPr="005E5FE5">
        <w:t>ercentage of eligible adults who had</w:t>
      </w:r>
      <w:r>
        <w:t xml:space="preserve"> their</w:t>
      </w:r>
      <w:r w:rsidRPr="005E5FE5">
        <w:t xml:space="preserve"> cardiovascular risk assessed</w:t>
      </w:r>
      <w:r>
        <w:t xml:space="preserve"> has continually risen since March 2014, when rates for Pacific peoples were at 80.7 percent. As at March 2017, rates for both the Pacific population and the total New Zealand population were very close to achieving the 90 percent target, at 89.1 percent and 89.9 percent respectively.</w:t>
      </w:r>
    </w:p>
    <w:p w14:paraId="793D059D" w14:textId="77777777" w:rsidR="00D63061" w:rsidRDefault="00D63061" w:rsidP="00D63061"/>
    <w:p w14:paraId="350D4D4D" w14:textId="77777777" w:rsidR="00D63061" w:rsidRDefault="00D63061" w:rsidP="00D63061">
      <w:pPr>
        <w:pStyle w:val="Heading2"/>
      </w:pPr>
      <w:bookmarkStart w:id="161" w:name="_Toc531260428"/>
      <w:r w:rsidRPr="00410B6A">
        <w:t>Improve</w:t>
      </w:r>
      <w:r>
        <w:t>d</w:t>
      </w:r>
      <w:r w:rsidRPr="00410B6A">
        <w:t xml:space="preserve"> management of diabetes </w:t>
      </w:r>
      <w:r>
        <w:t>and cardiovascular disease among Pacific peoples through</w:t>
      </w:r>
      <w:r w:rsidRPr="00410B6A">
        <w:t xml:space="preserve"> more heart and diabetes checks</w:t>
      </w:r>
      <w:bookmarkEnd w:id="161"/>
    </w:p>
    <w:p w14:paraId="5A5B40CA" w14:textId="77777777" w:rsidR="00FB3F7B" w:rsidRDefault="00C7122E" w:rsidP="00D63061">
      <w:pPr>
        <w:rPr>
          <w:lang w:eastAsia="en-NZ"/>
        </w:rPr>
      </w:pPr>
      <w:r w:rsidRPr="004B2644">
        <w:rPr>
          <w:b/>
        </w:rPr>
        <w:t>Performance:</w:t>
      </w:r>
      <w:r w:rsidRPr="00A119E8">
        <w:rPr>
          <w:color w:val="8064A2"/>
          <w:lang w:eastAsia="en-NZ"/>
        </w:rPr>
        <w:t xml:space="preserve"> </w:t>
      </w:r>
      <w:r w:rsidRPr="00A119E8">
        <w:rPr>
          <w:lang w:eastAsia="en-NZ"/>
        </w:rPr>
        <w:t xml:space="preserve">The target for this indicator </w:t>
      </w:r>
      <w:r>
        <w:rPr>
          <w:lang w:eastAsia="en-NZ"/>
        </w:rPr>
        <w:t>was set at</w:t>
      </w:r>
      <w:r w:rsidRPr="00A119E8">
        <w:rPr>
          <w:lang w:eastAsia="en-NZ"/>
        </w:rPr>
        <w:t xml:space="preserve"> 90 perce</w:t>
      </w:r>
      <w:r>
        <w:rPr>
          <w:lang w:eastAsia="en-NZ"/>
        </w:rPr>
        <w:t>nt.</w:t>
      </w:r>
    </w:p>
    <w:p w14:paraId="79D15999" w14:textId="77777777" w:rsidR="00C7122E" w:rsidRPr="00A119E8" w:rsidRDefault="00C7122E" w:rsidP="00D63061"/>
    <w:p w14:paraId="6F674913" w14:textId="77777777" w:rsidR="00FB3F7B" w:rsidRDefault="00C7122E" w:rsidP="00D63061">
      <w:r>
        <w:t xml:space="preserve">Note: </w:t>
      </w:r>
      <w:r w:rsidR="00D63061">
        <w:t>M</w:t>
      </w:r>
      <w:r>
        <w:t>easures of diabetes prevalence do not provide information about the proportion of people who receive diabetes checks.</w:t>
      </w:r>
    </w:p>
    <w:p w14:paraId="686B5FE7" w14:textId="77777777" w:rsidR="00C7122E" w:rsidRPr="00A119E8" w:rsidRDefault="00C7122E" w:rsidP="00D63061"/>
    <w:p w14:paraId="7A4B0073" w14:textId="77777777" w:rsidR="00C7122E" w:rsidRPr="00A119E8" w:rsidRDefault="00C7122E" w:rsidP="00D63061">
      <w:pPr>
        <w:pStyle w:val="Figure"/>
      </w:pPr>
      <w:bookmarkStart w:id="162" w:name="_Toc428368091"/>
      <w:bookmarkStart w:id="163" w:name="_Toc428370469"/>
      <w:bookmarkStart w:id="164" w:name="_Toc445801474"/>
      <w:bookmarkStart w:id="165" w:name="_Toc447527173"/>
      <w:bookmarkStart w:id="166" w:name="_Toc458409455"/>
      <w:bookmarkStart w:id="167" w:name="_Toc531260463"/>
      <w:r w:rsidRPr="00A119E8">
        <w:t xml:space="preserve">Figure </w:t>
      </w:r>
      <w:r>
        <w:t>16</w:t>
      </w:r>
      <w:r w:rsidRPr="00A119E8">
        <w:t>: Estimated percentage of people with diabetes, Pacific population and total New Zealand population, 2010–201</w:t>
      </w:r>
      <w:bookmarkEnd w:id="162"/>
      <w:bookmarkEnd w:id="163"/>
      <w:bookmarkEnd w:id="164"/>
      <w:bookmarkEnd w:id="165"/>
      <w:bookmarkEnd w:id="166"/>
      <w:r>
        <w:t>6</w:t>
      </w:r>
      <w:bookmarkEnd w:id="167"/>
    </w:p>
    <w:p w14:paraId="2A5D2C52" w14:textId="77777777" w:rsidR="00C7122E" w:rsidRDefault="00C7122E" w:rsidP="00C7122E">
      <w:pPr>
        <w:rPr>
          <w:noProof/>
          <w:lang w:eastAsia="en-NZ"/>
        </w:rPr>
      </w:pPr>
      <w:r>
        <w:rPr>
          <w:noProof/>
          <w:lang w:eastAsia="ja-JP"/>
        </w:rPr>
        <w:drawing>
          <wp:inline distT="0" distB="0" distL="0" distR="0" wp14:anchorId="32EF8BB0" wp14:editId="2ACEBDE0">
            <wp:extent cx="4688378" cy="2626822"/>
            <wp:effectExtent l="0" t="0" r="0" b="2540"/>
            <wp:docPr id="6" name="Chart 6" title="Figure 16: Estimated percentage of people with diabetes, Pacific population and total New Zealand population, 2010–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537A1909" w14:textId="77777777" w:rsidR="00C7122E" w:rsidRPr="00F060D7" w:rsidRDefault="0019640E" w:rsidP="00D63061">
      <w:pPr>
        <w:pStyle w:val="Source"/>
        <w:rPr>
          <w:noProof/>
          <w:lang w:eastAsia="en-NZ"/>
        </w:rPr>
      </w:pPr>
      <w:r>
        <w:rPr>
          <w:noProof/>
          <w:lang w:eastAsia="en-NZ"/>
        </w:rPr>
        <w:t>Source: T</w:t>
      </w:r>
      <w:r w:rsidR="00C7122E" w:rsidRPr="00F060D7">
        <w:rPr>
          <w:noProof/>
          <w:lang w:eastAsia="en-NZ"/>
        </w:rPr>
        <w:t>he Virtual Diabetes register and PHO enrolments reported by DHBs</w:t>
      </w:r>
    </w:p>
    <w:p w14:paraId="0E1F408B" w14:textId="77777777" w:rsidR="00C7122E" w:rsidRPr="00F060D7" w:rsidRDefault="00C7122E" w:rsidP="00D63061">
      <w:pPr>
        <w:rPr>
          <w:noProof/>
          <w:lang w:eastAsia="en-NZ"/>
        </w:rPr>
      </w:pPr>
    </w:p>
    <w:p w14:paraId="5FFBD8E7" w14:textId="77777777" w:rsidR="00C7122E" w:rsidRPr="00A119E8" w:rsidRDefault="00C7122E" w:rsidP="00D63061">
      <w:pPr>
        <w:pStyle w:val="Figure"/>
        <w:rPr>
          <w:lang w:eastAsia="en-NZ"/>
        </w:rPr>
      </w:pPr>
      <w:bookmarkStart w:id="168" w:name="_Toc428368092"/>
      <w:bookmarkStart w:id="169" w:name="_Toc428370470"/>
      <w:bookmarkStart w:id="170" w:name="_Toc445801475"/>
      <w:bookmarkStart w:id="171" w:name="_Toc447527174"/>
      <w:bookmarkStart w:id="172" w:name="_Toc458409456"/>
      <w:bookmarkStart w:id="173" w:name="_Toc531260464"/>
      <w:r w:rsidRPr="00A119E8">
        <w:lastRenderedPageBreak/>
        <w:t xml:space="preserve">Figure </w:t>
      </w:r>
      <w:r>
        <w:t>17A</w:t>
      </w:r>
      <w:r w:rsidRPr="00A119E8">
        <w:t>: Estimated percentage of people with diabetes, Pacific peoples, DHBs</w:t>
      </w:r>
      <w:r>
        <w:t xml:space="preserve"> in the Auckland region</w:t>
      </w:r>
      <w:r w:rsidRPr="00A119E8">
        <w:t>, 2010–201</w:t>
      </w:r>
      <w:bookmarkEnd w:id="168"/>
      <w:bookmarkEnd w:id="169"/>
      <w:bookmarkEnd w:id="170"/>
      <w:bookmarkEnd w:id="171"/>
      <w:bookmarkEnd w:id="172"/>
      <w:r>
        <w:t>6</w:t>
      </w:r>
      <w:bookmarkEnd w:id="173"/>
    </w:p>
    <w:p w14:paraId="5BBD0FE6" w14:textId="77777777" w:rsidR="00C7122E" w:rsidRDefault="00C7122E" w:rsidP="00C7122E">
      <w:pPr>
        <w:rPr>
          <w:noProof/>
          <w:lang w:eastAsia="en-NZ"/>
        </w:rPr>
      </w:pPr>
      <w:r>
        <w:rPr>
          <w:noProof/>
          <w:lang w:eastAsia="ja-JP"/>
        </w:rPr>
        <w:drawing>
          <wp:inline distT="0" distB="0" distL="0" distR="0" wp14:anchorId="5856F32B" wp14:editId="1ABBACB0">
            <wp:extent cx="4688378" cy="2668385"/>
            <wp:effectExtent l="0" t="0" r="0" b="0"/>
            <wp:docPr id="7" name="Chart 7" title="Figure 17A: Estimated percentage of people with diabetes, Pacific peoples, DHBs in the Auckland region, 2010–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7F17DFAA" w14:textId="77777777" w:rsidR="00C7122E" w:rsidRPr="00F060D7" w:rsidRDefault="00C7122E" w:rsidP="00D63061">
      <w:pPr>
        <w:pStyle w:val="Source"/>
        <w:rPr>
          <w:noProof/>
          <w:lang w:eastAsia="en-NZ"/>
        </w:rPr>
      </w:pPr>
      <w:r>
        <w:rPr>
          <w:noProof/>
          <w:lang w:eastAsia="en-NZ"/>
        </w:rPr>
        <w:t>S</w:t>
      </w:r>
      <w:r w:rsidR="0019640E">
        <w:rPr>
          <w:noProof/>
          <w:lang w:eastAsia="en-NZ"/>
        </w:rPr>
        <w:t>ource: T</w:t>
      </w:r>
      <w:r w:rsidRPr="00F060D7">
        <w:rPr>
          <w:noProof/>
          <w:lang w:eastAsia="en-NZ"/>
        </w:rPr>
        <w:t>he Virtual Diabetes register and PHO enrolments reported by DHBs</w:t>
      </w:r>
    </w:p>
    <w:p w14:paraId="51EC794A" w14:textId="77777777" w:rsidR="00C7122E" w:rsidRDefault="00C7122E" w:rsidP="00D63061"/>
    <w:p w14:paraId="77F5E186" w14:textId="77777777" w:rsidR="00C7122E" w:rsidRPr="00A119E8" w:rsidRDefault="00C7122E" w:rsidP="00D63061">
      <w:pPr>
        <w:pStyle w:val="Figure"/>
        <w:rPr>
          <w:lang w:eastAsia="en-NZ"/>
        </w:rPr>
      </w:pPr>
      <w:bookmarkStart w:id="174" w:name="_Toc531260465"/>
      <w:r w:rsidRPr="00A119E8">
        <w:t xml:space="preserve">Figure </w:t>
      </w:r>
      <w:r>
        <w:t>17B</w:t>
      </w:r>
      <w:r w:rsidRPr="00A119E8">
        <w:t xml:space="preserve">: Estimated percentage of people with diabetes, Pacific peoples, </w:t>
      </w:r>
      <w:r>
        <w:t xml:space="preserve">priority </w:t>
      </w:r>
      <w:r w:rsidRPr="00A119E8">
        <w:t>DHBs</w:t>
      </w:r>
      <w:r>
        <w:t xml:space="preserve"> outside Auckland</w:t>
      </w:r>
      <w:r w:rsidRPr="00A119E8">
        <w:t>, 2010–201</w:t>
      </w:r>
      <w:r>
        <w:t>6</w:t>
      </w:r>
      <w:bookmarkEnd w:id="174"/>
    </w:p>
    <w:p w14:paraId="2ED9C31F" w14:textId="77777777" w:rsidR="00C7122E" w:rsidRDefault="00C7122E" w:rsidP="00C7122E">
      <w:pPr>
        <w:rPr>
          <w:noProof/>
          <w:lang w:eastAsia="en-NZ"/>
        </w:rPr>
      </w:pPr>
      <w:r>
        <w:rPr>
          <w:noProof/>
          <w:lang w:eastAsia="ja-JP"/>
        </w:rPr>
        <w:drawing>
          <wp:inline distT="0" distB="0" distL="0" distR="0" wp14:anchorId="2CDC9D47" wp14:editId="268A6F42">
            <wp:extent cx="4705004" cy="2552008"/>
            <wp:effectExtent l="0" t="0" r="635" b="1270"/>
            <wp:docPr id="11" name="Chart 11" title="Figure 17B: Estimated percentage of people with diabetes, Pacific peoples, priority DHBs outside Auckland, 2010–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731F5666" w14:textId="77777777" w:rsidR="00C7122E" w:rsidRDefault="00C7122E" w:rsidP="00D63061">
      <w:pPr>
        <w:pStyle w:val="Source"/>
        <w:rPr>
          <w:noProof/>
          <w:lang w:eastAsia="en-NZ"/>
        </w:rPr>
      </w:pPr>
      <w:r>
        <w:rPr>
          <w:noProof/>
          <w:lang w:eastAsia="en-NZ"/>
        </w:rPr>
        <w:t>S</w:t>
      </w:r>
      <w:r w:rsidRPr="00F060D7">
        <w:rPr>
          <w:noProof/>
          <w:lang w:eastAsia="en-NZ"/>
        </w:rPr>
        <w:t xml:space="preserve">ource: </w:t>
      </w:r>
      <w:r w:rsidR="0019640E">
        <w:rPr>
          <w:noProof/>
          <w:lang w:eastAsia="en-NZ"/>
        </w:rPr>
        <w:t>T</w:t>
      </w:r>
      <w:r w:rsidRPr="00F060D7">
        <w:rPr>
          <w:noProof/>
          <w:lang w:eastAsia="en-NZ"/>
        </w:rPr>
        <w:t>he Virtual Diabetes register and PHO enrolments reported by DHBs</w:t>
      </w:r>
    </w:p>
    <w:p w14:paraId="1442749A" w14:textId="77777777" w:rsidR="00D63061" w:rsidRDefault="00D63061" w:rsidP="00D63061">
      <w:pPr>
        <w:rPr>
          <w:lang w:eastAsia="en-NZ"/>
        </w:rPr>
      </w:pPr>
    </w:p>
    <w:p w14:paraId="54800100" w14:textId="77777777" w:rsidR="00D63061" w:rsidRDefault="00D63061" w:rsidP="00D63061">
      <w:pPr>
        <w:pStyle w:val="Note"/>
        <w:ind w:left="0" w:right="0" w:firstLine="0"/>
      </w:pPr>
      <w:r w:rsidRPr="00A11460">
        <w:t>Notes</w:t>
      </w:r>
    </w:p>
    <w:p w14:paraId="4DB33AA9" w14:textId="77777777" w:rsidR="00D63061" w:rsidRPr="00D63061" w:rsidRDefault="00D63061" w:rsidP="00D63061">
      <w:pPr>
        <w:pStyle w:val="Note"/>
        <w:ind w:left="0" w:right="0" w:firstLine="0"/>
        <w:rPr>
          <w:b/>
        </w:rPr>
      </w:pPr>
      <w:r w:rsidRPr="00D63061">
        <w:rPr>
          <w:b/>
        </w:rPr>
        <w:t>Figures 16, 17A and 17B:</w:t>
      </w:r>
    </w:p>
    <w:p w14:paraId="6FDE412E" w14:textId="77777777" w:rsidR="00D63061" w:rsidRDefault="00D63061" w:rsidP="00D63061">
      <w:pPr>
        <w:pStyle w:val="Note"/>
        <w:ind w:left="0" w:right="0" w:firstLine="0"/>
      </w:pPr>
      <w:r>
        <w:t>Timeframes: this data reflects a calendar year (1 January–30 December).</w:t>
      </w:r>
    </w:p>
    <w:p w14:paraId="3C776F1B" w14:textId="6C73FE86" w:rsidR="00D63061" w:rsidRDefault="00D63061" w:rsidP="00D63061">
      <w:pPr>
        <w:pStyle w:val="Note"/>
        <w:ind w:left="0" w:right="0" w:firstLine="0"/>
      </w:pPr>
      <w:r>
        <w:t>Numerator: the number of people in New Zealand who are very likely to have diabetes, based on methodology used to create the Virtual Diabetes Register. Source: Virtual Diabetes Register</w:t>
      </w:r>
      <w:r w:rsidR="006473F7">
        <w:t>.</w:t>
      </w:r>
    </w:p>
    <w:p w14:paraId="4CEE4024" w14:textId="54C6DF5E" w:rsidR="00D63061" w:rsidRDefault="00D63061" w:rsidP="00D63061">
      <w:pPr>
        <w:pStyle w:val="Note"/>
        <w:ind w:left="0" w:right="0" w:firstLine="0"/>
      </w:pPr>
      <w:r>
        <w:t>Denominator: the total population of people enrolled with a PHO for each relevant population (total New Zealand population, total New Zealand Pacific population and Pacific population in each DHB). Source: DHB reporting</w:t>
      </w:r>
      <w:r w:rsidR="006473F7">
        <w:t>.</w:t>
      </w:r>
    </w:p>
    <w:p w14:paraId="6B1F7D0B" w14:textId="77777777" w:rsidR="00D63061" w:rsidRDefault="00D63061" w:rsidP="00D63061">
      <w:pPr>
        <w:pStyle w:val="Note"/>
        <w:ind w:left="0" w:right="0" w:firstLine="0"/>
      </w:pPr>
      <w:r>
        <w:t>Those not enrolled in a PHO or dead on 31 December of the relevant reporting year are excluded from both the numerator and the denominator.</w:t>
      </w:r>
    </w:p>
    <w:p w14:paraId="320CF247" w14:textId="77777777" w:rsidR="00D63061" w:rsidRDefault="00D63061" w:rsidP="00D63061">
      <w:pPr>
        <w:pStyle w:val="Note"/>
        <w:ind w:left="0" w:right="0" w:firstLine="0"/>
      </w:pPr>
      <w:r>
        <w:t>Note: the methodology used to estimate diabetes in New Zealand using the Virtual Diabetes Register was updated in 2016. The new methods have been applied to previous years’ data. The data in this report is therefore different to data from previous reports.</w:t>
      </w:r>
    </w:p>
    <w:p w14:paraId="35B75B32" w14:textId="77777777" w:rsidR="00C7122E" w:rsidRDefault="00C7122E" w:rsidP="00D63061"/>
    <w:p w14:paraId="563258FE" w14:textId="77777777" w:rsidR="00C7122E" w:rsidRDefault="00C7122E" w:rsidP="00D63061">
      <w:pPr>
        <w:pStyle w:val="Figure"/>
      </w:pPr>
      <w:bookmarkStart w:id="175" w:name="_Toc428368079"/>
      <w:bookmarkStart w:id="176" w:name="_Toc428370457"/>
      <w:bookmarkStart w:id="177" w:name="_Toc445801462"/>
      <w:bookmarkStart w:id="178" w:name="_Toc447527161"/>
      <w:bookmarkStart w:id="179" w:name="_Toc458409443"/>
      <w:bookmarkStart w:id="180" w:name="_Toc531260466"/>
      <w:r w:rsidRPr="00A119E8">
        <w:lastRenderedPageBreak/>
        <w:t xml:space="preserve">Figure </w:t>
      </w:r>
      <w:r>
        <w:t>18</w:t>
      </w:r>
      <w:r w:rsidRPr="00A119E8">
        <w:t xml:space="preserve">: Percentage of eligible adults who had cardiovascular risk assessed, Pacific peoples and total New Zealand population, </w:t>
      </w:r>
      <w:r>
        <w:t xml:space="preserve">March </w:t>
      </w:r>
      <w:r w:rsidRPr="00A119E8">
        <w:t>201</w:t>
      </w:r>
      <w:r>
        <w:t>4</w:t>
      </w:r>
      <w:r w:rsidRPr="00A119E8">
        <w:t>–</w:t>
      </w:r>
      <w:r>
        <w:t xml:space="preserve">March </w:t>
      </w:r>
      <w:r w:rsidRPr="00A119E8">
        <w:t>201</w:t>
      </w:r>
      <w:bookmarkEnd w:id="175"/>
      <w:bookmarkEnd w:id="176"/>
      <w:bookmarkEnd w:id="177"/>
      <w:bookmarkEnd w:id="178"/>
      <w:bookmarkEnd w:id="179"/>
      <w:r>
        <w:t>7</w:t>
      </w:r>
      <w:bookmarkEnd w:id="180"/>
    </w:p>
    <w:p w14:paraId="648CDB38" w14:textId="77777777" w:rsidR="00C7122E" w:rsidRPr="00FF787A" w:rsidRDefault="00C7122E" w:rsidP="00C7122E">
      <w:r>
        <w:rPr>
          <w:noProof/>
          <w:lang w:eastAsia="ja-JP"/>
        </w:rPr>
        <w:drawing>
          <wp:inline distT="0" distB="0" distL="0" distR="0" wp14:anchorId="27DAEEE0" wp14:editId="150ACE2F">
            <wp:extent cx="4705004" cy="2951018"/>
            <wp:effectExtent l="0" t="0" r="635" b="1905"/>
            <wp:docPr id="78" name="Chart 78" title="Figure 18: Percentage of eligible adults who had cardiovascular risk assessed, Pacific peoples and total New Zealand population, March 2014–March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0AC2D01C" w14:textId="77777777" w:rsidR="00C7122E" w:rsidRPr="00463BE2" w:rsidRDefault="00C7122E" w:rsidP="00D63061">
      <w:pPr>
        <w:pStyle w:val="Source"/>
        <w:rPr>
          <w:noProof/>
          <w:lang w:eastAsia="en-NZ"/>
        </w:rPr>
      </w:pPr>
      <w:r w:rsidRPr="00463BE2">
        <w:t>Source: DHB reporting</w:t>
      </w:r>
    </w:p>
    <w:p w14:paraId="6EB670B3" w14:textId="77777777" w:rsidR="00C7122E" w:rsidRPr="00A119E8" w:rsidRDefault="00C7122E" w:rsidP="00D63061"/>
    <w:p w14:paraId="680E7B83" w14:textId="77777777" w:rsidR="00C7122E" w:rsidRDefault="00C7122E" w:rsidP="00D63061">
      <w:pPr>
        <w:pStyle w:val="Figure"/>
      </w:pPr>
      <w:bookmarkStart w:id="181" w:name="_Toc428368080"/>
      <w:bookmarkStart w:id="182" w:name="_Toc428370458"/>
      <w:bookmarkStart w:id="183" w:name="_Toc445801463"/>
      <w:bookmarkStart w:id="184" w:name="_Toc447527162"/>
      <w:bookmarkStart w:id="185" w:name="_Toc458409444"/>
      <w:bookmarkStart w:id="186" w:name="_Toc531260467"/>
      <w:r w:rsidRPr="00A119E8">
        <w:t xml:space="preserve">Figure </w:t>
      </w:r>
      <w:r>
        <w:t>19A</w:t>
      </w:r>
      <w:r w:rsidRPr="00A119E8">
        <w:t xml:space="preserve">: Percentage of eligible adults who had cardiovascular risk assessed, Pacific peoples, </w:t>
      </w:r>
      <w:r>
        <w:t>Auckland region</w:t>
      </w:r>
      <w:r w:rsidRPr="00A119E8">
        <w:t xml:space="preserve"> DHBs, </w:t>
      </w:r>
      <w:r>
        <w:t xml:space="preserve">March </w:t>
      </w:r>
      <w:r w:rsidRPr="00A119E8">
        <w:t>201</w:t>
      </w:r>
      <w:r>
        <w:t>4</w:t>
      </w:r>
      <w:r w:rsidRPr="00A119E8">
        <w:t>–</w:t>
      </w:r>
      <w:bookmarkEnd w:id="181"/>
      <w:bookmarkEnd w:id="182"/>
      <w:bookmarkEnd w:id="183"/>
      <w:bookmarkEnd w:id="184"/>
      <w:bookmarkEnd w:id="185"/>
      <w:r>
        <w:t>March 2017</w:t>
      </w:r>
      <w:bookmarkEnd w:id="186"/>
    </w:p>
    <w:p w14:paraId="0EA52D6E" w14:textId="77777777" w:rsidR="00C7122E" w:rsidRDefault="00C7122E" w:rsidP="00C7122E">
      <w:r>
        <w:rPr>
          <w:noProof/>
          <w:lang w:eastAsia="ja-JP"/>
        </w:rPr>
        <w:drawing>
          <wp:inline distT="0" distB="0" distL="0" distR="0" wp14:anchorId="5A94AD80" wp14:editId="14D0EBD5">
            <wp:extent cx="4688378" cy="2892830"/>
            <wp:effectExtent l="0" t="0" r="0" b="3175"/>
            <wp:docPr id="12" name="Chart 12" title="Figure 19A: Percentage of eligible adults who had cardiovascular risk assessed, Pacific peoples, Auckland region DHBs, March 2014–March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71CC8A75" w14:textId="77777777" w:rsidR="00C7122E" w:rsidRDefault="00C7122E" w:rsidP="00D63061">
      <w:pPr>
        <w:pStyle w:val="Source"/>
      </w:pPr>
      <w:r w:rsidRPr="00463BE2">
        <w:t>Source: DHB reporting</w:t>
      </w:r>
    </w:p>
    <w:p w14:paraId="4EE89EDE" w14:textId="77777777" w:rsidR="00D63061" w:rsidRPr="00D63061" w:rsidRDefault="00D63061" w:rsidP="00D63061"/>
    <w:p w14:paraId="4D2387EF" w14:textId="77777777" w:rsidR="00C7122E" w:rsidRPr="00A119E8" w:rsidRDefault="00C7122E" w:rsidP="00D63061">
      <w:pPr>
        <w:pStyle w:val="Figure"/>
      </w:pPr>
      <w:bookmarkStart w:id="187" w:name="_Toc531260468"/>
      <w:r w:rsidRPr="00A119E8">
        <w:lastRenderedPageBreak/>
        <w:t xml:space="preserve">Figure </w:t>
      </w:r>
      <w:r>
        <w:t>19B</w:t>
      </w:r>
      <w:r w:rsidRPr="00A119E8">
        <w:t xml:space="preserve">: Percentage of eligible adults who had cardiovascular risk assessed, Pacific peoples, </w:t>
      </w:r>
      <w:r>
        <w:t>priority</w:t>
      </w:r>
      <w:r w:rsidRPr="00A119E8">
        <w:t xml:space="preserve"> DHBs</w:t>
      </w:r>
      <w:r>
        <w:t xml:space="preserve"> outside the Auckland region</w:t>
      </w:r>
      <w:r w:rsidRPr="00A119E8">
        <w:t xml:space="preserve">, </w:t>
      </w:r>
      <w:r>
        <w:t xml:space="preserve">March </w:t>
      </w:r>
      <w:r w:rsidRPr="00A119E8">
        <w:t>201</w:t>
      </w:r>
      <w:r>
        <w:t>4</w:t>
      </w:r>
      <w:r w:rsidRPr="00A119E8">
        <w:t>–</w:t>
      </w:r>
      <w:r>
        <w:t>March 2017</w:t>
      </w:r>
      <w:bookmarkEnd w:id="187"/>
    </w:p>
    <w:p w14:paraId="6722BB22" w14:textId="77777777" w:rsidR="00C7122E" w:rsidRDefault="00C7122E" w:rsidP="00C7122E">
      <w:r>
        <w:rPr>
          <w:noProof/>
          <w:lang w:eastAsia="ja-JP"/>
        </w:rPr>
        <w:drawing>
          <wp:inline distT="0" distB="0" distL="0" distR="0" wp14:anchorId="2DF4062C" wp14:editId="059D9DE1">
            <wp:extent cx="4688378" cy="2926080"/>
            <wp:effectExtent l="0" t="0" r="0" b="7620"/>
            <wp:docPr id="13" name="Chart 13" title="Figure 19B: Percentage of eligible adults who had cardiovascular risk assessed, Pacific peoples, priority DHBs outside the Auckland region, March 2014–March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3A71E2FD" w14:textId="77777777" w:rsidR="00C7122E" w:rsidRPr="007469BA" w:rsidRDefault="00C7122E" w:rsidP="00D63061">
      <w:pPr>
        <w:pStyle w:val="Source"/>
      </w:pPr>
      <w:r w:rsidRPr="00463BE2">
        <w:t>Source: DHB reporting</w:t>
      </w:r>
    </w:p>
    <w:p w14:paraId="3E1DE35F" w14:textId="77777777" w:rsidR="00C7122E" w:rsidRDefault="00C7122E" w:rsidP="00D63061">
      <w:pPr>
        <w:rPr>
          <w:noProof/>
          <w:lang w:eastAsia="en-NZ"/>
        </w:rPr>
      </w:pPr>
    </w:p>
    <w:p w14:paraId="1BA876BA" w14:textId="77777777" w:rsidR="00D63061" w:rsidRDefault="00D63061" w:rsidP="002E3963">
      <w:pPr>
        <w:pStyle w:val="Note"/>
        <w:keepNext/>
        <w:ind w:left="0" w:right="0" w:firstLine="0"/>
      </w:pPr>
      <w:r w:rsidRPr="00A11460">
        <w:t>Notes</w:t>
      </w:r>
    </w:p>
    <w:p w14:paraId="28DF6E6D" w14:textId="77777777" w:rsidR="00D63061" w:rsidRPr="00D63061" w:rsidRDefault="00D63061" w:rsidP="002E3963">
      <w:pPr>
        <w:pStyle w:val="Note"/>
        <w:keepNext/>
        <w:ind w:left="0" w:right="0" w:firstLine="0"/>
        <w:rPr>
          <w:b/>
        </w:rPr>
      </w:pPr>
      <w:r w:rsidRPr="00D63061">
        <w:rPr>
          <w:b/>
        </w:rPr>
        <w:t>Figures 18, 19A and 19B:</w:t>
      </w:r>
    </w:p>
    <w:p w14:paraId="1E9C0F8F" w14:textId="77777777" w:rsidR="00D63061" w:rsidRDefault="00D63061" w:rsidP="002E3963">
      <w:pPr>
        <w:pStyle w:val="Note"/>
        <w:keepNext/>
        <w:ind w:left="0" w:right="0" w:firstLine="0"/>
      </w:pPr>
      <w:r>
        <w:t>Timeframe: this data reflects a quarter (1 January–31 March; 1 April–30 June; 1 July–30 September; 1 October–31 December).</w:t>
      </w:r>
    </w:p>
    <w:p w14:paraId="640DB11F" w14:textId="77777777" w:rsidR="00D63061" w:rsidRDefault="00D63061" w:rsidP="002E3963">
      <w:pPr>
        <w:pStyle w:val="Note"/>
        <w:keepNext/>
        <w:ind w:left="0" w:right="0" w:firstLine="0"/>
      </w:pPr>
      <w:r w:rsidRPr="007469BA">
        <w:t xml:space="preserve">Numerator: the number (count) of people enrolled in a PHO within the eligible population who had a CVD risk recorded within the last </w:t>
      </w:r>
      <w:r>
        <w:t>five</w:t>
      </w:r>
      <w:r w:rsidRPr="007469BA">
        <w:t xml:space="preserve"> years</w:t>
      </w:r>
      <w:r>
        <w:t>.</w:t>
      </w:r>
    </w:p>
    <w:p w14:paraId="7C50D9BC" w14:textId="77777777" w:rsidR="00D63061" w:rsidRPr="00F334E5" w:rsidRDefault="00D63061" w:rsidP="002E3963">
      <w:pPr>
        <w:pStyle w:val="Note"/>
        <w:keepNext/>
        <w:ind w:left="0" w:right="0" w:firstLine="0"/>
      </w:pPr>
      <w:r>
        <w:t>Denominator: the number (count)</w:t>
      </w:r>
      <w:r w:rsidRPr="007469BA">
        <w:t xml:space="preserve"> of enrolled people in the PHO who are eligible for a CVD risk assessment.</w:t>
      </w:r>
    </w:p>
    <w:p w14:paraId="44BDFB94" w14:textId="77777777" w:rsidR="00D63061" w:rsidRDefault="00D63061" w:rsidP="002E3963">
      <w:pPr>
        <w:pStyle w:val="Note"/>
        <w:keepNext/>
        <w:ind w:left="0" w:right="0" w:firstLine="0"/>
      </w:pPr>
      <w:r>
        <w:t>The ‘e</w:t>
      </w:r>
      <w:r w:rsidRPr="007469BA">
        <w:t>ligible population</w:t>
      </w:r>
      <w:r>
        <w:t>’</w:t>
      </w:r>
      <w:r w:rsidRPr="007469BA">
        <w:t xml:space="preserve"> is those who are enrolled with a PHO and </w:t>
      </w:r>
      <w:r>
        <w:t>who were the following age at the end of the reporting period:</w:t>
      </w:r>
    </w:p>
    <w:p w14:paraId="47694763" w14:textId="77777777" w:rsidR="00D63061" w:rsidRPr="007469BA" w:rsidRDefault="00D63061" w:rsidP="002E3963">
      <w:pPr>
        <w:pStyle w:val="TableBullet"/>
        <w:keepNext/>
        <w:spacing w:before="40" w:after="0"/>
      </w:pPr>
      <w:r>
        <w:t>m</w:t>
      </w:r>
      <w:r w:rsidRPr="007469BA">
        <w:t>ales of Maori, Pacific or Indian sub-continent ethnicity ag</w:t>
      </w:r>
      <w:r>
        <w:t>ed 35–74 years</w:t>
      </w:r>
    </w:p>
    <w:p w14:paraId="2CE48D03" w14:textId="77777777" w:rsidR="00D63061" w:rsidRDefault="00D63061" w:rsidP="002E3963">
      <w:pPr>
        <w:pStyle w:val="TableBullet"/>
        <w:keepNext/>
        <w:spacing w:before="40" w:after="0"/>
      </w:pPr>
      <w:r>
        <w:t>f</w:t>
      </w:r>
      <w:r w:rsidRPr="007469BA">
        <w:t>emales of Maori, Pacific, or Indian sub-continent ethnicity aged 45</w:t>
      </w:r>
      <w:r>
        <w:t>–</w:t>
      </w:r>
      <w:r w:rsidRPr="007469BA">
        <w:t>74 years</w:t>
      </w:r>
    </w:p>
    <w:p w14:paraId="57028315" w14:textId="77777777" w:rsidR="00D63061" w:rsidRDefault="00D63061" w:rsidP="00D63061">
      <w:pPr>
        <w:pStyle w:val="TableBullet"/>
        <w:spacing w:before="40" w:after="0"/>
      </w:pPr>
      <w:r>
        <w:t>m</w:t>
      </w:r>
      <w:r w:rsidRPr="007469BA">
        <w:t>ales of any other ethnicity aged 45</w:t>
      </w:r>
      <w:r>
        <w:t>–</w:t>
      </w:r>
      <w:r w:rsidRPr="007469BA">
        <w:t>74 years</w:t>
      </w:r>
    </w:p>
    <w:p w14:paraId="166B920D" w14:textId="77777777" w:rsidR="00D63061" w:rsidRPr="007469BA" w:rsidRDefault="00D63061" w:rsidP="00D63061">
      <w:pPr>
        <w:pStyle w:val="TableBullet"/>
        <w:spacing w:before="40" w:after="0"/>
      </w:pPr>
      <w:r>
        <w:t>f</w:t>
      </w:r>
      <w:r w:rsidRPr="007469BA">
        <w:t>emales of any other ethnicity aged 55</w:t>
      </w:r>
      <w:r>
        <w:t>–</w:t>
      </w:r>
      <w:r w:rsidRPr="007469BA">
        <w:t>74 years</w:t>
      </w:r>
      <w:r>
        <w:t>.</w:t>
      </w:r>
    </w:p>
    <w:p w14:paraId="37CEB2E6" w14:textId="77777777" w:rsidR="00C7122E" w:rsidRDefault="00C7122E" w:rsidP="00D63061">
      <w:pPr>
        <w:rPr>
          <w:noProof/>
          <w:lang w:eastAsia="en-NZ"/>
        </w:rPr>
      </w:pPr>
    </w:p>
    <w:p w14:paraId="0FB1E18C" w14:textId="77777777" w:rsidR="00C7122E" w:rsidRDefault="00C7122E" w:rsidP="00D63061">
      <w:pPr>
        <w:pStyle w:val="Table"/>
      </w:pPr>
      <w:bookmarkStart w:id="188" w:name="_Toc531260406"/>
      <w:r>
        <w:t>Table 10</w:t>
      </w:r>
      <w:r w:rsidRPr="00A119E8">
        <w:t xml:space="preserve">: </w:t>
      </w:r>
      <w:r>
        <w:t>Number and p</w:t>
      </w:r>
      <w:r w:rsidRPr="00A119E8">
        <w:t xml:space="preserve">ercentage of </w:t>
      </w:r>
      <w:r>
        <w:t xml:space="preserve">eligible adults </w:t>
      </w:r>
      <w:r w:rsidRPr="00A119E8">
        <w:t>who had cardiovascular risk assessed</w:t>
      </w:r>
      <w:r>
        <w:t xml:space="preserve">, Pacific peoples, priority </w:t>
      </w:r>
      <w:r w:rsidRPr="00A119E8">
        <w:t>DHBs</w:t>
      </w:r>
      <w:r>
        <w:t>, 1 January–31 March 2017</w:t>
      </w:r>
      <w:bookmarkEnd w:id="188"/>
    </w:p>
    <w:tbl>
      <w:tblPr>
        <w:tblW w:w="0" w:type="auto"/>
        <w:tblInd w:w="57" w:type="dxa"/>
        <w:tblLayout w:type="fixed"/>
        <w:tblCellMar>
          <w:left w:w="57" w:type="dxa"/>
          <w:right w:w="57" w:type="dxa"/>
        </w:tblCellMar>
        <w:tblLook w:val="04A0" w:firstRow="1" w:lastRow="0" w:firstColumn="1" w:lastColumn="0" w:noHBand="0" w:noVBand="1"/>
      </w:tblPr>
      <w:tblGrid>
        <w:gridCol w:w="1439"/>
        <w:gridCol w:w="2100"/>
        <w:gridCol w:w="1939"/>
        <w:gridCol w:w="1939"/>
        <w:gridCol w:w="1939"/>
      </w:tblGrid>
      <w:tr w:rsidR="00C7122E" w:rsidRPr="000C05FB" w14:paraId="773F19B5" w14:textId="77777777" w:rsidTr="00D63061">
        <w:trPr>
          <w:cantSplit/>
        </w:trPr>
        <w:tc>
          <w:tcPr>
            <w:tcW w:w="1439" w:type="dxa"/>
            <w:tcBorders>
              <w:top w:val="single" w:sz="4" w:space="0" w:color="auto"/>
              <w:bottom w:val="single" w:sz="4" w:space="0" w:color="auto"/>
            </w:tcBorders>
            <w:shd w:val="clear" w:color="auto" w:fill="auto"/>
            <w:hideMark/>
          </w:tcPr>
          <w:p w14:paraId="36266FFB" w14:textId="77777777" w:rsidR="00C7122E" w:rsidRPr="000C167F" w:rsidRDefault="00C7122E" w:rsidP="00D63061">
            <w:pPr>
              <w:pStyle w:val="TableText"/>
              <w:rPr>
                <w:lang w:eastAsia="en-NZ"/>
              </w:rPr>
            </w:pPr>
          </w:p>
        </w:tc>
        <w:tc>
          <w:tcPr>
            <w:tcW w:w="2100" w:type="dxa"/>
            <w:tcBorders>
              <w:top w:val="single" w:sz="4" w:space="0" w:color="auto"/>
              <w:bottom w:val="single" w:sz="4" w:space="0" w:color="auto"/>
            </w:tcBorders>
            <w:shd w:val="clear" w:color="auto" w:fill="auto"/>
            <w:hideMark/>
          </w:tcPr>
          <w:p w14:paraId="7BA2CBE4" w14:textId="77777777" w:rsidR="00C7122E" w:rsidRPr="000C167F" w:rsidRDefault="00C7122E" w:rsidP="00D63061">
            <w:pPr>
              <w:pStyle w:val="TableText"/>
              <w:rPr>
                <w:b/>
              </w:rPr>
            </w:pPr>
            <w:r w:rsidRPr="000C167F">
              <w:rPr>
                <w:b/>
              </w:rPr>
              <w:t>Region</w:t>
            </w:r>
          </w:p>
        </w:tc>
        <w:tc>
          <w:tcPr>
            <w:tcW w:w="1939" w:type="dxa"/>
            <w:tcBorders>
              <w:top w:val="single" w:sz="4" w:space="0" w:color="auto"/>
              <w:bottom w:val="single" w:sz="4" w:space="0" w:color="auto"/>
            </w:tcBorders>
            <w:shd w:val="clear" w:color="auto" w:fill="auto"/>
            <w:hideMark/>
          </w:tcPr>
          <w:p w14:paraId="2F74F69F" w14:textId="77777777" w:rsidR="00C7122E" w:rsidRPr="000C167F" w:rsidRDefault="00C7122E" w:rsidP="00D63061">
            <w:pPr>
              <w:pStyle w:val="TableText"/>
              <w:jc w:val="center"/>
              <w:rPr>
                <w:b/>
              </w:rPr>
            </w:pPr>
            <w:r>
              <w:rPr>
                <w:b/>
              </w:rPr>
              <w:t>People who had their</w:t>
            </w:r>
            <w:r w:rsidRPr="000C167F">
              <w:rPr>
                <w:b/>
              </w:rPr>
              <w:t xml:space="preserve"> risk assessed</w:t>
            </w:r>
          </w:p>
        </w:tc>
        <w:tc>
          <w:tcPr>
            <w:tcW w:w="1939" w:type="dxa"/>
            <w:tcBorders>
              <w:top w:val="single" w:sz="4" w:space="0" w:color="auto"/>
              <w:bottom w:val="single" w:sz="4" w:space="0" w:color="auto"/>
            </w:tcBorders>
            <w:shd w:val="clear" w:color="auto" w:fill="auto"/>
            <w:hideMark/>
          </w:tcPr>
          <w:p w14:paraId="3525F0ED" w14:textId="77777777" w:rsidR="00C7122E" w:rsidRPr="000C167F" w:rsidRDefault="00C7122E" w:rsidP="00D63061">
            <w:pPr>
              <w:pStyle w:val="TableText"/>
              <w:jc w:val="center"/>
              <w:rPr>
                <w:b/>
              </w:rPr>
            </w:pPr>
            <w:r w:rsidRPr="000C167F">
              <w:rPr>
                <w:b/>
              </w:rPr>
              <w:t>Eligible population</w:t>
            </w:r>
          </w:p>
        </w:tc>
        <w:tc>
          <w:tcPr>
            <w:tcW w:w="1939" w:type="dxa"/>
            <w:tcBorders>
              <w:top w:val="single" w:sz="4" w:space="0" w:color="auto"/>
              <w:bottom w:val="single" w:sz="4" w:space="0" w:color="auto"/>
            </w:tcBorders>
            <w:shd w:val="clear" w:color="auto" w:fill="auto"/>
            <w:hideMark/>
          </w:tcPr>
          <w:p w14:paraId="0B9892A9" w14:textId="77777777" w:rsidR="00C7122E" w:rsidRPr="000C167F" w:rsidRDefault="00C7122E" w:rsidP="00D63061">
            <w:pPr>
              <w:pStyle w:val="TableText"/>
              <w:jc w:val="center"/>
              <w:rPr>
                <w:b/>
              </w:rPr>
            </w:pPr>
            <w:r w:rsidRPr="000C167F">
              <w:rPr>
                <w:b/>
              </w:rPr>
              <w:t xml:space="preserve">Percentage </w:t>
            </w:r>
            <w:r>
              <w:rPr>
                <w:b/>
              </w:rPr>
              <w:t>assessed</w:t>
            </w:r>
          </w:p>
        </w:tc>
      </w:tr>
      <w:tr w:rsidR="00C7122E" w:rsidRPr="000C05FB" w14:paraId="421C7040" w14:textId="77777777" w:rsidTr="00D63061">
        <w:trPr>
          <w:cantSplit/>
        </w:trPr>
        <w:tc>
          <w:tcPr>
            <w:tcW w:w="1439" w:type="dxa"/>
            <w:vMerge w:val="restart"/>
            <w:tcBorders>
              <w:top w:val="single" w:sz="4" w:space="0" w:color="auto"/>
              <w:bottom w:val="single" w:sz="4" w:space="0" w:color="auto"/>
            </w:tcBorders>
            <w:shd w:val="clear" w:color="auto" w:fill="auto"/>
            <w:hideMark/>
          </w:tcPr>
          <w:p w14:paraId="4ACA3D6C" w14:textId="77777777" w:rsidR="00C7122E" w:rsidRPr="000C167F" w:rsidRDefault="00C7122E" w:rsidP="00D63061">
            <w:pPr>
              <w:pStyle w:val="TableText"/>
              <w:ind w:right="284"/>
            </w:pPr>
            <w:r w:rsidRPr="000C167F">
              <w:t>Auckland region</w:t>
            </w:r>
          </w:p>
        </w:tc>
        <w:tc>
          <w:tcPr>
            <w:tcW w:w="2100" w:type="dxa"/>
            <w:tcBorders>
              <w:top w:val="single" w:sz="4" w:space="0" w:color="auto"/>
              <w:bottom w:val="single" w:sz="4" w:space="0" w:color="9BBB59" w:themeColor="accent3"/>
            </w:tcBorders>
            <w:shd w:val="clear" w:color="auto" w:fill="auto"/>
            <w:hideMark/>
          </w:tcPr>
          <w:p w14:paraId="4BA33E10" w14:textId="77777777" w:rsidR="00C7122E" w:rsidRPr="000C167F" w:rsidRDefault="00C7122E" w:rsidP="00D63061">
            <w:pPr>
              <w:pStyle w:val="TableText"/>
            </w:pPr>
            <w:r w:rsidRPr="000C167F">
              <w:t>Counties Manukau</w:t>
            </w:r>
          </w:p>
        </w:tc>
        <w:tc>
          <w:tcPr>
            <w:tcW w:w="1939" w:type="dxa"/>
            <w:tcBorders>
              <w:top w:val="single" w:sz="4" w:space="0" w:color="auto"/>
              <w:bottom w:val="single" w:sz="4" w:space="0" w:color="9BBB59" w:themeColor="accent3"/>
            </w:tcBorders>
            <w:shd w:val="clear" w:color="auto" w:fill="auto"/>
            <w:hideMark/>
          </w:tcPr>
          <w:p w14:paraId="5090BFE2" w14:textId="77777777" w:rsidR="00C7122E" w:rsidRPr="000C167F" w:rsidRDefault="00C7122E" w:rsidP="00D63061">
            <w:pPr>
              <w:pStyle w:val="TableText"/>
              <w:tabs>
                <w:tab w:val="decimal" w:pos="1134"/>
              </w:tabs>
            </w:pPr>
            <w:r w:rsidRPr="000C167F">
              <w:t>30,561</w:t>
            </w:r>
          </w:p>
        </w:tc>
        <w:tc>
          <w:tcPr>
            <w:tcW w:w="1939" w:type="dxa"/>
            <w:tcBorders>
              <w:top w:val="single" w:sz="4" w:space="0" w:color="auto"/>
              <w:bottom w:val="single" w:sz="4" w:space="0" w:color="9BBB59" w:themeColor="accent3"/>
            </w:tcBorders>
            <w:shd w:val="clear" w:color="auto" w:fill="auto"/>
            <w:hideMark/>
          </w:tcPr>
          <w:p w14:paraId="5C1E134C" w14:textId="77777777" w:rsidR="00C7122E" w:rsidRPr="000C167F" w:rsidRDefault="00C7122E" w:rsidP="00D63061">
            <w:pPr>
              <w:pStyle w:val="TableText"/>
              <w:tabs>
                <w:tab w:val="decimal" w:pos="1134"/>
              </w:tabs>
            </w:pPr>
            <w:r w:rsidRPr="000C167F">
              <w:t>33,575</w:t>
            </w:r>
          </w:p>
        </w:tc>
        <w:tc>
          <w:tcPr>
            <w:tcW w:w="1939" w:type="dxa"/>
            <w:tcBorders>
              <w:top w:val="single" w:sz="4" w:space="0" w:color="auto"/>
              <w:bottom w:val="single" w:sz="4" w:space="0" w:color="9BBB59" w:themeColor="accent3"/>
            </w:tcBorders>
            <w:shd w:val="clear" w:color="auto" w:fill="auto"/>
            <w:noWrap/>
            <w:hideMark/>
          </w:tcPr>
          <w:p w14:paraId="08D72E6B" w14:textId="77777777" w:rsidR="00C7122E" w:rsidRPr="000C167F" w:rsidRDefault="00C7122E" w:rsidP="00D63061">
            <w:pPr>
              <w:pStyle w:val="TableText"/>
              <w:jc w:val="center"/>
            </w:pPr>
            <w:r w:rsidRPr="000C167F">
              <w:t>91%</w:t>
            </w:r>
          </w:p>
        </w:tc>
      </w:tr>
      <w:tr w:rsidR="00C7122E" w:rsidRPr="000C05FB" w14:paraId="1B7A7E9D" w14:textId="77777777" w:rsidTr="00D63061">
        <w:trPr>
          <w:cantSplit/>
        </w:trPr>
        <w:tc>
          <w:tcPr>
            <w:tcW w:w="1439" w:type="dxa"/>
            <w:vMerge/>
            <w:tcBorders>
              <w:top w:val="single" w:sz="4" w:space="0" w:color="auto"/>
              <w:bottom w:val="single" w:sz="4" w:space="0" w:color="auto"/>
            </w:tcBorders>
            <w:hideMark/>
          </w:tcPr>
          <w:p w14:paraId="580B15A0" w14:textId="77777777" w:rsidR="00C7122E" w:rsidRPr="000C167F" w:rsidRDefault="00C7122E" w:rsidP="00D63061">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3C4974D1" w14:textId="77777777" w:rsidR="00C7122E" w:rsidRPr="000C167F" w:rsidRDefault="00C7122E" w:rsidP="00D63061">
            <w:pPr>
              <w:pStyle w:val="TableText"/>
            </w:pPr>
            <w:r w:rsidRPr="000C167F">
              <w:t>Auckland</w:t>
            </w:r>
          </w:p>
        </w:tc>
        <w:tc>
          <w:tcPr>
            <w:tcW w:w="1939" w:type="dxa"/>
            <w:tcBorders>
              <w:top w:val="single" w:sz="4" w:space="0" w:color="9BBB59" w:themeColor="accent3"/>
              <w:bottom w:val="single" w:sz="4" w:space="0" w:color="9BBB59" w:themeColor="accent3"/>
            </w:tcBorders>
            <w:shd w:val="clear" w:color="auto" w:fill="auto"/>
            <w:hideMark/>
          </w:tcPr>
          <w:p w14:paraId="691339A9" w14:textId="77777777" w:rsidR="00C7122E" w:rsidRPr="000C167F" w:rsidRDefault="00C7122E" w:rsidP="00D63061">
            <w:pPr>
              <w:pStyle w:val="TableText"/>
              <w:tabs>
                <w:tab w:val="decimal" w:pos="1134"/>
              </w:tabs>
            </w:pPr>
            <w:r w:rsidRPr="000C167F">
              <w:t>23,233</w:t>
            </w:r>
          </w:p>
        </w:tc>
        <w:tc>
          <w:tcPr>
            <w:tcW w:w="1939" w:type="dxa"/>
            <w:tcBorders>
              <w:top w:val="single" w:sz="4" w:space="0" w:color="9BBB59" w:themeColor="accent3"/>
              <w:bottom w:val="single" w:sz="4" w:space="0" w:color="9BBB59" w:themeColor="accent3"/>
            </w:tcBorders>
            <w:shd w:val="clear" w:color="auto" w:fill="auto"/>
            <w:hideMark/>
          </w:tcPr>
          <w:p w14:paraId="2197EA07" w14:textId="77777777" w:rsidR="00C7122E" w:rsidRPr="000C167F" w:rsidRDefault="00C7122E" w:rsidP="00D63061">
            <w:pPr>
              <w:pStyle w:val="TableText"/>
              <w:tabs>
                <w:tab w:val="decimal" w:pos="1134"/>
              </w:tabs>
            </w:pPr>
            <w:r w:rsidRPr="000C167F">
              <w:t>25,477</w:t>
            </w:r>
          </w:p>
        </w:tc>
        <w:tc>
          <w:tcPr>
            <w:tcW w:w="1939" w:type="dxa"/>
            <w:tcBorders>
              <w:top w:val="single" w:sz="4" w:space="0" w:color="9BBB59" w:themeColor="accent3"/>
              <w:bottom w:val="single" w:sz="4" w:space="0" w:color="9BBB59" w:themeColor="accent3"/>
            </w:tcBorders>
            <w:shd w:val="clear" w:color="auto" w:fill="auto"/>
            <w:noWrap/>
            <w:hideMark/>
          </w:tcPr>
          <w:p w14:paraId="5BF9DC04" w14:textId="77777777" w:rsidR="00C7122E" w:rsidRPr="000C167F" w:rsidRDefault="00C7122E" w:rsidP="00D63061">
            <w:pPr>
              <w:pStyle w:val="TableText"/>
              <w:jc w:val="center"/>
            </w:pPr>
            <w:r w:rsidRPr="000C167F">
              <w:t>91%</w:t>
            </w:r>
          </w:p>
        </w:tc>
      </w:tr>
      <w:tr w:rsidR="00C7122E" w:rsidRPr="000C05FB" w14:paraId="060EE702" w14:textId="77777777" w:rsidTr="00D63061">
        <w:trPr>
          <w:cantSplit/>
        </w:trPr>
        <w:tc>
          <w:tcPr>
            <w:tcW w:w="1439" w:type="dxa"/>
            <w:vMerge/>
            <w:tcBorders>
              <w:top w:val="single" w:sz="4" w:space="0" w:color="auto"/>
              <w:bottom w:val="single" w:sz="4" w:space="0" w:color="auto"/>
            </w:tcBorders>
            <w:hideMark/>
          </w:tcPr>
          <w:p w14:paraId="45581BDC" w14:textId="77777777" w:rsidR="00C7122E" w:rsidRPr="000C167F" w:rsidRDefault="00C7122E" w:rsidP="00D63061">
            <w:pPr>
              <w:pStyle w:val="TableText"/>
            </w:pPr>
          </w:p>
        </w:tc>
        <w:tc>
          <w:tcPr>
            <w:tcW w:w="2100" w:type="dxa"/>
            <w:tcBorders>
              <w:top w:val="single" w:sz="4" w:space="0" w:color="9BBB59" w:themeColor="accent3"/>
              <w:bottom w:val="single" w:sz="4" w:space="0" w:color="auto"/>
            </w:tcBorders>
            <w:shd w:val="clear" w:color="auto" w:fill="auto"/>
            <w:hideMark/>
          </w:tcPr>
          <w:p w14:paraId="6031A40E" w14:textId="77777777" w:rsidR="00C7122E" w:rsidRPr="000C167F" w:rsidRDefault="00C7122E" w:rsidP="00D63061">
            <w:pPr>
              <w:pStyle w:val="TableText"/>
            </w:pPr>
            <w:r w:rsidRPr="000C167F">
              <w:t>Waitemata</w:t>
            </w:r>
          </w:p>
        </w:tc>
        <w:tc>
          <w:tcPr>
            <w:tcW w:w="1939" w:type="dxa"/>
            <w:tcBorders>
              <w:top w:val="single" w:sz="4" w:space="0" w:color="9BBB59" w:themeColor="accent3"/>
              <w:bottom w:val="single" w:sz="4" w:space="0" w:color="auto"/>
            </w:tcBorders>
            <w:shd w:val="clear" w:color="auto" w:fill="auto"/>
            <w:hideMark/>
          </w:tcPr>
          <w:p w14:paraId="6B6FA4D2" w14:textId="77777777" w:rsidR="00C7122E" w:rsidRPr="000C167F" w:rsidRDefault="00C7122E" w:rsidP="00D63061">
            <w:pPr>
              <w:pStyle w:val="TableText"/>
              <w:tabs>
                <w:tab w:val="decimal" w:pos="1134"/>
              </w:tabs>
            </w:pPr>
            <w:r w:rsidRPr="000C167F">
              <w:t>9</w:t>
            </w:r>
            <w:r>
              <w:t>,</w:t>
            </w:r>
            <w:r w:rsidRPr="000C167F">
              <w:t>396</w:t>
            </w:r>
          </w:p>
        </w:tc>
        <w:tc>
          <w:tcPr>
            <w:tcW w:w="1939" w:type="dxa"/>
            <w:tcBorders>
              <w:top w:val="single" w:sz="4" w:space="0" w:color="9BBB59" w:themeColor="accent3"/>
              <w:bottom w:val="single" w:sz="4" w:space="0" w:color="auto"/>
            </w:tcBorders>
            <w:shd w:val="clear" w:color="auto" w:fill="auto"/>
            <w:hideMark/>
          </w:tcPr>
          <w:p w14:paraId="3512F02B" w14:textId="77777777" w:rsidR="00C7122E" w:rsidRPr="000C167F" w:rsidRDefault="00C7122E" w:rsidP="00D63061">
            <w:pPr>
              <w:pStyle w:val="TableText"/>
              <w:tabs>
                <w:tab w:val="decimal" w:pos="1134"/>
              </w:tabs>
            </w:pPr>
            <w:r w:rsidRPr="000C167F">
              <w:t>10</w:t>
            </w:r>
            <w:r w:rsidR="002E3963">
              <w:t>,</w:t>
            </w:r>
            <w:r w:rsidRPr="000C167F">
              <w:t>446</w:t>
            </w:r>
          </w:p>
        </w:tc>
        <w:tc>
          <w:tcPr>
            <w:tcW w:w="1939" w:type="dxa"/>
            <w:tcBorders>
              <w:top w:val="single" w:sz="4" w:space="0" w:color="9BBB59" w:themeColor="accent3"/>
              <w:bottom w:val="single" w:sz="4" w:space="0" w:color="auto"/>
            </w:tcBorders>
            <w:shd w:val="clear" w:color="auto" w:fill="auto"/>
            <w:noWrap/>
            <w:hideMark/>
          </w:tcPr>
          <w:p w14:paraId="32948068" w14:textId="77777777" w:rsidR="00C7122E" w:rsidRPr="000C167F" w:rsidRDefault="00C7122E" w:rsidP="00D63061">
            <w:pPr>
              <w:pStyle w:val="TableText"/>
              <w:jc w:val="center"/>
            </w:pPr>
            <w:r w:rsidRPr="000C167F">
              <w:t>90%</w:t>
            </w:r>
          </w:p>
        </w:tc>
      </w:tr>
      <w:tr w:rsidR="00C7122E" w:rsidRPr="000C05FB" w14:paraId="3B88B6E7" w14:textId="77777777" w:rsidTr="00D63061">
        <w:trPr>
          <w:cantSplit/>
        </w:trPr>
        <w:tc>
          <w:tcPr>
            <w:tcW w:w="1439" w:type="dxa"/>
            <w:vMerge w:val="restart"/>
            <w:tcBorders>
              <w:top w:val="single" w:sz="4" w:space="0" w:color="auto"/>
              <w:bottom w:val="single" w:sz="4" w:space="0" w:color="auto"/>
            </w:tcBorders>
            <w:shd w:val="clear" w:color="auto" w:fill="auto"/>
            <w:hideMark/>
          </w:tcPr>
          <w:p w14:paraId="04C0E74F" w14:textId="77777777" w:rsidR="00C7122E" w:rsidRPr="000C167F" w:rsidRDefault="00C7122E" w:rsidP="00D63061">
            <w:pPr>
              <w:pStyle w:val="TableText"/>
            </w:pPr>
            <w:r w:rsidRPr="000C167F">
              <w:t>Rest of New Zealand</w:t>
            </w:r>
          </w:p>
        </w:tc>
        <w:tc>
          <w:tcPr>
            <w:tcW w:w="2100" w:type="dxa"/>
            <w:tcBorders>
              <w:top w:val="single" w:sz="4" w:space="0" w:color="auto"/>
              <w:bottom w:val="single" w:sz="4" w:space="0" w:color="9BBB59" w:themeColor="accent3"/>
            </w:tcBorders>
            <w:shd w:val="clear" w:color="auto" w:fill="auto"/>
            <w:hideMark/>
          </w:tcPr>
          <w:p w14:paraId="77768249" w14:textId="77777777" w:rsidR="00C7122E" w:rsidRPr="000C167F" w:rsidRDefault="00C7122E" w:rsidP="00D63061">
            <w:pPr>
              <w:pStyle w:val="TableText"/>
            </w:pPr>
            <w:r w:rsidRPr="000C167F">
              <w:t>Capital &amp; Coast</w:t>
            </w:r>
          </w:p>
        </w:tc>
        <w:tc>
          <w:tcPr>
            <w:tcW w:w="1939" w:type="dxa"/>
            <w:tcBorders>
              <w:top w:val="single" w:sz="4" w:space="0" w:color="auto"/>
              <w:bottom w:val="single" w:sz="4" w:space="0" w:color="9BBB59" w:themeColor="accent3"/>
            </w:tcBorders>
            <w:shd w:val="clear" w:color="auto" w:fill="auto"/>
            <w:hideMark/>
          </w:tcPr>
          <w:p w14:paraId="18711A64" w14:textId="77777777" w:rsidR="00C7122E" w:rsidRPr="000C167F" w:rsidRDefault="00C7122E" w:rsidP="00D63061">
            <w:pPr>
              <w:pStyle w:val="TableText"/>
              <w:tabs>
                <w:tab w:val="decimal" w:pos="1134"/>
              </w:tabs>
            </w:pPr>
            <w:r w:rsidRPr="000C167F">
              <w:t>6</w:t>
            </w:r>
            <w:r>
              <w:t>,</w:t>
            </w:r>
            <w:r w:rsidRPr="000C167F">
              <w:t>323</w:t>
            </w:r>
          </w:p>
        </w:tc>
        <w:tc>
          <w:tcPr>
            <w:tcW w:w="1939" w:type="dxa"/>
            <w:tcBorders>
              <w:top w:val="single" w:sz="4" w:space="0" w:color="auto"/>
              <w:bottom w:val="single" w:sz="4" w:space="0" w:color="9BBB59" w:themeColor="accent3"/>
            </w:tcBorders>
            <w:shd w:val="clear" w:color="auto" w:fill="auto"/>
            <w:hideMark/>
          </w:tcPr>
          <w:p w14:paraId="460E2926" w14:textId="77777777" w:rsidR="00C7122E" w:rsidRPr="000C167F" w:rsidRDefault="00C7122E" w:rsidP="00D63061">
            <w:pPr>
              <w:pStyle w:val="TableText"/>
              <w:tabs>
                <w:tab w:val="decimal" w:pos="1134"/>
              </w:tabs>
            </w:pPr>
            <w:r w:rsidRPr="000C167F">
              <w:t>7</w:t>
            </w:r>
            <w:r w:rsidR="002E3963">
              <w:t>,</w:t>
            </w:r>
            <w:r w:rsidRPr="000C167F">
              <w:t>210</w:t>
            </w:r>
          </w:p>
        </w:tc>
        <w:tc>
          <w:tcPr>
            <w:tcW w:w="1939" w:type="dxa"/>
            <w:tcBorders>
              <w:top w:val="single" w:sz="4" w:space="0" w:color="auto"/>
              <w:bottom w:val="single" w:sz="4" w:space="0" w:color="9BBB59" w:themeColor="accent3"/>
            </w:tcBorders>
            <w:shd w:val="clear" w:color="auto" w:fill="auto"/>
            <w:noWrap/>
            <w:hideMark/>
          </w:tcPr>
          <w:p w14:paraId="284D60D6" w14:textId="77777777" w:rsidR="00C7122E" w:rsidRPr="000C167F" w:rsidRDefault="00C7122E" w:rsidP="00D63061">
            <w:pPr>
              <w:pStyle w:val="TableText"/>
              <w:jc w:val="center"/>
            </w:pPr>
            <w:r w:rsidRPr="000C167F">
              <w:t>88%</w:t>
            </w:r>
          </w:p>
        </w:tc>
      </w:tr>
      <w:tr w:rsidR="00C7122E" w:rsidRPr="000C05FB" w14:paraId="6FA1CF2A" w14:textId="77777777" w:rsidTr="00D63061">
        <w:trPr>
          <w:cantSplit/>
        </w:trPr>
        <w:tc>
          <w:tcPr>
            <w:tcW w:w="1439" w:type="dxa"/>
            <w:vMerge/>
            <w:tcBorders>
              <w:top w:val="single" w:sz="4" w:space="0" w:color="auto"/>
              <w:bottom w:val="single" w:sz="4" w:space="0" w:color="auto"/>
            </w:tcBorders>
            <w:hideMark/>
          </w:tcPr>
          <w:p w14:paraId="06DD8880" w14:textId="77777777" w:rsidR="00C7122E" w:rsidRPr="000C167F" w:rsidRDefault="00C7122E" w:rsidP="00D63061">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7BCA3C09" w14:textId="77777777" w:rsidR="00C7122E" w:rsidRPr="000C167F" w:rsidRDefault="00C7122E" w:rsidP="00D63061">
            <w:pPr>
              <w:pStyle w:val="TableText"/>
            </w:pPr>
            <w:r w:rsidRPr="000C167F">
              <w:t>Canterbury</w:t>
            </w:r>
          </w:p>
        </w:tc>
        <w:tc>
          <w:tcPr>
            <w:tcW w:w="1939" w:type="dxa"/>
            <w:tcBorders>
              <w:top w:val="single" w:sz="4" w:space="0" w:color="9BBB59" w:themeColor="accent3"/>
              <w:bottom w:val="single" w:sz="4" w:space="0" w:color="9BBB59" w:themeColor="accent3"/>
            </w:tcBorders>
            <w:shd w:val="clear" w:color="auto" w:fill="auto"/>
            <w:hideMark/>
          </w:tcPr>
          <w:p w14:paraId="186E258D" w14:textId="77777777" w:rsidR="00C7122E" w:rsidRPr="000C167F" w:rsidRDefault="00C7122E" w:rsidP="00D63061">
            <w:pPr>
              <w:pStyle w:val="TableText"/>
              <w:tabs>
                <w:tab w:val="decimal" w:pos="1134"/>
              </w:tabs>
            </w:pPr>
            <w:r w:rsidRPr="000C167F">
              <w:t>1</w:t>
            </w:r>
            <w:r>
              <w:t>,</w:t>
            </w:r>
            <w:r w:rsidRPr="000C167F">
              <w:t>500</w:t>
            </w:r>
          </w:p>
        </w:tc>
        <w:tc>
          <w:tcPr>
            <w:tcW w:w="1939" w:type="dxa"/>
            <w:tcBorders>
              <w:top w:val="single" w:sz="4" w:space="0" w:color="9BBB59" w:themeColor="accent3"/>
              <w:bottom w:val="single" w:sz="4" w:space="0" w:color="9BBB59" w:themeColor="accent3"/>
            </w:tcBorders>
            <w:shd w:val="clear" w:color="auto" w:fill="auto"/>
            <w:hideMark/>
          </w:tcPr>
          <w:p w14:paraId="54A34480" w14:textId="77777777" w:rsidR="00C7122E" w:rsidRPr="000C167F" w:rsidRDefault="00C7122E" w:rsidP="00D63061">
            <w:pPr>
              <w:pStyle w:val="TableText"/>
              <w:tabs>
                <w:tab w:val="decimal" w:pos="1134"/>
              </w:tabs>
            </w:pPr>
            <w:r w:rsidRPr="000C167F">
              <w:t>1</w:t>
            </w:r>
            <w:r w:rsidR="002E3963">
              <w:t>,</w:t>
            </w:r>
            <w:r w:rsidRPr="000C167F">
              <w:t>823</w:t>
            </w:r>
          </w:p>
        </w:tc>
        <w:tc>
          <w:tcPr>
            <w:tcW w:w="1939" w:type="dxa"/>
            <w:tcBorders>
              <w:top w:val="single" w:sz="4" w:space="0" w:color="9BBB59" w:themeColor="accent3"/>
              <w:bottom w:val="single" w:sz="4" w:space="0" w:color="9BBB59" w:themeColor="accent3"/>
            </w:tcBorders>
            <w:shd w:val="clear" w:color="auto" w:fill="auto"/>
            <w:noWrap/>
            <w:hideMark/>
          </w:tcPr>
          <w:p w14:paraId="1687B7C5" w14:textId="77777777" w:rsidR="00C7122E" w:rsidRPr="000C167F" w:rsidRDefault="00C7122E" w:rsidP="00D63061">
            <w:pPr>
              <w:pStyle w:val="TableText"/>
              <w:jc w:val="center"/>
            </w:pPr>
            <w:r w:rsidRPr="000C167F">
              <w:t>82%</w:t>
            </w:r>
          </w:p>
        </w:tc>
      </w:tr>
      <w:tr w:rsidR="00C7122E" w:rsidRPr="000C05FB" w14:paraId="4DF8251A" w14:textId="77777777" w:rsidTr="00D63061">
        <w:trPr>
          <w:cantSplit/>
        </w:trPr>
        <w:tc>
          <w:tcPr>
            <w:tcW w:w="1439" w:type="dxa"/>
            <w:vMerge/>
            <w:tcBorders>
              <w:top w:val="single" w:sz="4" w:space="0" w:color="auto"/>
              <w:bottom w:val="single" w:sz="4" w:space="0" w:color="auto"/>
            </w:tcBorders>
            <w:hideMark/>
          </w:tcPr>
          <w:p w14:paraId="2D956CDA" w14:textId="77777777" w:rsidR="00C7122E" w:rsidRPr="000C167F" w:rsidRDefault="00C7122E" w:rsidP="00D63061">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587DC4EE" w14:textId="77777777" w:rsidR="00C7122E" w:rsidRPr="000C167F" w:rsidRDefault="00C7122E" w:rsidP="00D63061">
            <w:pPr>
              <w:pStyle w:val="TableText"/>
            </w:pPr>
            <w:r w:rsidRPr="000C167F">
              <w:t>Hutt Valley</w:t>
            </w:r>
          </w:p>
        </w:tc>
        <w:tc>
          <w:tcPr>
            <w:tcW w:w="1939" w:type="dxa"/>
            <w:tcBorders>
              <w:top w:val="single" w:sz="4" w:space="0" w:color="9BBB59" w:themeColor="accent3"/>
              <w:bottom w:val="single" w:sz="4" w:space="0" w:color="9BBB59" w:themeColor="accent3"/>
            </w:tcBorders>
            <w:shd w:val="clear" w:color="auto" w:fill="auto"/>
            <w:hideMark/>
          </w:tcPr>
          <w:p w14:paraId="6BF8C137" w14:textId="77777777" w:rsidR="00C7122E" w:rsidRPr="000C167F" w:rsidRDefault="00C7122E" w:rsidP="00D63061">
            <w:pPr>
              <w:pStyle w:val="TableText"/>
              <w:tabs>
                <w:tab w:val="decimal" w:pos="1134"/>
              </w:tabs>
            </w:pPr>
            <w:r w:rsidRPr="000C167F">
              <w:t>3</w:t>
            </w:r>
            <w:r>
              <w:t>,</w:t>
            </w:r>
            <w:r w:rsidRPr="000C167F">
              <w:t>038</w:t>
            </w:r>
          </w:p>
        </w:tc>
        <w:tc>
          <w:tcPr>
            <w:tcW w:w="1939" w:type="dxa"/>
            <w:tcBorders>
              <w:top w:val="single" w:sz="4" w:space="0" w:color="9BBB59" w:themeColor="accent3"/>
              <w:bottom w:val="single" w:sz="4" w:space="0" w:color="9BBB59" w:themeColor="accent3"/>
            </w:tcBorders>
            <w:shd w:val="clear" w:color="auto" w:fill="auto"/>
            <w:hideMark/>
          </w:tcPr>
          <w:p w14:paraId="41194441" w14:textId="77777777" w:rsidR="00C7122E" w:rsidRPr="000C167F" w:rsidRDefault="00C7122E" w:rsidP="00D63061">
            <w:pPr>
              <w:pStyle w:val="TableText"/>
              <w:tabs>
                <w:tab w:val="decimal" w:pos="1134"/>
              </w:tabs>
            </w:pPr>
            <w:r w:rsidRPr="000C167F">
              <w:t>3</w:t>
            </w:r>
            <w:r w:rsidR="002E3963">
              <w:t>,</w:t>
            </w:r>
            <w:r w:rsidRPr="000C167F">
              <w:t>525</w:t>
            </w:r>
          </w:p>
        </w:tc>
        <w:tc>
          <w:tcPr>
            <w:tcW w:w="1939" w:type="dxa"/>
            <w:tcBorders>
              <w:top w:val="single" w:sz="4" w:space="0" w:color="9BBB59" w:themeColor="accent3"/>
              <w:bottom w:val="single" w:sz="4" w:space="0" w:color="9BBB59" w:themeColor="accent3"/>
            </w:tcBorders>
            <w:shd w:val="clear" w:color="auto" w:fill="auto"/>
            <w:noWrap/>
            <w:hideMark/>
          </w:tcPr>
          <w:p w14:paraId="015C5366" w14:textId="77777777" w:rsidR="00C7122E" w:rsidRPr="000C167F" w:rsidRDefault="00C7122E" w:rsidP="00D63061">
            <w:pPr>
              <w:pStyle w:val="TableText"/>
              <w:jc w:val="center"/>
            </w:pPr>
            <w:r w:rsidRPr="000C167F">
              <w:t>86%</w:t>
            </w:r>
          </w:p>
        </w:tc>
      </w:tr>
      <w:tr w:rsidR="00C7122E" w:rsidRPr="000C05FB" w14:paraId="26F64F03" w14:textId="77777777" w:rsidTr="00D63061">
        <w:trPr>
          <w:cantSplit/>
        </w:trPr>
        <w:tc>
          <w:tcPr>
            <w:tcW w:w="1439" w:type="dxa"/>
            <w:vMerge/>
            <w:tcBorders>
              <w:top w:val="single" w:sz="4" w:space="0" w:color="auto"/>
              <w:bottom w:val="single" w:sz="4" w:space="0" w:color="auto"/>
            </w:tcBorders>
            <w:hideMark/>
          </w:tcPr>
          <w:p w14:paraId="43B4475D" w14:textId="77777777" w:rsidR="00C7122E" w:rsidRPr="000C167F" w:rsidRDefault="00C7122E" w:rsidP="00D63061">
            <w:pPr>
              <w:pStyle w:val="TableText"/>
            </w:pPr>
          </w:p>
        </w:tc>
        <w:tc>
          <w:tcPr>
            <w:tcW w:w="2100" w:type="dxa"/>
            <w:tcBorders>
              <w:top w:val="single" w:sz="4" w:space="0" w:color="9BBB59" w:themeColor="accent3"/>
              <w:bottom w:val="single" w:sz="4" w:space="0" w:color="9BBB59" w:themeColor="accent3"/>
            </w:tcBorders>
            <w:shd w:val="clear" w:color="auto" w:fill="auto"/>
            <w:hideMark/>
          </w:tcPr>
          <w:p w14:paraId="762295D2" w14:textId="77777777" w:rsidR="00C7122E" w:rsidRPr="000C167F" w:rsidRDefault="00C7122E" w:rsidP="00D63061">
            <w:pPr>
              <w:pStyle w:val="TableText"/>
            </w:pPr>
            <w:r w:rsidRPr="000C167F">
              <w:t>Hawke</w:t>
            </w:r>
            <w:r>
              <w:t>’</w:t>
            </w:r>
            <w:r w:rsidRPr="000C167F">
              <w:t>s Bay</w:t>
            </w:r>
          </w:p>
        </w:tc>
        <w:tc>
          <w:tcPr>
            <w:tcW w:w="1939" w:type="dxa"/>
            <w:tcBorders>
              <w:top w:val="single" w:sz="4" w:space="0" w:color="9BBB59" w:themeColor="accent3"/>
              <w:bottom w:val="single" w:sz="4" w:space="0" w:color="9BBB59" w:themeColor="accent3"/>
            </w:tcBorders>
            <w:shd w:val="clear" w:color="auto" w:fill="auto"/>
            <w:hideMark/>
          </w:tcPr>
          <w:p w14:paraId="27DA8DBB" w14:textId="77777777" w:rsidR="00C7122E" w:rsidRPr="000C167F" w:rsidRDefault="00C7122E" w:rsidP="00D63061">
            <w:pPr>
              <w:pStyle w:val="TableText"/>
              <w:tabs>
                <w:tab w:val="decimal" w:pos="1134"/>
              </w:tabs>
            </w:pPr>
            <w:r w:rsidRPr="000C167F">
              <w:t>1</w:t>
            </w:r>
            <w:r>
              <w:t>,</w:t>
            </w:r>
            <w:r w:rsidRPr="000C167F">
              <w:t>271</w:t>
            </w:r>
          </w:p>
        </w:tc>
        <w:tc>
          <w:tcPr>
            <w:tcW w:w="1939" w:type="dxa"/>
            <w:tcBorders>
              <w:top w:val="single" w:sz="4" w:space="0" w:color="9BBB59" w:themeColor="accent3"/>
              <w:bottom w:val="single" w:sz="4" w:space="0" w:color="9BBB59" w:themeColor="accent3"/>
            </w:tcBorders>
            <w:shd w:val="clear" w:color="auto" w:fill="auto"/>
            <w:hideMark/>
          </w:tcPr>
          <w:p w14:paraId="067BFCE7" w14:textId="77777777" w:rsidR="00C7122E" w:rsidRPr="000C167F" w:rsidRDefault="00C7122E" w:rsidP="00D63061">
            <w:pPr>
              <w:pStyle w:val="TableText"/>
              <w:tabs>
                <w:tab w:val="decimal" w:pos="1134"/>
              </w:tabs>
            </w:pPr>
            <w:r w:rsidRPr="000C167F">
              <w:t>1</w:t>
            </w:r>
            <w:r w:rsidR="002E3963">
              <w:t>,</w:t>
            </w:r>
            <w:r w:rsidRPr="000C167F">
              <w:t>507</w:t>
            </w:r>
          </w:p>
        </w:tc>
        <w:tc>
          <w:tcPr>
            <w:tcW w:w="1939" w:type="dxa"/>
            <w:tcBorders>
              <w:top w:val="single" w:sz="4" w:space="0" w:color="9BBB59" w:themeColor="accent3"/>
              <w:bottom w:val="single" w:sz="4" w:space="0" w:color="9BBB59" w:themeColor="accent3"/>
            </w:tcBorders>
            <w:shd w:val="clear" w:color="auto" w:fill="auto"/>
            <w:noWrap/>
            <w:hideMark/>
          </w:tcPr>
          <w:p w14:paraId="5DA1E5B6" w14:textId="77777777" w:rsidR="00C7122E" w:rsidRPr="000C167F" w:rsidRDefault="00C7122E" w:rsidP="00D63061">
            <w:pPr>
              <w:pStyle w:val="TableText"/>
              <w:jc w:val="center"/>
            </w:pPr>
            <w:r w:rsidRPr="000C167F">
              <w:t>84%</w:t>
            </w:r>
          </w:p>
        </w:tc>
      </w:tr>
      <w:tr w:rsidR="00C7122E" w:rsidRPr="000C05FB" w14:paraId="66D57C27" w14:textId="77777777" w:rsidTr="00D63061">
        <w:trPr>
          <w:cantSplit/>
        </w:trPr>
        <w:tc>
          <w:tcPr>
            <w:tcW w:w="1439" w:type="dxa"/>
            <w:vMerge/>
            <w:tcBorders>
              <w:top w:val="single" w:sz="4" w:space="0" w:color="auto"/>
              <w:bottom w:val="single" w:sz="4" w:space="0" w:color="000000"/>
            </w:tcBorders>
            <w:hideMark/>
          </w:tcPr>
          <w:p w14:paraId="5241DC0A" w14:textId="77777777" w:rsidR="00C7122E" w:rsidRPr="000C167F" w:rsidRDefault="00C7122E" w:rsidP="00D63061">
            <w:pPr>
              <w:pStyle w:val="TableText"/>
            </w:pPr>
          </w:p>
        </w:tc>
        <w:tc>
          <w:tcPr>
            <w:tcW w:w="2100" w:type="dxa"/>
            <w:tcBorders>
              <w:top w:val="single" w:sz="4" w:space="0" w:color="9BBB59" w:themeColor="accent3"/>
              <w:bottom w:val="single" w:sz="4" w:space="0" w:color="auto"/>
            </w:tcBorders>
            <w:shd w:val="clear" w:color="auto" w:fill="auto"/>
            <w:hideMark/>
          </w:tcPr>
          <w:p w14:paraId="43A33D14" w14:textId="77777777" w:rsidR="00C7122E" w:rsidRPr="000C167F" w:rsidRDefault="00C7122E" w:rsidP="00D63061">
            <w:pPr>
              <w:pStyle w:val="TableText"/>
            </w:pPr>
            <w:r w:rsidRPr="000C167F">
              <w:t>Waikato</w:t>
            </w:r>
          </w:p>
        </w:tc>
        <w:tc>
          <w:tcPr>
            <w:tcW w:w="1939" w:type="dxa"/>
            <w:tcBorders>
              <w:top w:val="single" w:sz="4" w:space="0" w:color="9BBB59" w:themeColor="accent3"/>
              <w:bottom w:val="single" w:sz="4" w:space="0" w:color="auto"/>
            </w:tcBorders>
            <w:shd w:val="clear" w:color="auto" w:fill="auto"/>
            <w:hideMark/>
          </w:tcPr>
          <w:p w14:paraId="686B131C" w14:textId="77777777" w:rsidR="00C7122E" w:rsidRPr="000C167F" w:rsidRDefault="00C7122E" w:rsidP="00D63061">
            <w:pPr>
              <w:pStyle w:val="TableText"/>
              <w:tabs>
                <w:tab w:val="decimal" w:pos="1134"/>
              </w:tabs>
            </w:pPr>
            <w:r w:rsidRPr="000C167F">
              <w:t>2</w:t>
            </w:r>
            <w:r>
              <w:t>,</w:t>
            </w:r>
            <w:r w:rsidRPr="000C167F">
              <w:t>936</w:t>
            </w:r>
          </w:p>
        </w:tc>
        <w:tc>
          <w:tcPr>
            <w:tcW w:w="1939" w:type="dxa"/>
            <w:tcBorders>
              <w:top w:val="single" w:sz="4" w:space="0" w:color="9BBB59" w:themeColor="accent3"/>
              <w:bottom w:val="single" w:sz="4" w:space="0" w:color="auto"/>
            </w:tcBorders>
            <w:shd w:val="clear" w:color="auto" w:fill="auto"/>
            <w:hideMark/>
          </w:tcPr>
          <w:p w14:paraId="6EC91A1F" w14:textId="77777777" w:rsidR="00C7122E" w:rsidRPr="000C167F" w:rsidRDefault="00C7122E" w:rsidP="00D63061">
            <w:pPr>
              <w:pStyle w:val="TableText"/>
              <w:tabs>
                <w:tab w:val="decimal" w:pos="1134"/>
              </w:tabs>
            </w:pPr>
            <w:r w:rsidRPr="000C167F">
              <w:t>3</w:t>
            </w:r>
            <w:r w:rsidR="002E3963">
              <w:t>,</w:t>
            </w:r>
            <w:r w:rsidRPr="000C167F">
              <w:t>308</w:t>
            </w:r>
          </w:p>
        </w:tc>
        <w:tc>
          <w:tcPr>
            <w:tcW w:w="1939" w:type="dxa"/>
            <w:tcBorders>
              <w:top w:val="single" w:sz="4" w:space="0" w:color="9BBB59" w:themeColor="accent3"/>
              <w:bottom w:val="single" w:sz="4" w:space="0" w:color="auto"/>
            </w:tcBorders>
            <w:shd w:val="clear" w:color="auto" w:fill="auto"/>
            <w:noWrap/>
            <w:hideMark/>
          </w:tcPr>
          <w:p w14:paraId="33FC0841" w14:textId="77777777" w:rsidR="00C7122E" w:rsidRPr="000C167F" w:rsidRDefault="00C7122E" w:rsidP="00D63061">
            <w:pPr>
              <w:pStyle w:val="TableText"/>
              <w:jc w:val="center"/>
            </w:pPr>
            <w:r w:rsidRPr="000C167F">
              <w:t>89%</w:t>
            </w:r>
          </w:p>
        </w:tc>
      </w:tr>
    </w:tbl>
    <w:p w14:paraId="2708DC81" w14:textId="77777777" w:rsidR="00C7122E" w:rsidRDefault="00C7122E" w:rsidP="00D63061"/>
    <w:p w14:paraId="1A000FC4" w14:textId="77777777" w:rsidR="00C7122E" w:rsidRDefault="00C7122E" w:rsidP="00D63061">
      <w:pPr>
        <w:pStyle w:val="Heading1"/>
      </w:pPr>
      <w:bookmarkStart w:id="189" w:name="_Toc503949863"/>
      <w:bookmarkStart w:id="190" w:name="_Toc531260429"/>
      <w:r>
        <w:lastRenderedPageBreak/>
        <w:t>Rheumatic fever</w:t>
      </w:r>
      <w:bookmarkEnd w:id="189"/>
      <w:bookmarkEnd w:id="190"/>
    </w:p>
    <w:p w14:paraId="0F698FF3" w14:textId="77777777" w:rsidR="00C7122E" w:rsidRDefault="00C7122E" w:rsidP="00D63061">
      <w:r w:rsidRPr="006674AF">
        <w:t>Pacific people</w:t>
      </w:r>
      <w:r>
        <w:t>s</w:t>
      </w:r>
      <w:r w:rsidRPr="006674AF">
        <w:t xml:space="preserve"> </w:t>
      </w:r>
      <w:r>
        <w:t xml:space="preserve">in New Zealand </w:t>
      </w:r>
      <w:r w:rsidRPr="006674AF">
        <w:t>have high rates of rheumatic fever. In the 2016 calendar year</w:t>
      </w:r>
      <w:r>
        <w:t>,</w:t>
      </w:r>
      <w:r w:rsidRPr="006674AF">
        <w:t xml:space="preserve"> 75</w:t>
      </w:r>
      <w:r w:rsidR="00C016C5">
        <w:t> </w:t>
      </w:r>
      <w:r w:rsidRPr="006674AF">
        <w:t xml:space="preserve">Pacific people </w:t>
      </w:r>
      <w:r>
        <w:t xml:space="preserve">were </w:t>
      </w:r>
      <w:r w:rsidRPr="006674AF">
        <w:t xml:space="preserve">hospitalised for the first time with rheumatic fever – a rate of 25 per 100,000. </w:t>
      </w:r>
      <w:r>
        <w:t xml:space="preserve">In the same year the equivalent number within the total New Zealand population was </w:t>
      </w:r>
      <w:r w:rsidRPr="006674AF">
        <w:t xml:space="preserve">137 </w:t>
      </w:r>
      <w:r>
        <w:t xml:space="preserve">– a rate of </w:t>
      </w:r>
      <w:r w:rsidRPr="006674AF">
        <w:t>3.0 per 100,000</w:t>
      </w:r>
      <w:r>
        <w:t>.</w:t>
      </w:r>
    </w:p>
    <w:p w14:paraId="5FC4042A" w14:textId="77777777" w:rsidR="00C016C5" w:rsidRDefault="00C016C5" w:rsidP="00D63061"/>
    <w:p w14:paraId="7DE0A382" w14:textId="77777777" w:rsidR="00C7122E" w:rsidRDefault="00C7122E" w:rsidP="00C016C5">
      <w:r>
        <w:t>Figure 20 shows the rate of rheumatic fever hospitalisation for the Pacific peoples population in comparison to the total New Zealand population between 2011 and 2016. From 2013 to 2015, the rate consistently decreased, from 32.5 to 16.6 per 100,000. However, the rate had increased ag</w:t>
      </w:r>
      <w:r w:rsidR="00C016C5">
        <w:t>ain by 2016, to 25 per 100,000.</w:t>
      </w:r>
    </w:p>
    <w:p w14:paraId="2DEDB3C7" w14:textId="77777777" w:rsidR="00C016C5" w:rsidRDefault="00C016C5" w:rsidP="00C016C5"/>
    <w:p w14:paraId="1316B562" w14:textId="77777777" w:rsidR="00C016C5" w:rsidRDefault="00C016C5" w:rsidP="00C016C5">
      <w:pPr>
        <w:pStyle w:val="Heading2"/>
      </w:pPr>
      <w:bookmarkStart w:id="191" w:name="_Toc531260430"/>
      <w:r w:rsidRPr="00DE4321">
        <w:t>Reduc</w:t>
      </w:r>
      <w:r>
        <w:t>ed rates of</w:t>
      </w:r>
      <w:r w:rsidRPr="00DE4321">
        <w:t xml:space="preserve"> rheumatic fever hospitalisation </w:t>
      </w:r>
      <w:r>
        <w:t>among Pacific peoples</w:t>
      </w:r>
      <w:bookmarkEnd w:id="191"/>
    </w:p>
    <w:p w14:paraId="69392D24" w14:textId="77777777" w:rsidR="00C7122E" w:rsidRDefault="00C7122E" w:rsidP="00C016C5">
      <w:r w:rsidRPr="00D951A4">
        <w:rPr>
          <w:b/>
        </w:rPr>
        <w:t>Performance:</w:t>
      </w:r>
      <w:r w:rsidRPr="00A119E8">
        <w:rPr>
          <w:color w:val="8064A2"/>
        </w:rPr>
        <w:t xml:space="preserve"> </w:t>
      </w:r>
      <w:r w:rsidRPr="00A119E8">
        <w:t xml:space="preserve">The national target for this indicator </w:t>
      </w:r>
      <w:r>
        <w:t>was set at</w:t>
      </w:r>
      <w:r w:rsidRPr="00A119E8">
        <w:t xml:space="preserve"> 1.4 per 100,000. The Pacific </w:t>
      </w:r>
      <w:r>
        <w:t xml:space="preserve">peoples </w:t>
      </w:r>
      <w:r w:rsidRPr="00A119E8">
        <w:t xml:space="preserve">target </w:t>
      </w:r>
      <w:r>
        <w:t xml:space="preserve">was set at </w:t>
      </w:r>
      <w:r w:rsidRPr="00A119E8">
        <w:t>8 per 100,000</w:t>
      </w:r>
      <w:r>
        <w:t>, to be achieved</w:t>
      </w:r>
      <w:r w:rsidRPr="00A119E8">
        <w:t xml:space="preserve"> by June 2017. </w:t>
      </w:r>
      <w:r>
        <w:t xml:space="preserve">The national </w:t>
      </w:r>
      <w:r w:rsidRPr="00A119E8">
        <w:t xml:space="preserve">target </w:t>
      </w:r>
      <w:r>
        <w:t xml:space="preserve">and the Pacific peoples target are both </w:t>
      </w:r>
      <w:r w:rsidRPr="00A119E8">
        <w:t xml:space="preserve">based on </w:t>
      </w:r>
      <w:r>
        <w:t xml:space="preserve">a </w:t>
      </w:r>
      <w:r w:rsidRPr="00A119E8">
        <w:t xml:space="preserve">two-thirds reduction from </w:t>
      </w:r>
      <w:r>
        <w:t xml:space="preserve">the </w:t>
      </w:r>
      <w:r w:rsidRPr="00A119E8">
        <w:t>baseline rate (2009/2010–2011/2012).</w:t>
      </w:r>
    </w:p>
    <w:p w14:paraId="5185B54A" w14:textId="77777777" w:rsidR="00C7122E" w:rsidRDefault="00C7122E" w:rsidP="00C016C5"/>
    <w:p w14:paraId="1188B15A" w14:textId="77777777" w:rsidR="00C7122E" w:rsidRDefault="00C7122E" w:rsidP="00C016C5">
      <w:r>
        <w:t>The latest data shows a 12 percent increase from the baseline rate for Pacific peoples – this increase is not statistically significant.</w:t>
      </w:r>
    </w:p>
    <w:p w14:paraId="44087887" w14:textId="77777777" w:rsidR="00C7122E" w:rsidRDefault="00C7122E" w:rsidP="00C016C5"/>
    <w:p w14:paraId="14049AAD" w14:textId="77777777" w:rsidR="00C7122E" w:rsidRDefault="00C7122E" w:rsidP="00C016C5">
      <w:r>
        <w:t>There has been a 23 percent decrease from the baseline rate for the total New Zealand population, which mainly reflects a 48 percent decrease in Māori communities.</w:t>
      </w:r>
    </w:p>
    <w:p w14:paraId="0FAEAB34" w14:textId="77777777" w:rsidR="00C7122E" w:rsidRDefault="00C7122E" w:rsidP="00C016C5"/>
    <w:p w14:paraId="3AEAA0E3" w14:textId="77777777" w:rsidR="00C7122E" w:rsidRDefault="00C7122E" w:rsidP="00C016C5">
      <w:pPr>
        <w:pStyle w:val="Figure"/>
      </w:pPr>
      <w:bookmarkStart w:id="192" w:name="_Toc428368093"/>
      <w:bookmarkStart w:id="193" w:name="_Toc428370471"/>
      <w:bookmarkStart w:id="194" w:name="_Toc445801476"/>
      <w:bookmarkStart w:id="195" w:name="_Toc447527175"/>
      <w:bookmarkStart w:id="196" w:name="_Toc458409457"/>
      <w:bookmarkStart w:id="197" w:name="_Toc531260469"/>
      <w:r w:rsidRPr="00A119E8">
        <w:t xml:space="preserve">Figure </w:t>
      </w:r>
      <w:r>
        <w:t>20</w:t>
      </w:r>
      <w:r w:rsidRPr="00A119E8">
        <w:t>: Rheumatic fever hospitalisation rates, Pacific peoples, 2011–201</w:t>
      </w:r>
      <w:bookmarkEnd w:id="192"/>
      <w:bookmarkEnd w:id="193"/>
      <w:bookmarkEnd w:id="194"/>
      <w:bookmarkEnd w:id="195"/>
      <w:bookmarkEnd w:id="196"/>
      <w:r>
        <w:t>6</w:t>
      </w:r>
      <w:bookmarkEnd w:id="197"/>
    </w:p>
    <w:p w14:paraId="562B0ABE" w14:textId="77777777" w:rsidR="00C7122E" w:rsidRDefault="00C7122E" w:rsidP="00C7122E">
      <w:r>
        <w:rPr>
          <w:noProof/>
          <w:lang w:eastAsia="ja-JP"/>
        </w:rPr>
        <w:drawing>
          <wp:inline distT="0" distB="0" distL="0" distR="0" wp14:anchorId="0ABE76B1" wp14:editId="47DC0F62">
            <wp:extent cx="4696690" cy="2610196"/>
            <wp:effectExtent l="0" t="0" r="8890" b="0"/>
            <wp:docPr id="15" name="Chart 15" title="Figure 20: Rheumatic fever hospitalisation rates, Pacific peoples, 2011–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4C47F28A" w14:textId="77777777" w:rsidR="00C7122E" w:rsidRPr="00DE4321" w:rsidRDefault="00C7122E" w:rsidP="00C016C5">
      <w:pPr>
        <w:pStyle w:val="Source"/>
      </w:pPr>
      <w:r w:rsidRPr="00DE4321">
        <w:t>Source: National Minimum Dataset</w:t>
      </w:r>
      <w:r>
        <w:t xml:space="preserve"> and Statistics New Zealand</w:t>
      </w:r>
    </w:p>
    <w:p w14:paraId="7F3077F6" w14:textId="77777777" w:rsidR="00C7122E" w:rsidRDefault="00C7122E" w:rsidP="00C016C5"/>
    <w:p w14:paraId="017724C9" w14:textId="77777777" w:rsidR="00C016C5" w:rsidRDefault="00C016C5" w:rsidP="002E3963">
      <w:pPr>
        <w:pStyle w:val="Note"/>
        <w:keepNext/>
        <w:ind w:left="0" w:right="0" w:firstLine="0"/>
      </w:pPr>
      <w:r w:rsidRPr="00A11460">
        <w:lastRenderedPageBreak/>
        <w:t>Notes</w:t>
      </w:r>
    </w:p>
    <w:p w14:paraId="52CAF5C8" w14:textId="77777777" w:rsidR="00C016C5" w:rsidRPr="00C016C5" w:rsidRDefault="00C016C5" w:rsidP="002E3963">
      <w:pPr>
        <w:pStyle w:val="Note"/>
        <w:keepNext/>
        <w:ind w:left="0" w:right="0" w:firstLine="0"/>
        <w:rPr>
          <w:b/>
        </w:rPr>
      </w:pPr>
      <w:r w:rsidRPr="00C016C5">
        <w:rPr>
          <w:b/>
        </w:rPr>
        <w:t>Figure 20:</w:t>
      </w:r>
    </w:p>
    <w:p w14:paraId="4F43CD6D" w14:textId="77777777" w:rsidR="00C016C5" w:rsidRDefault="00C016C5" w:rsidP="002E3963">
      <w:pPr>
        <w:pStyle w:val="Note"/>
        <w:keepNext/>
        <w:ind w:left="0" w:right="0" w:firstLine="0"/>
      </w:pPr>
      <w:r>
        <w:t>Timeframes: this data reflects a calendar year (1 January–30 December).</w:t>
      </w:r>
    </w:p>
    <w:p w14:paraId="772CB6BF" w14:textId="38F851AB" w:rsidR="00C016C5" w:rsidRDefault="00C016C5" w:rsidP="00C016C5">
      <w:pPr>
        <w:pStyle w:val="Note"/>
        <w:ind w:left="0" w:right="0" w:firstLine="0"/>
      </w:pPr>
      <w:r>
        <w:t>Numerator: the number of people hospitalised for an initial incidence of rheumatic fever (not a recurrence) during the relevant period. Source: National Minimum Dataset</w:t>
      </w:r>
      <w:r w:rsidR="006473F7">
        <w:t>.</w:t>
      </w:r>
    </w:p>
    <w:p w14:paraId="096BA9A9" w14:textId="2961D1AF" w:rsidR="00C016C5" w:rsidRPr="00DE4321" w:rsidRDefault="00C016C5" w:rsidP="00C016C5">
      <w:pPr>
        <w:pStyle w:val="Note"/>
        <w:ind w:left="0" w:right="0" w:firstLine="0"/>
      </w:pPr>
      <w:r>
        <w:t>Denominator: the total population of New Zealand residents (total and Pacific peoples) in December of the relevant reporting period. Source: population projections provided by Statistics New Zealand, based on the 2013 Census</w:t>
      </w:r>
      <w:r w:rsidR="006473F7">
        <w:t>.</w:t>
      </w:r>
    </w:p>
    <w:p w14:paraId="02587E02" w14:textId="77777777" w:rsidR="00C016C5" w:rsidRPr="00DE4321" w:rsidRDefault="00C016C5" w:rsidP="00C016C5">
      <w:pPr>
        <w:pStyle w:val="Note"/>
        <w:ind w:left="0" w:right="0" w:firstLine="0"/>
      </w:pPr>
      <w:r w:rsidRPr="00DE4321">
        <w:t>We have not reported on this indicator by DHB, as th</w:t>
      </w:r>
      <w:r>
        <w:t xml:space="preserve">e numbers of cases per </w:t>
      </w:r>
      <w:r w:rsidRPr="00DE4321">
        <w:t>DHB are very small.</w:t>
      </w:r>
    </w:p>
    <w:p w14:paraId="17E6BC64" w14:textId="77777777" w:rsidR="00C7122E" w:rsidRDefault="00C7122E" w:rsidP="00C016C5"/>
    <w:p w14:paraId="09D5FB83" w14:textId="77777777" w:rsidR="00C7122E" w:rsidRDefault="00C7122E" w:rsidP="00C016C5">
      <w:pPr>
        <w:pStyle w:val="Heading1"/>
      </w:pPr>
      <w:bookmarkStart w:id="198" w:name="_Toc503949864"/>
      <w:bookmarkStart w:id="199" w:name="_Toc531260431"/>
      <w:r>
        <w:lastRenderedPageBreak/>
        <w:t>References</w:t>
      </w:r>
      <w:bookmarkEnd w:id="198"/>
      <w:bookmarkEnd w:id="199"/>
    </w:p>
    <w:p w14:paraId="38C9285A" w14:textId="2D850767" w:rsidR="00C7122E" w:rsidRDefault="00C7122E" w:rsidP="00C016C5">
      <w:pPr>
        <w:pStyle w:val="References"/>
      </w:pPr>
      <w:r>
        <w:t xml:space="preserve">Ministry of Health. 2012b. </w:t>
      </w:r>
      <w:r w:rsidRPr="004D4ACB">
        <w:t>Primary Health Organisation Enrolment Collection.</w:t>
      </w:r>
      <w:r>
        <w:rPr>
          <w:i/>
        </w:rPr>
        <w:t xml:space="preserve"> </w:t>
      </w:r>
      <w:r>
        <w:t xml:space="preserve">URL: </w:t>
      </w:r>
      <w:hyperlink r:id="rId58" w:history="1">
        <w:r w:rsidR="006473F7" w:rsidRPr="007F325C">
          <w:rPr>
            <w:rStyle w:val="Hyperlink"/>
            <w:rFonts w:eastAsia="MS Gothic"/>
          </w:rPr>
          <w:t>www.health.govt.nz/nz-health-statistics/national-collections-and-surveys/collections/</w:t>
        </w:r>
        <w:r w:rsidR="006473F7" w:rsidRPr="007F325C">
          <w:rPr>
            <w:rStyle w:val="Hyperlink"/>
            <w:rFonts w:eastAsia="MS Gothic"/>
          </w:rPr>
          <w:br/>
          <w:t>primary-health-organisation-enrolment-collection</w:t>
        </w:r>
      </w:hyperlink>
      <w:r>
        <w:rPr>
          <w:rStyle w:val="Hyperlink"/>
          <w:rFonts w:eastAsia="MS Gothic"/>
        </w:rPr>
        <w:t xml:space="preserve"> (accessed 11 January 2018)</w:t>
      </w:r>
      <w:r>
        <w:t>.</w:t>
      </w:r>
    </w:p>
    <w:p w14:paraId="181DD240" w14:textId="77777777" w:rsidR="00C7122E" w:rsidRDefault="00C7122E" w:rsidP="00C016C5">
      <w:pPr>
        <w:pStyle w:val="References"/>
      </w:pPr>
      <w:r>
        <w:t>Ministry of Health.</w:t>
      </w:r>
      <w:r w:rsidRPr="00A119E8">
        <w:t xml:space="preserve"> 2014</w:t>
      </w:r>
      <w:r>
        <w:t>.</w:t>
      </w:r>
      <w:r w:rsidRPr="00A119E8">
        <w:t xml:space="preserve"> </w:t>
      </w:r>
      <w:r>
        <w:rPr>
          <w:i/>
          <w:iCs/>
        </w:rPr>
        <w:t>’Ala Mo’ui</w:t>
      </w:r>
      <w:r w:rsidRPr="00A119E8">
        <w:rPr>
          <w:i/>
          <w:iCs/>
        </w:rPr>
        <w:t>: Pathways to Pacific Health and Wellbeing 2014–2018</w:t>
      </w:r>
      <w:r w:rsidRPr="00A119E8">
        <w:t>. Wellington: Ministry of Health.</w:t>
      </w:r>
    </w:p>
    <w:p w14:paraId="4B1794A7" w14:textId="67BFD079" w:rsidR="00C7122E" w:rsidRDefault="00C7122E" w:rsidP="00C016C5">
      <w:pPr>
        <w:pStyle w:val="References"/>
      </w:pPr>
      <w:r>
        <w:t xml:space="preserve">Ministry of Health. 2015a. </w:t>
      </w:r>
      <w:r w:rsidRPr="004D4ACB">
        <w:t>Better help for smokers to quit.</w:t>
      </w:r>
      <w:r>
        <w:rPr>
          <w:i/>
        </w:rPr>
        <w:t xml:space="preserve"> </w:t>
      </w:r>
      <w:r>
        <w:t xml:space="preserve">URL: </w:t>
      </w:r>
      <w:hyperlink r:id="rId59" w:anchor="smokers" w:history="1">
        <w:r w:rsidR="006473F7" w:rsidRPr="007F325C">
          <w:rPr>
            <w:rStyle w:val="Hyperlink"/>
            <w:rFonts w:eastAsia="MS Gothic"/>
          </w:rPr>
          <w:t>www.health.govt.nz/new-zealand-health-system/health-targets/how-my-pho-performing/how-my-pho-performing-2014-15/primary-care-health-targets-2014-15-quarter-three-results-summary#smokers</w:t>
        </w:r>
      </w:hyperlink>
      <w:r>
        <w:rPr>
          <w:rStyle w:val="Hyperlink"/>
          <w:rFonts w:eastAsia="MS Gothic"/>
        </w:rPr>
        <w:t xml:space="preserve"> (accessed 11</w:t>
      </w:r>
      <w:r w:rsidR="00C016C5">
        <w:rPr>
          <w:rStyle w:val="Hyperlink"/>
          <w:rFonts w:eastAsia="MS Gothic"/>
        </w:rPr>
        <w:t> </w:t>
      </w:r>
      <w:r>
        <w:rPr>
          <w:rStyle w:val="Hyperlink"/>
          <w:rFonts w:eastAsia="MS Gothic"/>
        </w:rPr>
        <w:t>January 2018)</w:t>
      </w:r>
      <w:r>
        <w:t>.</w:t>
      </w:r>
    </w:p>
    <w:p w14:paraId="62AE955F" w14:textId="476CFB99" w:rsidR="00C7122E" w:rsidRDefault="00C7122E" w:rsidP="00C016C5">
      <w:pPr>
        <w:pStyle w:val="References"/>
      </w:pPr>
      <w:r>
        <w:t xml:space="preserve">Ministry of Health. 2015b. </w:t>
      </w:r>
      <w:r w:rsidRPr="004D4ACB">
        <w:t>National Minimum Dataset.</w:t>
      </w:r>
      <w:r>
        <w:rPr>
          <w:i/>
        </w:rPr>
        <w:t xml:space="preserve"> </w:t>
      </w:r>
      <w:r>
        <w:t xml:space="preserve">URL: </w:t>
      </w:r>
      <w:hyperlink r:id="rId60" w:history="1">
        <w:r w:rsidR="006473F7" w:rsidRPr="007F325C">
          <w:rPr>
            <w:rStyle w:val="Hyperlink"/>
            <w:rFonts w:eastAsia="MS Gothic"/>
          </w:rPr>
          <w:t>www.health.govt.nz/nz-health-statistics/national-collections-and-surveys/collections/national-minimum-dataset-hospital-events</w:t>
        </w:r>
      </w:hyperlink>
      <w:r>
        <w:rPr>
          <w:rStyle w:val="Hyperlink"/>
          <w:rFonts w:eastAsia="MS Gothic"/>
        </w:rPr>
        <w:t xml:space="preserve"> (accessed 11 January 2018)</w:t>
      </w:r>
      <w:r>
        <w:t>.</w:t>
      </w:r>
    </w:p>
    <w:p w14:paraId="5EA53B05" w14:textId="2524965D" w:rsidR="00C7122E" w:rsidRDefault="00C7122E" w:rsidP="00C016C5">
      <w:pPr>
        <w:pStyle w:val="References"/>
      </w:pPr>
      <w:r>
        <w:t xml:space="preserve">Ministry of Health. 2016. </w:t>
      </w:r>
      <w:r w:rsidRPr="004D4ACB">
        <w:t>PRIMHD – mental health data.</w:t>
      </w:r>
      <w:r>
        <w:rPr>
          <w:i/>
        </w:rPr>
        <w:t xml:space="preserve"> </w:t>
      </w:r>
      <w:r>
        <w:t xml:space="preserve">URL: </w:t>
      </w:r>
      <w:hyperlink r:id="rId61" w:history="1">
        <w:r w:rsidR="006473F7" w:rsidRPr="007F325C">
          <w:rPr>
            <w:rStyle w:val="Hyperlink"/>
            <w:rFonts w:eastAsia="MS Gothic"/>
          </w:rPr>
          <w:t>www.health.govt.nz/nz-health-statistics/national-collections-and-surveys/collections/primhd-mental-health-data</w:t>
        </w:r>
      </w:hyperlink>
      <w:r>
        <w:rPr>
          <w:rStyle w:val="Hyperlink"/>
          <w:rFonts w:eastAsia="MS Gothic"/>
        </w:rPr>
        <w:t xml:space="preserve"> (accessed 11 January 2018)</w:t>
      </w:r>
      <w:r>
        <w:t>.</w:t>
      </w:r>
    </w:p>
    <w:p w14:paraId="03D62309" w14:textId="48C2B668" w:rsidR="00C7122E" w:rsidRDefault="00C7122E" w:rsidP="00C016C5">
      <w:pPr>
        <w:pStyle w:val="References"/>
      </w:pPr>
      <w:r>
        <w:t xml:space="preserve">National Screening Unit. 2017. </w:t>
      </w:r>
      <w:r w:rsidRPr="004D4ACB">
        <w:t>DHB quarterly reports.</w:t>
      </w:r>
      <w:r>
        <w:rPr>
          <w:i/>
        </w:rPr>
        <w:t xml:space="preserve"> </w:t>
      </w:r>
      <w:r>
        <w:t xml:space="preserve">URL: </w:t>
      </w:r>
      <w:hyperlink r:id="rId62" w:history="1">
        <w:r w:rsidR="006473F7" w:rsidRPr="007F325C">
          <w:rPr>
            <w:rStyle w:val="Hyperlink"/>
            <w:rFonts w:eastAsia="MS Gothic"/>
          </w:rPr>
          <w:t>www.nsu.govt.nz/health-professionals/national-cervical-screening-programme/cervical-screening-coverage/dhb-quarterly</w:t>
        </w:r>
      </w:hyperlink>
      <w:r>
        <w:rPr>
          <w:rStyle w:val="Hyperlink"/>
          <w:rFonts w:eastAsia="MS Gothic"/>
        </w:rPr>
        <w:t xml:space="preserve"> (accessed 11 January 2018)</w:t>
      </w:r>
      <w:r>
        <w:t>.</w:t>
      </w:r>
    </w:p>
    <w:p w14:paraId="490AB92E" w14:textId="24FD9137" w:rsidR="00C7122E" w:rsidRPr="00166FFE" w:rsidRDefault="00C7122E" w:rsidP="00C016C5">
      <w:pPr>
        <w:pStyle w:val="References"/>
      </w:pPr>
      <w:r>
        <w:t xml:space="preserve">Statistics New Zealand. 2016. </w:t>
      </w:r>
      <w:r w:rsidRPr="004D4ACB">
        <w:t>Estimates and projections.</w:t>
      </w:r>
      <w:r>
        <w:rPr>
          <w:i/>
        </w:rPr>
        <w:t xml:space="preserve"> </w:t>
      </w:r>
      <w:r>
        <w:t xml:space="preserve">URL: </w:t>
      </w:r>
      <w:hyperlink r:id="rId63" w:history="1">
        <w:r w:rsidR="006473F7" w:rsidRPr="007F325C">
          <w:rPr>
            <w:rStyle w:val="Hyperlink"/>
            <w:rFonts w:eastAsia="MS Gothic"/>
          </w:rPr>
          <w:t>www.stats.govt.nz/browse_for_stats/population/estimates_and_projections.aspx</w:t>
        </w:r>
      </w:hyperlink>
      <w:r>
        <w:t xml:space="preserve"> </w:t>
      </w:r>
      <w:r>
        <w:rPr>
          <w:rStyle w:val="Hyperlink"/>
          <w:rFonts w:eastAsia="MS Gothic"/>
        </w:rPr>
        <w:t>(accessed 11 January 2018).</w:t>
      </w:r>
    </w:p>
    <w:p w14:paraId="3B6EFA4B" w14:textId="77777777" w:rsidR="00C7122E" w:rsidRPr="00C7122E" w:rsidRDefault="00C7122E" w:rsidP="00C7122E"/>
    <w:sectPr w:rsidR="00C7122E" w:rsidRPr="00C7122E" w:rsidSect="009D5125">
      <w:headerReference w:type="default" r:id="rId64"/>
      <w:footerReference w:type="default" r:id="rId65"/>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262A1" w14:textId="77777777" w:rsidR="00395E89" w:rsidRDefault="00395E89">
      <w:pPr>
        <w:spacing w:line="240" w:lineRule="auto"/>
      </w:pPr>
      <w:r>
        <w:separator/>
      </w:r>
    </w:p>
    <w:p w14:paraId="6B9EAACE" w14:textId="77777777" w:rsidR="00395E89" w:rsidRDefault="00395E89"/>
  </w:endnote>
  <w:endnote w:type="continuationSeparator" w:id="0">
    <w:p w14:paraId="72091E2C" w14:textId="77777777" w:rsidR="00395E89" w:rsidRDefault="00395E89">
      <w:pPr>
        <w:spacing w:line="240" w:lineRule="auto"/>
      </w:pPr>
      <w:r>
        <w:continuationSeparator/>
      </w:r>
    </w:p>
    <w:p w14:paraId="62D77DCF" w14:textId="77777777" w:rsidR="00395E89" w:rsidRDefault="00395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CF02C" w14:textId="5717DC22" w:rsidR="006473F7" w:rsidRPr="00581136" w:rsidRDefault="006473F7" w:rsidP="00F9366A">
    <w:pPr>
      <w:pStyle w:val="Footer"/>
      <w:pBdr>
        <w:bottom w:val="single" w:sz="4" w:space="1" w:color="auto"/>
      </w:pBdr>
      <w:tabs>
        <w:tab w:val="right" w:pos="8504"/>
      </w:tabs>
      <w:ind w:left="-1559"/>
      <w:rPr>
        <w:b/>
      </w:rPr>
    </w:pPr>
    <w:r w:rsidRPr="00581136">
      <w:rPr>
        <w:b/>
      </w:rPr>
      <w:t xml:space="preserve">Released </w:t>
    </w:r>
    <w:r>
      <w:rPr>
        <w:b/>
      </w:rPr>
      <w:t>2018</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19545" w14:textId="77777777" w:rsidR="006473F7" w:rsidRDefault="006473F7"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68270" w14:textId="77777777" w:rsidR="006473F7" w:rsidRDefault="006473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A9B04" w14:textId="73226804" w:rsidR="006473F7" w:rsidRPr="00A4643F" w:rsidRDefault="006473F7"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015C06">
      <w:rPr>
        <w:rStyle w:val="PageNumber"/>
        <w:noProof/>
      </w:rPr>
      <w:t>14</w:t>
    </w:r>
    <w:r w:rsidRPr="00FC46E7">
      <w:rPr>
        <w:rStyle w:val="PageNumber"/>
      </w:rPr>
      <w:fldChar w:fldCharType="end"/>
    </w:r>
    <w:r>
      <w:tab/>
    </w:r>
    <w:r w:rsidR="00473BBD">
      <w:rPr>
        <w:rFonts w:ascii="Arial" w:hAnsi="Arial" w:cs="Arial"/>
      </w:rPr>
      <w:t>ʹ</w:t>
    </w:r>
    <w:r w:rsidR="00473BBD">
      <w:t>Ala Mo</w:t>
    </w:r>
    <w:r w:rsidR="00473BBD">
      <w:rPr>
        <w:rFonts w:ascii="Arial" w:hAnsi="Arial" w:cs="Arial"/>
      </w:rPr>
      <w:t>ʹ</w:t>
    </w:r>
    <w:r w:rsidRPr="00A4643F">
      <w:t xml:space="preserve">ui Progress Report: </w:t>
    </w:r>
    <w:r>
      <w:t>H</w:t>
    </w:r>
    <w:r w:rsidRPr="00A4643F">
      <w:t>ealth</w:t>
    </w:r>
    <w:r>
      <w:t xml:space="preserve"> care utilisation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81C3A" w14:textId="7E2001A9" w:rsidR="006473F7" w:rsidRDefault="006473F7" w:rsidP="00533B90">
    <w:pPr>
      <w:pStyle w:val="RectoFooter"/>
    </w:pPr>
    <w:r>
      <w:tab/>
    </w:r>
    <w:r w:rsidR="00473BBD">
      <w:rPr>
        <w:rFonts w:ascii="Arial" w:hAnsi="Arial" w:cs="Arial"/>
      </w:rPr>
      <w:t>ʹ</w:t>
    </w:r>
    <w:r w:rsidR="00473BBD">
      <w:t>Ala Mo</w:t>
    </w:r>
    <w:r w:rsidR="00473BBD">
      <w:rPr>
        <w:rFonts w:ascii="Arial" w:hAnsi="Arial" w:cs="Arial"/>
      </w:rPr>
      <w:t>ʹ</w:t>
    </w:r>
    <w:r w:rsidRPr="00A4643F">
      <w:t xml:space="preserve">ui Progress Report: </w:t>
    </w:r>
    <w:r>
      <w:t>H</w:t>
    </w:r>
    <w:r w:rsidRPr="00A4643F">
      <w:t>ealth</w:t>
    </w:r>
    <w:r>
      <w:t xml:space="preserve"> care utilisation</w:t>
    </w:r>
    <w:r>
      <w:tab/>
    </w:r>
    <w:r>
      <w:rPr>
        <w:rStyle w:val="PageNumber"/>
      </w:rPr>
      <w:fldChar w:fldCharType="begin"/>
    </w:r>
    <w:r>
      <w:rPr>
        <w:rStyle w:val="PageNumber"/>
      </w:rPr>
      <w:instrText xml:space="preserve"> PAGE </w:instrText>
    </w:r>
    <w:r>
      <w:rPr>
        <w:rStyle w:val="PageNumber"/>
      </w:rPr>
      <w:fldChar w:fldCharType="separate"/>
    </w:r>
    <w:r w:rsidR="00015C06">
      <w:rPr>
        <w:rStyle w:val="PageNumber"/>
        <w:noProof/>
      </w:rPr>
      <w:t>v</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EE3F6" w14:textId="6D4135E0" w:rsidR="006473F7" w:rsidRDefault="006473F7" w:rsidP="00C7122E">
    <w:pPr>
      <w:pStyle w:val="RectoFooter"/>
    </w:pPr>
    <w:r>
      <w:tab/>
    </w:r>
    <w:r w:rsidR="00473BBD">
      <w:rPr>
        <w:rFonts w:ascii="Arial" w:hAnsi="Arial" w:cs="Arial"/>
        <w:vanish/>
      </w:rPr>
      <w:t>ʹ</w:t>
    </w:r>
    <w:r w:rsidRPr="00A4643F">
      <w:t>A</w:t>
    </w:r>
    <w:r w:rsidR="00473BBD">
      <w:t>la Mo</w:t>
    </w:r>
    <w:r w:rsidR="00473BBD">
      <w:rPr>
        <w:rFonts w:ascii="Arial" w:hAnsi="Arial" w:cs="Arial"/>
      </w:rPr>
      <w:t>ʹ</w:t>
    </w:r>
    <w:r w:rsidRPr="00A4643F">
      <w:t xml:space="preserve">ui Progress Report: </w:t>
    </w:r>
    <w:r>
      <w:t>H</w:t>
    </w:r>
    <w:r w:rsidRPr="00A4643F">
      <w:t>ealth</w:t>
    </w:r>
    <w:r>
      <w:t xml:space="preserve"> care utilisation</w:t>
    </w:r>
    <w:r>
      <w:tab/>
    </w:r>
    <w:r>
      <w:rPr>
        <w:rStyle w:val="PageNumber"/>
      </w:rPr>
      <w:fldChar w:fldCharType="begin"/>
    </w:r>
    <w:r>
      <w:rPr>
        <w:rStyle w:val="PageNumber"/>
      </w:rPr>
      <w:instrText xml:space="preserve"> PAGE </w:instrText>
    </w:r>
    <w:r>
      <w:rPr>
        <w:rStyle w:val="PageNumber"/>
      </w:rPr>
      <w:fldChar w:fldCharType="separate"/>
    </w:r>
    <w:r w:rsidR="00015C06">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418FC" w14:textId="77777777" w:rsidR="00395E89" w:rsidRPr="00A26E6B" w:rsidRDefault="00395E89" w:rsidP="00A26E6B"/>
  </w:footnote>
  <w:footnote w:type="continuationSeparator" w:id="0">
    <w:p w14:paraId="26692B4C" w14:textId="77777777" w:rsidR="00395E89" w:rsidRDefault="00395E89">
      <w:pPr>
        <w:spacing w:line="240" w:lineRule="auto"/>
      </w:pPr>
      <w:r>
        <w:continuationSeparator/>
      </w:r>
    </w:p>
    <w:p w14:paraId="2BAED3E8" w14:textId="77777777" w:rsidR="00395E89" w:rsidRDefault="00395E89"/>
  </w:footnote>
  <w:footnote w:id="1">
    <w:p w14:paraId="4BDA593D" w14:textId="676FC92D" w:rsidR="006473F7" w:rsidRDefault="006473F7" w:rsidP="000E0183">
      <w:pPr>
        <w:pStyle w:val="FootnoteText"/>
      </w:pPr>
      <w:r w:rsidRPr="000E0183">
        <w:rPr>
          <w:rStyle w:val="FootnoteReference"/>
        </w:rPr>
        <w:footnoteRef/>
      </w:r>
      <w:r>
        <w:tab/>
        <w:t xml:space="preserve">More information available on the </w:t>
      </w:r>
      <w:r w:rsidRPr="006473F7">
        <w:t>Nationwide</w:t>
      </w:r>
      <w:r>
        <w:t xml:space="preserve"> Service Framework Library’s website </w:t>
      </w:r>
      <w:hyperlink r:id="rId1" w:history="1">
        <w:r w:rsidRPr="00A119E8">
          <w:rPr>
            <w:rStyle w:val="Hyperlink"/>
            <w:rFonts w:eastAsia="MS Gothic"/>
          </w:rPr>
          <w:t>http://nsfl.health.govt.nz/accountability/performance-and-monitoring/performance-measures/performance-measures-201516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46D6B" w14:textId="77777777" w:rsidR="006473F7" w:rsidRDefault="006473F7" w:rsidP="009216CC">
    <w:pPr>
      <w:pStyle w:val="Header"/>
      <w:ind w:left="-1559"/>
    </w:pPr>
    <w:r>
      <w:rPr>
        <w:noProof/>
        <w:lang w:eastAsia="ja-JP"/>
      </w:rPr>
      <w:drawing>
        <wp:inline distT="0" distB="0" distL="0" distR="0" wp14:anchorId="06308BB5" wp14:editId="33C327FB">
          <wp:extent cx="6467302" cy="534632"/>
          <wp:effectExtent l="0" t="0" r="0" b="0"/>
          <wp:docPr id="10" name="Picture 10" descr="Ministry of 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D55F0" w14:textId="77777777" w:rsidR="006473F7" w:rsidRDefault="006473F7"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F347D" w14:textId="77777777" w:rsidR="006473F7" w:rsidRDefault="006473F7"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F674E" w14:textId="77777777" w:rsidR="006473F7" w:rsidRDefault="006473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5D00"/>
    <w:multiLevelType w:val="hybridMultilevel"/>
    <w:tmpl w:val="05DE5E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3">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8A25907"/>
    <w:multiLevelType w:val="hybridMultilevel"/>
    <w:tmpl w:val="3C1095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8AF4D1F"/>
    <w:multiLevelType w:val="hybridMultilevel"/>
    <w:tmpl w:val="CBAAE0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7">
    <w:nsid w:val="10524BEC"/>
    <w:multiLevelType w:val="hybridMultilevel"/>
    <w:tmpl w:val="D14037B6"/>
    <w:lvl w:ilvl="0" w:tplc="C448A29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13B5319E"/>
    <w:multiLevelType w:val="hybridMultilevel"/>
    <w:tmpl w:val="831686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1D282B7B"/>
    <w:multiLevelType w:val="hybridMultilevel"/>
    <w:tmpl w:val="8E12EC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03C5357"/>
    <w:multiLevelType w:val="hybridMultilevel"/>
    <w:tmpl w:val="A3486B2A"/>
    <w:lvl w:ilvl="0" w:tplc="C448A29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21E517B3"/>
    <w:multiLevelType w:val="hybridMultilevel"/>
    <w:tmpl w:val="B0E270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3DC7796"/>
    <w:multiLevelType w:val="multilevel"/>
    <w:tmpl w:val="092076C8"/>
    <w:lvl w:ilvl="0">
      <w:start w:val="1"/>
      <w:numFmt w:val="decimal"/>
      <w:pStyle w:val="Lett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7">
    <w:nsid w:val="30DB0C6E"/>
    <w:multiLevelType w:val="hybridMultilevel"/>
    <w:tmpl w:val="9BCA0D78"/>
    <w:lvl w:ilvl="0" w:tplc="14090001">
      <w:start w:val="1"/>
      <w:numFmt w:val="bullet"/>
      <w:lvlText w:val=""/>
      <w:lvlJc w:val="left"/>
      <w:pPr>
        <w:ind w:left="720" w:hanging="360"/>
      </w:pPr>
      <w:rPr>
        <w:rFonts w:ascii="Symbol" w:hAnsi="Symbol" w:hint="default"/>
      </w:rPr>
    </w:lvl>
    <w:lvl w:ilvl="1" w:tplc="14090011">
      <w:start w:val="1"/>
      <w:numFmt w:val="decimal"/>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4793400"/>
    <w:multiLevelType w:val="hybridMultilevel"/>
    <w:tmpl w:val="38428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5A24464"/>
    <w:multiLevelType w:val="hybridMultilevel"/>
    <w:tmpl w:val="0A0CBC5A"/>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3A576B4"/>
    <w:multiLevelType w:val="hybridMultilevel"/>
    <w:tmpl w:val="304670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3D40BFF"/>
    <w:multiLevelType w:val="hybridMultilevel"/>
    <w:tmpl w:val="AD005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66DB20C4"/>
    <w:multiLevelType w:val="hybridMultilevel"/>
    <w:tmpl w:val="491624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7">
    <w:nsid w:val="68956E70"/>
    <w:multiLevelType w:val="hybridMultilevel"/>
    <w:tmpl w:val="F80C8258"/>
    <w:lvl w:ilvl="0" w:tplc="2B56E424">
      <w:numFmt w:val="bullet"/>
      <w:lvlText w:val="•"/>
      <w:lvlJc w:val="left"/>
      <w:pPr>
        <w:ind w:left="1080" w:hanging="72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691C35AC"/>
    <w:multiLevelType w:val="hybridMultilevel"/>
    <w:tmpl w:val="93721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693B4855"/>
    <w:multiLevelType w:val="hybridMultilevel"/>
    <w:tmpl w:val="6BA28B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6B062078"/>
    <w:multiLevelType w:val="hybridMultilevel"/>
    <w:tmpl w:val="BB7AAF7E"/>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6B54455E"/>
    <w:multiLevelType w:val="hybridMultilevel"/>
    <w:tmpl w:val="D05CE01E"/>
    <w:lvl w:ilvl="0" w:tplc="5CA83118">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6D8F5B3B"/>
    <w:multiLevelType w:val="multilevel"/>
    <w:tmpl w:val="742E770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6A15327"/>
    <w:multiLevelType w:val="hybridMultilevel"/>
    <w:tmpl w:val="A6A0DB5E"/>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76AC7D48"/>
    <w:multiLevelType w:val="hybridMultilevel"/>
    <w:tmpl w:val="16261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nsid w:val="7A585813"/>
    <w:multiLevelType w:val="hybridMultilevel"/>
    <w:tmpl w:val="10422D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39">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8"/>
  </w:num>
  <w:num w:numId="2">
    <w:abstractNumId w:val="26"/>
  </w:num>
  <w:num w:numId="3">
    <w:abstractNumId w:val="20"/>
  </w:num>
  <w:num w:numId="4">
    <w:abstractNumId w:val="21"/>
  </w:num>
  <w:num w:numId="5">
    <w:abstractNumId w:val="1"/>
  </w:num>
  <w:num w:numId="6">
    <w:abstractNumId w:val="39"/>
  </w:num>
  <w:num w:numId="7">
    <w:abstractNumId w:val="16"/>
  </w:num>
  <w:num w:numId="8">
    <w:abstractNumId w:val="3"/>
  </w:num>
  <w:num w:numId="9">
    <w:abstractNumId w:val="36"/>
  </w:num>
  <w:num w:numId="10">
    <w:abstractNumId w:val="2"/>
  </w:num>
  <w:num w:numId="11">
    <w:abstractNumId w:val="33"/>
  </w:num>
  <w:num w:numId="12">
    <w:abstractNumId w:val="6"/>
  </w:num>
  <w:num w:numId="13">
    <w:abstractNumId w:val="10"/>
  </w:num>
  <w:num w:numId="14">
    <w:abstractNumId w:val="9"/>
  </w:num>
  <w:num w:numId="15">
    <w:abstractNumId w:val="11"/>
  </w:num>
  <w:num w:numId="16">
    <w:abstractNumId w:val="22"/>
  </w:num>
  <w:num w:numId="17">
    <w:abstractNumId w:val="15"/>
  </w:num>
  <w:num w:numId="18">
    <w:abstractNumId w:val="37"/>
  </w:num>
  <w:num w:numId="19">
    <w:abstractNumId w:val="23"/>
  </w:num>
  <w:num w:numId="20">
    <w:abstractNumId w:val="24"/>
  </w:num>
  <w:num w:numId="21">
    <w:abstractNumId w:val="35"/>
  </w:num>
  <w:num w:numId="22">
    <w:abstractNumId w:val="31"/>
  </w:num>
  <w:num w:numId="23">
    <w:abstractNumId w:val="25"/>
  </w:num>
  <w:num w:numId="24">
    <w:abstractNumId w:val="17"/>
  </w:num>
  <w:num w:numId="25">
    <w:abstractNumId w:val="4"/>
  </w:num>
  <w:num w:numId="26">
    <w:abstractNumId w:val="19"/>
  </w:num>
  <w:num w:numId="27">
    <w:abstractNumId w:val="28"/>
  </w:num>
  <w:num w:numId="28">
    <w:abstractNumId w:val="5"/>
  </w:num>
  <w:num w:numId="29">
    <w:abstractNumId w:val="30"/>
  </w:num>
  <w:num w:numId="30">
    <w:abstractNumId w:val="34"/>
  </w:num>
  <w:num w:numId="31">
    <w:abstractNumId w:val="12"/>
  </w:num>
  <w:num w:numId="32">
    <w:abstractNumId w:val="29"/>
  </w:num>
  <w:num w:numId="33">
    <w:abstractNumId w:val="27"/>
  </w:num>
  <w:num w:numId="34">
    <w:abstractNumId w:val="14"/>
  </w:num>
  <w:num w:numId="35">
    <w:abstractNumId w:val="13"/>
  </w:num>
  <w:num w:numId="36">
    <w:abstractNumId w:val="7"/>
  </w:num>
  <w:num w:numId="37">
    <w:abstractNumId w:val="18"/>
  </w:num>
  <w:num w:numId="38">
    <w:abstractNumId w:val="0"/>
  </w:num>
  <w:num w:numId="39">
    <w:abstractNumId w:val="8"/>
  </w:num>
  <w:num w:numId="40">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11787"/>
    <w:rsid w:val="00015C06"/>
    <w:rsid w:val="000230E5"/>
    <w:rsid w:val="00025A6F"/>
    <w:rsid w:val="00030B26"/>
    <w:rsid w:val="00032C0A"/>
    <w:rsid w:val="00035257"/>
    <w:rsid w:val="00035846"/>
    <w:rsid w:val="0006228D"/>
    <w:rsid w:val="00066E01"/>
    <w:rsid w:val="00072BD6"/>
    <w:rsid w:val="00075A5E"/>
    <w:rsid w:val="00075B78"/>
    <w:rsid w:val="0008022A"/>
    <w:rsid w:val="00082CD6"/>
    <w:rsid w:val="00084815"/>
    <w:rsid w:val="00085AFE"/>
    <w:rsid w:val="00093A5B"/>
    <w:rsid w:val="00094800"/>
    <w:rsid w:val="000A4145"/>
    <w:rsid w:val="000B0730"/>
    <w:rsid w:val="000C47D1"/>
    <w:rsid w:val="000C4D03"/>
    <w:rsid w:val="000D1815"/>
    <w:rsid w:val="000E0183"/>
    <w:rsid w:val="000F0FC1"/>
    <w:rsid w:val="000F2AE2"/>
    <w:rsid w:val="000F6110"/>
    <w:rsid w:val="000F7F1D"/>
    <w:rsid w:val="00102063"/>
    <w:rsid w:val="0010541C"/>
    <w:rsid w:val="00106F93"/>
    <w:rsid w:val="00111D50"/>
    <w:rsid w:val="00113B8E"/>
    <w:rsid w:val="00122363"/>
    <w:rsid w:val="001241B5"/>
    <w:rsid w:val="00125BB5"/>
    <w:rsid w:val="001342C7"/>
    <w:rsid w:val="0013585C"/>
    <w:rsid w:val="001412DE"/>
    <w:rsid w:val="00142954"/>
    <w:rsid w:val="00144483"/>
    <w:rsid w:val="001460E0"/>
    <w:rsid w:val="00147F71"/>
    <w:rsid w:val="00150A6E"/>
    <w:rsid w:val="00153556"/>
    <w:rsid w:val="0016468A"/>
    <w:rsid w:val="001864C9"/>
    <w:rsid w:val="0019640E"/>
    <w:rsid w:val="001968D8"/>
    <w:rsid w:val="001A0619"/>
    <w:rsid w:val="001A21B4"/>
    <w:rsid w:val="001A4703"/>
    <w:rsid w:val="001A5CF5"/>
    <w:rsid w:val="001B061B"/>
    <w:rsid w:val="001B39D2"/>
    <w:rsid w:val="001B4BF8"/>
    <w:rsid w:val="001C4326"/>
    <w:rsid w:val="001D3541"/>
    <w:rsid w:val="001D7F81"/>
    <w:rsid w:val="001E5813"/>
    <w:rsid w:val="001F45A7"/>
    <w:rsid w:val="001F6C6D"/>
    <w:rsid w:val="00201A01"/>
    <w:rsid w:val="0020786D"/>
    <w:rsid w:val="002104D3"/>
    <w:rsid w:val="00213A33"/>
    <w:rsid w:val="0021763B"/>
    <w:rsid w:val="00225F6C"/>
    <w:rsid w:val="00235C90"/>
    <w:rsid w:val="00246DB1"/>
    <w:rsid w:val="002476B5"/>
    <w:rsid w:val="002523F0"/>
    <w:rsid w:val="00253ECF"/>
    <w:rsid w:val="002546A1"/>
    <w:rsid w:val="002601C2"/>
    <w:rsid w:val="00274E1B"/>
    <w:rsid w:val="00275D08"/>
    <w:rsid w:val="002858E3"/>
    <w:rsid w:val="0029190A"/>
    <w:rsid w:val="00292C5A"/>
    <w:rsid w:val="00295241"/>
    <w:rsid w:val="002960D8"/>
    <w:rsid w:val="002A1E1A"/>
    <w:rsid w:val="002A4DFC"/>
    <w:rsid w:val="002B047D"/>
    <w:rsid w:val="002B0737"/>
    <w:rsid w:val="002B732B"/>
    <w:rsid w:val="002C0ECB"/>
    <w:rsid w:val="002C2219"/>
    <w:rsid w:val="002D0DF2"/>
    <w:rsid w:val="002D1B50"/>
    <w:rsid w:val="002D23BD"/>
    <w:rsid w:val="002E0B47"/>
    <w:rsid w:val="002E3963"/>
    <w:rsid w:val="002F7213"/>
    <w:rsid w:val="002F7222"/>
    <w:rsid w:val="002F7858"/>
    <w:rsid w:val="0030382F"/>
    <w:rsid w:val="0030408D"/>
    <w:rsid w:val="003060E4"/>
    <w:rsid w:val="0031002C"/>
    <w:rsid w:val="003160E7"/>
    <w:rsid w:val="0031739E"/>
    <w:rsid w:val="003325AB"/>
    <w:rsid w:val="003332D1"/>
    <w:rsid w:val="0033412B"/>
    <w:rsid w:val="00343365"/>
    <w:rsid w:val="003510BA"/>
    <w:rsid w:val="00353501"/>
    <w:rsid w:val="00355048"/>
    <w:rsid w:val="003568E7"/>
    <w:rsid w:val="003606F8"/>
    <w:rsid w:val="003648EF"/>
    <w:rsid w:val="003673E6"/>
    <w:rsid w:val="00374A2C"/>
    <w:rsid w:val="00377264"/>
    <w:rsid w:val="003779D2"/>
    <w:rsid w:val="003904B2"/>
    <w:rsid w:val="00395E89"/>
    <w:rsid w:val="003972A3"/>
    <w:rsid w:val="003A26A5"/>
    <w:rsid w:val="003A3761"/>
    <w:rsid w:val="003A5FEA"/>
    <w:rsid w:val="003A66C3"/>
    <w:rsid w:val="003B1D10"/>
    <w:rsid w:val="003C2699"/>
    <w:rsid w:val="003C3862"/>
    <w:rsid w:val="003C414E"/>
    <w:rsid w:val="003C4761"/>
    <w:rsid w:val="003C76D4"/>
    <w:rsid w:val="003D137D"/>
    <w:rsid w:val="003D2CC5"/>
    <w:rsid w:val="003E7C46"/>
    <w:rsid w:val="003F2106"/>
    <w:rsid w:val="003F52A7"/>
    <w:rsid w:val="0040240C"/>
    <w:rsid w:val="00413021"/>
    <w:rsid w:val="004207D7"/>
    <w:rsid w:val="00440BE0"/>
    <w:rsid w:val="00442C1C"/>
    <w:rsid w:val="0044584B"/>
    <w:rsid w:val="00447CB7"/>
    <w:rsid w:val="00455CC9"/>
    <w:rsid w:val="00460826"/>
    <w:rsid w:val="00460EA7"/>
    <w:rsid w:val="0046195B"/>
    <w:rsid w:val="0046596D"/>
    <w:rsid w:val="00471BF1"/>
    <w:rsid w:val="00473BBD"/>
    <w:rsid w:val="004846B1"/>
    <w:rsid w:val="00487C04"/>
    <w:rsid w:val="004907E1"/>
    <w:rsid w:val="004A035B"/>
    <w:rsid w:val="004A2108"/>
    <w:rsid w:val="004A38D7"/>
    <w:rsid w:val="004A778C"/>
    <w:rsid w:val="004C2E6A"/>
    <w:rsid w:val="004C64B8"/>
    <w:rsid w:val="004D2A2D"/>
    <w:rsid w:val="004D6689"/>
    <w:rsid w:val="004E1D1D"/>
    <w:rsid w:val="004E6DA7"/>
    <w:rsid w:val="004E7AC8"/>
    <w:rsid w:val="004F0C94"/>
    <w:rsid w:val="005019AE"/>
    <w:rsid w:val="00503749"/>
    <w:rsid w:val="00504CF4"/>
    <w:rsid w:val="0050635B"/>
    <w:rsid w:val="00507C20"/>
    <w:rsid w:val="00512512"/>
    <w:rsid w:val="005151C2"/>
    <w:rsid w:val="0052280A"/>
    <w:rsid w:val="00524EAB"/>
    <w:rsid w:val="0053199F"/>
    <w:rsid w:val="00533B90"/>
    <w:rsid w:val="00540A5C"/>
    <w:rsid w:val="005410F8"/>
    <w:rsid w:val="00542253"/>
    <w:rsid w:val="005448EC"/>
    <w:rsid w:val="00545963"/>
    <w:rsid w:val="00550256"/>
    <w:rsid w:val="00550A2B"/>
    <w:rsid w:val="0055113B"/>
    <w:rsid w:val="00551E6D"/>
    <w:rsid w:val="00553958"/>
    <w:rsid w:val="005558C1"/>
    <w:rsid w:val="00556CCF"/>
    <w:rsid w:val="0055763D"/>
    <w:rsid w:val="00557C9D"/>
    <w:rsid w:val="005621F2"/>
    <w:rsid w:val="00567B58"/>
    <w:rsid w:val="005763E0"/>
    <w:rsid w:val="00581136"/>
    <w:rsid w:val="005A25A2"/>
    <w:rsid w:val="005A27CA"/>
    <w:rsid w:val="005A43BD"/>
    <w:rsid w:val="005C43F3"/>
    <w:rsid w:val="005D0C49"/>
    <w:rsid w:val="005E226E"/>
    <w:rsid w:val="005E2636"/>
    <w:rsid w:val="005E2933"/>
    <w:rsid w:val="005F0C17"/>
    <w:rsid w:val="00600607"/>
    <w:rsid w:val="006015D7"/>
    <w:rsid w:val="00601B21"/>
    <w:rsid w:val="006041F0"/>
    <w:rsid w:val="00611654"/>
    <w:rsid w:val="00624174"/>
    <w:rsid w:val="00626CF8"/>
    <w:rsid w:val="00634ED8"/>
    <w:rsid w:val="00636D7D"/>
    <w:rsid w:val="00637408"/>
    <w:rsid w:val="00637BC9"/>
    <w:rsid w:val="00642868"/>
    <w:rsid w:val="006473F7"/>
    <w:rsid w:val="00647AFE"/>
    <w:rsid w:val="006512BC"/>
    <w:rsid w:val="006518FE"/>
    <w:rsid w:val="00653A5A"/>
    <w:rsid w:val="00655008"/>
    <w:rsid w:val="006575F4"/>
    <w:rsid w:val="006579E6"/>
    <w:rsid w:val="00663EDC"/>
    <w:rsid w:val="00665790"/>
    <w:rsid w:val="00671078"/>
    <w:rsid w:val="006758CA"/>
    <w:rsid w:val="00680A04"/>
    <w:rsid w:val="00686D80"/>
    <w:rsid w:val="00687D02"/>
    <w:rsid w:val="00694895"/>
    <w:rsid w:val="00697E2E"/>
    <w:rsid w:val="006A25A2"/>
    <w:rsid w:val="006B0E73"/>
    <w:rsid w:val="006B4A4D"/>
    <w:rsid w:val="006B5695"/>
    <w:rsid w:val="006C78EB"/>
    <w:rsid w:val="006D0516"/>
    <w:rsid w:val="006D1660"/>
    <w:rsid w:val="006D367E"/>
    <w:rsid w:val="006D7EDA"/>
    <w:rsid w:val="006E18DD"/>
    <w:rsid w:val="006F1B67"/>
    <w:rsid w:val="0070091D"/>
    <w:rsid w:val="00702854"/>
    <w:rsid w:val="0070610F"/>
    <w:rsid w:val="0071741C"/>
    <w:rsid w:val="00722F16"/>
    <w:rsid w:val="00742B90"/>
    <w:rsid w:val="0074434D"/>
    <w:rsid w:val="00745C7A"/>
    <w:rsid w:val="00755DC3"/>
    <w:rsid w:val="00771B1E"/>
    <w:rsid w:val="00773C95"/>
    <w:rsid w:val="0078171E"/>
    <w:rsid w:val="0079027B"/>
    <w:rsid w:val="0079566E"/>
    <w:rsid w:val="00795B34"/>
    <w:rsid w:val="007B01E7"/>
    <w:rsid w:val="007B1770"/>
    <w:rsid w:val="007B4D3E"/>
    <w:rsid w:val="007B7560"/>
    <w:rsid w:val="007B7C70"/>
    <w:rsid w:val="007C3DDC"/>
    <w:rsid w:val="007C70AE"/>
    <w:rsid w:val="007D2151"/>
    <w:rsid w:val="007D3B90"/>
    <w:rsid w:val="007D42CC"/>
    <w:rsid w:val="007D5DE4"/>
    <w:rsid w:val="007E0777"/>
    <w:rsid w:val="007E1341"/>
    <w:rsid w:val="007E1B41"/>
    <w:rsid w:val="007E1EC4"/>
    <w:rsid w:val="007E30B9"/>
    <w:rsid w:val="007E74F1"/>
    <w:rsid w:val="007F0F0C"/>
    <w:rsid w:val="007F1288"/>
    <w:rsid w:val="007F52EA"/>
    <w:rsid w:val="00800A8A"/>
    <w:rsid w:val="0080155C"/>
    <w:rsid w:val="00801A0A"/>
    <w:rsid w:val="008052E1"/>
    <w:rsid w:val="008059B5"/>
    <w:rsid w:val="00805AF5"/>
    <w:rsid w:val="00814E1A"/>
    <w:rsid w:val="00822F2C"/>
    <w:rsid w:val="008305E8"/>
    <w:rsid w:val="00833E09"/>
    <w:rsid w:val="008351E7"/>
    <w:rsid w:val="0086075A"/>
    <w:rsid w:val="00860826"/>
    <w:rsid w:val="00860E21"/>
    <w:rsid w:val="00863117"/>
    <w:rsid w:val="0086388B"/>
    <w:rsid w:val="008642E5"/>
    <w:rsid w:val="008724F5"/>
    <w:rsid w:val="00872D93"/>
    <w:rsid w:val="00880470"/>
    <w:rsid w:val="00880D94"/>
    <w:rsid w:val="008924DE"/>
    <w:rsid w:val="008A3755"/>
    <w:rsid w:val="008B19DC"/>
    <w:rsid w:val="008B264F"/>
    <w:rsid w:val="008B6F83"/>
    <w:rsid w:val="008B7FD8"/>
    <w:rsid w:val="008C2973"/>
    <w:rsid w:val="008C6324"/>
    <w:rsid w:val="008C64C4"/>
    <w:rsid w:val="008D69EB"/>
    <w:rsid w:val="008D74D5"/>
    <w:rsid w:val="008E3A07"/>
    <w:rsid w:val="008F214D"/>
    <w:rsid w:val="008F29BE"/>
    <w:rsid w:val="008F4AE5"/>
    <w:rsid w:val="008F51EB"/>
    <w:rsid w:val="008F6CA3"/>
    <w:rsid w:val="00900197"/>
    <w:rsid w:val="00902F55"/>
    <w:rsid w:val="0090582B"/>
    <w:rsid w:val="009060C0"/>
    <w:rsid w:val="009133F5"/>
    <w:rsid w:val="00914547"/>
    <w:rsid w:val="00920348"/>
    <w:rsid w:val="00920A27"/>
    <w:rsid w:val="00921216"/>
    <w:rsid w:val="009216CC"/>
    <w:rsid w:val="00930D08"/>
    <w:rsid w:val="00932D69"/>
    <w:rsid w:val="009436BF"/>
    <w:rsid w:val="00944647"/>
    <w:rsid w:val="00946619"/>
    <w:rsid w:val="00957EE0"/>
    <w:rsid w:val="00966F9A"/>
    <w:rsid w:val="00977B8A"/>
    <w:rsid w:val="00981B75"/>
    <w:rsid w:val="00982971"/>
    <w:rsid w:val="009845AD"/>
    <w:rsid w:val="009910A7"/>
    <w:rsid w:val="009926DF"/>
    <w:rsid w:val="009933EF"/>
    <w:rsid w:val="00995BA0"/>
    <w:rsid w:val="009A418B"/>
    <w:rsid w:val="009A426F"/>
    <w:rsid w:val="009A4473"/>
    <w:rsid w:val="009A518F"/>
    <w:rsid w:val="009A62F4"/>
    <w:rsid w:val="009B00FC"/>
    <w:rsid w:val="009B05C9"/>
    <w:rsid w:val="009B1BA8"/>
    <w:rsid w:val="009C151C"/>
    <w:rsid w:val="009C3870"/>
    <w:rsid w:val="009C4166"/>
    <w:rsid w:val="009C6FEF"/>
    <w:rsid w:val="009D5125"/>
    <w:rsid w:val="009D60B8"/>
    <w:rsid w:val="009D7D4B"/>
    <w:rsid w:val="009E36ED"/>
    <w:rsid w:val="009E3C8C"/>
    <w:rsid w:val="009E6B77"/>
    <w:rsid w:val="009F1C4A"/>
    <w:rsid w:val="009F460A"/>
    <w:rsid w:val="00A00906"/>
    <w:rsid w:val="00A043FB"/>
    <w:rsid w:val="00A0729C"/>
    <w:rsid w:val="00A07779"/>
    <w:rsid w:val="00A12BF6"/>
    <w:rsid w:val="00A20B2E"/>
    <w:rsid w:val="00A25069"/>
    <w:rsid w:val="00A26E6B"/>
    <w:rsid w:val="00A3068F"/>
    <w:rsid w:val="00A3145B"/>
    <w:rsid w:val="00A339D0"/>
    <w:rsid w:val="00A41002"/>
    <w:rsid w:val="00A4201A"/>
    <w:rsid w:val="00A4643F"/>
    <w:rsid w:val="00A553CE"/>
    <w:rsid w:val="00A5677A"/>
    <w:rsid w:val="00A6212B"/>
    <w:rsid w:val="00A625E8"/>
    <w:rsid w:val="00A6490D"/>
    <w:rsid w:val="00A70CE8"/>
    <w:rsid w:val="00A80363"/>
    <w:rsid w:val="00A82FDC"/>
    <w:rsid w:val="00A83E9D"/>
    <w:rsid w:val="00A9169D"/>
    <w:rsid w:val="00AA240C"/>
    <w:rsid w:val="00AA4A35"/>
    <w:rsid w:val="00AB5D1E"/>
    <w:rsid w:val="00AC101C"/>
    <w:rsid w:val="00AD4CF1"/>
    <w:rsid w:val="00AD5988"/>
    <w:rsid w:val="00AF7800"/>
    <w:rsid w:val="00B072E0"/>
    <w:rsid w:val="00B14860"/>
    <w:rsid w:val="00B15270"/>
    <w:rsid w:val="00B22F2A"/>
    <w:rsid w:val="00B24FA6"/>
    <w:rsid w:val="00B253F6"/>
    <w:rsid w:val="00B305DB"/>
    <w:rsid w:val="00B332F8"/>
    <w:rsid w:val="00B3492B"/>
    <w:rsid w:val="00B4646F"/>
    <w:rsid w:val="00B51EFA"/>
    <w:rsid w:val="00B55C7D"/>
    <w:rsid w:val="00B63038"/>
    <w:rsid w:val="00B64BD8"/>
    <w:rsid w:val="00B701D1"/>
    <w:rsid w:val="00B73AF2"/>
    <w:rsid w:val="00B7551A"/>
    <w:rsid w:val="00B773F1"/>
    <w:rsid w:val="00B776DE"/>
    <w:rsid w:val="00B83D0B"/>
    <w:rsid w:val="00B86AB1"/>
    <w:rsid w:val="00B87425"/>
    <w:rsid w:val="00BA3569"/>
    <w:rsid w:val="00BA44A0"/>
    <w:rsid w:val="00BA6139"/>
    <w:rsid w:val="00BB2CBB"/>
    <w:rsid w:val="00BB57A5"/>
    <w:rsid w:val="00BC03EE"/>
    <w:rsid w:val="00BC59F1"/>
    <w:rsid w:val="00BE6BE5"/>
    <w:rsid w:val="00BF3DE1"/>
    <w:rsid w:val="00BF4843"/>
    <w:rsid w:val="00BF5205"/>
    <w:rsid w:val="00C016C5"/>
    <w:rsid w:val="00C12508"/>
    <w:rsid w:val="00C23728"/>
    <w:rsid w:val="00C45AA2"/>
    <w:rsid w:val="00C55BEF"/>
    <w:rsid w:val="00C66296"/>
    <w:rsid w:val="00C674F0"/>
    <w:rsid w:val="00C7122E"/>
    <w:rsid w:val="00C77282"/>
    <w:rsid w:val="00C84DE5"/>
    <w:rsid w:val="00C86248"/>
    <w:rsid w:val="00C94CB2"/>
    <w:rsid w:val="00CA0DC0"/>
    <w:rsid w:val="00CA4C33"/>
    <w:rsid w:val="00CA6969"/>
    <w:rsid w:val="00CA6F4A"/>
    <w:rsid w:val="00CD2119"/>
    <w:rsid w:val="00CD237A"/>
    <w:rsid w:val="00CD36AC"/>
    <w:rsid w:val="00CE044D"/>
    <w:rsid w:val="00CE13A3"/>
    <w:rsid w:val="00CF1747"/>
    <w:rsid w:val="00CF7E1B"/>
    <w:rsid w:val="00D10BF4"/>
    <w:rsid w:val="00D23323"/>
    <w:rsid w:val="00D2392A"/>
    <w:rsid w:val="00D24A11"/>
    <w:rsid w:val="00D25FFE"/>
    <w:rsid w:val="00D4476F"/>
    <w:rsid w:val="00D54D50"/>
    <w:rsid w:val="00D54FAF"/>
    <w:rsid w:val="00D605CC"/>
    <w:rsid w:val="00D60F1A"/>
    <w:rsid w:val="00D63061"/>
    <w:rsid w:val="00D66797"/>
    <w:rsid w:val="00D7087C"/>
    <w:rsid w:val="00D70C3C"/>
    <w:rsid w:val="00D71DF7"/>
    <w:rsid w:val="00D72BE5"/>
    <w:rsid w:val="00D82F26"/>
    <w:rsid w:val="00D863D0"/>
    <w:rsid w:val="00D87C87"/>
    <w:rsid w:val="00D90C26"/>
    <w:rsid w:val="00D90E07"/>
    <w:rsid w:val="00D979CC"/>
    <w:rsid w:val="00DB39CF"/>
    <w:rsid w:val="00DD0BCD"/>
    <w:rsid w:val="00DD1B89"/>
    <w:rsid w:val="00DD3D4E"/>
    <w:rsid w:val="00DD447A"/>
    <w:rsid w:val="00DE3194"/>
    <w:rsid w:val="00DE3B20"/>
    <w:rsid w:val="00DE6C94"/>
    <w:rsid w:val="00DE6FD7"/>
    <w:rsid w:val="00E02A21"/>
    <w:rsid w:val="00E13358"/>
    <w:rsid w:val="00E23271"/>
    <w:rsid w:val="00E24F80"/>
    <w:rsid w:val="00E259F3"/>
    <w:rsid w:val="00E33238"/>
    <w:rsid w:val="00E33261"/>
    <w:rsid w:val="00E4486C"/>
    <w:rsid w:val="00E460B6"/>
    <w:rsid w:val="00E511D5"/>
    <w:rsid w:val="00E60249"/>
    <w:rsid w:val="00E65269"/>
    <w:rsid w:val="00E73A58"/>
    <w:rsid w:val="00E76D66"/>
    <w:rsid w:val="00E873A6"/>
    <w:rsid w:val="00EA1A11"/>
    <w:rsid w:val="00EA796A"/>
    <w:rsid w:val="00EB1856"/>
    <w:rsid w:val="00EC50CE"/>
    <w:rsid w:val="00EC531E"/>
    <w:rsid w:val="00EC5B34"/>
    <w:rsid w:val="00ED2F9B"/>
    <w:rsid w:val="00ED323C"/>
    <w:rsid w:val="00ED68CC"/>
    <w:rsid w:val="00EE2D5C"/>
    <w:rsid w:val="00EE3394"/>
    <w:rsid w:val="00EE4ADE"/>
    <w:rsid w:val="00EE5CB7"/>
    <w:rsid w:val="00EE78CB"/>
    <w:rsid w:val="00F024FE"/>
    <w:rsid w:val="00F05093"/>
    <w:rsid w:val="00F05AD4"/>
    <w:rsid w:val="00F140B2"/>
    <w:rsid w:val="00F25970"/>
    <w:rsid w:val="00F308A4"/>
    <w:rsid w:val="00F33D42"/>
    <w:rsid w:val="00F36987"/>
    <w:rsid w:val="00F5180D"/>
    <w:rsid w:val="00F63781"/>
    <w:rsid w:val="00F67496"/>
    <w:rsid w:val="00F801BA"/>
    <w:rsid w:val="00F92AB6"/>
    <w:rsid w:val="00F9366A"/>
    <w:rsid w:val="00F946C9"/>
    <w:rsid w:val="00FA74EE"/>
    <w:rsid w:val="00FB23BB"/>
    <w:rsid w:val="00FB29E0"/>
    <w:rsid w:val="00FB3F7B"/>
    <w:rsid w:val="00FC0A3C"/>
    <w:rsid w:val="00FC3711"/>
    <w:rsid w:val="00FC46E7"/>
    <w:rsid w:val="00FC5D25"/>
    <w:rsid w:val="00FD0D7E"/>
    <w:rsid w:val="00FD5E5E"/>
    <w:rsid w:val="00FD71DA"/>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1A9993B"/>
  <w15:docId w15:val="{61610B9F-C90D-47FE-AC09-5A20C598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63"/>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8E3A07"/>
    <w:pPr>
      <w:pageBreakBefore/>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8E3A07"/>
    <w:pPr>
      <w:keepNext/>
      <w:spacing w:before="120" w:after="120"/>
      <w:outlineLvl w:val="1"/>
    </w:pPr>
    <w:rPr>
      <w:b/>
      <w:sz w:val="40"/>
    </w:rPr>
  </w:style>
  <w:style w:type="paragraph" w:styleId="Heading3">
    <w:name w:val="heading 3"/>
    <w:basedOn w:val="Normal"/>
    <w:next w:val="Normal"/>
    <w:link w:val="Heading3Char"/>
    <w:uiPriority w:val="9"/>
    <w:qFormat/>
    <w:rsid w:val="008E3A07"/>
    <w:pPr>
      <w:keepNext/>
      <w:spacing w:before="240" w:after="18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qFormat/>
    <w:rsid w:val="0013585C"/>
    <w:pPr>
      <w:keepNext/>
      <w:spacing w:before="120" w:after="120"/>
      <w:outlineLvl w:val="4"/>
    </w:pPr>
    <w:rPr>
      <w:u w:val="single"/>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122363"/>
    <w:pPr>
      <w:keepNext/>
      <w:keepLines/>
      <w:spacing w:before="200" w:after="120" w:line="276" w:lineRule="auto"/>
      <w:ind w:left="1440" w:hanging="1440"/>
      <w:outlineLvl w:val="7"/>
    </w:pPr>
    <w:rPr>
      <w:rFonts w:ascii="Calibri" w:eastAsia="MS Gothic" w:hAnsi="Calibri"/>
      <w:color w:val="404040"/>
      <w:szCs w:val="24"/>
      <w:lang w:val="en-GB"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3A07"/>
    <w:rPr>
      <w:rFonts w:ascii="Georgia" w:hAnsi="Georgia"/>
      <w:b/>
      <w:sz w:val="60"/>
      <w:lang w:eastAsia="en-GB"/>
    </w:rPr>
  </w:style>
  <w:style w:type="character" w:customStyle="1" w:styleId="Heading2Char">
    <w:name w:val="Heading 2 Char"/>
    <w:link w:val="Heading2"/>
    <w:uiPriority w:val="9"/>
    <w:rsid w:val="008E3A07"/>
    <w:rPr>
      <w:rFonts w:ascii="Georgia" w:hAnsi="Georgia"/>
      <w:b/>
      <w:sz w:val="40"/>
      <w:lang w:eastAsia="en-GB"/>
    </w:rPr>
  </w:style>
  <w:style w:type="character" w:customStyle="1" w:styleId="Heading3Char">
    <w:name w:val="Heading 3 Char"/>
    <w:link w:val="Heading3"/>
    <w:uiPriority w:val="9"/>
    <w:rsid w:val="008E3A07"/>
    <w:rPr>
      <w:rFonts w:ascii="Georgia" w:hAnsi="Georgia"/>
      <w:b/>
      <w:sz w:val="28"/>
      <w:lang w:eastAsia="en-GB"/>
    </w:rPr>
  </w:style>
  <w:style w:type="character" w:customStyle="1" w:styleId="Heading4Char">
    <w:name w:val="Heading 4 Char"/>
    <w:link w:val="Heading4"/>
    <w:uiPriority w:val="9"/>
    <w:rsid w:val="00122363"/>
    <w:rPr>
      <w:rFonts w:ascii="Georgia" w:hAnsi="Georgia"/>
      <w:b/>
      <w:sz w:val="22"/>
      <w:lang w:eastAsia="en-GB"/>
    </w:rPr>
  </w:style>
  <w:style w:type="character" w:customStyle="1" w:styleId="Heading5Char">
    <w:name w:val="Heading 5 Char"/>
    <w:link w:val="Heading5"/>
    <w:rsid w:val="00122363"/>
    <w:rPr>
      <w:rFonts w:ascii="Georgia" w:hAnsi="Georgia"/>
      <w:sz w:val="22"/>
      <w:u w:val="single"/>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122363"/>
    <w:rPr>
      <w:rFonts w:ascii="Calibri" w:eastAsia="MS Gothic" w:hAnsi="Calibri"/>
      <w:color w:val="404040"/>
      <w:sz w:val="22"/>
      <w:szCs w:val="24"/>
      <w:lang w:val="en-GB"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06228D"/>
    <w:pPr>
      <w:tabs>
        <w:tab w:val="right" w:pos="9356"/>
      </w:tabs>
      <w:spacing w:before="300"/>
      <w:ind w:right="567"/>
    </w:pPr>
    <w:rPr>
      <w:b/>
    </w:rPr>
  </w:style>
  <w:style w:type="paragraph" w:styleId="TOC2">
    <w:name w:val="toc 2"/>
    <w:basedOn w:val="Normal"/>
    <w:next w:val="Normal"/>
    <w:uiPriority w:val="39"/>
    <w:qFormat/>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3060E4"/>
    <w:pPr>
      <w:spacing w:before="60"/>
      <w:ind w:left="284" w:hanging="284"/>
    </w:pPr>
    <w:rPr>
      <w:sz w:val="18"/>
    </w:rPr>
  </w:style>
  <w:style w:type="character" w:customStyle="1" w:styleId="FootnoteTextChar">
    <w:name w:val="Footnote Text Char"/>
    <w:link w:val="FootnoteText"/>
    <w:uiPriority w:val="99"/>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8E3A07"/>
    <w:pPr>
      <w:pBdr>
        <w:bottom w:val="single" w:sz="48" w:space="6" w:color="auto"/>
      </w:pBdr>
      <w:ind w:right="1701"/>
    </w:pPr>
    <w:rPr>
      <w:b/>
      <w:sz w:val="80"/>
    </w:rPr>
  </w:style>
  <w:style w:type="character" w:customStyle="1" w:styleId="TitleChar">
    <w:name w:val="Title Char"/>
    <w:link w:val="Title"/>
    <w:rsid w:val="008E3A07"/>
    <w:rPr>
      <w:rFonts w:ascii="Georgia" w:hAnsi="Georgia"/>
      <w:b/>
      <w:sz w:val="80"/>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7B7560"/>
    <w:pPr>
      <w:pBdr>
        <w:bottom w:val="single" w:sz="4" w:space="4" w:color="auto"/>
      </w:pBdr>
    </w:pPr>
  </w:style>
  <w:style w:type="character" w:customStyle="1" w:styleId="FooterChar">
    <w:name w:val="Footer Char"/>
    <w:link w:val="Footer"/>
    <w:uiPriority w:val="99"/>
    <w:rsid w:val="007B7560"/>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7B7560"/>
    <w:pPr>
      <w:ind w:left="0" w:firstLine="0"/>
    </w:pPr>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character" w:customStyle="1" w:styleId="NoteChar">
    <w:name w:val="Note Char"/>
    <w:link w:val="Note"/>
    <w:rsid w:val="00C55BEF"/>
    <w:rPr>
      <w:rFonts w:ascii="Arial" w:hAnsi="Arial"/>
      <w:sz w:val="18"/>
      <w:lang w:eastAsia="en-GB"/>
    </w:rPr>
  </w:style>
  <w:style w:type="paragraph" w:customStyle="1" w:styleId="Subhead">
    <w:name w:val="Subhead"/>
    <w:basedOn w:val="Normal"/>
    <w:next w:val="Normal"/>
    <w:qFormat/>
    <w:rsid w:val="008E3A07"/>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Year">
    <w:name w:val="Year"/>
    <w:basedOn w:val="Subhead"/>
    <w:next w:val="Subhead"/>
    <w:qFormat/>
    <w:rsid w:val="008E3A07"/>
    <w:pPr>
      <w:pBdr>
        <w:bottom w:val="single" w:sz="48" w:space="6" w:color="auto"/>
      </w:pBdr>
    </w:pPr>
    <w:rPr>
      <w:sz w:val="56"/>
    </w:rPr>
  </w:style>
  <w:style w:type="paragraph" w:customStyle="1" w:styleId="Number">
    <w:name w:val="Number"/>
    <w:basedOn w:val="Normal"/>
    <w:qFormat/>
    <w:rsid w:val="00F140B2"/>
    <w:pPr>
      <w:spacing w:before="180"/>
      <w:ind w:left="567" w:hanging="567"/>
    </w:pPr>
    <w:rPr>
      <w:szCs w:val="24"/>
    </w:rPr>
  </w:style>
  <w:style w:type="paragraph" w:customStyle="1" w:styleId="Letter">
    <w:name w:val="Letter"/>
    <w:basedOn w:val="Normal"/>
    <w:qFormat/>
    <w:rsid w:val="00F140B2"/>
    <w:pPr>
      <w:numPr>
        <w:ilvl w:val="1"/>
        <w:numId w:val="17"/>
      </w:numPr>
      <w:spacing w:before="120"/>
    </w:pPr>
  </w:style>
  <w:style w:type="paragraph" w:styleId="NormalWeb">
    <w:name w:val="Normal (Web)"/>
    <w:basedOn w:val="Normal"/>
    <w:uiPriority w:val="99"/>
    <w:semiHidden/>
    <w:unhideWhenUsed/>
    <w:rsid w:val="00FC0A3C"/>
    <w:pPr>
      <w:spacing w:before="100" w:beforeAutospacing="1" w:after="100" w:afterAutospacing="1" w:line="240" w:lineRule="auto"/>
    </w:pPr>
    <w:rPr>
      <w:rFonts w:ascii="Times New Roman" w:eastAsiaTheme="minorEastAsia" w:hAnsi="Times New Roman"/>
      <w:sz w:val="24"/>
      <w:szCs w:val="24"/>
      <w:lang w:eastAsia="en-NZ"/>
    </w:rPr>
  </w:style>
  <w:style w:type="paragraph" w:styleId="ListParagraph">
    <w:name w:val="List Paragraph"/>
    <w:basedOn w:val="Normal"/>
    <w:uiPriority w:val="34"/>
    <w:qFormat/>
    <w:rsid w:val="00C7122E"/>
    <w:pPr>
      <w:ind w:left="720"/>
      <w:contextualSpacing/>
    </w:pPr>
  </w:style>
  <w:style w:type="character" w:customStyle="1" w:styleId="BalloonTextChar">
    <w:name w:val="Balloon Text Char"/>
    <w:basedOn w:val="DefaultParagraphFont"/>
    <w:link w:val="BalloonText"/>
    <w:uiPriority w:val="99"/>
    <w:semiHidden/>
    <w:rsid w:val="00C7122E"/>
    <w:rPr>
      <w:rFonts w:ascii="Segoe UI" w:hAnsi="Segoe UI" w:cs="Segoe UI"/>
      <w:sz w:val="18"/>
      <w:szCs w:val="18"/>
      <w:lang w:eastAsia="en-GB"/>
    </w:rPr>
  </w:style>
  <w:style w:type="paragraph" w:styleId="BalloonText">
    <w:name w:val="Balloon Text"/>
    <w:basedOn w:val="Normal"/>
    <w:link w:val="BalloonTextChar"/>
    <w:uiPriority w:val="99"/>
    <w:semiHidden/>
    <w:unhideWhenUsed/>
    <w:rsid w:val="00C7122E"/>
    <w:pPr>
      <w:spacing w:line="240" w:lineRule="auto"/>
    </w:pPr>
    <w:rPr>
      <w:rFonts w:ascii="Segoe UI" w:hAnsi="Segoe UI" w:cs="Segoe UI"/>
      <w:sz w:val="18"/>
      <w:szCs w:val="18"/>
    </w:rPr>
  </w:style>
  <w:style w:type="character" w:styleId="Strong">
    <w:name w:val="Strong"/>
    <w:basedOn w:val="DefaultParagraphFont"/>
    <w:uiPriority w:val="22"/>
    <w:qFormat/>
    <w:rsid w:val="00C7122E"/>
    <w:rPr>
      <w:b/>
      <w:bCs/>
    </w:rPr>
  </w:style>
  <w:style w:type="paragraph" w:customStyle="1" w:styleId="Default">
    <w:name w:val="Default"/>
    <w:rsid w:val="00C7122E"/>
    <w:pPr>
      <w:autoSpaceDE w:val="0"/>
      <w:autoSpaceDN w:val="0"/>
      <w:adjustRightInd w:val="0"/>
    </w:pPr>
    <w:rPr>
      <w:rFonts w:ascii="Cambria" w:eastAsiaTheme="minorHAnsi" w:hAnsi="Cambria" w:cs="Cambria"/>
      <w:color w:val="000000"/>
      <w:sz w:val="24"/>
      <w:szCs w:val="24"/>
      <w:lang w:eastAsia="en-US"/>
    </w:rPr>
  </w:style>
  <w:style w:type="character" w:styleId="CommentReference">
    <w:name w:val="annotation reference"/>
    <w:basedOn w:val="DefaultParagraphFont"/>
    <w:uiPriority w:val="99"/>
    <w:semiHidden/>
    <w:unhideWhenUsed/>
    <w:rsid w:val="00C7122E"/>
    <w:rPr>
      <w:sz w:val="16"/>
      <w:szCs w:val="16"/>
    </w:rPr>
  </w:style>
  <w:style w:type="paragraph" w:styleId="CommentText">
    <w:name w:val="annotation text"/>
    <w:basedOn w:val="Normal"/>
    <w:link w:val="CommentTextChar"/>
    <w:uiPriority w:val="99"/>
    <w:unhideWhenUsed/>
    <w:rsid w:val="00C7122E"/>
    <w:pPr>
      <w:spacing w:line="240" w:lineRule="auto"/>
    </w:pPr>
    <w:rPr>
      <w:sz w:val="20"/>
    </w:rPr>
  </w:style>
  <w:style w:type="character" w:customStyle="1" w:styleId="CommentTextChar">
    <w:name w:val="Comment Text Char"/>
    <w:basedOn w:val="DefaultParagraphFont"/>
    <w:link w:val="CommentText"/>
    <w:uiPriority w:val="99"/>
    <w:rsid w:val="00C7122E"/>
    <w:rPr>
      <w:rFonts w:ascii="Georgia" w:hAnsi="Georgia"/>
      <w:lang w:eastAsia="en-GB"/>
    </w:rPr>
  </w:style>
  <w:style w:type="character" w:customStyle="1" w:styleId="CommentSubjectChar">
    <w:name w:val="Comment Subject Char"/>
    <w:basedOn w:val="CommentTextChar"/>
    <w:link w:val="CommentSubject"/>
    <w:uiPriority w:val="99"/>
    <w:semiHidden/>
    <w:rsid w:val="00C7122E"/>
    <w:rPr>
      <w:rFonts w:ascii="Georgia" w:hAnsi="Georgia"/>
      <w:b/>
      <w:bCs/>
      <w:lang w:eastAsia="en-GB"/>
    </w:rPr>
  </w:style>
  <w:style w:type="paragraph" w:styleId="CommentSubject">
    <w:name w:val="annotation subject"/>
    <w:basedOn w:val="CommentText"/>
    <w:next w:val="CommentText"/>
    <w:link w:val="CommentSubjectChar"/>
    <w:uiPriority w:val="99"/>
    <w:semiHidden/>
    <w:unhideWhenUsed/>
    <w:rsid w:val="00C7122E"/>
    <w:rPr>
      <w:b/>
      <w:bCs/>
    </w:rPr>
  </w:style>
  <w:style w:type="paragraph" w:styleId="TOCHeading">
    <w:name w:val="TOC Heading"/>
    <w:basedOn w:val="Heading1"/>
    <w:next w:val="Normal"/>
    <w:uiPriority w:val="39"/>
    <w:unhideWhenUsed/>
    <w:qFormat/>
    <w:rsid w:val="00C7122E"/>
    <w:pPr>
      <w:keepNext/>
      <w:keepLines/>
      <w:pageBreakBefore w:val="0"/>
      <w:pBdr>
        <w:top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ableofFigures">
    <w:name w:val="table of figures"/>
    <w:basedOn w:val="Normal"/>
    <w:next w:val="Normal"/>
    <w:uiPriority w:val="99"/>
    <w:unhideWhenUsed/>
    <w:rsid w:val="00C7122E"/>
  </w:style>
  <w:style w:type="paragraph" w:customStyle="1" w:styleId="Roman">
    <w:name w:val="Roman"/>
    <w:basedOn w:val="Normal"/>
    <w:rsid w:val="001D7F81"/>
    <w:pPr>
      <w:spacing w:before="120" w:line="240" w:lineRule="auto"/>
      <w:ind w:left="1701" w:hanging="56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health.govt.nz/nz-health-statistics/national-collections-and-surveys/collections/primhd-mental-health-data" TargetMode="External"/><Relationship Id="rId26" Type="http://schemas.openxmlformats.org/officeDocument/2006/relationships/chart" Target="charts/chart3.xml"/><Relationship Id="rId39" Type="http://schemas.openxmlformats.org/officeDocument/2006/relationships/chart" Target="charts/chart16.xml"/><Relationship Id="rId21" Type="http://schemas.openxmlformats.org/officeDocument/2006/relationships/hyperlink" Target="http://www.health.govt.nz/new-zealand-health-system/health-targets/how-my-pho-performing/how-my-pho-performing-2014-15/primary-care-health-targets-2014-15-quarter-three-results-summary" TargetMode="External"/><Relationship Id="rId34" Type="http://schemas.openxmlformats.org/officeDocument/2006/relationships/chart" Target="charts/chart11.xml"/><Relationship Id="rId42" Type="http://schemas.openxmlformats.org/officeDocument/2006/relationships/chart" Target="charts/chart19.xml"/><Relationship Id="rId47" Type="http://schemas.openxmlformats.org/officeDocument/2006/relationships/chart" Target="charts/chart24.xml"/><Relationship Id="rId50" Type="http://schemas.openxmlformats.org/officeDocument/2006/relationships/chart" Target="charts/chart27.xml"/><Relationship Id="rId55" Type="http://schemas.openxmlformats.org/officeDocument/2006/relationships/chart" Target="charts/chart32.xml"/><Relationship Id="rId63" Type="http://schemas.openxmlformats.org/officeDocument/2006/relationships/hyperlink" Target="http://www.stats.govt.nz/browse_for_stats/population/estimates_and_projections.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1.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chart" Target="charts/chart17.xml"/><Relationship Id="rId45" Type="http://schemas.openxmlformats.org/officeDocument/2006/relationships/chart" Target="charts/chart22.xml"/><Relationship Id="rId53" Type="http://schemas.openxmlformats.org/officeDocument/2006/relationships/chart" Target="charts/chart30.xml"/><Relationship Id="rId58" Type="http://schemas.openxmlformats.org/officeDocument/2006/relationships/hyperlink" Target="http://www.health.govt.nz/nz-health-statistics/national-collections-and-surveys/collections/primary-health-organisation-enrolment-collection"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stats.govt.nz/browse_for_stats/population/estimates_and_projections.aspx" TargetMode="External"/><Relationship Id="rId28" Type="http://schemas.openxmlformats.org/officeDocument/2006/relationships/chart" Target="charts/chart5.xml"/><Relationship Id="rId36" Type="http://schemas.openxmlformats.org/officeDocument/2006/relationships/chart" Target="charts/chart13.xml"/><Relationship Id="rId49" Type="http://schemas.openxmlformats.org/officeDocument/2006/relationships/chart" Target="charts/chart26.xml"/><Relationship Id="rId57" Type="http://schemas.openxmlformats.org/officeDocument/2006/relationships/chart" Target="charts/chart34.xml"/><Relationship Id="rId61" Type="http://schemas.openxmlformats.org/officeDocument/2006/relationships/hyperlink" Target="http://www.health.govt.nz/nz-health-statistics/national-collections-and-surveys/collections/primhd-mental-health-data" TargetMode="External"/><Relationship Id="rId10" Type="http://schemas.openxmlformats.org/officeDocument/2006/relationships/image" Target="media/image2.png"/><Relationship Id="rId19" Type="http://schemas.openxmlformats.org/officeDocument/2006/relationships/hyperlink" Target="https://www.nsu.govt.nz/health-professionals/national-cervical-screening-programme/cervical-screening-coverage/dhb-quarterly" TargetMode="External"/><Relationship Id="rId31" Type="http://schemas.openxmlformats.org/officeDocument/2006/relationships/chart" Target="charts/chart8.xml"/><Relationship Id="rId44" Type="http://schemas.openxmlformats.org/officeDocument/2006/relationships/chart" Target="charts/chart21.xml"/><Relationship Id="rId52" Type="http://schemas.openxmlformats.org/officeDocument/2006/relationships/chart" Target="charts/chart29.xml"/><Relationship Id="rId60" Type="http://schemas.openxmlformats.org/officeDocument/2006/relationships/hyperlink" Target="http://www.health.govt.nz/nz-health-statistics/national-collections-and-surveys/collections/national-minimum-dataset-hospital-events" TargetMode="Externa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www.health.govt.nz/nz-health-statistics/national-collections-and-surveys/collections/national-minimum-dataset-hospital-events" TargetMode="Externa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12.xml"/><Relationship Id="rId43" Type="http://schemas.openxmlformats.org/officeDocument/2006/relationships/chart" Target="charts/chart20.xml"/><Relationship Id="rId48" Type="http://schemas.openxmlformats.org/officeDocument/2006/relationships/chart" Target="charts/chart25.xml"/><Relationship Id="rId56" Type="http://schemas.openxmlformats.org/officeDocument/2006/relationships/chart" Target="charts/chart33.xml"/><Relationship Id="rId64" Type="http://schemas.openxmlformats.org/officeDocument/2006/relationships/header" Target="header4.xml"/><Relationship Id="rId8" Type="http://schemas.openxmlformats.org/officeDocument/2006/relationships/header" Target="header1.xml"/><Relationship Id="rId51" Type="http://schemas.openxmlformats.org/officeDocument/2006/relationships/chart" Target="charts/chart2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chart" Target="charts/chart15.xml"/><Relationship Id="rId46" Type="http://schemas.openxmlformats.org/officeDocument/2006/relationships/chart" Target="charts/chart23.xml"/><Relationship Id="rId59" Type="http://schemas.openxmlformats.org/officeDocument/2006/relationships/hyperlink" Target="http://www.health.govt.nz/new-zealand-health-system/health-targets/how-my-pho-performing/how-my-pho-performing-2014-15/primary-care-health-targets-2014-15-quarter-three-results-summary" TargetMode="External"/><Relationship Id="rId67" Type="http://schemas.openxmlformats.org/officeDocument/2006/relationships/theme" Target="theme/theme1.xml"/><Relationship Id="rId20" Type="http://schemas.openxmlformats.org/officeDocument/2006/relationships/hyperlink" Target="http://www.health.govt.nz/nz-health-statistics/national-collections-and-surveys/collections/primary-health-organisation-enrolment-collection" TargetMode="External"/><Relationship Id="rId41" Type="http://schemas.openxmlformats.org/officeDocument/2006/relationships/chart" Target="charts/chart18.xml"/><Relationship Id="rId54" Type="http://schemas.openxmlformats.org/officeDocument/2006/relationships/chart" Target="charts/chart31.xml"/><Relationship Id="rId62" Type="http://schemas.openxmlformats.org/officeDocument/2006/relationships/hyperlink" Target="http://www.nsu.govt.nz/health-professionals/national-cervical-screening-programme/cervical-screening-coverage/dhb-quarterl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nsfl.health.govt.nz/accountability/performance-and-monitoring/performance-measures/performance-measures-2015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moh.govt.nz\dfs-userdata\userstate\jnaama\Desktop\Important%20documents\'Ala%20Mo'ui%20Progress%20Report\'Ala%20Mo'ui%20Progress%20Report%20-%20Complete%20Dataset.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oleObject" Target="file:///\\moh.govt.nz\dfs-userdata\userstate\jnaama\Desktop\Important%20documents\'Ala%20Mo'ui%20Progress%20Report\'Ala%20Mo'ui%20Progress%20Report%20-%20Complete%20Dataset.xlsx" TargetMode="External"/><Relationship Id="rId1" Type="http://schemas.openxmlformats.org/officeDocument/2006/relationships/themeOverride" Target="../theme/themeOverride3.xm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moh.govt.nz\dfs-userdata\UserState\LCleary\Documents\'Ala%20Mo'ui\'Ala%20Mo'ui%20Progress%20Report%20-%20Complete%20Dataset.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moh.govt.nz\dfs-userdata\UserState\LCleary\Documents\'Ala%20Mo'ui\'Ala%20Mo'ui%20Progress%20Report%20-%20Complete%20Dataset.xlsx" TargetMode="Externa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oleObject" Target="file:///\\moh.govt.nz\dfs-userdata\userstate\jnaama\Desktop\Important%20documents\'Ala%20Mo'ui%20Progress%20Report\'Ala%20Mo'ui%20Progress%20Report%20-%20Complete%20Dataset.xlsx" TargetMode="External"/><Relationship Id="rId1" Type="http://schemas.openxmlformats.org/officeDocument/2006/relationships/themeOverride" Target="../theme/themeOverride4.xm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moh.govt.nz\dfs-userdata\UserState\LCleary\Documents\'Ala%20Mo'ui\'Ala%20Mo'ui%20Progress%20Report%20-%20Complete%20Dataset.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moh.govt.nz\dfs-userdata\UserState\LCleary\Documents\'Ala%20Mo'ui\'Ala%20Mo'ui%20Progress%20Report%20-%20Complete%20Dataset.xlsx" TargetMode="External"/></Relationships>
</file>

<file path=word/charts/_rels/chart16.xml.rels><?xml version="1.0" encoding="UTF-8" standalone="yes"?>
<Relationships xmlns="http://schemas.openxmlformats.org/package/2006/relationships"><Relationship Id="rId2" Type="http://schemas.openxmlformats.org/officeDocument/2006/relationships/oleObject" Target="file:///\\moh.govt.nz\dfs-userdata\userstate\jnaama\Desktop\Important%20documents\'Ala%20Mo'ui%20Progress%20Report\'Ala%20Mo'ui%20Progress%20Report%20-%20Complete%20Dataset.xlsx" TargetMode="External"/><Relationship Id="rId1" Type="http://schemas.openxmlformats.org/officeDocument/2006/relationships/themeOverride" Target="../theme/themeOverride5.xml"/></Relationships>
</file>

<file path=word/charts/_rels/chart17.xml.rels><?xml version="1.0" encoding="UTF-8" standalone="yes"?>
<Relationships xmlns="http://schemas.openxmlformats.org/package/2006/relationships"><Relationship Id="rId1" Type="http://schemas.openxmlformats.org/officeDocument/2006/relationships/oleObject" Target="file:///\\moh.govt.nz\dfs-userdata\userstate\LCleary\Documents\'Ala%20Mo'ui\'Ala%20Mo'ui%20Progress%20Report%20-%20Complete%20Dataset.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moh.govt.nz\dfs-userdata\userstate\LCleary\Documents\'Ala%20Mo'ui\'Ala%20Mo'ui%20Progress%20Report%20-%20Complete%20Dataset.xlsx" TargetMode="External"/></Relationships>
</file>

<file path=word/charts/_rels/chart19.xml.rels><?xml version="1.0" encoding="UTF-8" standalone="yes"?>
<Relationships xmlns="http://schemas.openxmlformats.org/package/2006/relationships"><Relationship Id="rId2" Type="http://schemas.openxmlformats.org/officeDocument/2006/relationships/oleObject" Target="file:///\\moh.govt.nz\dfs-userdata\userstate\jnaama\Desktop\Important%20documents\'Ala%20Mo'ui%20Progress%20Report\'Ala%20Mo'ui%20Progress%20Report%20-%20Complete%20Dataset.xlsx" TargetMode="External"/><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moh.govt.nz\dfs-userdata\userstate\LCleary\Documents\'Ala%20Mo'ui\'Ala%20Mo'ui%20Progress%20Report%20-%20Complete%20Dataset.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moh.govt.nz\dfs-userdata\userstate\LCleary\Documents\'Ala%20Mo'ui\'Ala%20Mo'ui%20Progress%20Report%20-%20Complete%20Dataset.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moh.govt.nz\dfs-userdata\userstate\LCleary\Documents\'Ala%20Mo'ui\'Ala%20Mo'ui%20Progress%20Report%20-%20Complete%20Dataset.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moh.govt.nz\dfs-userdata\userstate\LCleary\Documents\'Ala%20Mo'ui\'Ala%20Mo'ui%20Progress%20Report%20-%20Complete%20Dataset.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moh.govt.nz\dfs-userdata\userstate\LCleary\Documents\'Ala%20Mo'ui\'Ala%20Mo'ui%20Progress%20Report%20-%20Complete%20Dataset.xlsx"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moh.govt.nz\dfs-userdata\userstate\LCleary\Documents\'Ala%20Mo'ui\'Ala%20Mo'ui%20Progress%20Report%20-%20Complete%20Dataset.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moh.govt.nz\dfs-userdata\userstate\LCleary\Documents\'Ala%20Mo'ui\'Ala%20Mo'ui%20Progress%20Report%20-%20Complete%20Dataset.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moh.govt.nz\dfs-userdata\userstate\LCleary\Documents\'Ala%20Mo'ui\'Ala%20Mo'ui%20Progress%20Report%20-%20Complete%20Dataset.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moh.govt.nz\dfs-userdata\userstate\LCleary\Documents\'Ala%20Mo'ui\'Ala%20Mo'ui%20Progress%20Report%20-%20Complete%20Dataset.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moh.govt.nz\dfs-userdata\userstate\LCleary\Documents\'Ala%20Mo'ui\'Ala%20Mo'ui%20Progress%20Report%20Complete%20Dataset.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moh.govt.nz\dfs-userdata\userstate\LCleary\Documents\'Ala%20Mo'ui\'Ala%20Mo'ui%20Progress%20Report%20-%20Complete%20Dataset.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moh.govt.nz\dfs-userdata\userstate\LCleary\Documents\'Ala%20Mo'ui\'Ala%20Mo'ui%20Progress%20Report%20Complete%20Dataset.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moh.govt.nz\dfs-userdata\userstate\LCleary\Documents\'Ala%20Mo'ui\'Ala%20Mo'ui%20Progress%20Report%20Complete%20Dataset.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moh.govt.nz\dfs-userdata\userstate\LCleary\Documents\'Ala%20Mo'ui\'Ala%20Mo'ui%20Progress%20Report%20Complete%20Dataset.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moh.govt.nz\dfs-userdata\userstate\LCleary\Documents\'Ala%20Mo'ui\'Ala%20Mo'ui%20Progress%20Report%20Complete%20Dataset.xlsx" TargetMode="External"/></Relationships>
</file>

<file path=word/charts/_rels/chart34.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moh.govt.nz\dfs-userdata\userstate\LCleary\Documents\'Ala%20Mo'ui\'Ala%20Mo'ui%20Progress%20Report%20Complete%20Dataset.xlsx"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moh.govt.nz\dfs-userdata\userstate\jnaama\Desktop\Important%20documents\'Ala%20Mo'ui%20Progress%20Report\'Ala%20Mo'ui%20Progress%20Report%20-%20Complete%20Dataset.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moh.govt.nz\dfs-userdata\userstate\LCleary\Documents\'Ala%20Mo'ui\'Ala%20Mo'ui%20Progress%20Report%20-%20Complete%20Dataset.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moh.govt.nz\dfs-userdata\userstate\LCleary\Documents\'Ala%20Mo'ui\'Ala%20Mo'ui%20Progress%20Report%20-%20Complete%20Dataset.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LCleary\AppData\Local\Temp\notes09F4E4\'Ala%20Mo'ui%20Progress%20Report%20-%20Complete%20Dataset.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moh.govt.nz\dfs-userdata\UserState\LCleary\Documents\'Ala%20Mo'ui\'Ala%20Mo'ui%20Progress%20Report%20-%20Complete%20Dataset.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moh.govt.nz\dfs-userdata\UserState\LCleary\Documents\'Ala%20Mo'ui\'Ala%20Mo'ui%20Progress%20Report%20-%20Complete%20Datas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202765089822563E-2"/>
          <c:y val="0.13403370631302666"/>
          <c:w val="0.89797741067747561"/>
          <c:h val="0.7136692450662081"/>
        </c:manualLayout>
      </c:layout>
      <c:lineChart>
        <c:grouping val="standard"/>
        <c:varyColors val="0"/>
        <c:ser>
          <c:idx val="0"/>
          <c:order val="0"/>
          <c:tx>
            <c:strRef>
              <c:f>'Fig 1a, 1b, 1c, 1d'!$A$5</c:f>
              <c:strCache>
                <c:ptCount val="1"/>
                <c:pt idx="0">
                  <c:v>Pacific</c:v>
                </c:pt>
              </c:strCache>
            </c:strRef>
          </c:tx>
          <c:spPr>
            <a:ln w="34925" cap="rnd">
              <a:solidFill>
                <a:sysClr val="windowText" lastClr="000000"/>
              </a:solidFill>
              <a:round/>
            </a:ln>
            <a:effectLst/>
          </c:spPr>
          <c:marker>
            <c:symbol val="none"/>
          </c:marker>
          <c:cat>
            <c:strRef>
              <c:f>'Fig 1a, 1b, 1c, 1d'!$B$4:$L$4</c:f>
              <c:strCache>
                <c:ptCount val="11"/>
                <c:pt idx="0">
                  <c:v>2006</c:v>
                </c:pt>
                <c:pt idx="1">
                  <c:v>2007</c:v>
                </c:pt>
                <c:pt idx="2">
                  <c:v>2008</c:v>
                </c:pt>
                <c:pt idx="3">
                  <c:v>2009</c:v>
                </c:pt>
                <c:pt idx="4">
                  <c:v>2010</c:v>
                </c:pt>
                <c:pt idx="5">
                  <c:v>2011</c:v>
                </c:pt>
                <c:pt idx="6">
                  <c:v>2012</c:v>
                </c:pt>
                <c:pt idx="7">
                  <c:v>2013</c:v>
                </c:pt>
                <c:pt idx="8">
                  <c:v>2014</c:v>
                </c:pt>
                <c:pt idx="9">
                  <c:v>2015</c:v>
                </c:pt>
                <c:pt idx="10">
                  <c:v>2016</c:v>
                </c:pt>
              </c:strCache>
            </c:strRef>
          </c:cat>
          <c:val>
            <c:numRef>
              <c:f>'Fig 1a, 1b, 1c, 1d'!$B$5:$L$5</c:f>
              <c:numCache>
                <c:formatCode>0</c:formatCode>
                <c:ptCount val="11"/>
                <c:pt idx="0">
                  <c:v>12380.952380952382</c:v>
                </c:pt>
                <c:pt idx="1">
                  <c:v>11844.293272864701</c:v>
                </c:pt>
                <c:pt idx="2">
                  <c:v>12832.05268935236</c:v>
                </c:pt>
                <c:pt idx="3">
                  <c:v>12012.91711517761</c:v>
                </c:pt>
                <c:pt idx="4">
                  <c:v>11484.837922621122</c:v>
                </c:pt>
                <c:pt idx="5">
                  <c:v>12209.582902447431</c:v>
                </c:pt>
                <c:pt idx="6">
                  <c:v>11943.095072866065</c:v>
                </c:pt>
                <c:pt idx="7">
                  <c:v>12210.982658959538</c:v>
                </c:pt>
                <c:pt idx="8">
                  <c:v>13191.101385849744</c:v>
                </c:pt>
                <c:pt idx="9">
                  <c:v>12662.0029455081</c:v>
                </c:pt>
                <c:pt idx="10">
                  <c:v>12078.547610226009</c:v>
                </c:pt>
              </c:numCache>
            </c:numRef>
          </c:val>
          <c:smooth val="0"/>
        </c:ser>
        <c:ser>
          <c:idx val="1"/>
          <c:order val="1"/>
          <c:tx>
            <c:strRef>
              <c:f>'Fig 1a, 1b, 1c, 1d'!$A$6</c:f>
              <c:strCache>
                <c:ptCount val="1"/>
                <c:pt idx="0">
                  <c:v>Total New Zealand</c:v>
                </c:pt>
              </c:strCache>
            </c:strRef>
          </c:tx>
          <c:spPr>
            <a:ln w="34925" cap="rnd">
              <a:solidFill>
                <a:sysClr val="windowText" lastClr="000000"/>
              </a:solidFill>
              <a:prstDash val="sysDot"/>
              <a:round/>
            </a:ln>
            <a:effectLst/>
          </c:spPr>
          <c:marker>
            <c:symbol val="none"/>
          </c:marker>
          <c:cat>
            <c:strRef>
              <c:f>'Fig 1a, 1b, 1c, 1d'!$B$4:$L$4</c:f>
              <c:strCache>
                <c:ptCount val="11"/>
                <c:pt idx="0">
                  <c:v>2006</c:v>
                </c:pt>
                <c:pt idx="1">
                  <c:v>2007</c:v>
                </c:pt>
                <c:pt idx="2">
                  <c:v>2008</c:v>
                </c:pt>
                <c:pt idx="3">
                  <c:v>2009</c:v>
                </c:pt>
                <c:pt idx="4">
                  <c:v>2010</c:v>
                </c:pt>
                <c:pt idx="5">
                  <c:v>2011</c:v>
                </c:pt>
                <c:pt idx="6">
                  <c:v>2012</c:v>
                </c:pt>
                <c:pt idx="7">
                  <c:v>2013</c:v>
                </c:pt>
                <c:pt idx="8">
                  <c:v>2014</c:v>
                </c:pt>
                <c:pt idx="9">
                  <c:v>2015</c:v>
                </c:pt>
                <c:pt idx="10">
                  <c:v>2016</c:v>
                </c:pt>
              </c:strCache>
            </c:strRef>
          </c:cat>
          <c:val>
            <c:numRef>
              <c:f>'Fig 1a, 1b, 1c, 1d'!$B$6:$L$6</c:f>
              <c:numCache>
                <c:formatCode>0</c:formatCode>
                <c:ptCount val="11"/>
                <c:pt idx="0">
                  <c:v>6775.5473176190808</c:v>
                </c:pt>
                <c:pt idx="1">
                  <c:v>6275.9950185099888</c:v>
                </c:pt>
                <c:pt idx="2">
                  <c:v>6374.7322273700993</c:v>
                </c:pt>
                <c:pt idx="3">
                  <c:v>6724.816924328723</c:v>
                </c:pt>
                <c:pt idx="4">
                  <c:v>6639.302532773323</c:v>
                </c:pt>
                <c:pt idx="5">
                  <c:v>6649.9669155874844</c:v>
                </c:pt>
                <c:pt idx="6">
                  <c:v>6815.5610466958124</c:v>
                </c:pt>
                <c:pt idx="7">
                  <c:v>6561.5131842590363</c:v>
                </c:pt>
                <c:pt idx="8">
                  <c:v>7130.5702508844242</c:v>
                </c:pt>
                <c:pt idx="9">
                  <c:v>6714.9655747624574</c:v>
                </c:pt>
                <c:pt idx="10">
                  <c:v>6690.2446212791037</c:v>
                </c:pt>
              </c:numCache>
            </c:numRef>
          </c:val>
          <c:smooth val="0"/>
        </c:ser>
        <c:dLbls>
          <c:showLegendKey val="0"/>
          <c:showVal val="0"/>
          <c:showCatName val="0"/>
          <c:showSerName val="0"/>
          <c:showPercent val="0"/>
          <c:showBubbleSize val="0"/>
        </c:dLbls>
        <c:smooth val="0"/>
        <c:axId val="402842640"/>
        <c:axId val="402843816"/>
      </c:lineChart>
      <c:catAx>
        <c:axId val="402842640"/>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Calendar year</a:t>
                </a:r>
              </a:p>
            </c:rich>
          </c:tx>
          <c:layout>
            <c:manualLayout>
              <c:xMode val="edge"/>
              <c:yMode val="edge"/>
              <c:x val="0.49829188147749037"/>
              <c:y val="0.95639132848778508"/>
            </c:manualLayout>
          </c:layout>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2843816"/>
        <c:crosses val="autoZero"/>
        <c:auto val="1"/>
        <c:lblAlgn val="ctr"/>
        <c:lblOffset val="100"/>
        <c:noMultiLvlLbl val="0"/>
      </c:catAx>
      <c:valAx>
        <c:axId val="402843816"/>
        <c:scaling>
          <c:orientation val="minMax"/>
        </c:scaling>
        <c:delete val="0"/>
        <c:axPos val="l"/>
        <c:numFmt formatCode="#,##0" sourceLinked="0"/>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2842640"/>
        <c:crosses val="autoZero"/>
        <c:crossBetween val="between"/>
      </c:valAx>
      <c:spPr>
        <a:noFill/>
        <a:ln>
          <a:noFill/>
        </a:ln>
        <a:effectLst/>
      </c:spPr>
    </c:plotArea>
    <c:legend>
      <c:legendPos val="r"/>
      <c:layout>
        <c:manualLayout>
          <c:xMode val="edge"/>
          <c:yMode val="edge"/>
          <c:x val="0.6731184289107095"/>
          <c:y val="0.68715594561453575"/>
          <c:w val="0.31030993920875222"/>
          <c:h val="0.1426507901007966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440658707079043E-2"/>
          <c:y val="0.11390725240271202"/>
          <c:w val="0.90960459596215815"/>
          <c:h val="0.73665873079423005"/>
        </c:manualLayout>
      </c:layout>
      <c:lineChart>
        <c:grouping val="standard"/>
        <c:varyColors val="0"/>
        <c:ser>
          <c:idx val="0"/>
          <c:order val="0"/>
          <c:tx>
            <c:strRef>
              <c:f>'Fig 30, 31, 32, 33, 34 and 35'!$A$71</c:f>
              <c:strCache>
                <c:ptCount val="1"/>
                <c:pt idx="0">
                  <c:v>Pacific</c:v>
                </c:pt>
              </c:strCache>
            </c:strRef>
          </c:tx>
          <c:spPr>
            <a:ln w="34925" cap="rnd">
              <a:solidFill>
                <a:sysClr val="windowText" lastClr="000000"/>
              </a:solidFill>
              <a:round/>
            </a:ln>
            <a:effectLst/>
          </c:spPr>
          <c:marker>
            <c:symbol val="none"/>
          </c:marker>
          <c:cat>
            <c:numRef>
              <c:f>'Fig 30, 31, 32, 33, 34 and 35'!$B$70:$J$70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35'!$B$71:$J$71</c:f>
              <c:numCache>
                <c:formatCode>0.00</c:formatCode>
                <c:ptCount val="9"/>
                <c:pt idx="0">
                  <c:v>0.50772689652896863</c:v>
                </c:pt>
                <c:pt idx="1">
                  <c:v>0.58965905117095185</c:v>
                </c:pt>
                <c:pt idx="2">
                  <c:v>0.63621084171855347</c:v>
                </c:pt>
                <c:pt idx="3">
                  <c:v>0.73457893239815275</c:v>
                </c:pt>
                <c:pt idx="4">
                  <c:v>0.71923193826975373</c:v>
                </c:pt>
                <c:pt idx="5">
                  <c:v>0.69102098873733886</c:v>
                </c:pt>
                <c:pt idx="6">
                  <c:v>0.75424991477523307</c:v>
                </c:pt>
                <c:pt idx="7">
                  <c:v>0.76764922611806174</c:v>
                </c:pt>
                <c:pt idx="8">
                  <c:v>0.78484970353829275</c:v>
                </c:pt>
              </c:numCache>
            </c:numRef>
          </c:val>
          <c:smooth val="0"/>
        </c:ser>
        <c:ser>
          <c:idx val="1"/>
          <c:order val="1"/>
          <c:tx>
            <c:strRef>
              <c:f>'Fig 30, 31, 32, 33, 34 and 35'!$A$72</c:f>
              <c:strCache>
                <c:ptCount val="1"/>
                <c:pt idx="0">
                  <c:v>Total New Zealand</c:v>
                </c:pt>
              </c:strCache>
            </c:strRef>
          </c:tx>
          <c:spPr>
            <a:ln w="34925" cap="rnd">
              <a:solidFill>
                <a:sysClr val="windowText" lastClr="000000"/>
              </a:solidFill>
              <a:prstDash val="sysDot"/>
              <a:round/>
            </a:ln>
            <a:effectLst/>
          </c:spPr>
          <c:marker>
            <c:symbol val="none"/>
          </c:marker>
          <c:cat>
            <c:numRef>
              <c:f>'Fig 30, 31, 32, 33, 34 and 35'!$B$70:$J$70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35'!$B$72:$J$72</c:f>
              <c:numCache>
                <c:formatCode>0.00</c:formatCode>
                <c:ptCount val="9"/>
                <c:pt idx="0">
                  <c:v>0.34998124162241595</c:v>
                </c:pt>
                <c:pt idx="1">
                  <c:v>0.42771666643872192</c:v>
                </c:pt>
                <c:pt idx="2">
                  <c:v>0.50197419028952206</c:v>
                </c:pt>
                <c:pt idx="3">
                  <c:v>0.55255006064287526</c:v>
                </c:pt>
                <c:pt idx="4">
                  <c:v>0.56473726384932899</c:v>
                </c:pt>
                <c:pt idx="5">
                  <c:v>0.59961233259956681</c:v>
                </c:pt>
                <c:pt idx="6">
                  <c:v>0.64482290264430686</c:v>
                </c:pt>
                <c:pt idx="7">
                  <c:v>0.7192908867790242</c:v>
                </c:pt>
                <c:pt idx="8">
                  <c:v>0.74732095423152778</c:v>
                </c:pt>
              </c:numCache>
            </c:numRef>
          </c:val>
          <c:smooth val="0"/>
        </c:ser>
        <c:dLbls>
          <c:showLegendKey val="0"/>
          <c:showVal val="0"/>
          <c:showCatName val="0"/>
          <c:showSerName val="0"/>
          <c:showPercent val="0"/>
          <c:showBubbleSize val="0"/>
        </c:dLbls>
        <c:smooth val="0"/>
        <c:axId val="560465704"/>
        <c:axId val="560463352"/>
      </c:lineChart>
      <c:catAx>
        <c:axId val="560465704"/>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Calendar year</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0463352"/>
        <c:crosses val="autoZero"/>
        <c:auto val="1"/>
        <c:lblAlgn val="ctr"/>
        <c:lblOffset val="100"/>
        <c:noMultiLvlLbl val="0"/>
      </c:catAx>
      <c:valAx>
        <c:axId val="560463352"/>
        <c:scaling>
          <c:orientation val="minMax"/>
          <c:max val="1"/>
        </c:scaling>
        <c:delete val="0"/>
        <c:axPos val="l"/>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0465704"/>
        <c:crosses val="autoZero"/>
        <c:crossBetween val="between"/>
      </c:valAx>
      <c:spPr>
        <a:noFill/>
        <a:ln>
          <a:noFill/>
        </a:ln>
        <a:effectLst/>
      </c:spPr>
    </c:plotArea>
    <c:legend>
      <c:legendPos val="r"/>
      <c:layout>
        <c:manualLayout>
          <c:xMode val="edge"/>
          <c:yMode val="edge"/>
          <c:x val="0.64276820297557957"/>
          <c:y val="0.67475033035527998"/>
          <c:w val="0.34375319071877303"/>
          <c:h val="0.155888218675458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509070954531061E-2"/>
          <c:y val="0.1248653240378851"/>
          <c:w val="0.93165724437206798"/>
          <c:h val="0.72273685146866662"/>
        </c:manualLayout>
      </c:layout>
      <c:lineChart>
        <c:grouping val="standard"/>
        <c:varyColors val="0"/>
        <c:ser>
          <c:idx val="0"/>
          <c:order val="0"/>
          <c:tx>
            <c:strRef>
              <c:f>'Fig 30, 31, 32, 33, 34 and 35'!$A$99</c:f>
              <c:strCache>
                <c:ptCount val="1"/>
                <c:pt idx="0">
                  <c:v>Auckland </c:v>
                </c:pt>
              </c:strCache>
            </c:strRef>
          </c:tx>
          <c:spPr>
            <a:ln w="34925" cap="rnd">
              <a:solidFill>
                <a:schemeClr val="tx1"/>
              </a:solidFill>
              <a:round/>
            </a:ln>
            <a:effectLst/>
          </c:spPr>
          <c:marker>
            <c:symbol val="none"/>
          </c:marker>
          <c:cat>
            <c:numRef>
              <c:f>'Fig 30, 31, 32, 33, 34 and 35'!$B$98:$J$98</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35'!$B$99:$J$99</c:f>
              <c:numCache>
                <c:formatCode>#,##0.00</c:formatCode>
                <c:ptCount val="9"/>
                <c:pt idx="0">
                  <c:v>0.46151577823205697</c:v>
                </c:pt>
                <c:pt idx="1">
                  <c:v>0.4767408487631577</c:v>
                </c:pt>
                <c:pt idx="2">
                  <c:v>0.63821155943293351</c:v>
                </c:pt>
                <c:pt idx="3">
                  <c:v>0.33477551721177784</c:v>
                </c:pt>
                <c:pt idx="4">
                  <c:v>0.31449754016582376</c:v>
                </c:pt>
                <c:pt idx="5">
                  <c:v>0.34123017459682792</c:v>
                </c:pt>
                <c:pt idx="6">
                  <c:v>0.42333557000099487</c:v>
                </c:pt>
                <c:pt idx="7">
                  <c:v>0.51476826846088852</c:v>
                </c:pt>
                <c:pt idx="8">
                  <c:v>0.57795995865440497</c:v>
                </c:pt>
              </c:numCache>
            </c:numRef>
          </c:val>
          <c:smooth val="0"/>
        </c:ser>
        <c:ser>
          <c:idx val="1"/>
          <c:order val="1"/>
          <c:tx>
            <c:strRef>
              <c:f>'Fig 30, 31, 32, 33, 34 and 35'!$A$102</c:f>
              <c:strCache>
                <c:ptCount val="1"/>
                <c:pt idx="0">
                  <c:v>Counties Manukau </c:v>
                </c:pt>
              </c:strCache>
            </c:strRef>
          </c:tx>
          <c:spPr>
            <a:ln w="31750" cap="rnd">
              <a:solidFill>
                <a:schemeClr val="tx1">
                  <a:lumMod val="50000"/>
                  <a:lumOff val="50000"/>
                </a:schemeClr>
              </a:solidFill>
              <a:prstDash val="solid"/>
              <a:round/>
            </a:ln>
            <a:effectLst/>
          </c:spPr>
          <c:marker>
            <c:symbol val="none"/>
          </c:marker>
          <c:cat>
            <c:numRef>
              <c:f>'Fig 30, 31, 32, 33, 34 and 35'!$B$98:$J$98</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35'!$B$102:$J$102</c:f>
              <c:numCache>
                <c:formatCode>#,##0.00</c:formatCode>
                <c:ptCount val="9"/>
                <c:pt idx="0">
                  <c:v>0.46440460919330318</c:v>
                </c:pt>
                <c:pt idx="1">
                  <c:v>0.5739914139292257</c:v>
                </c:pt>
                <c:pt idx="2">
                  <c:v>0.56862231479056058</c:v>
                </c:pt>
                <c:pt idx="3">
                  <c:v>1.2242768490961125</c:v>
                </c:pt>
                <c:pt idx="4">
                  <c:v>0.83438548540075264</c:v>
                </c:pt>
                <c:pt idx="5">
                  <c:v>1.0179066260211929</c:v>
                </c:pt>
                <c:pt idx="6">
                  <c:v>1.0110470212755653</c:v>
                </c:pt>
                <c:pt idx="7">
                  <c:v>0.87806318139569206</c:v>
                </c:pt>
                <c:pt idx="8">
                  <c:v>0.86673307234357988</c:v>
                </c:pt>
              </c:numCache>
            </c:numRef>
          </c:val>
          <c:smooth val="0"/>
        </c:ser>
        <c:ser>
          <c:idx val="2"/>
          <c:order val="2"/>
          <c:tx>
            <c:strRef>
              <c:f>'Fig 30, 31, 32, 33, 34 and 35'!$A$106</c:f>
              <c:strCache>
                <c:ptCount val="1"/>
                <c:pt idx="0">
                  <c:v>Waitemata </c:v>
                </c:pt>
              </c:strCache>
            </c:strRef>
          </c:tx>
          <c:spPr>
            <a:ln w="34925" cap="rnd">
              <a:solidFill>
                <a:schemeClr val="bg1">
                  <a:lumMod val="75000"/>
                </a:schemeClr>
              </a:solidFill>
              <a:prstDash val="solid"/>
              <a:round/>
            </a:ln>
            <a:effectLst/>
          </c:spPr>
          <c:marker>
            <c:symbol val="none"/>
          </c:marker>
          <c:cat>
            <c:numRef>
              <c:f>'Fig 30, 31, 32, 33, 34 and 35'!$B$98:$J$98</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35'!$B$106:$J$106</c:f>
              <c:numCache>
                <c:formatCode>#,##0.00</c:formatCode>
                <c:ptCount val="9"/>
                <c:pt idx="0">
                  <c:v>0.65902823912707154</c:v>
                </c:pt>
                <c:pt idx="1">
                  <c:v>0.66095220189209747</c:v>
                </c:pt>
                <c:pt idx="2">
                  <c:v>0.68584610314714123</c:v>
                </c:pt>
                <c:pt idx="3">
                  <c:v>0.791121032525821</c:v>
                </c:pt>
                <c:pt idx="4">
                  <c:v>0.75266236404698239</c:v>
                </c:pt>
                <c:pt idx="5">
                  <c:v>0.98061071562382918</c:v>
                </c:pt>
                <c:pt idx="6">
                  <c:v>1.2908940701303471</c:v>
                </c:pt>
                <c:pt idx="7">
                  <c:v>1.3361338844095128</c:v>
                </c:pt>
                <c:pt idx="8">
                  <c:v>1.2590175346995605</c:v>
                </c:pt>
              </c:numCache>
            </c:numRef>
          </c:val>
          <c:smooth val="0"/>
        </c:ser>
        <c:ser>
          <c:idx val="3"/>
          <c:order val="3"/>
          <c:tx>
            <c:strRef>
              <c:f>'Fig 30, 31, 32, 33, 34 and 35'!$A$107</c:f>
              <c:strCache>
                <c:ptCount val="1"/>
                <c:pt idx="0">
                  <c:v>Total New Zealand</c:v>
                </c:pt>
              </c:strCache>
            </c:strRef>
          </c:tx>
          <c:spPr>
            <a:ln w="34925" cap="rnd">
              <a:solidFill>
                <a:schemeClr val="tx1"/>
              </a:solidFill>
              <a:prstDash val="sysDot"/>
              <a:round/>
            </a:ln>
            <a:effectLst/>
          </c:spPr>
          <c:marker>
            <c:symbol val="none"/>
          </c:marker>
          <c:cat>
            <c:numRef>
              <c:f>'Fig 30, 31, 32, 33, 34 and 35'!$B$98:$J$98</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35'!$B$107:$J$107</c:f>
              <c:numCache>
                <c:formatCode>0.00</c:formatCode>
                <c:ptCount val="9"/>
                <c:pt idx="0">
                  <c:v>0.34998124162241595</c:v>
                </c:pt>
                <c:pt idx="1">
                  <c:v>0.42771666643872192</c:v>
                </c:pt>
                <c:pt idx="2">
                  <c:v>0.50197419028952206</c:v>
                </c:pt>
                <c:pt idx="3">
                  <c:v>0.55255006064287526</c:v>
                </c:pt>
                <c:pt idx="4">
                  <c:v>0.56473726384932899</c:v>
                </c:pt>
                <c:pt idx="5">
                  <c:v>0.59961233259956681</c:v>
                </c:pt>
                <c:pt idx="6">
                  <c:v>0.64482290264430686</c:v>
                </c:pt>
                <c:pt idx="7">
                  <c:v>0.7192908867790242</c:v>
                </c:pt>
                <c:pt idx="8">
                  <c:v>0.74732095423152778</c:v>
                </c:pt>
              </c:numCache>
            </c:numRef>
          </c:val>
          <c:smooth val="0"/>
        </c:ser>
        <c:dLbls>
          <c:showLegendKey val="0"/>
          <c:showVal val="0"/>
          <c:showCatName val="0"/>
          <c:showSerName val="0"/>
          <c:showPercent val="0"/>
          <c:showBubbleSize val="0"/>
        </c:dLbls>
        <c:smooth val="0"/>
        <c:axId val="560463744"/>
        <c:axId val="560465312"/>
      </c:lineChart>
      <c:catAx>
        <c:axId val="560463744"/>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Calendar</a:t>
                </a:r>
                <a:r>
                  <a:rPr lang="en-NZ" sz="900" baseline="0"/>
                  <a:t> y</a:t>
                </a:r>
                <a:r>
                  <a:rPr lang="en-NZ" sz="900"/>
                  <a:t>ear</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0465312"/>
        <c:crosses val="autoZero"/>
        <c:auto val="1"/>
        <c:lblAlgn val="ctr"/>
        <c:lblOffset val="100"/>
        <c:noMultiLvlLbl val="0"/>
      </c:catAx>
      <c:valAx>
        <c:axId val="560465312"/>
        <c:scaling>
          <c:orientation val="minMax"/>
          <c:max val="2"/>
        </c:scaling>
        <c:delete val="0"/>
        <c:axPos val="l"/>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0463744"/>
        <c:crosses val="autoZero"/>
        <c:crossBetween val="between"/>
      </c:valAx>
      <c:spPr>
        <a:noFill/>
        <a:ln>
          <a:noFill/>
        </a:ln>
        <a:effectLst/>
      </c:spPr>
    </c:plotArea>
    <c:legend>
      <c:legendPos val="r"/>
      <c:layout>
        <c:manualLayout>
          <c:xMode val="edge"/>
          <c:yMode val="edge"/>
          <c:x val="0.66314015317162534"/>
          <c:y val="3.0679245354634354E-2"/>
          <c:w val="0.33355723215675143"/>
          <c:h val="0.25105051543848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09198682379468E-2"/>
          <c:y val="0.12738973361088488"/>
          <c:w val="0.93595412989483695"/>
          <c:h val="0.72424465260807924"/>
        </c:manualLayout>
      </c:layout>
      <c:lineChart>
        <c:grouping val="standard"/>
        <c:varyColors val="0"/>
        <c:ser>
          <c:idx val="0"/>
          <c:order val="0"/>
          <c:tx>
            <c:strRef>
              <c:f>'Fig 30, 31, 32, 33, 34 and 35'!$A$100</c:f>
              <c:strCache>
                <c:ptCount val="1"/>
                <c:pt idx="0">
                  <c:v>Canterbury </c:v>
                </c:pt>
              </c:strCache>
            </c:strRef>
          </c:tx>
          <c:spPr>
            <a:ln w="34925" cap="rnd">
              <a:solidFill>
                <a:schemeClr val="tx1"/>
              </a:solidFill>
              <a:round/>
            </a:ln>
            <a:effectLst/>
          </c:spPr>
          <c:marker>
            <c:symbol val="none"/>
          </c:marker>
          <c:cat>
            <c:numRef>
              <c:f>'Fig 30, 31, 32, 33, 34 and 35'!$B$98:$J$98</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35'!$B$100:$J$100</c:f>
              <c:numCache>
                <c:formatCode>#,##0.00</c:formatCode>
                <c:ptCount val="9"/>
                <c:pt idx="0">
                  <c:v>0.12976068283723191</c:v>
                </c:pt>
                <c:pt idx="1">
                  <c:v>0.12333000754386392</c:v>
                </c:pt>
                <c:pt idx="2">
                  <c:v>9.8782260996001459E-2</c:v>
                </c:pt>
                <c:pt idx="3">
                  <c:v>4.4402993562475832E-2</c:v>
                </c:pt>
                <c:pt idx="4">
                  <c:v>6.9243773244674858E-2</c:v>
                </c:pt>
                <c:pt idx="5">
                  <c:v>0.13693018391004969</c:v>
                </c:pt>
                <c:pt idx="6">
                  <c:v>9.5627954085077654E-2</c:v>
                </c:pt>
                <c:pt idx="7">
                  <c:v>9.6350015938795025E-2</c:v>
                </c:pt>
                <c:pt idx="8">
                  <c:v>0.14525870935168389</c:v>
                </c:pt>
              </c:numCache>
            </c:numRef>
          </c:val>
          <c:smooth val="0"/>
        </c:ser>
        <c:ser>
          <c:idx val="1"/>
          <c:order val="1"/>
          <c:tx>
            <c:strRef>
              <c:f>'Fig 30, 31, 32, 33, 34 and 35'!$A$101</c:f>
              <c:strCache>
                <c:ptCount val="1"/>
                <c:pt idx="0">
                  <c:v>Capital and Coast </c:v>
                </c:pt>
              </c:strCache>
            </c:strRef>
          </c:tx>
          <c:spPr>
            <a:ln w="34925" cap="rnd">
              <a:solidFill>
                <a:schemeClr val="tx1">
                  <a:lumMod val="50000"/>
                  <a:lumOff val="50000"/>
                </a:schemeClr>
              </a:solidFill>
              <a:prstDash val="solid"/>
              <a:round/>
            </a:ln>
            <a:effectLst/>
          </c:spPr>
          <c:marker>
            <c:symbol val="none"/>
          </c:marker>
          <c:cat>
            <c:numRef>
              <c:f>'Fig 30, 31, 32, 33, 34 and 35'!$B$98:$J$98</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35'!$B$101:$J$101</c:f>
              <c:numCache>
                <c:formatCode>#,##0.00</c:formatCode>
                <c:ptCount val="9"/>
                <c:pt idx="0">
                  <c:v>1.0595996979786853</c:v>
                </c:pt>
                <c:pt idx="1">
                  <c:v>1.2099187586223161</c:v>
                </c:pt>
                <c:pt idx="2">
                  <c:v>1.1998480855324487</c:v>
                </c:pt>
                <c:pt idx="3">
                  <c:v>1.2442474934913865</c:v>
                </c:pt>
                <c:pt idx="4">
                  <c:v>1.3903648991290927</c:v>
                </c:pt>
                <c:pt idx="5">
                  <c:v>1.205785580214199</c:v>
                </c:pt>
                <c:pt idx="6">
                  <c:v>1.2966649966236086</c:v>
                </c:pt>
                <c:pt idx="7">
                  <c:v>1.3391071153803882</c:v>
                </c:pt>
                <c:pt idx="8">
                  <c:v>1.208346681100666</c:v>
                </c:pt>
              </c:numCache>
            </c:numRef>
          </c:val>
          <c:smooth val="0"/>
        </c:ser>
        <c:ser>
          <c:idx val="2"/>
          <c:order val="2"/>
          <c:tx>
            <c:strRef>
              <c:f>'Fig 30, 31, 32, 33, 34 and 35'!$A$103</c:f>
              <c:strCache>
                <c:ptCount val="1"/>
                <c:pt idx="0">
                  <c:v>Hawke's Bay </c:v>
                </c:pt>
              </c:strCache>
            </c:strRef>
          </c:tx>
          <c:spPr>
            <a:ln w="34925" cap="rnd">
              <a:solidFill>
                <a:schemeClr val="bg1">
                  <a:lumMod val="75000"/>
                </a:schemeClr>
              </a:solidFill>
              <a:prstDash val="solid"/>
              <a:round/>
            </a:ln>
            <a:effectLst/>
          </c:spPr>
          <c:marker>
            <c:symbol val="none"/>
          </c:marker>
          <c:cat>
            <c:numRef>
              <c:f>'Fig 30, 31, 32, 33, 34 and 35'!$B$98:$J$98</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35'!$B$103:$J$103</c:f>
              <c:numCache>
                <c:formatCode>#,##0.00</c:formatCode>
                <c:ptCount val="9"/>
                <c:pt idx="0">
                  <c:v>0.7246257704725565</c:v>
                </c:pt>
                <c:pt idx="1">
                  <c:v>0.92226706439726269</c:v>
                </c:pt>
                <c:pt idx="2">
                  <c:v>0.928392867062941</c:v>
                </c:pt>
                <c:pt idx="3">
                  <c:v>1.1518003489663196</c:v>
                </c:pt>
                <c:pt idx="4">
                  <c:v>1.2386469432088549</c:v>
                </c:pt>
                <c:pt idx="5">
                  <c:v>1.2417806820502348</c:v>
                </c:pt>
                <c:pt idx="6">
                  <c:v>1.1398060154795728</c:v>
                </c:pt>
                <c:pt idx="7">
                  <c:v>1.2703391869136396</c:v>
                </c:pt>
                <c:pt idx="8">
                  <c:v>1.2521141157884954</c:v>
                </c:pt>
              </c:numCache>
            </c:numRef>
          </c:val>
          <c:smooth val="0"/>
        </c:ser>
        <c:ser>
          <c:idx val="3"/>
          <c:order val="3"/>
          <c:tx>
            <c:strRef>
              <c:f>'Fig 30, 31, 32, 33, 34 and 35'!$A$104</c:f>
              <c:strCache>
                <c:ptCount val="1"/>
                <c:pt idx="0">
                  <c:v>Hutt Valley</c:v>
                </c:pt>
              </c:strCache>
            </c:strRef>
          </c:tx>
          <c:spPr>
            <a:ln w="34925" cap="rnd">
              <a:solidFill>
                <a:schemeClr val="tx1">
                  <a:lumMod val="50000"/>
                  <a:lumOff val="50000"/>
                </a:schemeClr>
              </a:solidFill>
              <a:prstDash val="sysDot"/>
              <a:round/>
            </a:ln>
            <a:effectLst/>
          </c:spPr>
          <c:marker>
            <c:symbol val="none"/>
          </c:marker>
          <c:cat>
            <c:numRef>
              <c:f>'Fig 30, 31, 32, 33, 34 and 35'!$B$98:$J$98</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35'!$B$104:$J$104</c:f>
              <c:numCache>
                <c:formatCode>#,##0.00</c:formatCode>
                <c:ptCount val="9"/>
                <c:pt idx="0">
                  <c:v>0.71178437930356087</c:v>
                </c:pt>
                <c:pt idx="1">
                  <c:v>0.96895179545833632</c:v>
                </c:pt>
                <c:pt idx="2">
                  <c:v>1.0683247301736274</c:v>
                </c:pt>
                <c:pt idx="3">
                  <c:v>1.0087642418930762</c:v>
                </c:pt>
                <c:pt idx="4">
                  <c:v>0.98380693438560185</c:v>
                </c:pt>
                <c:pt idx="5">
                  <c:v>0.84980732177263973</c:v>
                </c:pt>
                <c:pt idx="6">
                  <c:v>1.0661556003008175</c:v>
                </c:pt>
                <c:pt idx="7">
                  <c:v>1.0832799803004187</c:v>
                </c:pt>
                <c:pt idx="8">
                  <c:v>1.0907225059251839</c:v>
                </c:pt>
              </c:numCache>
            </c:numRef>
          </c:val>
          <c:smooth val="0"/>
        </c:ser>
        <c:ser>
          <c:idx val="4"/>
          <c:order val="4"/>
          <c:tx>
            <c:strRef>
              <c:f>'Fig 30, 31, 32, 33, 34 and 35'!$A$105</c:f>
              <c:strCache>
                <c:ptCount val="1"/>
                <c:pt idx="0">
                  <c:v>Waikato </c:v>
                </c:pt>
              </c:strCache>
            </c:strRef>
          </c:tx>
          <c:spPr>
            <a:ln w="34925" cap="rnd">
              <a:solidFill>
                <a:schemeClr val="bg1">
                  <a:lumMod val="75000"/>
                </a:schemeClr>
              </a:solidFill>
              <a:prstDash val="sysDot"/>
              <a:round/>
            </a:ln>
            <a:effectLst/>
          </c:spPr>
          <c:marker>
            <c:symbol val="none"/>
          </c:marker>
          <c:cat>
            <c:numRef>
              <c:f>'Fig 30, 31, 32, 33, 34 and 35'!$B$98:$J$98</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35'!$B$105:$J$105</c:f>
              <c:numCache>
                <c:formatCode>#,##0.00</c:formatCode>
                <c:ptCount val="9"/>
                <c:pt idx="0">
                  <c:v>7.813988946064418E-2</c:v>
                </c:pt>
                <c:pt idx="1">
                  <c:v>0.30640884307123917</c:v>
                </c:pt>
                <c:pt idx="2">
                  <c:v>0.46354221152840253</c:v>
                </c:pt>
                <c:pt idx="3">
                  <c:v>0.49684864880421331</c:v>
                </c:pt>
                <c:pt idx="4">
                  <c:v>0.42432751995270468</c:v>
                </c:pt>
                <c:pt idx="5">
                  <c:v>0.7310678696048537</c:v>
                </c:pt>
                <c:pt idx="6">
                  <c:v>0.90266570204240637</c:v>
                </c:pt>
                <c:pt idx="7">
                  <c:v>1.0655072463768116</c:v>
                </c:pt>
                <c:pt idx="8">
                  <c:v>1.1255491555208434</c:v>
                </c:pt>
              </c:numCache>
            </c:numRef>
          </c:val>
          <c:smooth val="0"/>
        </c:ser>
        <c:ser>
          <c:idx val="5"/>
          <c:order val="5"/>
          <c:tx>
            <c:strRef>
              <c:f>'Fig 30, 31, 32, 33, 34 and 35'!$A$107</c:f>
              <c:strCache>
                <c:ptCount val="1"/>
                <c:pt idx="0">
                  <c:v>Total New Zealand</c:v>
                </c:pt>
              </c:strCache>
            </c:strRef>
          </c:tx>
          <c:spPr>
            <a:ln w="34925" cap="rnd">
              <a:solidFill>
                <a:schemeClr val="tx1"/>
              </a:solidFill>
              <a:prstDash val="sysDot"/>
              <a:round/>
            </a:ln>
            <a:effectLst/>
          </c:spPr>
          <c:marker>
            <c:symbol val="none"/>
          </c:marker>
          <c:cat>
            <c:numRef>
              <c:f>'Fig 30, 31, 32, 33, 34 and 35'!$B$98:$J$98</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35'!$B$107:$J$107</c:f>
              <c:numCache>
                <c:formatCode>0.00</c:formatCode>
                <c:ptCount val="9"/>
                <c:pt idx="0">
                  <c:v>0.34998124162241595</c:v>
                </c:pt>
                <c:pt idx="1">
                  <c:v>0.42771666643872192</c:v>
                </c:pt>
                <c:pt idx="2">
                  <c:v>0.50197419028952206</c:v>
                </c:pt>
                <c:pt idx="3">
                  <c:v>0.55255006064287526</c:v>
                </c:pt>
                <c:pt idx="4">
                  <c:v>0.56473726384932899</c:v>
                </c:pt>
                <c:pt idx="5">
                  <c:v>0.59961233259956681</c:v>
                </c:pt>
                <c:pt idx="6">
                  <c:v>0.64482290264430686</c:v>
                </c:pt>
                <c:pt idx="7">
                  <c:v>0.7192908867790242</c:v>
                </c:pt>
                <c:pt idx="8">
                  <c:v>0.74732095423152778</c:v>
                </c:pt>
              </c:numCache>
            </c:numRef>
          </c:val>
          <c:smooth val="0"/>
        </c:ser>
        <c:dLbls>
          <c:showLegendKey val="0"/>
          <c:showVal val="0"/>
          <c:showCatName val="0"/>
          <c:showSerName val="0"/>
          <c:showPercent val="0"/>
          <c:showBubbleSize val="0"/>
        </c:dLbls>
        <c:smooth val="0"/>
        <c:axId val="560462960"/>
        <c:axId val="560466488"/>
      </c:lineChart>
      <c:catAx>
        <c:axId val="560462960"/>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Calendar</a:t>
                </a:r>
                <a:r>
                  <a:rPr lang="en-NZ" sz="900" baseline="0"/>
                  <a:t> y</a:t>
                </a:r>
                <a:r>
                  <a:rPr lang="en-NZ" sz="900"/>
                  <a:t>ear</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0466488"/>
        <c:crosses val="autoZero"/>
        <c:auto val="1"/>
        <c:lblAlgn val="ctr"/>
        <c:lblOffset val="100"/>
        <c:noMultiLvlLbl val="0"/>
      </c:catAx>
      <c:valAx>
        <c:axId val="560466488"/>
        <c:scaling>
          <c:orientation val="minMax"/>
          <c:max val="2"/>
        </c:scaling>
        <c:delete val="0"/>
        <c:axPos val="l"/>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0462960"/>
        <c:crosses val="autoZero"/>
        <c:crossBetween val="between"/>
      </c:valAx>
      <c:spPr>
        <a:noFill/>
        <a:ln>
          <a:noFill/>
        </a:ln>
        <a:effectLst/>
      </c:spPr>
    </c:plotArea>
    <c:legend>
      <c:legendPos val="r"/>
      <c:layout>
        <c:manualLayout>
          <c:xMode val="edge"/>
          <c:yMode val="edge"/>
          <c:x val="0.36590348614017887"/>
          <c:y val="2.1685597489968934E-2"/>
          <c:w val="0.62117407749459852"/>
          <c:h val="0.1951643436811777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326379592800939E-2"/>
          <c:y val="0.11368801025307376"/>
          <c:w val="0.9098260318833955"/>
          <c:h val="0.74517438816806214"/>
        </c:manualLayout>
      </c:layout>
      <c:lineChart>
        <c:grouping val="standard"/>
        <c:varyColors val="0"/>
        <c:ser>
          <c:idx val="0"/>
          <c:order val="0"/>
          <c:tx>
            <c:strRef>
              <c:f>'Fig 30, 31, 32, 33, 34 and 35'!$A$136</c:f>
              <c:strCache>
                <c:ptCount val="1"/>
                <c:pt idx="0">
                  <c:v>Pacific</c:v>
                </c:pt>
              </c:strCache>
            </c:strRef>
          </c:tx>
          <c:spPr>
            <a:ln w="34925" cap="rnd">
              <a:solidFill>
                <a:sysClr val="windowText" lastClr="000000"/>
              </a:solidFill>
              <a:round/>
            </a:ln>
            <a:effectLst/>
          </c:spPr>
          <c:marker>
            <c:symbol val="none"/>
          </c:marker>
          <c:cat>
            <c:numRef>
              <c:f>'Fig 30, 31, 32, 33, 34 and 35'!$B$135:$J$135</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35'!$B$136:$J$136</c:f>
              <c:numCache>
                <c:formatCode>0.00</c:formatCode>
                <c:ptCount val="9"/>
                <c:pt idx="0">
                  <c:v>3.3523943251464861</c:v>
                </c:pt>
                <c:pt idx="1">
                  <c:v>3.4764114006058451</c:v>
                </c:pt>
                <c:pt idx="2">
                  <c:v>3.378412458983945</c:v>
                </c:pt>
                <c:pt idx="3">
                  <c:v>3.6653285225379575</c:v>
                </c:pt>
                <c:pt idx="4">
                  <c:v>3.5819980466137928</c:v>
                </c:pt>
                <c:pt idx="5">
                  <c:v>3.5723678444471068</c:v>
                </c:pt>
                <c:pt idx="6">
                  <c:v>3.7357261428263793</c:v>
                </c:pt>
                <c:pt idx="7">
                  <c:v>3.847069757460714</c:v>
                </c:pt>
                <c:pt idx="8">
                  <c:v>3.9142334481415006</c:v>
                </c:pt>
              </c:numCache>
            </c:numRef>
          </c:val>
          <c:smooth val="0"/>
        </c:ser>
        <c:ser>
          <c:idx val="1"/>
          <c:order val="1"/>
          <c:tx>
            <c:strRef>
              <c:f>'Fig 30, 31, 32, 33, 34 and 35'!$A$137</c:f>
              <c:strCache>
                <c:ptCount val="1"/>
                <c:pt idx="0">
                  <c:v>Total New Zealand</c:v>
                </c:pt>
              </c:strCache>
            </c:strRef>
          </c:tx>
          <c:spPr>
            <a:ln w="34925" cap="rnd">
              <a:solidFill>
                <a:sysClr val="windowText" lastClr="000000"/>
              </a:solidFill>
              <a:prstDash val="sysDot"/>
              <a:round/>
            </a:ln>
            <a:effectLst/>
          </c:spPr>
          <c:marker>
            <c:symbol val="none"/>
          </c:marker>
          <c:cat>
            <c:numRef>
              <c:f>'Fig 30, 31, 32, 33, 34 and 35'!$B$135:$J$135</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35'!$B$137:$J$137</c:f>
              <c:numCache>
                <c:formatCode>0.00</c:formatCode>
                <c:ptCount val="9"/>
                <c:pt idx="0">
                  <c:v>3.2605267846473409</c:v>
                </c:pt>
                <c:pt idx="1">
                  <c:v>3.3293100983427228</c:v>
                </c:pt>
                <c:pt idx="2">
                  <c:v>3.4062383727133341</c:v>
                </c:pt>
                <c:pt idx="3">
                  <c:v>3.4541103367501789</c:v>
                </c:pt>
                <c:pt idx="4">
                  <c:v>3.4387469346003634</c:v>
                </c:pt>
                <c:pt idx="5">
                  <c:v>3.5026412604049986</c:v>
                </c:pt>
                <c:pt idx="6">
                  <c:v>3.5762477597636879</c:v>
                </c:pt>
                <c:pt idx="7">
                  <c:v>3.7118652626381197</c:v>
                </c:pt>
                <c:pt idx="8">
                  <c:v>3.7449068565377814</c:v>
                </c:pt>
              </c:numCache>
            </c:numRef>
          </c:val>
          <c:smooth val="0"/>
        </c:ser>
        <c:dLbls>
          <c:showLegendKey val="0"/>
          <c:showVal val="0"/>
          <c:showCatName val="0"/>
          <c:showSerName val="0"/>
          <c:showPercent val="0"/>
          <c:showBubbleSize val="0"/>
        </c:dLbls>
        <c:smooth val="0"/>
        <c:axId val="390528504"/>
        <c:axId val="390528112"/>
      </c:lineChart>
      <c:catAx>
        <c:axId val="390528504"/>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Calendar</a:t>
                </a:r>
                <a:r>
                  <a:rPr lang="en-NZ" sz="900" baseline="0"/>
                  <a:t> y</a:t>
                </a:r>
                <a:r>
                  <a:rPr lang="en-NZ" sz="900"/>
                  <a:t>ear</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0528112"/>
        <c:crosses val="autoZero"/>
        <c:auto val="1"/>
        <c:lblAlgn val="ctr"/>
        <c:lblOffset val="100"/>
        <c:noMultiLvlLbl val="0"/>
      </c:catAx>
      <c:valAx>
        <c:axId val="390528112"/>
        <c:scaling>
          <c:orientation val="minMax"/>
        </c:scaling>
        <c:delete val="0"/>
        <c:axPos val="l"/>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0528504"/>
        <c:crosses val="autoZero"/>
        <c:crossBetween val="between"/>
      </c:valAx>
      <c:spPr>
        <a:noFill/>
        <a:ln>
          <a:noFill/>
        </a:ln>
        <a:effectLst/>
      </c:spPr>
    </c:plotArea>
    <c:legend>
      <c:legendPos val="r"/>
      <c:layout>
        <c:manualLayout>
          <c:xMode val="edge"/>
          <c:yMode val="edge"/>
          <c:x val="0.64000299255919713"/>
          <c:y val="0.69611668750465427"/>
          <c:w val="0.35573228133903972"/>
          <c:h val="0.1459985184778731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555427762540918E-2"/>
          <c:y val="0.1352883615814284"/>
          <c:w val="0.93156056329778858"/>
          <c:h val="0.71747272495078052"/>
        </c:manualLayout>
      </c:layout>
      <c:lineChart>
        <c:grouping val="standard"/>
        <c:varyColors val="0"/>
        <c:ser>
          <c:idx val="0"/>
          <c:order val="0"/>
          <c:tx>
            <c:strRef>
              <c:f>'Fig 30, 31, 32, 33, 34 and 35'!$A$167</c:f>
              <c:strCache>
                <c:ptCount val="1"/>
                <c:pt idx="0">
                  <c:v>Auckland </c:v>
                </c:pt>
              </c:strCache>
            </c:strRef>
          </c:tx>
          <c:spPr>
            <a:ln w="34925" cap="rnd">
              <a:solidFill>
                <a:schemeClr val="tx1"/>
              </a:solidFill>
              <a:round/>
            </a:ln>
            <a:effectLst/>
          </c:spPr>
          <c:marker>
            <c:symbol val="none"/>
          </c:marker>
          <c:cat>
            <c:numRef>
              <c:f>'Fig 30, 31, 32, 33, 34 and 35'!$B$166:$J$166</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35'!$B$167:$J$167</c:f>
              <c:numCache>
                <c:formatCode>0.00</c:formatCode>
                <c:ptCount val="9"/>
                <c:pt idx="0">
                  <c:v>3.168908175829956</c:v>
                </c:pt>
                <c:pt idx="1">
                  <c:v>3.3582227324557659</c:v>
                </c:pt>
                <c:pt idx="2">
                  <c:v>3.4249363867684477</c:v>
                </c:pt>
                <c:pt idx="3">
                  <c:v>3.1661859387071853</c:v>
                </c:pt>
                <c:pt idx="4">
                  <c:v>2.8108163897203013</c:v>
                </c:pt>
                <c:pt idx="5">
                  <c:v>2.9885962281753966</c:v>
                </c:pt>
                <c:pt idx="6">
                  <c:v>3.2767590473912485</c:v>
                </c:pt>
                <c:pt idx="7">
                  <c:v>3.6309370562552257</c:v>
                </c:pt>
                <c:pt idx="8">
                  <c:v>3.8224002626243809</c:v>
                </c:pt>
              </c:numCache>
            </c:numRef>
          </c:val>
          <c:smooth val="0"/>
        </c:ser>
        <c:ser>
          <c:idx val="1"/>
          <c:order val="1"/>
          <c:tx>
            <c:strRef>
              <c:f>'Fig 30, 31, 32, 33, 34 and 35'!$A$170</c:f>
              <c:strCache>
                <c:ptCount val="1"/>
                <c:pt idx="0">
                  <c:v>Counties Manukau </c:v>
                </c:pt>
              </c:strCache>
            </c:strRef>
          </c:tx>
          <c:spPr>
            <a:ln w="34925" cap="rnd">
              <a:solidFill>
                <a:schemeClr val="tx1">
                  <a:lumMod val="50000"/>
                  <a:lumOff val="50000"/>
                </a:schemeClr>
              </a:solidFill>
              <a:prstDash val="solid"/>
              <a:round/>
            </a:ln>
            <a:effectLst/>
          </c:spPr>
          <c:marker>
            <c:symbol val="none"/>
          </c:marker>
          <c:cat>
            <c:numRef>
              <c:f>'Fig 30, 31, 32, 33, 34 and 35'!$B$166:$J$166</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35'!$B$170:$J$170</c:f>
              <c:numCache>
                <c:formatCode>0.00</c:formatCode>
                <c:ptCount val="9"/>
                <c:pt idx="0">
                  <c:v>3.7745658253444025</c:v>
                </c:pt>
                <c:pt idx="1">
                  <c:v>3.8817229296714215</c:v>
                </c:pt>
                <c:pt idx="2">
                  <c:v>3.5802054250441371</c:v>
                </c:pt>
                <c:pt idx="3">
                  <c:v>4.8433996737890306</c:v>
                </c:pt>
                <c:pt idx="4">
                  <c:v>4.1974918326483301</c:v>
                </c:pt>
                <c:pt idx="5">
                  <c:v>4.6002719053432619</c:v>
                </c:pt>
                <c:pt idx="6">
                  <c:v>4.5970525133063092</c:v>
                </c:pt>
                <c:pt idx="7">
                  <c:v>4.4298290730366228</c:v>
                </c:pt>
                <c:pt idx="8">
                  <c:v>4.4620908522319258</c:v>
                </c:pt>
              </c:numCache>
            </c:numRef>
          </c:val>
          <c:smooth val="0"/>
        </c:ser>
        <c:ser>
          <c:idx val="2"/>
          <c:order val="2"/>
          <c:tx>
            <c:strRef>
              <c:f>'Fig 30, 31, 32, 33, 34 and 35'!$A$174</c:f>
              <c:strCache>
                <c:ptCount val="1"/>
                <c:pt idx="0">
                  <c:v>Waitemata </c:v>
                </c:pt>
              </c:strCache>
            </c:strRef>
          </c:tx>
          <c:spPr>
            <a:ln w="34925" cap="rnd">
              <a:solidFill>
                <a:schemeClr val="bg1">
                  <a:lumMod val="75000"/>
                </a:schemeClr>
              </a:solidFill>
              <a:prstDash val="solid"/>
              <a:round/>
            </a:ln>
            <a:effectLst/>
          </c:spPr>
          <c:marker>
            <c:symbol val="none"/>
          </c:marker>
          <c:cat>
            <c:numRef>
              <c:f>'Fig 30, 31, 32, 33, 34 and 35'!$B$166:$J$166</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35'!$B$174:$J$174</c:f>
              <c:numCache>
                <c:formatCode>0.00</c:formatCode>
                <c:ptCount val="9"/>
                <c:pt idx="0">
                  <c:v>3.2700963752354779</c:v>
                </c:pt>
                <c:pt idx="1">
                  <c:v>3.3097177236717288</c:v>
                </c:pt>
                <c:pt idx="2">
                  <c:v>3.2071510957324105</c:v>
                </c:pt>
                <c:pt idx="3">
                  <c:v>3.260253729700838</c:v>
                </c:pt>
                <c:pt idx="4">
                  <c:v>3.0562332864013908</c:v>
                </c:pt>
                <c:pt idx="5">
                  <c:v>3.5577931809666543</c:v>
                </c:pt>
                <c:pt idx="6">
                  <c:v>4.0616853313750685</c:v>
                </c:pt>
                <c:pt idx="7">
                  <c:v>4.0580888497414005</c:v>
                </c:pt>
                <c:pt idx="8">
                  <c:v>3.9222033677065653</c:v>
                </c:pt>
              </c:numCache>
            </c:numRef>
          </c:val>
          <c:smooth val="0"/>
        </c:ser>
        <c:ser>
          <c:idx val="3"/>
          <c:order val="3"/>
          <c:tx>
            <c:strRef>
              <c:f>'Fig 30, 31, 32, 33, 34 and 35'!$A$175</c:f>
              <c:strCache>
                <c:ptCount val="1"/>
                <c:pt idx="0">
                  <c:v>Total New Zealand</c:v>
                </c:pt>
              </c:strCache>
            </c:strRef>
          </c:tx>
          <c:spPr>
            <a:ln w="34925" cap="rnd">
              <a:solidFill>
                <a:schemeClr val="tx1"/>
              </a:solidFill>
              <a:prstDash val="sysDot"/>
              <a:round/>
            </a:ln>
            <a:effectLst/>
          </c:spPr>
          <c:marker>
            <c:symbol val="none"/>
          </c:marker>
          <c:cat>
            <c:numRef>
              <c:f>'Fig 30, 31, 32, 33, 34 and 35'!$B$166:$J$166</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35'!$B$175:$J$175</c:f>
              <c:numCache>
                <c:formatCode>0.00</c:formatCode>
                <c:ptCount val="9"/>
                <c:pt idx="0">
                  <c:v>3.2605267846473409</c:v>
                </c:pt>
                <c:pt idx="1">
                  <c:v>3.3293100983427228</c:v>
                </c:pt>
                <c:pt idx="2">
                  <c:v>3.4062383727133341</c:v>
                </c:pt>
                <c:pt idx="3">
                  <c:v>3.4541103367501789</c:v>
                </c:pt>
                <c:pt idx="4">
                  <c:v>3.4387469346003634</c:v>
                </c:pt>
                <c:pt idx="5">
                  <c:v>3.5026412604049986</c:v>
                </c:pt>
                <c:pt idx="6">
                  <c:v>3.5762477597636879</c:v>
                </c:pt>
                <c:pt idx="7">
                  <c:v>3.7118652626381197</c:v>
                </c:pt>
                <c:pt idx="8">
                  <c:v>3.7449068565377814</c:v>
                </c:pt>
              </c:numCache>
            </c:numRef>
          </c:val>
          <c:smooth val="0"/>
        </c:ser>
        <c:dLbls>
          <c:showLegendKey val="0"/>
          <c:showVal val="0"/>
          <c:showCatName val="0"/>
          <c:showSerName val="0"/>
          <c:showPercent val="0"/>
          <c:showBubbleSize val="0"/>
        </c:dLbls>
        <c:smooth val="0"/>
        <c:axId val="390528896"/>
        <c:axId val="390523408"/>
      </c:lineChart>
      <c:catAx>
        <c:axId val="390528896"/>
        <c:scaling>
          <c:orientation val="minMax"/>
        </c:scaling>
        <c:delete val="0"/>
        <c:axPos val="b"/>
        <c:title>
          <c:tx>
            <c:rich>
              <a:bodyPr rot="0" vert="horz"/>
              <a:lstStyle/>
              <a:p>
                <a:pPr>
                  <a:defRPr b="0"/>
                </a:pPr>
                <a:r>
                  <a:rPr lang="en-NZ" b="0"/>
                  <a:t>Calendar year</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390523408"/>
        <c:crosses val="autoZero"/>
        <c:auto val="1"/>
        <c:lblAlgn val="ctr"/>
        <c:lblOffset val="100"/>
        <c:noMultiLvlLbl val="0"/>
      </c:catAx>
      <c:valAx>
        <c:axId val="390523408"/>
        <c:scaling>
          <c:orientation val="minMax"/>
        </c:scaling>
        <c:delete val="0"/>
        <c:axPos val="l"/>
        <c:numFmt formatCode="0.00" sourceLinked="1"/>
        <c:majorTickMark val="out"/>
        <c:minorTickMark val="none"/>
        <c:tickLblPos val="nextTo"/>
        <c:spPr>
          <a:noFill/>
          <a:ln>
            <a:solidFill>
              <a:schemeClr val="tx1"/>
            </a:solidFill>
          </a:ln>
          <a:effectLst/>
        </c:spPr>
        <c:txPr>
          <a:bodyPr rot="-60000000" vert="horz"/>
          <a:lstStyle/>
          <a:p>
            <a:pPr>
              <a:defRPr/>
            </a:pPr>
            <a:endParaRPr lang="en-US"/>
          </a:p>
        </c:txPr>
        <c:crossAx val="390528896"/>
        <c:crosses val="autoZero"/>
        <c:crossBetween val="between"/>
      </c:valAx>
      <c:spPr>
        <a:noFill/>
        <a:ln>
          <a:noFill/>
        </a:ln>
        <a:effectLst/>
      </c:spPr>
    </c:plotArea>
    <c:legend>
      <c:legendPos val="r"/>
      <c:layout>
        <c:manualLayout>
          <c:xMode val="edge"/>
          <c:yMode val="edge"/>
          <c:x val="0.65450377218547018"/>
          <c:y val="0.58314414679597137"/>
          <c:w val="0.33086937601367189"/>
          <c:h val="0.26144777379074929"/>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555427762540918E-2"/>
          <c:y val="0.10885322273451478"/>
          <c:w val="0.92218996390131058"/>
          <c:h val="0.75058300773179543"/>
        </c:manualLayout>
      </c:layout>
      <c:lineChart>
        <c:grouping val="standard"/>
        <c:varyColors val="0"/>
        <c:ser>
          <c:idx val="0"/>
          <c:order val="0"/>
          <c:tx>
            <c:strRef>
              <c:f>'Fig 30, 31, 32, 33, 34 and 35'!$A$168</c:f>
              <c:strCache>
                <c:ptCount val="1"/>
                <c:pt idx="0">
                  <c:v>Canterbury </c:v>
                </c:pt>
              </c:strCache>
            </c:strRef>
          </c:tx>
          <c:spPr>
            <a:ln w="34925" cap="rnd">
              <a:solidFill>
                <a:schemeClr val="tx1"/>
              </a:solidFill>
              <a:round/>
            </a:ln>
            <a:effectLst/>
          </c:spPr>
          <c:marker>
            <c:symbol val="none"/>
          </c:marker>
          <c:cat>
            <c:numRef>
              <c:f>'Fig 30, 31, 32, 33, 34 and 35'!$B$166:$J$166</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35'!$B$168:$J$168</c:f>
              <c:numCache>
                <c:formatCode>0.00</c:formatCode>
                <c:ptCount val="9"/>
                <c:pt idx="0">
                  <c:v>2.1602290529955162</c:v>
                </c:pt>
                <c:pt idx="1">
                  <c:v>1.9848636020733459</c:v>
                </c:pt>
                <c:pt idx="2">
                  <c:v>2.0495274445656126</c:v>
                </c:pt>
                <c:pt idx="3">
                  <c:v>1.6882236527831487</c:v>
                </c:pt>
                <c:pt idx="4">
                  <c:v>1.961275780457568</c:v>
                </c:pt>
                <c:pt idx="5">
                  <c:v>2.0954414712803975</c:v>
                </c:pt>
                <c:pt idx="6">
                  <c:v>2.139348413234301</c:v>
                </c:pt>
                <c:pt idx="7">
                  <c:v>2.1444851769206248</c:v>
                </c:pt>
                <c:pt idx="8">
                  <c:v>2.070198403051779</c:v>
                </c:pt>
              </c:numCache>
            </c:numRef>
          </c:val>
          <c:smooth val="0"/>
        </c:ser>
        <c:ser>
          <c:idx val="1"/>
          <c:order val="1"/>
          <c:tx>
            <c:strRef>
              <c:f>'Fig 30, 31, 32, 33, 34 and 35'!$A$169</c:f>
              <c:strCache>
                <c:ptCount val="1"/>
                <c:pt idx="0">
                  <c:v>Capital and Coast </c:v>
                </c:pt>
              </c:strCache>
            </c:strRef>
          </c:tx>
          <c:spPr>
            <a:ln w="34925" cap="rnd">
              <a:solidFill>
                <a:schemeClr val="tx1">
                  <a:lumMod val="50000"/>
                  <a:lumOff val="50000"/>
                </a:schemeClr>
              </a:solidFill>
              <a:prstDash val="solid"/>
              <a:round/>
            </a:ln>
            <a:effectLst/>
          </c:spPr>
          <c:marker>
            <c:symbol val="none"/>
          </c:marker>
          <c:cat>
            <c:numRef>
              <c:f>'Fig 30, 31, 32, 33, 34 and 35'!$B$166:$J$166</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35'!$B$169:$J$169</c:f>
              <c:numCache>
                <c:formatCode>0.00</c:formatCode>
                <c:ptCount val="9"/>
                <c:pt idx="0">
                  <c:v>3.6356929780044309</c:v>
                </c:pt>
                <c:pt idx="1">
                  <c:v>3.8526571472367319</c:v>
                </c:pt>
                <c:pt idx="2">
                  <c:v>3.9240427662243498</c:v>
                </c:pt>
                <c:pt idx="3">
                  <c:v>3.9991580346756774</c:v>
                </c:pt>
                <c:pt idx="4">
                  <c:v>4.1992724065703895</c:v>
                </c:pt>
                <c:pt idx="5">
                  <c:v>4.0083471348128521</c:v>
                </c:pt>
                <c:pt idx="6">
                  <c:v>4.1969198597163828</c:v>
                </c:pt>
                <c:pt idx="7">
                  <c:v>4.3145538874112503</c:v>
                </c:pt>
                <c:pt idx="8">
                  <c:v>4.2076728489842807</c:v>
                </c:pt>
              </c:numCache>
            </c:numRef>
          </c:val>
          <c:smooth val="0"/>
        </c:ser>
        <c:ser>
          <c:idx val="2"/>
          <c:order val="2"/>
          <c:tx>
            <c:strRef>
              <c:f>'Fig 30, 31, 32, 33, 34 and 35'!$A$171</c:f>
              <c:strCache>
                <c:ptCount val="1"/>
                <c:pt idx="0">
                  <c:v>Hawke's Bay </c:v>
                </c:pt>
              </c:strCache>
            </c:strRef>
          </c:tx>
          <c:spPr>
            <a:ln w="34925" cap="rnd">
              <a:solidFill>
                <a:schemeClr val="bg1">
                  <a:lumMod val="75000"/>
                </a:schemeClr>
              </a:solidFill>
              <a:prstDash val="solid"/>
              <a:round/>
            </a:ln>
            <a:effectLst/>
          </c:spPr>
          <c:marker>
            <c:symbol val="none"/>
          </c:marker>
          <c:cat>
            <c:numRef>
              <c:f>'Fig 30, 31, 32, 33, 34 and 35'!$B$166:$J$166</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35'!$B$171:$J$171</c:f>
              <c:numCache>
                <c:formatCode>0.00</c:formatCode>
                <c:ptCount val="9"/>
                <c:pt idx="0">
                  <c:v>3.5353096565893747</c:v>
                </c:pt>
                <c:pt idx="1">
                  <c:v>3.5540738141194361</c:v>
                </c:pt>
                <c:pt idx="2">
                  <c:v>3.6224654185878564</c:v>
                </c:pt>
                <c:pt idx="3">
                  <c:v>3.8164225664886589</c:v>
                </c:pt>
                <c:pt idx="4">
                  <c:v>4.0024826730112757</c:v>
                </c:pt>
                <c:pt idx="5">
                  <c:v>4.0941392689401681</c:v>
                </c:pt>
                <c:pt idx="6">
                  <c:v>3.9807974919173117</c:v>
                </c:pt>
                <c:pt idx="7">
                  <c:v>4.253259562184267</c:v>
                </c:pt>
                <c:pt idx="8">
                  <c:v>4.1875290400520395</c:v>
                </c:pt>
              </c:numCache>
            </c:numRef>
          </c:val>
          <c:smooth val="0"/>
        </c:ser>
        <c:ser>
          <c:idx val="3"/>
          <c:order val="3"/>
          <c:tx>
            <c:strRef>
              <c:f>'Fig 30, 31, 32, 33, 34 and 35'!$A$172</c:f>
              <c:strCache>
                <c:ptCount val="1"/>
                <c:pt idx="0">
                  <c:v>Hutt Valley</c:v>
                </c:pt>
              </c:strCache>
            </c:strRef>
          </c:tx>
          <c:spPr>
            <a:ln w="34925" cap="rnd">
              <a:solidFill>
                <a:schemeClr val="tx1">
                  <a:lumMod val="50000"/>
                  <a:lumOff val="50000"/>
                </a:schemeClr>
              </a:solidFill>
              <a:prstDash val="sysDot"/>
              <a:round/>
            </a:ln>
            <a:effectLst/>
          </c:spPr>
          <c:marker>
            <c:symbol val="none"/>
          </c:marker>
          <c:cat>
            <c:numRef>
              <c:f>'Fig 30, 31, 32, 33, 34 and 35'!$B$166:$J$166</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35'!$B$172:$J$172</c:f>
              <c:numCache>
                <c:formatCode>0.00</c:formatCode>
                <c:ptCount val="9"/>
                <c:pt idx="0">
                  <c:v>2.8105449537674598</c:v>
                </c:pt>
                <c:pt idx="1">
                  <c:v>3.0750828031548596</c:v>
                </c:pt>
                <c:pt idx="2">
                  <c:v>3.1503519474425152</c:v>
                </c:pt>
                <c:pt idx="3">
                  <c:v>3.1428571428571432</c:v>
                </c:pt>
                <c:pt idx="4">
                  <c:v>3.0208127812131562</c:v>
                </c:pt>
                <c:pt idx="5">
                  <c:v>2.8951830443159925</c:v>
                </c:pt>
                <c:pt idx="6">
                  <c:v>3.2840542441959197</c:v>
                </c:pt>
                <c:pt idx="7">
                  <c:v>3.2794878108840186</c:v>
                </c:pt>
                <c:pt idx="8">
                  <c:v>3.3669704595987979</c:v>
                </c:pt>
              </c:numCache>
            </c:numRef>
          </c:val>
          <c:smooth val="0"/>
        </c:ser>
        <c:ser>
          <c:idx val="4"/>
          <c:order val="4"/>
          <c:tx>
            <c:strRef>
              <c:f>'Fig 30, 31, 32, 33, 34 and 35'!$A$173</c:f>
              <c:strCache>
                <c:ptCount val="1"/>
                <c:pt idx="0">
                  <c:v>Waikato </c:v>
                </c:pt>
              </c:strCache>
            </c:strRef>
          </c:tx>
          <c:spPr>
            <a:ln w="34925" cap="rnd">
              <a:solidFill>
                <a:schemeClr val="bg1">
                  <a:lumMod val="75000"/>
                </a:schemeClr>
              </a:solidFill>
              <a:prstDash val="sysDot"/>
              <a:round/>
            </a:ln>
            <a:effectLst/>
          </c:spPr>
          <c:marker>
            <c:symbol val="none"/>
          </c:marker>
          <c:cat>
            <c:numRef>
              <c:f>'Fig 30, 31, 32, 33, 34 and 35'!$B$166:$J$166</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35'!$B$173:$J$173</c:f>
              <c:numCache>
                <c:formatCode>0.00</c:formatCode>
                <c:ptCount val="9"/>
                <c:pt idx="0">
                  <c:v>1.8958134807191411</c:v>
                </c:pt>
                <c:pt idx="1">
                  <c:v>2.5661591633644192</c:v>
                </c:pt>
                <c:pt idx="2">
                  <c:v>2.9820064860341042</c:v>
                </c:pt>
                <c:pt idx="3">
                  <c:v>3.0398019972947306</c:v>
                </c:pt>
                <c:pt idx="4">
                  <c:v>2.7527342595329589</c:v>
                </c:pt>
                <c:pt idx="5">
                  <c:v>3.2760994624500959</c:v>
                </c:pt>
                <c:pt idx="6">
                  <c:v>3.2725249040013353</c:v>
                </c:pt>
                <c:pt idx="7">
                  <c:v>3.4589723320158101</c:v>
                </c:pt>
                <c:pt idx="8">
                  <c:v>3.5713169969735432</c:v>
                </c:pt>
              </c:numCache>
            </c:numRef>
          </c:val>
          <c:smooth val="0"/>
        </c:ser>
        <c:ser>
          <c:idx val="5"/>
          <c:order val="5"/>
          <c:tx>
            <c:strRef>
              <c:f>'Fig 30, 31, 32, 33, 34 and 35'!$A$175</c:f>
              <c:strCache>
                <c:ptCount val="1"/>
                <c:pt idx="0">
                  <c:v>Total New Zealand</c:v>
                </c:pt>
              </c:strCache>
            </c:strRef>
          </c:tx>
          <c:spPr>
            <a:ln w="34925" cap="rnd">
              <a:solidFill>
                <a:schemeClr val="tx1"/>
              </a:solidFill>
              <a:prstDash val="sysDot"/>
              <a:round/>
            </a:ln>
            <a:effectLst/>
          </c:spPr>
          <c:marker>
            <c:symbol val="none"/>
          </c:marker>
          <c:cat>
            <c:numRef>
              <c:f>'Fig 30, 31, 32, 33, 34 and 35'!$B$166:$J$166</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35'!$B$175:$J$175</c:f>
              <c:numCache>
                <c:formatCode>0.00</c:formatCode>
                <c:ptCount val="9"/>
                <c:pt idx="0">
                  <c:v>3.2605267846473409</c:v>
                </c:pt>
                <c:pt idx="1">
                  <c:v>3.3293100983427228</c:v>
                </c:pt>
                <c:pt idx="2">
                  <c:v>3.4062383727133341</c:v>
                </c:pt>
                <c:pt idx="3">
                  <c:v>3.4541103367501789</c:v>
                </c:pt>
                <c:pt idx="4">
                  <c:v>3.4387469346003634</c:v>
                </c:pt>
                <c:pt idx="5">
                  <c:v>3.5026412604049986</c:v>
                </c:pt>
                <c:pt idx="6">
                  <c:v>3.5762477597636879</c:v>
                </c:pt>
                <c:pt idx="7">
                  <c:v>3.7118652626381197</c:v>
                </c:pt>
                <c:pt idx="8">
                  <c:v>3.7449068565377814</c:v>
                </c:pt>
              </c:numCache>
            </c:numRef>
          </c:val>
          <c:smooth val="0"/>
        </c:ser>
        <c:dLbls>
          <c:showLegendKey val="0"/>
          <c:showVal val="0"/>
          <c:showCatName val="0"/>
          <c:showSerName val="0"/>
          <c:showPercent val="0"/>
          <c:showBubbleSize val="0"/>
        </c:dLbls>
        <c:smooth val="0"/>
        <c:axId val="390529288"/>
        <c:axId val="390524192"/>
      </c:lineChart>
      <c:catAx>
        <c:axId val="390529288"/>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Calendar</a:t>
                </a:r>
                <a:r>
                  <a:rPr lang="en-NZ" sz="900" baseline="0"/>
                  <a:t> y</a:t>
                </a:r>
                <a:r>
                  <a:rPr lang="en-NZ" sz="900"/>
                  <a:t>ear</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0524192"/>
        <c:crosses val="autoZero"/>
        <c:auto val="1"/>
        <c:lblAlgn val="ctr"/>
        <c:lblOffset val="100"/>
        <c:noMultiLvlLbl val="0"/>
      </c:catAx>
      <c:valAx>
        <c:axId val="390524192"/>
        <c:scaling>
          <c:orientation val="minMax"/>
        </c:scaling>
        <c:delete val="0"/>
        <c:axPos val="l"/>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0529288"/>
        <c:crosses val="autoZero"/>
        <c:crossBetween val="between"/>
      </c:valAx>
      <c:spPr>
        <a:noFill/>
        <a:ln>
          <a:noFill/>
        </a:ln>
        <a:effectLst/>
      </c:spPr>
    </c:plotArea>
    <c:legend>
      <c:legendPos val="r"/>
      <c:layout>
        <c:manualLayout>
          <c:xMode val="edge"/>
          <c:yMode val="edge"/>
          <c:x val="7.679965100894677E-2"/>
          <c:y val="0.69386325452721287"/>
          <c:w val="0.91041859539203651"/>
          <c:h val="0.1670615246358528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008610971576541E-2"/>
          <c:y val="0.11136283219241096"/>
          <c:w val="0.90428822078765836"/>
          <c:h val="0.73375370558451736"/>
        </c:manualLayout>
      </c:layout>
      <c:lineChart>
        <c:grouping val="standard"/>
        <c:varyColors val="0"/>
        <c:ser>
          <c:idx val="0"/>
          <c:order val="0"/>
          <c:tx>
            <c:strRef>
              <c:f>'Fig 2 and 3'!$B$4</c:f>
              <c:strCache>
                <c:ptCount val="1"/>
                <c:pt idx="0">
                  <c:v>Pacific</c:v>
                </c:pt>
              </c:strCache>
            </c:strRef>
          </c:tx>
          <c:spPr>
            <a:ln w="34925" cap="rnd">
              <a:solidFill>
                <a:sysClr val="windowText" lastClr="000000"/>
              </a:solidFill>
              <a:round/>
            </a:ln>
            <a:effectLst/>
          </c:spPr>
          <c:marker>
            <c:symbol val="none"/>
          </c:marker>
          <c:cat>
            <c:strRef>
              <c:f>'Fig 2 and 3'!$C$3:$J$3</c:f>
              <c:strCache>
                <c:ptCount val="8"/>
                <c:pt idx="0">
                  <c:v>2009/10</c:v>
                </c:pt>
                <c:pt idx="1">
                  <c:v>2010/11</c:v>
                </c:pt>
                <c:pt idx="2">
                  <c:v>2011/12</c:v>
                </c:pt>
                <c:pt idx="3">
                  <c:v>2012/13</c:v>
                </c:pt>
                <c:pt idx="4">
                  <c:v>2013/14</c:v>
                </c:pt>
                <c:pt idx="5">
                  <c:v>2014/15</c:v>
                </c:pt>
                <c:pt idx="6">
                  <c:v>2015*</c:v>
                </c:pt>
                <c:pt idx="7">
                  <c:v>2016*</c:v>
                </c:pt>
              </c:strCache>
            </c:strRef>
          </c:cat>
          <c:val>
            <c:numRef>
              <c:f>'Fig 2 and 3'!$C$4:$J$4</c:f>
              <c:numCache>
                <c:formatCode>0.00%</c:formatCode>
                <c:ptCount val="8"/>
                <c:pt idx="0">
                  <c:v>2.4199999999999999E-2</c:v>
                </c:pt>
                <c:pt idx="1">
                  <c:v>2.5899999999999999E-2</c:v>
                </c:pt>
                <c:pt idx="2">
                  <c:v>2.63E-2</c:v>
                </c:pt>
                <c:pt idx="3">
                  <c:v>2.9000000000000001E-2</c:v>
                </c:pt>
                <c:pt idx="4">
                  <c:v>2.8899999999999999E-2</c:v>
                </c:pt>
                <c:pt idx="5">
                  <c:v>3.1300000000000001E-2</c:v>
                </c:pt>
                <c:pt idx="6">
                  <c:v>3.04E-2</c:v>
                </c:pt>
                <c:pt idx="7">
                  <c:v>3.0928850510555866E-2</c:v>
                </c:pt>
              </c:numCache>
            </c:numRef>
          </c:val>
          <c:smooth val="0"/>
        </c:ser>
        <c:ser>
          <c:idx val="1"/>
          <c:order val="1"/>
          <c:tx>
            <c:strRef>
              <c:f>'Fig 2 and 3'!$B$5</c:f>
              <c:strCache>
                <c:ptCount val="1"/>
                <c:pt idx="0">
                  <c:v>Total New Zealand</c:v>
                </c:pt>
              </c:strCache>
            </c:strRef>
          </c:tx>
          <c:spPr>
            <a:ln w="34925" cap="rnd">
              <a:solidFill>
                <a:sysClr val="windowText" lastClr="000000"/>
              </a:solidFill>
              <a:prstDash val="sysDot"/>
              <a:round/>
            </a:ln>
            <a:effectLst/>
          </c:spPr>
          <c:marker>
            <c:symbol val="none"/>
          </c:marker>
          <c:cat>
            <c:strRef>
              <c:f>'Fig 2 and 3'!$C$3:$J$3</c:f>
              <c:strCache>
                <c:ptCount val="8"/>
                <c:pt idx="0">
                  <c:v>2009/10</c:v>
                </c:pt>
                <c:pt idx="1">
                  <c:v>2010/11</c:v>
                </c:pt>
                <c:pt idx="2">
                  <c:v>2011/12</c:v>
                </c:pt>
                <c:pt idx="3">
                  <c:v>2012/13</c:v>
                </c:pt>
                <c:pt idx="4">
                  <c:v>2013/14</c:v>
                </c:pt>
                <c:pt idx="5">
                  <c:v>2014/15</c:v>
                </c:pt>
                <c:pt idx="6">
                  <c:v>2015*</c:v>
                </c:pt>
                <c:pt idx="7">
                  <c:v>2016*</c:v>
                </c:pt>
              </c:strCache>
            </c:strRef>
          </c:cat>
          <c:val>
            <c:numRef>
              <c:f>'Fig 2 and 3'!$C$5:$J$5</c:f>
              <c:numCache>
                <c:formatCode>0.00%</c:formatCode>
                <c:ptCount val="8"/>
                <c:pt idx="0">
                  <c:v>2.7900000000000001E-2</c:v>
                </c:pt>
                <c:pt idx="1">
                  <c:v>3.0200000000000001E-2</c:v>
                </c:pt>
                <c:pt idx="2">
                  <c:v>3.1399999999999997E-2</c:v>
                </c:pt>
                <c:pt idx="3">
                  <c:v>3.4000000000000002E-2</c:v>
                </c:pt>
                <c:pt idx="4">
                  <c:v>3.4700000000000002E-2</c:v>
                </c:pt>
                <c:pt idx="5">
                  <c:v>3.4599999999999999E-2</c:v>
                </c:pt>
                <c:pt idx="6">
                  <c:v>3.4847965507949337E-2</c:v>
                </c:pt>
                <c:pt idx="7">
                  <c:v>3.4805022950638899E-2</c:v>
                </c:pt>
              </c:numCache>
            </c:numRef>
          </c:val>
          <c:smooth val="0"/>
        </c:ser>
        <c:dLbls>
          <c:showLegendKey val="0"/>
          <c:showVal val="0"/>
          <c:showCatName val="0"/>
          <c:showSerName val="0"/>
          <c:showPercent val="0"/>
          <c:showBubbleSize val="0"/>
        </c:dLbls>
        <c:smooth val="0"/>
        <c:axId val="390530072"/>
        <c:axId val="390527328"/>
      </c:lineChart>
      <c:catAx>
        <c:axId val="390530072"/>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solidFill>
                      <a:sysClr val="windowText" lastClr="000000"/>
                    </a:solidFill>
                    <a:latin typeface="Arial" panose="020B0604020202020204" pitchFamily="34" charset="0"/>
                    <a:cs typeface="Arial" panose="020B0604020202020204" pitchFamily="34" charset="0"/>
                  </a:rPr>
                  <a:t>Financial year or calendar</a:t>
                </a:r>
                <a:r>
                  <a:rPr lang="en-NZ" sz="900" baseline="0">
                    <a:solidFill>
                      <a:sysClr val="windowText" lastClr="000000"/>
                    </a:solidFill>
                    <a:latin typeface="Arial" panose="020B0604020202020204" pitchFamily="34" charset="0"/>
                    <a:cs typeface="Arial" panose="020B0604020202020204" pitchFamily="34" charset="0"/>
                  </a:rPr>
                  <a:t> y</a:t>
                </a:r>
                <a:r>
                  <a:rPr lang="en-NZ" sz="900">
                    <a:solidFill>
                      <a:sysClr val="windowText" lastClr="000000"/>
                    </a:solidFill>
                    <a:latin typeface="Arial" panose="020B0604020202020204" pitchFamily="34" charset="0"/>
                    <a:cs typeface="Arial" panose="020B0604020202020204" pitchFamily="34" charset="0"/>
                  </a:rPr>
                  <a:t>ear</a:t>
                </a:r>
              </a:p>
            </c:rich>
          </c:tx>
          <c:layout>
            <c:manualLayout>
              <c:xMode val="edge"/>
              <c:yMode val="edge"/>
              <c:x val="0.35849808725806653"/>
              <c:y val="0.93994131696634231"/>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0527328"/>
        <c:crosses val="autoZero"/>
        <c:auto val="1"/>
        <c:lblAlgn val="ctr"/>
        <c:lblOffset val="100"/>
        <c:noMultiLvlLbl val="0"/>
      </c:catAx>
      <c:valAx>
        <c:axId val="390527328"/>
        <c:scaling>
          <c:orientation val="minMax"/>
          <c:max val="4.5000000000000012E-2"/>
        </c:scaling>
        <c:delete val="0"/>
        <c:axPos val="l"/>
        <c:title>
          <c:tx>
            <c:rich>
              <a:bodyPr rot="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solidFill>
                      <a:sysClr val="windowText" lastClr="000000"/>
                    </a:solidFill>
                  </a:rPr>
                  <a:t>Percentage</a:t>
                </a:r>
              </a:p>
            </c:rich>
          </c:tx>
          <c:layout>
            <c:manualLayout>
              <c:xMode val="edge"/>
              <c:yMode val="edge"/>
              <c:x val="2.0734206727633124E-3"/>
              <c:y val="3.4490456919707719E-3"/>
            </c:manualLayout>
          </c:layout>
          <c:overlay val="0"/>
          <c:spPr>
            <a:noFill/>
            <a:ln>
              <a:noFill/>
            </a:ln>
            <a:effectLst/>
          </c:spPr>
        </c:title>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0530072"/>
        <c:crosses val="autoZero"/>
        <c:crossBetween val="between"/>
      </c:valAx>
      <c:spPr>
        <a:noFill/>
        <a:ln>
          <a:noFill/>
        </a:ln>
        <a:effectLst/>
      </c:spPr>
    </c:plotArea>
    <c:legend>
      <c:legendPos val="r"/>
      <c:layout>
        <c:manualLayout>
          <c:xMode val="edge"/>
          <c:yMode val="edge"/>
          <c:x val="0.66353950129447758"/>
          <c:y val="0.65682190266270724"/>
          <c:w val="0.32025297448285955"/>
          <c:h val="0.1537258056514313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sz="800" b="0">
          <a:latin typeface="Arial" panose="020B0604020202020204" pitchFamily="34" charset="0"/>
          <a:cs typeface="Arial" panose="020B0604020202020204" pitchFamily="34" charset="0"/>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590984771279114E-2"/>
          <c:y val="0.11290918135629557"/>
          <c:w val="0.90699297492323816"/>
          <c:h val="0.72415206932464415"/>
        </c:manualLayout>
      </c:layout>
      <c:lineChart>
        <c:grouping val="standard"/>
        <c:varyColors val="0"/>
        <c:ser>
          <c:idx val="0"/>
          <c:order val="0"/>
          <c:tx>
            <c:strRef>
              <c:f>'Fig 2 and 3'!$B$13</c:f>
              <c:strCache>
                <c:ptCount val="1"/>
                <c:pt idx="0">
                  <c:v>Auckland</c:v>
                </c:pt>
              </c:strCache>
            </c:strRef>
          </c:tx>
          <c:spPr>
            <a:ln w="34925" cap="rnd">
              <a:solidFill>
                <a:schemeClr val="tx1"/>
              </a:solidFill>
              <a:round/>
            </a:ln>
            <a:effectLst/>
          </c:spPr>
          <c:marker>
            <c:symbol val="none"/>
          </c:marker>
          <c:cat>
            <c:strRef>
              <c:f>'Fig 2 and 3'!$C$12:$J$12</c:f>
              <c:strCache>
                <c:ptCount val="8"/>
                <c:pt idx="0">
                  <c:v>2009/10</c:v>
                </c:pt>
                <c:pt idx="1">
                  <c:v>2010/11</c:v>
                </c:pt>
                <c:pt idx="2">
                  <c:v>2011/12</c:v>
                </c:pt>
                <c:pt idx="3">
                  <c:v>2012/13</c:v>
                </c:pt>
                <c:pt idx="4">
                  <c:v>2013/14</c:v>
                </c:pt>
                <c:pt idx="5">
                  <c:v>2014/15</c:v>
                </c:pt>
                <c:pt idx="6">
                  <c:v>2015*</c:v>
                </c:pt>
                <c:pt idx="7">
                  <c:v>2016*</c:v>
                </c:pt>
              </c:strCache>
            </c:strRef>
          </c:cat>
          <c:val>
            <c:numRef>
              <c:f>'Fig 2 and 3'!$C$13:$J$13</c:f>
              <c:numCache>
                <c:formatCode>0.00%</c:formatCode>
                <c:ptCount val="8"/>
                <c:pt idx="0">
                  <c:v>3.3500000000000002E-2</c:v>
                </c:pt>
                <c:pt idx="1">
                  <c:v>3.1899999999999998E-2</c:v>
                </c:pt>
                <c:pt idx="2">
                  <c:v>3.6200000000000003E-2</c:v>
                </c:pt>
                <c:pt idx="3">
                  <c:v>3.95E-2</c:v>
                </c:pt>
                <c:pt idx="4">
                  <c:v>4.1200000000000001E-2</c:v>
                </c:pt>
                <c:pt idx="5">
                  <c:v>4.1975775927327784E-2</c:v>
                </c:pt>
                <c:pt idx="6">
                  <c:v>4.0300000000000002E-2</c:v>
                </c:pt>
                <c:pt idx="7">
                  <c:v>3.9630996309963099E-2</c:v>
                </c:pt>
              </c:numCache>
            </c:numRef>
          </c:val>
          <c:smooth val="0"/>
        </c:ser>
        <c:ser>
          <c:idx val="1"/>
          <c:order val="1"/>
          <c:tx>
            <c:strRef>
              <c:f>'Fig 2 and 3'!$B$16</c:f>
              <c:strCache>
                <c:ptCount val="1"/>
                <c:pt idx="0">
                  <c:v>Counties Manukau</c:v>
                </c:pt>
              </c:strCache>
            </c:strRef>
          </c:tx>
          <c:spPr>
            <a:ln w="34925" cap="rnd">
              <a:solidFill>
                <a:schemeClr val="tx1">
                  <a:lumMod val="50000"/>
                  <a:lumOff val="50000"/>
                </a:schemeClr>
              </a:solidFill>
              <a:prstDash val="solid"/>
              <a:round/>
            </a:ln>
            <a:effectLst/>
          </c:spPr>
          <c:marker>
            <c:symbol val="none"/>
          </c:marker>
          <c:cat>
            <c:strRef>
              <c:f>'Fig 2 and 3'!$C$12:$J$12</c:f>
              <c:strCache>
                <c:ptCount val="8"/>
                <c:pt idx="0">
                  <c:v>2009/10</c:v>
                </c:pt>
                <c:pt idx="1">
                  <c:v>2010/11</c:v>
                </c:pt>
                <c:pt idx="2">
                  <c:v>2011/12</c:v>
                </c:pt>
                <c:pt idx="3">
                  <c:v>2012/13</c:v>
                </c:pt>
                <c:pt idx="4">
                  <c:v>2013/14</c:v>
                </c:pt>
                <c:pt idx="5">
                  <c:v>2014/15</c:v>
                </c:pt>
                <c:pt idx="6">
                  <c:v>2015*</c:v>
                </c:pt>
                <c:pt idx="7">
                  <c:v>2016*</c:v>
                </c:pt>
              </c:strCache>
            </c:strRef>
          </c:cat>
          <c:val>
            <c:numRef>
              <c:f>'Fig 2 and 3'!$C$16:$J$16</c:f>
              <c:numCache>
                <c:formatCode>0.00%</c:formatCode>
                <c:ptCount val="8"/>
                <c:pt idx="0">
                  <c:v>2.53E-2</c:v>
                </c:pt>
                <c:pt idx="1">
                  <c:v>2.5499999999999998E-2</c:v>
                </c:pt>
                <c:pt idx="2">
                  <c:v>2.5000000000000001E-2</c:v>
                </c:pt>
                <c:pt idx="3">
                  <c:v>2.8000000000000001E-2</c:v>
                </c:pt>
                <c:pt idx="4">
                  <c:v>2.7099999999999999E-2</c:v>
                </c:pt>
                <c:pt idx="5">
                  <c:v>3.278306118787009E-2</c:v>
                </c:pt>
                <c:pt idx="6">
                  <c:v>3.1899999999999998E-2</c:v>
                </c:pt>
                <c:pt idx="7">
                  <c:v>3.2039260362807818E-2</c:v>
                </c:pt>
              </c:numCache>
            </c:numRef>
          </c:val>
          <c:smooth val="0"/>
        </c:ser>
        <c:ser>
          <c:idx val="2"/>
          <c:order val="2"/>
          <c:tx>
            <c:strRef>
              <c:f>'Fig 2 and 3'!$B$20</c:f>
              <c:strCache>
                <c:ptCount val="1"/>
                <c:pt idx="0">
                  <c:v>Waitemata</c:v>
                </c:pt>
              </c:strCache>
            </c:strRef>
          </c:tx>
          <c:spPr>
            <a:ln w="34925" cap="rnd">
              <a:solidFill>
                <a:schemeClr val="bg1">
                  <a:lumMod val="75000"/>
                </a:schemeClr>
              </a:solidFill>
              <a:prstDash val="solid"/>
              <a:round/>
            </a:ln>
            <a:effectLst/>
          </c:spPr>
          <c:marker>
            <c:symbol val="none"/>
          </c:marker>
          <c:cat>
            <c:strRef>
              <c:f>'Fig 2 and 3'!$C$12:$J$12</c:f>
              <c:strCache>
                <c:ptCount val="8"/>
                <c:pt idx="0">
                  <c:v>2009/10</c:v>
                </c:pt>
                <c:pt idx="1">
                  <c:v>2010/11</c:v>
                </c:pt>
                <c:pt idx="2">
                  <c:v>2011/12</c:v>
                </c:pt>
                <c:pt idx="3">
                  <c:v>2012/13</c:v>
                </c:pt>
                <c:pt idx="4">
                  <c:v>2013/14</c:v>
                </c:pt>
                <c:pt idx="5">
                  <c:v>2014/15</c:v>
                </c:pt>
                <c:pt idx="6">
                  <c:v>2015*</c:v>
                </c:pt>
                <c:pt idx="7">
                  <c:v>2016*</c:v>
                </c:pt>
              </c:strCache>
            </c:strRef>
          </c:cat>
          <c:val>
            <c:numRef>
              <c:f>'Fig 2 and 3'!$C$20:$J$20</c:f>
              <c:numCache>
                <c:formatCode>0.00%</c:formatCode>
                <c:ptCount val="8"/>
                <c:pt idx="0">
                  <c:v>2.93E-2</c:v>
                </c:pt>
                <c:pt idx="1">
                  <c:v>2.6599999999999999E-2</c:v>
                </c:pt>
                <c:pt idx="2">
                  <c:v>2.92E-2</c:v>
                </c:pt>
                <c:pt idx="3">
                  <c:v>3.27E-2</c:v>
                </c:pt>
                <c:pt idx="4">
                  <c:v>2.93E-2</c:v>
                </c:pt>
                <c:pt idx="5">
                  <c:v>3.2106941378464558E-2</c:v>
                </c:pt>
                <c:pt idx="6">
                  <c:v>3.0600000000000002E-2</c:v>
                </c:pt>
                <c:pt idx="7">
                  <c:v>3.1663516068052927E-2</c:v>
                </c:pt>
              </c:numCache>
            </c:numRef>
          </c:val>
          <c:smooth val="0"/>
        </c:ser>
        <c:ser>
          <c:idx val="3"/>
          <c:order val="3"/>
          <c:tx>
            <c:strRef>
              <c:f>'Fig 2 and 3'!$B$21</c:f>
              <c:strCache>
                <c:ptCount val="1"/>
                <c:pt idx="0">
                  <c:v>Total New Zealand</c:v>
                </c:pt>
              </c:strCache>
            </c:strRef>
          </c:tx>
          <c:spPr>
            <a:ln w="34925" cap="rnd">
              <a:solidFill>
                <a:schemeClr val="tx1"/>
              </a:solidFill>
              <a:prstDash val="sysDot"/>
              <a:round/>
            </a:ln>
            <a:effectLst/>
          </c:spPr>
          <c:marker>
            <c:symbol val="none"/>
          </c:marker>
          <c:cat>
            <c:strRef>
              <c:f>'Fig 2 and 3'!$C$12:$J$12</c:f>
              <c:strCache>
                <c:ptCount val="8"/>
                <c:pt idx="0">
                  <c:v>2009/10</c:v>
                </c:pt>
                <c:pt idx="1">
                  <c:v>2010/11</c:v>
                </c:pt>
                <c:pt idx="2">
                  <c:v>2011/12</c:v>
                </c:pt>
                <c:pt idx="3">
                  <c:v>2012/13</c:v>
                </c:pt>
                <c:pt idx="4">
                  <c:v>2013/14</c:v>
                </c:pt>
                <c:pt idx="5">
                  <c:v>2014/15</c:v>
                </c:pt>
                <c:pt idx="6">
                  <c:v>2015*</c:v>
                </c:pt>
                <c:pt idx="7">
                  <c:v>2016*</c:v>
                </c:pt>
              </c:strCache>
            </c:strRef>
          </c:cat>
          <c:val>
            <c:numRef>
              <c:f>'Fig 2 and 3'!$C$21:$J$21</c:f>
              <c:numCache>
                <c:formatCode>0.00%</c:formatCode>
                <c:ptCount val="8"/>
                <c:pt idx="0">
                  <c:v>2.7900000000000001E-2</c:v>
                </c:pt>
                <c:pt idx="1">
                  <c:v>3.0200000000000001E-2</c:v>
                </c:pt>
                <c:pt idx="2">
                  <c:v>3.1399999999999997E-2</c:v>
                </c:pt>
                <c:pt idx="3">
                  <c:v>3.4000000000000002E-2</c:v>
                </c:pt>
                <c:pt idx="4">
                  <c:v>3.4700000000000002E-2</c:v>
                </c:pt>
                <c:pt idx="5">
                  <c:v>3.4599999999999999E-2</c:v>
                </c:pt>
                <c:pt idx="6">
                  <c:v>3.4847965507949337E-2</c:v>
                </c:pt>
                <c:pt idx="7">
                  <c:v>3.4805022950638899E-2</c:v>
                </c:pt>
              </c:numCache>
            </c:numRef>
          </c:val>
          <c:smooth val="0"/>
        </c:ser>
        <c:dLbls>
          <c:showLegendKey val="0"/>
          <c:showVal val="0"/>
          <c:showCatName val="0"/>
          <c:showSerName val="0"/>
          <c:showPercent val="0"/>
          <c:showBubbleSize val="0"/>
        </c:dLbls>
        <c:smooth val="0"/>
        <c:axId val="401538592"/>
        <c:axId val="401539768"/>
      </c:lineChart>
      <c:catAx>
        <c:axId val="40153859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Financial year or calendar year</a:t>
                </a:r>
              </a:p>
            </c:rich>
          </c:tx>
          <c:layout>
            <c:manualLayout>
              <c:xMode val="edge"/>
              <c:yMode val="edge"/>
              <c:x val="0.41029588469162875"/>
              <c:y val="0.95516324232425875"/>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01539768"/>
        <c:crosses val="autoZero"/>
        <c:auto val="1"/>
        <c:lblAlgn val="ctr"/>
        <c:lblOffset val="100"/>
        <c:noMultiLvlLbl val="0"/>
      </c:catAx>
      <c:valAx>
        <c:axId val="401539768"/>
        <c:scaling>
          <c:orientation val="minMax"/>
        </c:scaling>
        <c:delete val="0"/>
        <c:axPos val="l"/>
        <c:title>
          <c:tx>
            <c:rich>
              <a:bodyPr rot="0" spcFirstLastPara="1" vertOverflow="ellipsis"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Percentage</a:t>
                </a:r>
              </a:p>
            </c:rich>
          </c:tx>
          <c:layout>
            <c:manualLayout>
              <c:xMode val="edge"/>
              <c:yMode val="edge"/>
              <c:x val="1.7477069742528584E-3"/>
              <c:y val="7.1901184362997369E-4"/>
            </c:manualLayout>
          </c:layout>
          <c:overlay val="0"/>
          <c:spPr>
            <a:noFill/>
            <a:ln>
              <a:noFill/>
            </a:ln>
            <a:effectLst/>
          </c:spPr>
        </c:title>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01538592"/>
        <c:crosses val="autoZero"/>
        <c:crossBetween val="between"/>
      </c:valAx>
      <c:spPr>
        <a:noFill/>
        <a:ln>
          <a:noFill/>
        </a:ln>
        <a:effectLst/>
      </c:spPr>
    </c:plotArea>
    <c:legend>
      <c:legendPos val="r"/>
      <c:layout>
        <c:manualLayout>
          <c:xMode val="edge"/>
          <c:yMode val="edge"/>
          <c:x val="0.65504516120775436"/>
          <c:y val="0.53815927747909653"/>
          <c:w val="0.3433404900372794"/>
          <c:h val="0.290931456724134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431179604333039E-2"/>
          <c:y val="0.1012433251877998"/>
          <c:w val="0.91139123895797092"/>
          <c:h val="0.73147305940205753"/>
        </c:manualLayout>
      </c:layout>
      <c:lineChart>
        <c:grouping val="standard"/>
        <c:varyColors val="0"/>
        <c:ser>
          <c:idx val="0"/>
          <c:order val="0"/>
          <c:tx>
            <c:strRef>
              <c:f>'Fig 2 and 3'!$B$14</c:f>
              <c:strCache>
                <c:ptCount val="1"/>
                <c:pt idx="0">
                  <c:v>Canterbury</c:v>
                </c:pt>
              </c:strCache>
            </c:strRef>
          </c:tx>
          <c:spPr>
            <a:ln w="34925" cap="rnd">
              <a:solidFill>
                <a:schemeClr val="tx1"/>
              </a:solidFill>
              <a:round/>
            </a:ln>
            <a:effectLst/>
          </c:spPr>
          <c:marker>
            <c:symbol val="none"/>
          </c:marker>
          <c:cat>
            <c:strRef>
              <c:f>'Fig 2 and 3'!$C$12:$J$12</c:f>
              <c:strCache>
                <c:ptCount val="8"/>
                <c:pt idx="0">
                  <c:v>2009/10</c:v>
                </c:pt>
                <c:pt idx="1">
                  <c:v>2010/11</c:v>
                </c:pt>
                <c:pt idx="2">
                  <c:v>2011/12</c:v>
                </c:pt>
                <c:pt idx="3">
                  <c:v>2012/13</c:v>
                </c:pt>
                <c:pt idx="4">
                  <c:v>2013/14</c:v>
                </c:pt>
                <c:pt idx="5">
                  <c:v>2014/15</c:v>
                </c:pt>
                <c:pt idx="6">
                  <c:v>2015*</c:v>
                </c:pt>
                <c:pt idx="7">
                  <c:v>2016*</c:v>
                </c:pt>
              </c:strCache>
            </c:strRef>
          </c:cat>
          <c:val>
            <c:numRef>
              <c:f>'Fig 2 and 3'!$C$14:$J$14</c:f>
              <c:numCache>
                <c:formatCode>0.00%</c:formatCode>
                <c:ptCount val="8"/>
                <c:pt idx="0">
                  <c:v>1.7299999999999999E-2</c:v>
                </c:pt>
                <c:pt idx="1">
                  <c:v>1.8100000000000002E-2</c:v>
                </c:pt>
                <c:pt idx="2">
                  <c:v>0.02</c:v>
                </c:pt>
                <c:pt idx="3">
                  <c:v>2.4E-2</c:v>
                </c:pt>
                <c:pt idx="4">
                  <c:v>2.5499999999999998E-2</c:v>
                </c:pt>
                <c:pt idx="5">
                  <c:v>2.7074939564867041E-2</c:v>
                </c:pt>
                <c:pt idx="6">
                  <c:v>2.9700000000000001E-2</c:v>
                </c:pt>
                <c:pt idx="7">
                  <c:v>3.3033707865168536E-2</c:v>
                </c:pt>
              </c:numCache>
            </c:numRef>
          </c:val>
          <c:smooth val="0"/>
        </c:ser>
        <c:ser>
          <c:idx val="1"/>
          <c:order val="1"/>
          <c:tx>
            <c:strRef>
              <c:f>'Fig 2 and 3'!$B$15</c:f>
              <c:strCache>
                <c:ptCount val="1"/>
                <c:pt idx="0">
                  <c:v>Capital &amp; Coast</c:v>
                </c:pt>
              </c:strCache>
            </c:strRef>
          </c:tx>
          <c:spPr>
            <a:ln w="34925" cap="rnd">
              <a:solidFill>
                <a:schemeClr val="tx1">
                  <a:lumMod val="50000"/>
                  <a:lumOff val="50000"/>
                </a:schemeClr>
              </a:solidFill>
              <a:prstDash val="solid"/>
              <a:round/>
            </a:ln>
            <a:effectLst/>
          </c:spPr>
          <c:marker>
            <c:symbol val="none"/>
          </c:marker>
          <c:cat>
            <c:strRef>
              <c:f>'Fig 2 and 3'!$C$12:$J$12</c:f>
              <c:strCache>
                <c:ptCount val="8"/>
                <c:pt idx="0">
                  <c:v>2009/10</c:v>
                </c:pt>
                <c:pt idx="1">
                  <c:v>2010/11</c:v>
                </c:pt>
                <c:pt idx="2">
                  <c:v>2011/12</c:v>
                </c:pt>
                <c:pt idx="3">
                  <c:v>2012/13</c:v>
                </c:pt>
                <c:pt idx="4">
                  <c:v>2013/14</c:v>
                </c:pt>
                <c:pt idx="5">
                  <c:v>2014/15</c:v>
                </c:pt>
                <c:pt idx="6">
                  <c:v>2015*</c:v>
                </c:pt>
                <c:pt idx="7">
                  <c:v>2016*</c:v>
                </c:pt>
              </c:strCache>
            </c:strRef>
          </c:cat>
          <c:val>
            <c:numRef>
              <c:f>'Fig 2 and 3'!$C$15:$J$15</c:f>
              <c:numCache>
                <c:formatCode>0.00%</c:formatCode>
                <c:ptCount val="8"/>
                <c:pt idx="0">
                  <c:v>1.8100000000000002E-2</c:v>
                </c:pt>
                <c:pt idx="1">
                  <c:v>1.9E-2</c:v>
                </c:pt>
                <c:pt idx="2">
                  <c:v>2.6499999999999999E-2</c:v>
                </c:pt>
                <c:pt idx="3">
                  <c:v>3.15E-2</c:v>
                </c:pt>
                <c:pt idx="4">
                  <c:v>3.4200000000000001E-2</c:v>
                </c:pt>
                <c:pt idx="5">
                  <c:v>3.4014869888475838E-2</c:v>
                </c:pt>
                <c:pt idx="6">
                  <c:v>3.1899999999999998E-2</c:v>
                </c:pt>
                <c:pt idx="7">
                  <c:v>3.1150608044901777E-2</c:v>
                </c:pt>
              </c:numCache>
            </c:numRef>
          </c:val>
          <c:smooth val="0"/>
        </c:ser>
        <c:ser>
          <c:idx val="2"/>
          <c:order val="2"/>
          <c:tx>
            <c:strRef>
              <c:f>'Fig 2 and 3'!$B$17</c:f>
              <c:strCache>
                <c:ptCount val="1"/>
                <c:pt idx="0">
                  <c:v>Hawke's Bay</c:v>
                </c:pt>
              </c:strCache>
            </c:strRef>
          </c:tx>
          <c:spPr>
            <a:ln w="34925" cap="rnd">
              <a:solidFill>
                <a:schemeClr val="bg1">
                  <a:lumMod val="75000"/>
                </a:schemeClr>
              </a:solidFill>
              <a:prstDash val="solid"/>
              <a:round/>
            </a:ln>
            <a:effectLst/>
          </c:spPr>
          <c:marker>
            <c:symbol val="none"/>
          </c:marker>
          <c:cat>
            <c:strRef>
              <c:f>'Fig 2 and 3'!$C$12:$J$12</c:f>
              <c:strCache>
                <c:ptCount val="8"/>
                <c:pt idx="0">
                  <c:v>2009/10</c:v>
                </c:pt>
                <c:pt idx="1">
                  <c:v>2010/11</c:v>
                </c:pt>
                <c:pt idx="2">
                  <c:v>2011/12</c:v>
                </c:pt>
                <c:pt idx="3">
                  <c:v>2012/13</c:v>
                </c:pt>
                <c:pt idx="4">
                  <c:v>2013/14</c:v>
                </c:pt>
                <c:pt idx="5">
                  <c:v>2014/15</c:v>
                </c:pt>
                <c:pt idx="6">
                  <c:v>2015*</c:v>
                </c:pt>
                <c:pt idx="7">
                  <c:v>2016*</c:v>
                </c:pt>
              </c:strCache>
            </c:strRef>
          </c:cat>
          <c:val>
            <c:numRef>
              <c:f>'Fig 2 and 3'!$C$17:$J$17</c:f>
              <c:numCache>
                <c:formatCode>0.00%</c:formatCode>
                <c:ptCount val="8"/>
                <c:pt idx="0">
                  <c:v>2.52E-2</c:v>
                </c:pt>
                <c:pt idx="1">
                  <c:v>1.9199999999999998E-2</c:v>
                </c:pt>
                <c:pt idx="2">
                  <c:v>1.83E-2</c:v>
                </c:pt>
                <c:pt idx="3">
                  <c:v>2.8400000000000002E-2</c:v>
                </c:pt>
                <c:pt idx="4">
                  <c:v>3.1099999999999999E-2</c:v>
                </c:pt>
                <c:pt idx="5">
                  <c:v>3.2377740303541312E-2</c:v>
                </c:pt>
                <c:pt idx="6">
                  <c:v>2.6800000000000001E-2</c:v>
                </c:pt>
                <c:pt idx="7">
                  <c:v>2.5285481239804241E-2</c:v>
                </c:pt>
              </c:numCache>
            </c:numRef>
          </c:val>
          <c:smooth val="0"/>
        </c:ser>
        <c:ser>
          <c:idx val="3"/>
          <c:order val="3"/>
          <c:tx>
            <c:strRef>
              <c:f>'Fig 2 and 3'!$B$18</c:f>
              <c:strCache>
                <c:ptCount val="1"/>
                <c:pt idx="0">
                  <c:v>Hutt Valley</c:v>
                </c:pt>
              </c:strCache>
            </c:strRef>
          </c:tx>
          <c:spPr>
            <a:ln w="34925" cap="rnd">
              <a:solidFill>
                <a:schemeClr val="tx1">
                  <a:lumMod val="50000"/>
                  <a:lumOff val="50000"/>
                </a:schemeClr>
              </a:solidFill>
              <a:prstDash val="sysDot"/>
              <a:round/>
            </a:ln>
            <a:effectLst/>
          </c:spPr>
          <c:marker>
            <c:symbol val="none"/>
          </c:marker>
          <c:cat>
            <c:strRef>
              <c:f>'Fig 2 and 3'!$C$12:$J$12</c:f>
              <c:strCache>
                <c:ptCount val="8"/>
                <c:pt idx="0">
                  <c:v>2009/10</c:v>
                </c:pt>
                <c:pt idx="1">
                  <c:v>2010/11</c:v>
                </c:pt>
                <c:pt idx="2">
                  <c:v>2011/12</c:v>
                </c:pt>
                <c:pt idx="3">
                  <c:v>2012/13</c:v>
                </c:pt>
                <c:pt idx="4">
                  <c:v>2013/14</c:v>
                </c:pt>
                <c:pt idx="5">
                  <c:v>2014/15</c:v>
                </c:pt>
                <c:pt idx="6">
                  <c:v>2015*</c:v>
                </c:pt>
                <c:pt idx="7">
                  <c:v>2016*</c:v>
                </c:pt>
              </c:strCache>
            </c:strRef>
          </c:cat>
          <c:val>
            <c:numRef>
              <c:f>'Fig 2 and 3'!$C$18:$J$18</c:f>
              <c:numCache>
                <c:formatCode>0.00%</c:formatCode>
                <c:ptCount val="8"/>
                <c:pt idx="0">
                  <c:v>2.1600000000000001E-2</c:v>
                </c:pt>
                <c:pt idx="1">
                  <c:v>2.24E-2</c:v>
                </c:pt>
                <c:pt idx="2">
                  <c:v>2.7E-2</c:v>
                </c:pt>
                <c:pt idx="3">
                  <c:v>2.8000000000000001E-2</c:v>
                </c:pt>
                <c:pt idx="4">
                  <c:v>2.8400000000000002E-2</c:v>
                </c:pt>
                <c:pt idx="5">
                  <c:v>3.3333333333333333E-2</c:v>
                </c:pt>
                <c:pt idx="6">
                  <c:v>3.3700000000000001E-2</c:v>
                </c:pt>
                <c:pt idx="7">
                  <c:v>3.7576821773485515E-2</c:v>
                </c:pt>
              </c:numCache>
            </c:numRef>
          </c:val>
          <c:smooth val="0"/>
        </c:ser>
        <c:ser>
          <c:idx val="4"/>
          <c:order val="4"/>
          <c:tx>
            <c:strRef>
              <c:f>'Fig 2 and 3'!$B$19</c:f>
              <c:strCache>
                <c:ptCount val="1"/>
                <c:pt idx="0">
                  <c:v>Waikato</c:v>
                </c:pt>
              </c:strCache>
            </c:strRef>
          </c:tx>
          <c:spPr>
            <a:ln w="34925" cap="rnd">
              <a:solidFill>
                <a:schemeClr val="bg1">
                  <a:lumMod val="75000"/>
                </a:schemeClr>
              </a:solidFill>
              <a:prstDash val="sysDot"/>
              <a:round/>
            </a:ln>
            <a:effectLst/>
          </c:spPr>
          <c:marker>
            <c:symbol val="none"/>
          </c:marker>
          <c:cat>
            <c:strRef>
              <c:f>'Fig 2 and 3'!$C$12:$J$12</c:f>
              <c:strCache>
                <c:ptCount val="8"/>
                <c:pt idx="0">
                  <c:v>2009/10</c:v>
                </c:pt>
                <c:pt idx="1">
                  <c:v>2010/11</c:v>
                </c:pt>
                <c:pt idx="2">
                  <c:v>2011/12</c:v>
                </c:pt>
                <c:pt idx="3">
                  <c:v>2012/13</c:v>
                </c:pt>
                <c:pt idx="4">
                  <c:v>2013/14</c:v>
                </c:pt>
                <c:pt idx="5">
                  <c:v>2014/15</c:v>
                </c:pt>
                <c:pt idx="6">
                  <c:v>2015*</c:v>
                </c:pt>
                <c:pt idx="7">
                  <c:v>2016*</c:v>
                </c:pt>
              </c:strCache>
            </c:strRef>
          </c:cat>
          <c:val>
            <c:numRef>
              <c:f>'Fig 2 and 3'!$C$19:$J$19</c:f>
              <c:numCache>
                <c:formatCode>0.00%</c:formatCode>
                <c:ptCount val="8"/>
                <c:pt idx="0">
                  <c:v>1.7899999999999999E-2</c:v>
                </c:pt>
                <c:pt idx="1">
                  <c:v>2.1000000000000001E-2</c:v>
                </c:pt>
                <c:pt idx="2">
                  <c:v>0.03</c:v>
                </c:pt>
                <c:pt idx="3">
                  <c:v>3.0700000000000002E-2</c:v>
                </c:pt>
                <c:pt idx="4">
                  <c:v>3.4299999999999997E-2</c:v>
                </c:pt>
                <c:pt idx="5">
                  <c:v>3.2912533814247066E-2</c:v>
                </c:pt>
                <c:pt idx="6">
                  <c:v>3.4799999999999998E-2</c:v>
                </c:pt>
                <c:pt idx="7">
                  <c:v>3.3644067796610166E-2</c:v>
                </c:pt>
              </c:numCache>
            </c:numRef>
          </c:val>
          <c:smooth val="0"/>
        </c:ser>
        <c:ser>
          <c:idx val="5"/>
          <c:order val="5"/>
          <c:tx>
            <c:strRef>
              <c:f>'Fig 2 and 3'!$B$21</c:f>
              <c:strCache>
                <c:ptCount val="1"/>
                <c:pt idx="0">
                  <c:v>Total New Zealand</c:v>
                </c:pt>
              </c:strCache>
            </c:strRef>
          </c:tx>
          <c:spPr>
            <a:ln w="34925" cap="rnd">
              <a:solidFill>
                <a:schemeClr val="tx1"/>
              </a:solidFill>
              <a:prstDash val="sysDot"/>
              <a:round/>
            </a:ln>
            <a:effectLst/>
          </c:spPr>
          <c:marker>
            <c:symbol val="none"/>
          </c:marker>
          <c:cat>
            <c:strRef>
              <c:f>'Fig 2 and 3'!$C$12:$J$12</c:f>
              <c:strCache>
                <c:ptCount val="8"/>
                <c:pt idx="0">
                  <c:v>2009/10</c:v>
                </c:pt>
                <c:pt idx="1">
                  <c:v>2010/11</c:v>
                </c:pt>
                <c:pt idx="2">
                  <c:v>2011/12</c:v>
                </c:pt>
                <c:pt idx="3">
                  <c:v>2012/13</c:v>
                </c:pt>
                <c:pt idx="4">
                  <c:v>2013/14</c:v>
                </c:pt>
                <c:pt idx="5">
                  <c:v>2014/15</c:v>
                </c:pt>
                <c:pt idx="6">
                  <c:v>2015*</c:v>
                </c:pt>
                <c:pt idx="7">
                  <c:v>2016*</c:v>
                </c:pt>
              </c:strCache>
            </c:strRef>
          </c:cat>
          <c:val>
            <c:numRef>
              <c:f>'Fig 2 and 3'!$C$21:$J$21</c:f>
              <c:numCache>
                <c:formatCode>0.00%</c:formatCode>
                <c:ptCount val="8"/>
                <c:pt idx="0">
                  <c:v>2.7900000000000001E-2</c:v>
                </c:pt>
                <c:pt idx="1">
                  <c:v>3.0200000000000001E-2</c:v>
                </c:pt>
                <c:pt idx="2">
                  <c:v>3.1399999999999997E-2</c:v>
                </c:pt>
                <c:pt idx="3">
                  <c:v>3.4000000000000002E-2</c:v>
                </c:pt>
                <c:pt idx="4">
                  <c:v>3.4700000000000002E-2</c:v>
                </c:pt>
                <c:pt idx="5">
                  <c:v>3.4599999999999999E-2</c:v>
                </c:pt>
                <c:pt idx="6">
                  <c:v>3.4847965507949337E-2</c:v>
                </c:pt>
                <c:pt idx="7">
                  <c:v>3.4805022950638899E-2</c:v>
                </c:pt>
              </c:numCache>
            </c:numRef>
          </c:val>
          <c:smooth val="0"/>
        </c:ser>
        <c:dLbls>
          <c:showLegendKey val="0"/>
          <c:showVal val="0"/>
          <c:showCatName val="0"/>
          <c:showSerName val="0"/>
          <c:showPercent val="0"/>
          <c:showBubbleSize val="0"/>
        </c:dLbls>
        <c:smooth val="0"/>
        <c:axId val="401538984"/>
        <c:axId val="401540160"/>
      </c:lineChart>
      <c:catAx>
        <c:axId val="40153898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Financial year or calendar year</a:t>
                </a:r>
              </a:p>
            </c:rich>
          </c:tx>
          <c:layout>
            <c:manualLayout>
              <c:xMode val="edge"/>
              <c:yMode val="edge"/>
              <c:x val="0.41029588469162875"/>
              <c:y val="0.95516324232425875"/>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01540160"/>
        <c:crosses val="autoZero"/>
        <c:auto val="1"/>
        <c:lblAlgn val="ctr"/>
        <c:lblOffset val="100"/>
        <c:noMultiLvlLbl val="0"/>
      </c:catAx>
      <c:valAx>
        <c:axId val="401540160"/>
        <c:scaling>
          <c:orientation val="minMax"/>
          <c:max val="4.5000000000000012E-2"/>
        </c:scaling>
        <c:delete val="0"/>
        <c:axPos val="l"/>
        <c:title>
          <c:tx>
            <c:rich>
              <a:bodyPr rot="0" spcFirstLastPara="1" vertOverflow="ellipsis"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Percentage</a:t>
                </a:r>
              </a:p>
            </c:rich>
          </c:tx>
          <c:layout>
            <c:manualLayout>
              <c:xMode val="edge"/>
              <c:yMode val="edge"/>
              <c:x val="1.7477069742528584E-3"/>
              <c:y val="7.1901184362997369E-4"/>
            </c:manualLayout>
          </c:layout>
          <c:overlay val="0"/>
          <c:spPr>
            <a:noFill/>
            <a:ln>
              <a:noFill/>
            </a:ln>
            <a:effectLst/>
          </c:spPr>
        </c:title>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01538984"/>
        <c:crosses val="autoZero"/>
        <c:crossBetween val="between"/>
      </c:valAx>
      <c:spPr>
        <a:noFill/>
        <a:ln>
          <a:noFill/>
        </a:ln>
        <a:effectLst/>
      </c:spPr>
    </c:plotArea>
    <c:legend>
      <c:legendPos val="r"/>
      <c:layout>
        <c:manualLayout>
          <c:xMode val="edge"/>
          <c:yMode val="edge"/>
          <c:x val="8.3913040779339143E-2"/>
          <c:y val="0.66526506886529657"/>
          <c:w val="0.91470354978225243"/>
          <c:h val="0.154811186887490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733066741594403E-2"/>
          <c:y val="0.10334998156222208"/>
          <c:w val="0.89330997126037659"/>
          <c:h val="0.75463894415333321"/>
        </c:manualLayout>
      </c:layout>
      <c:lineChart>
        <c:grouping val="standard"/>
        <c:varyColors val="0"/>
        <c:ser>
          <c:idx val="0"/>
          <c:order val="0"/>
          <c:tx>
            <c:strRef>
              <c:f>'C:\Users\jnaama\AppData\Local\Temp\notesC78466\[Access to MH, AOD for Pacific people.xlsx]Fig 4 and 5'!$B$4</c:f>
              <c:strCache>
                <c:ptCount val="1"/>
                <c:pt idx="0">
                  <c:v>Pacific</c:v>
                </c:pt>
              </c:strCache>
            </c:strRef>
          </c:tx>
          <c:spPr>
            <a:ln w="34925" cap="rnd">
              <a:solidFill>
                <a:sysClr val="windowText" lastClr="000000"/>
              </a:solidFill>
              <a:round/>
            </a:ln>
            <a:effectLst/>
          </c:spPr>
          <c:marker>
            <c:symbol val="none"/>
          </c:marker>
          <c:cat>
            <c:strRef>
              <c:f>'[2]Fig 4 and 5'!$C$3:$G$3</c:f>
              <c:strCache>
                <c:ptCount val="5"/>
                <c:pt idx="0">
                  <c:v>2012/2013</c:v>
                </c:pt>
                <c:pt idx="1">
                  <c:v>2013/2014</c:v>
                </c:pt>
                <c:pt idx="2">
                  <c:v>2014/15</c:v>
                </c:pt>
                <c:pt idx="3">
                  <c:v>2015*</c:v>
                </c:pt>
                <c:pt idx="4">
                  <c:v>2016*</c:v>
                </c:pt>
              </c:strCache>
            </c:strRef>
          </c:cat>
          <c:val>
            <c:numRef>
              <c:f>'[2]Fig 4 and 5'!$C$4:$G$4</c:f>
              <c:numCache>
                <c:formatCode>General</c:formatCode>
                <c:ptCount val="5"/>
                <c:pt idx="0">
                  <c:v>8.0999999999999996E-3</c:v>
                </c:pt>
                <c:pt idx="1">
                  <c:v>8.5000000000000006E-3</c:v>
                </c:pt>
                <c:pt idx="2">
                  <c:v>1.24E-2</c:v>
                </c:pt>
                <c:pt idx="3">
                  <c:v>1.15E-2</c:v>
                </c:pt>
                <c:pt idx="4">
                  <c:v>1.09E-2</c:v>
                </c:pt>
              </c:numCache>
            </c:numRef>
          </c:val>
          <c:smooth val="0"/>
        </c:ser>
        <c:ser>
          <c:idx val="1"/>
          <c:order val="1"/>
          <c:tx>
            <c:strRef>
              <c:f>'C:\Users\jnaama\AppData\Local\Temp\notesC78466\[Access to MH, AOD for Pacific people.xlsx]Fig 4 and 5'!$B$5</c:f>
              <c:strCache>
                <c:ptCount val="1"/>
                <c:pt idx="0">
                  <c:v>Total New Zealand</c:v>
                </c:pt>
              </c:strCache>
            </c:strRef>
          </c:tx>
          <c:spPr>
            <a:ln w="34925" cap="rnd">
              <a:solidFill>
                <a:sysClr val="windowText" lastClr="000000"/>
              </a:solidFill>
              <a:prstDash val="sysDot"/>
              <a:round/>
            </a:ln>
            <a:effectLst/>
          </c:spPr>
          <c:marker>
            <c:symbol val="none"/>
          </c:marker>
          <c:cat>
            <c:strRef>
              <c:f>'[2]Fig 4 and 5'!$C$3:$G$3</c:f>
              <c:strCache>
                <c:ptCount val="5"/>
                <c:pt idx="0">
                  <c:v>2012/2013</c:v>
                </c:pt>
                <c:pt idx="1">
                  <c:v>2013/2014</c:v>
                </c:pt>
                <c:pt idx="2">
                  <c:v>2014/15</c:v>
                </c:pt>
                <c:pt idx="3">
                  <c:v>2015*</c:v>
                </c:pt>
                <c:pt idx="4">
                  <c:v>2016*</c:v>
                </c:pt>
              </c:strCache>
            </c:strRef>
          </c:cat>
          <c:val>
            <c:numRef>
              <c:f>'[2]Fig 4 and 5'!$C$5:$G$5</c:f>
              <c:numCache>
                <c:formatCode>General</c:formatCode>
                <c:ptCount val="5"/>
                <c:pt idx="0">
                  <c:v>0.01</c:v>
                </c:pt>
                <c:pt idx="1">
                  <c:v>1.01E-2</c:v>
                </c:pt>
                <c:pt idx="2">
                  <c:v>1.03E-2</c:v>
                </c:pt>
                <c:pt idx="3">
                  <c:v>0.01</c:v>
                </c:pt>
                <c:pt idx="4">
                  <c:v>9.7000000000000003E-3</c:v>
                </c:pt>
              </c:numCache>
            </c:numRef>
          </c:val>
          <c:smooth val="0"/>
        </c:ser>
        <c:dLbls>
          <c:showLegendKey val="0"/>
          <c:showVal val="0"/>
          <c:showCatName val="0"/>
          <c:showSerName val="0"/>
          <c:showPercent val="0"/>
          <c:showBubbleSize val="0"/>
        </c:dLbls>
        <c:smooth val="0"/>
        <c:axId val="401541336"/>
        <c:axId val="401541728"/>
      </c:lineChart>
      <c:catAx>
        <c:axId val="401541336"/>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solidFill>
                      <a:sysClr val="windowText" lastClr="000000"/>
                    </a:solidFill>
                  </a:rPr>
                  <a:t>Financial year</a:t>
                </a:r>
                <a:r>
                  <a:rPr lang="en-NZ" sz="900" baseline="0">
                    <a:solidFill>
                      <a:sysClr val="windowText" lastClr="000000"/>
                    </a:solidFill>
                  </a:rPr>
                  <a:t> or c</a:t>
                </a:r>
                <a:r>
                  <a:rPr lang="en-NZ" sz="900">
                    <a:solidFill>
                      <a:sysClr val="windowText" lastClr="000000"/>
                    </a:solidFill>
                  </a:rPr>
                  <a:t>alendar year</a:t>
                </a:r>
              </a:p>
            </c:rich>
          </c:tx>
          <c:layout>
            <c:manualLayout>
              <c:xMode val="edge"/>
              <c:yMode val="edge"/>
              <c:x val="0.37710904522824545"/>
              <c:y val="0.93617038557859356"/>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1541728"/>
        <c:crosses val="autoZero"/>
        <c:auto val="1"/>
        <c:lblAlgn val="ctr"/>
        <c:lblOffset val="100"/>
        <c:noMultiLvlLbl val="0"/>
      </c:catAx>
      <c:valAx>
        <c:axId val="401541728"/>
        <c:scaling>
          <c:orientation val="minMax"/>
          <c:max val="2.0000000000000004E-2"/>
          <c:min val="0"/>
        </c:scaling>
        <c:delete val="0"/>
        <c:axPos val="l"/>
        <c:majorGridlines>
          <c:spPr>
            <a:ln w="9525" cap="flat" cmpd="sng" algn="ctr">
              <a:noFill/>
              <a:round/>
            </a:ln>
            <a:effectLst/>
          </c:spPr>
        </c:majorGridlines>
        <c:title>
          <c:tx>
            <c:rich>
              <a:bodyPr rot="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solidFill>
                      <a:sysClr val="windowText" lastClr="000000"/>
                    </a:solidFill>
                  </a:rPr>
                  <a:t>Percentage</a:t>
                </a:r>
              </a:p>
            </c:rich>
          </c:tx>
          <c:layout>
            <c:manualLayout>
              <c:xMode val="edge"/>
              <c:yMode val="edge"/>
              <c:x val="1.9089478458098339E-3"/>
              <c:y val="2.9441159712687158E-3"/>
            </c:manualLayout>
          </c:layout>
          <c:overlay val="0"/>
          <c:spPr>
            <a:noFill/>
            <a:ln>
              <a:noFill/>
            </a:ln>
            <a:effectLst/>
          </c:spPr>
        </c:title>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1541336"/>
        <c:crosses val="autoZero"/>
        <c:crossBetween val="between"/>
        <c:majorUnit val="2.0000000000000005E-3"/>
      </c:valAx>
      <c:spPr>
        <a:noFill/>
        <a:ln>
          <a:solidFill>
            <a:sysClr val="window" lastClr="FFFFFF"/>
          </a:solidFill>
        </a:ln>
        <a:effectLst/>
      </c:spPr>
    </c:plotArea>
    <c:legend>
      <c:legendPos val="b"/>
      <c:layout>
        <c:manualLayout>
          <c:xMode val="edge"/>
          <c:yMode val="edge"/>
          <c:x val="0.67719166293630539"/>
          <c:y val="0.69876051970372033"/>
          <c:w val="0.30908972418118125"/>
          <c:h val="0.1404133002677179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52230487763615E-2"/>
          <c:y val="0.12640325079846948"/>
          <c:w val="0.90788029681532445"/>
          <c:h val="0.70926329521309839"/>
        </c:manualLayout>
      </c:layout>
      <c:lineChart>
        <c:grouping val="standard"/>
        <c:varyColors val="0"/>
        <c:ser>
          <c:idx val="0"/>
          <c:order val="0"/>
          <c:tx>
            <c:strRef>
              <c:f>'Fig 1a, 1b, 1c, 1d'!$A$38</c:f>
              <c:strCache>
                <c:ptCount val="1"/>
                <c:pt idx="0">
                  <c:v>Auckland</c:v>
                </c:pt>
              </c:strCache>
            </c:strRef>
          </c:tx>
          <c:spPr>
            <a:ln w="34925" cap="rnd">
              <a:solidFill>
                <a:schemeClr val="tx1"/>
              </a:solidFill>
              <a:round/>
            </a:ln>
            <a:effectLst/>
          </c:spPr>
          <c:marker>
            <c:symbol val="none"/>
          </c:marker>
          <c:cat>
            <c:numRef>
              <c:f>'Fig 1a, 1b, 1c, 1d'!$B$37:$L$37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'Fig 1a, 1b, 1c, 1d'!$B$38:$L$38</c:f>
              <c:numCache>
                <c:formatCode>0</c:formatCode>
                <c:ptCount val="11"/>
                <c:pt idx="0">
                  <c:v>12500</c:v>
                </c:pt>
                <c:pt idx="1">
                  <c:v>10920.810313075506</c:v>
                </c:pt>
                <c:pt idx="2">
                  <c:v>13996.415770609319</c:v>
                </c:pt>
                <c:pt idx="3">
                  <c:v>12748.22695035461</c:v>
                </c:pt>
                <c:pt idx="4">
                  <c:v>12795.138888888889</c:v>
                </c:pt>
                <c:pt idx="5">
                  <c:v>13304.195804195804</c:v>
                </c:pt>
                <c:pt idx="6">
                  <c:v>12419.928825622776</c:v>
                </c:pt>
                <c:pt idx="7">
                  <c:v>13716.981132075472</c:v>
                </c:pt>
                <c:pt idx="8">
                  <c:v>15069.033530571993</c:v>
                </c:pt>
                <c:pt idx="9">
                  <c:v>15132.382892057027</c:v>
                </c:pt>
                <c:pt idx="10">
                  <c:v>13920.335429769391</c:v>
                </c:pt>
              </c:numCache>
            </c:numRef>
          </c:val>
          <c:smooth val="0"/>
        </c:ser>
        <c:ser>
          <c:idx val="1"/>
          <c:order val="1"/>
          <c:tx>
            <c:strRef>
              <c:f>'Fig 1a, 1b, 1c, 1d'!$A$41</c:f>
              <c:strCache>
                <c:ptCount val="1"/>
                <c:pt idx="0">
                  <c:v>Counties Manukau</c:v>
                </c:pt>
              </c:strCache>
            </c:strRef>
          </c:tx>
          <c:spPr>
            <a:ln w="34925" cap="rnd">
              <a:solidFill>
                <a:schemeClr val="bg1">
                  <a:lumMod val="50000"/>
                </a:schemeClr>
              </a:solidFill>
              <a:prstDash val="solid"/>
              <a:round/>
            </a:ln>
            <a:effectLst/>
          </c:spPr>
          <c:marker>
            <c:symbol val="none"/>
          </c:marker>
          <c:cat>
            <c:numRef>
              <c:f>'Fig 1a, 1b, 1c, 1d'!$B$37:$L$37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'Fig 1a, 1b, 1c, 1d'!$B$41:$L$41</c:f>
              <c:numCache>
                <c:formatCode>0</c:formatCode>
                <c:ptCount val="11"/>
                <c:pt idx="0">
                  <c:v>13769.30063578565</c:v>
                </c:pt>
                <c:pt idx="1">
                  <c:v>12502.218278615794</c:v>
                </c:pt>
                <c:pt idx="2">
                  <c:v>12924.528301886792</c:v>
                </c:pt>
                <c:pt idx="3">
                  <c:v>12252.100840336134</c:v>
                </c:pt>
                <c:pt idx="4">
                  <c:v>10089.358245329</c:v>
                </c:pt>
                <c:pt idx="5">
                  <c:v>11128.775834658187</c:v>
                </c:pt>
                <c:pt idx="6">
                  <c:v>11482.07171314741</c:v>
                </c:pt>
                <c:pt idx="7">
                  <c:v>11348.8759367194</c:v>
                </c:pt>
                <c:pt idx="8">
                  <c:v>12846.347607052896</c:v>
                </c:pt>
                <c:pt idx="9">
                  <c:v>12627.986348122868</c:v>
                </c:pt>
                <c:pt idx="10">
                  <c:v>11727.430555555555</c:v>
                </c:pt>
              </c:numCache>
            </c:numRef>
          </c:val>
          <c:smooth val="0"/>
        </c:ser>
        <c:ser>
          <c:idx val="2"/>
          <c:order val="2"/>
          <c:tx>
            <c:strRef>
              <c:f>'Fig 1a, 1b, 1c, 1d'!$A$45</c:f>
              <c:strCache>
                <c:ptCount val="1"/>
                <c:pt idx="0">
                  <c:v>Waitemata</c:v>
                </c:pt>
              </c:strCache>
            </c:strRef>
          </c:tx>
          <c:spPr>
            <a:ln w="34925" cap="rnd">
              <a:solidFill>
                <a:schemeClr val="bg1">
                  <a:lumMod val="75000"/>
                </a:schemeClr>
              </a:solidFill>
              <a:prstDash val="solid"/>
              <a:round/>
            </a:ln>
            <a:effectLst/>
          </c:spPr>
          <c:marker>
            <c:symbol val="none"/>
          </c:marker>
          <c:cat>
            <c:numRef>
              <c:f>'Fig 1a, 1b, 1c, 1d'!$B$37:$L$37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'Fig 1a, 1b, 1c, 1d'!$B$45:$L$45</c:f>
              <c:numCache>
                <c:formatCode>0</c:formatCode>
                <c:ptCount val="11"/>
                <c:pt idx="0">
                  <c:v>13871.794871794871</c:v>
                </c:pt>
                <c:pt idx="1">
                  <c:v>13375</c:v>
                </c:pt>
                <c:pt idx="2">
                  <c:v>13627.684964200478</c:v>
                </c:pt>
                <c:pt idx="3">
                  <c:v>12291.666666666666</c:v>
                </c:pt>
                <c:pt idx="4">
                  <c:v>12494.432071269488</c:v>
                </c:pt>
                <c:pt idx="5">
                  <c:v>13155.555555555555</c:v>
                </c:pt>
                <c:pt idx="6">
                  <c:v>11380.846325167038</c:v>
                </c:pt>
                <c:pt idx="7">
                  <c:v>11718.377088305489</c:v>
                </c:pt>
                <c:pt idx="8">
                  <c:v>11170.731707317073</c:v>
                </c:pt>
                <c:pt idx="9">
                  <c:v>10221.130221130221</c:v>
                </c:pt>
                <c:pt idx="10">
                  <c:v>11362.530413625303</c:v>
                </c:pt>
              </c:numCache>
            </c:numRef>
          </c:val>
          <c:smooth val="0"/>
        </c:ser>
        <c:ser>
          <c:idx val="3"/>
          <c:order val="3"/>
          <c:tx>
            <c:strRef>
              <c:f>'Fig 1a, 1b, 1c, 1d'!$A$46</c:f>
              <c:strCache>
                <c:ptCount val="1"/>
                <c:pt idx="0">
                  <c:v>Total New Zealand</c:v>
                </c:pt>
              </c:strCache>
            </c:strRef>
          </c:tx>
          <c:spPr>
            <a:ln w="34925" cap="rnd">
              <a:solidFill>
                <a:schemeClr val="tx1"/>
              </a:solidFill>
              <a:prstDash val="sysDot"/>
              <a:round/>
            </a:ln>
            <a:effectLst/>
          </c:spPr>
          <c:marker>
            <c:symbol val="none"/>
          </c:marker>
          <c:cat>
            <c:numRef>
              <c:f>'Fig 1a, 1b, 1c, 1d'!$B$37:$L$37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'Fig 1a, 1b, 1c, 1d'!$B$46:$L$46</c:f>
              <c:numCache>
                <c:formatCode>0</c:formatCode>
                <c:ptCount val="11"/>
                <c:pt idx="0">
                  <c:v>6525.5220417633409</c:v>
                </c:pt>
                <c:pt idx="1">
                  <c:v>6051.1523327712193</c:v>
                </c:pt>
                <c:pt idx="2">
                  <c:v>6170.6186971926954</c:v>
                </c:pt>
                <c:pt idx="3">
                  <c:v>6217.8800856531052</c:v>
                </c:pt>
                <c:pt idx="4">
                  <c:v>6518.1347150259071</c:v>
                </c:pt>
                <c:pt idx="5">
                  <c:v>6326.5306122448983</c:v>
                </c:pt>
                <c:pt idx="6">
                  <c:v>6145.3356801609252</c:v>
                </c:pt>
                <c:pt idx="7">
                  <c:v>5875.9768086715403</c:v>
                </c:pt>
                <c:pt idx="8">
                  <c:v>6008.1778686429852</c:v>
                </c:pt>
                <c:pt idx="9">
                  <c:v>5335.2243424445587</c:v>
                </c:pt>
                <c:pt idx="10">
                  <c:v>5722.3360655737706</c:v>
                </c:pt>
              </c:numCache>
            </c:numRef>
          </c:val>
          <c:smooth val="0"/>
        </c:ser>
        <c:dLbls>
          <c:showLegendKey val="0"/>
          <c:showVal val="0"/>
          <c:showCatName val="0"/>
          <c:showSerName val="0"/>
          <c:showPercent val="0"/>
          <c:showBubbleSize val="0"/>
        </c:dLbls>
        <c:smooth val="0"/>
        <c:axId val="402846952"/>
        <c:axId val="402844208"/>
      </c:lineChart>
      <c:catAx>
        <c:axId val="402846952"/>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Calendar year</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2844208"/>
        <c:crosses val="autoZero"/>
        <c:auto val="1"/>
        <c:lblAlgn val="ctr"/>
        <c:lblOffset val="100"/>
        <c:noMultiLvlLbl val="0"/>
      </c:catAx>
      <c:valAx>
        <c:axId val="402844208"/>
        <c:scaling>
          <c:orientation val="minMax"/>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2846952"/>
        <c:crosses val="autoZero"/>
        <c:crossBetween val="between"/>
      </c:valAx>
      <c:spPr>
        <a:noFill/>
        <a:ln>
          <a:noFill/>
        </a:ln>
        <a:effectLst/>
      </c:spPr>
    </c:plotArea>
    <c:legend>
      <c:legendPos val="r"/>
      <c:layout>
        <c:manualLayout>
          <c:xMode val="edge"/>
          <c:yMode val="edge"/>
          <c:x val="0.66317973482622683"/>
          <c:y val="0.59927391888513937"/>
          <c:w val="0.3238685787483721"/>
          <c:h val="0.2428614391951006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347787591703205E-2"/>
          <c:y val="0.1197222222222222"/>
          <c:w val="0.92424074952716218"/>
          <c:h val="0.72047348417113455"/>
        </c:manualLayout>
      </c:layout>
      <c:lineChart>
        <c:grouping val="standard"/>
        <c:varyColors val="0"/>
        <c:ser>
          <c:idx val="0"/>
          <c:order val="0"/>
          <c:tx>
            <c:strRef>
              <c:f>'Fig 4 and 5'!$B$36</c:f>
              <c:strCache>
                <c:ptCount val="1"/>
                <c:pt idx="0">
                  <c:v>Auckland</c:v>
                </c:pt>
              </c:strCache>
            </c:strRef>
          </c:tx>
          <c:spPr>
            <a:ln w="34925" cap="rnd">
              <a:solidFill>
                <a:schemeClr val="tx1"/>
              </a:solidFill>
              <a:round/>
            </a:ln>
            <a:effectLst/>
          </c:spPr>
          <c:marker>
            <c:symbol val="none"/>
          </c:marker>
          <c:cat>
            <c:strRef>
              <c:f>'Fig 4 and 5'!$C$35:$G$35</c:f>
              <c:strCache>
                <c:ptCount val="5"/>
                <c:pt idx="0">
                  <c:v>2012/2013</c:v>
                </c:pt>
                <c:pt idx="1">
                  <c:v>2013/2014</c:v>
                </c:pt>
                <c:pt idx="2">
                  <c:v>2014/15</c:v>
                </c:pt>
                <c:pt idx="3">
                  <c:v>2015*</c:v>
                </c:pt>
                <c:pt idx="4">
                  <c:v>2016*</c:v>
                </c:pt>
              </c:strCache>
            </c:strRef>
          </c:cat>
          <c:val>
            <c:numRef>
              <c:f>'Fig 4 and 5'!$C$36:$G$36</c:f>
              <c:numCache>
                <c:formatCode>0.00%</c:formatCode>
                <c:ptCount val="5"/>
                <c:pt idx="0">
                  <c:v>1.0200000000000001E-2</c:v>
                </c:pt>
                <c:pt idx="1">
                  <c:v>1.21E-2</c:v>
                </c:pt>
                <c:pt idx="2">
                  <c:v>1.8584405753217261E-2</c:v>
                </c:pt>
                <c:pt idx="3">
                  <c:v>1.6669760534620381E-2</c:v>
                </c:pt>
                <c:pt idx="4">
                  <c:v>1.3874538745387454E-2</c:v>
                </c:pt>
              </c:numCache>
            </c:numRef>
          </c:val>
          <c:smooth val="0"/>
        </c:ser>
        <c:ser>
          <c:idx val="1"/>
          <c:order val="1"/>
          <c:tx>
            <c:strRef>
              <c:f>'Fig 4 and 5'!$B$39</c:f>
              <c:strCache>
                <c:ptCount val="1"/>
                <c:pt idx="0">
                  <c:v>Counties Manukau</c:v>
                </c:pt>
              </c:strCache>
            </c:strRef>
          </c:tx>
          <c:spPr>
            <a:ln w="34925" cap="rnd">
              <a:solidFill>
                <a:schemeClr val="tx1">
                  <a:lumMod val="50000"/>
                  <a:lumOff val="50000"/>
                </a:schemeClr>
              </a:solidFill>
              <a:prstDash val="solid"/>
              <a:round/>
            </a:ln>
            <a:effectLst/>
          </c:spPr>
          <c:marker>
            <c:symbol val="none"/>
          </c:marker>
          <c:cat>
            <c:strRef>
              <c:f>'Fig 4 and 5'!$C$35:$G$35</c:f>
              <c:strCache>
                <c:ptCount val="5"/>
                <c:pt idx="0">
                  <c:v>2012/2013</c:v>
                </c:pt>
                <c:pt idx="1">
                  <c:v>2013/2014</c:v>
                </c:pt>
                <c:pt idx="2">
                  <c:v>2014/15</c:v>
                </c:pt>
                <c:pt idx="3">
                  <c:v>2015*</c:v>
                </c:pt>
                <c:pt idx="4">
                  <c:v>2016*</c:v>
                </c:pt>
              </c:strCache>
            </c:strRef>
          </c:cat>
          <c:val>
            <c:numRef>
              <c:f>'Fig 4 and 5'!$C$39:$G$39</c:f>
              <c:numCache>
                <c:formatCode>0.00%</c:formatCode>
                <c:ptCount val="5"/>
                <c:pt idx="0">
                  <c:v>8.0000000000000002E-3</c:v>
                </c:pt>
                <c:pt idx="1">
                  <c:v>8.3999999999999995E-3</c:v>
                </c:pt>
                <c:pt idx="2">
                  <c:v>1.5171361923560021E-2</c:v>
                </c:pt>
                <c:pt idx="3">
                  <c:v>1.4341881869359306E-2</c:v>
                </c:pt>
                <c:pt idx="4">
                  <c:v>1.3031285601612479E-2</c:v>
                </c:pt>
              </c:numCache>
            </c:numRef>
          </c:val>
          <c:smooth val="0"/>
        </c:ser>
        <c:ser>
          <c:idx val="2"/>
          <c:order val="2"/>
          <c:tx>
            <c:strRef>
              <c:f>'Fig 4 and 5'!$B$43</c:f>
              <c:strCache>
                <c:ptCount val="1"/>
                <c:pt idx="0">
                  <c:v>Waitemata</c:v>
                </c:pt>
              </c:strCache>
            </c:strRef>
          </c:tx>
          <c:spPr>
            <a:ln w="34925" cap="rnd">
              <a:solidFill>
                <a:schemeClr val="bg1">
                  <a:lumMod val="75000"/>
                </a:schemeClr>
              </a:solidFill>
              <a:prstDash val="solid"/>
              <a:round/>
            </a:ln>
            <a:effectLst/>
          </c:spPr>
          <c:marker>
            <c:symbol val="none"/>
          </c:marker>
          <c:cat>
            <c:strRef>
              <c:f>'Fig 4 and 5'!$C$35:$G$35</c:f>
              <c:strCache>
                <c:ptCount val="5"/>
                <c:pt idx="0">
                  <c:v>2012/2013</c:v>
                </c:pt>
                <c:pt idx="1">
                  <c:v>2013/2014</c:v>
                </c:pt>
                <c:pt idx="2">
                  <c:v>2014/15</c:v>
                </c:pt>
                <c:pt idx="3">
                  <c:v>2015*</c:v>
                </c:pt>
                <c:pt idx="4">
                  <c:v>2016*</c:v>
                </c:pt>
              </c:strCache>
            </c:strRef>
          </c:cat>
          <c:val>
            <c:numRef>
              <c:f>'Fig 4 and 5'!$C$43:$G$43</c:f>
              <c:numCache>
                <c:formatCode>0.00%</c:formatCode>
                <c:ptCount val="5"/>
                <c:pt idx="0">
                  <c:v>8.6E-3</c:v>
                </c:pt>
                <c:pt idx="1">
                  <c:v>9.1999999999999998E-3</c:v>
                </c:pt>
                <c:pt idx="2">
                  <c:v>1.3294088790777533E-2</c:v>
                </c:pt>
                <c:pt idx="3">
                  <c:v>1.29374849143133E-2</c:v>
                </c:pt>
                <c:pt idx="4">
                  <c:v>1.136578449905482E-2</c:v>
                </c:pt>
              </c:numCache>
            </c:numRef>
          </c:val>
          <c:smooth val="0"/>
        </c:ser>
        <c:ser>
          <c:idx val="3"/>
          <c:order val="3"/>
          <c:tx>
            <c:strRef>
              <c:f>'Fig 4 and 5'!$B$44</c:f>
              <c:strCache>
                <c:ptCount val="1"/>
                <c:pt idx="0">
                  <c:v>Total New Zealand</c:v>
                </c:pt>
              </c:strCache>
            </c:strRef>
          </c:tx>
          <c:spPr>
            <a:ln w="34925" cap="rnd">
              <a:solidFill>
                <a:schemeClr val="tx1"/>
              </a:solidFill>
              <a:prstDash val="sysDot"/>
              <a:round/>
            </a:ln>
            <a:effectLst/>
          </c:spPr>
          <c:marker>
            <c:symbol val="none"/>
          </c:marker>
          <c:cat>
            <c:strRef>
              <c:f>'Fig 4 and 5'!$C$35:$G$35</c:f>
              <c:strCache>
                <c:ptCount val="5"/>
                <c:pt idx="0">
                  <c:v>2012/2013</c:v>
                </c:pt>
                <c:pt idx="1">
                  <c:v>2013/2014</c:v>
                </c:pt>
                <c:pt idx="2">
                  <c:v>2014/15</c:v>
                </c:pt>
                <c:pt idx="3">
                  <c:v>2015*</c:v>
                </c:pt>
                <c:pt idx="4">
                  <c:v>2016*</c:v>
                </c:pt>
              </c:strCache>
            </c:strRef>
          </c:cat>
          <c:val>
            <c:numRef>
              <c:f>'Fig 4 and 5'!$C$44:$G$44</c:f>
              <c:numCache>
                <c:formatCode>0.00%</c:formatCode>
                <c:ptCount val="5"/>
                <c:pt idx="0">
                  <c:v>0.01</c:v>
                </c:pt>
                <c:pt idx="1">
                  <c:v>1.01E-2</c:v>
                </c:pt>
                <c:pt idx="2">
                  <c:v>1.03E-2</c:v>
                </c:pt>
                <c:pt idx="3">
                  <c:v>0.01</c:v>
                </c:pt>
                <c:pt idx="4">
                  <c:v>9.7000000000000003E-3</c:v>
                </c:pt>
              </c:numCache>
            </c:numRef>
          </c:val>
          <c:smooth val="0"/>
        </c:ser>
        <c:dLbls>
          <c:showLegendKey val="0"/>
          <c:showVal val="0"/>
          <c:showCatName val="0"/>
          <c:showSerName val="0"/>
          <c:showPercent val="0"/>
          <c:showBubbleSize val="0"/>
        </c:dLbls>
        <c:smooth val="0"/>
        <c:axId val="398515728"/>
        <c:axId val="398513376"/>
      </c:lineChart>
      <c:catAx>
        <c:axId val="39851572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sz="900"/>
                  <a:t>Financial year or calendar year</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98513376"/>
        <c:crosses val="autoZero"/>
        <c:auto val="1"/>
        <c:lblAlgn val="ctr"/>
        <c:lblOffset val="100"/>
        <c:noMultiLvlLbl val="0"/>
      </c:catAx>
      <c:valAx>
        <c:axId val="398513376"/>
        <c:scaling>
          <c:orientation val="minMax"/>
        </c:scaling>
        <c:delete val="0"/>
        <c:axPos val="l"/>
        <c:title>
          <c:tx>
            <c:rich>
              <a:bodyPr rot="0" spcFirstLastPara="1" vertOverflow="ellipsis"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sz="900"/>
                  <a:t>Percentage</a:t>
                </a:r>
              </a:p>
            </c:rich>
          </c:tx>
          <c:layout>
            <c:manualLayout>
              <c:xMode val="edge"/>
              <c:yMode val="edge"/>
              <c:x val="1.9294599691542811E-4"/>
              <c:y val="6.1301062199439781E-4"/>
            </c:manualLayout>
          </c:layout>
          <c:overlay val="0"/>
          <c:spPr>
            <a:noFill/>
            <a:ln>
              <a:noFill/>
            </a:ln>
            <a:effectLst/>
          </c:spPr>
        </c:title>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98515728"/>
        <c:crosses val="autoZero"/>
        <c:crossBetween val="between"/>
      </c:valAx>
      <c:spPr>
        <a:noFill/>
        <a:ln>
          <a:noFill/>
        </a:ln>
        <a:effectLst/>
      </c:spPr>
    </c:plotArea>
    <c:legend>
      <c:legendPos val="r"/>
      <c:layout>
        <c:manualLayout>
          <c:xMode val="edge"/>
          <c:yMode val="edge"/>
          <c:x val="0.6591184825171269"/>
          <c:y val="0.57644055463640098"/>
          <c:w val="0.33994242816233788"/>
          <c:h val="0.254076642587978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347787591703205E-2"/>
          <c:y val="0.10038327682652269"/>
          <c:w val="0.92724985206233113"/>
          <c:h val="0.75401848946831351"/>
        </c:manualLayout>
      </c:layout>
      <c:lineChart>
        <c:grouping val="standard"/>
        <c:varyColors val="0"/>
        <c:ser>
          <c:idx val="0"/>
          <c:order val="0"/>
          <c:tx>
            <c:strRef>
              <c:f>'Fig 4 and 5'!$B$37</c:f>
              <c:strCache>
                <c:ptCount val="1"/>
                <c:pt idx="0">
                  <c:v>Canterbury</c:v>
                </c:pt>
              </c:strCache>
            </c:strRef>
          </c:tx>
          <c:spPr>
            <a:ln w="31750" cap="rnd">
              <a:solidFill>
                <a:schemeClr val="tx1"/>
              </a:solidFill>
              <a:round/>
            </a:ln>
            <a:effectLst/>
          </c:spPr>
          <c:marker>
            <c:symbol val="none"/>
          </c:marker>
          <c:cat>
            <c:strRef>
              <c:f>'Fig 4 and 5'!$C$35:$G$35</c:f>
              <c:strCache>
                <c:ptCount val="5"/>
                <c:pt idx="0">
                  <c:v>2012/2013</c:v>
                </c:pt>
                <c:pt idx="1">
                  <c:v>2013/2014</c:v>
                </c:pt>
                <c:pt idx="2">
                  <c:v>2014/15</c:v>
                </c:pt>
                <c:pt idx="3">
                  <c:v>2015*</c:v>
                </c:pt>
                <c:pt idx="4">
                  <c:v>2016*</c:v>
                </c:pt>
              </c:strCache>
            </c:strRef>
          </c:cat>
          <c:val>
            <c:numRef>
              <c:f>'Fig 4 and 5'!$C$37:$G$37</c:f>
              <c:numCache>
                <c:formatCode>0.00%</c:formatCode>
                <c:ptCount val="5"/>
                <c:pt idx="0">
                  <c:v>7.6E-3</c:v>
                </c:pt>
                <c:pt idx="1">
                  <c:v>6.3E-3</c:v>
                </c:pt>
                <c:pt idx="2">
                  <c:v>8.4609186140209517E-3</c:v>
                </c:pt>
                <c:pt idx="3">
                  <c:v>8.1332300542215335E-3</c:v>
                </c:pt>
                <c:pt idx="4">
                  <c:v>1.0411985018726592E-2</c:v>
                </c:pt>
              </c:numCache>
            </c:numRef>
          </c:val>
          <c:smooth val="0"/>
        </c:ser>
        <c:ser>
          <c:idx val="1"/>
          <c:order val="1"/>
          <c:tx>
            <c:strRef>
              <c:f>'Fig 4 and 5'!$B$38</c:f>
              <c:strCache>
                <c:ptCount val="1"/>
                <c:pt idx="0">
                  <c:v>Capital &amp; Coast</c:v>
                </c:pt>
              </c:strCache>
            </c:strRef>
          </c:tx>
          <c:spPr>
            <a:ln w="34925" cap="rnd">
              <a:solidFill>
                <a:schemeClr val="tx1">
                  <a:lumMod val="50000"/>
                  <a:lumOff val="50000"/>
                </a:schemeClr>
              </a:solidFill>
              <a:prstDash val="solid"/>
              <a:round/>
            </a:ln>
            <a:effectLst/>
          </c:spPr>
          <c:marker>
            <c:symbol val="none"/>
          </c:marker>
          <c:cat>
            <c:strRef>
              <c:f>'Fig 4 and 5'!$C$35:$G$35</c:f>
              <c:strCache>
                <c:ptCount val="5"/>
                <c:pt idx="0">
                  <c:v>2012/2013</c:v>
                </c:pt>
                <c:pt idx="1">
                  <c:v>2013/2014</c:v>
                </c:pt>
                <c:pt idx="2">
                  <c:v>2014/15</c:v>
                </c:pt>
                <c:pt idx="3">
                  <c:v>2015*</c:v>
                </c:pt>
                <c:pt idx="4">
                  <c:v>2016*</c:v>
                </c:pt>
              </c:strCache>
            </c:strRef>
          </c:cat>
          <c:val>
            <c:numRef>
              <c:f>'Fig 4 and 5'!$C$38:$G$38</c:f>
              <c:numCache>
                <c:formatCode>0.00%</c:formatCode>
                <c:ptCount val="5"/>
                <c:pt idx="0">
                  <c:v>5.7000000000000002E-3</c:v>
                </c:pt>
                <c:pt idx="1">
                  <c:v>6.3E-3</c:v>
                </c:pt>
                <c:pt idx="2">
                  <c:v>5.4368029739776955E-3</c:v>
                </c:pt>
                <c:pt idx="3">
                  <c:v>3.4563288183092015E-3</c:v>
                </c:pt>
                <c:pt idx="4">
                  <c:v>5.9869036482694104E-3</c:v>
                </c:pt>
              </c:numCache>
            </c:numRef>
          </c:val>
          <c:smooth val="0"/>
        </c:ser>
        <c:ser>
          <c:idx val="2"/>
          <c:order val="2"/>
          <c:tx>
            <c:strRef>
              <c:f>'Fig 4 and 5'!$B$40</c:f>
              <c:strCache>
                <c:ptCount val="1"/>
                <c:pt idx="0">
                  <c:v>Hawke's Bay</c:v>
                </c:pt>
              </c:strCache>
            </c:strRef>
          </c:tx>
          <c:spPr>
            <a:ln w="34925" cap="rnd">
              <a:solidFill>
                <a:schemeClr val="bg1">
                  <a:lumMod val="75000"/>
                </a:schemeClr>
              </a:solidFill>
              <a:round/>
            </a:ln>
            <a:effectLst/>
          </c:spPr>
          <c:marker>
            <c:symbol val="none"/>
          </c:marker>
          <c:cat>
            <c:strRef>
              <c:f>'Fig 4 and 5'!$C$35:$G$35</c:f>
              <c:strCache>
                <c:ptCount val="5"/>
                <c:pt idx="0">
                  <c:v>2012/2013</c:v>
                </c:pt>
                <c:pt idx="1">
                  <c:v>2013/2014</c:v>
                </c:pt>
                <c:pt idx="2">
                  <c:v>2014/15</c:v>
                </c:pt>
                <c:pt idx="3">
                  <c:v>2015*</c:v>
                </c:pt>
                <c:pt idx="4">
                  <c:v>2016*</c:v>
                </c:pt>
              </c:strCache>
            </c:strRef>
          </c:cat>
          <c:val>
            <c:numRef>
              <c:f>'Fig 4 and 5'!$C$40:$G$40</c:f>
              <c:numCache>
                <c:formatCode>0.00%</c:formatCode>
                <c:ptCount val="5"/>
                <c:pt idx="0">
                  <c:v>8.8000000000000005E-3</c:v>
                </c:pt>
                <c:pt idx="1">
                  <c:v>7.0000000000000001E-3</c:v>
                </c:pt>
                <c:pt idx="2">
                  <c:v>5.0590219224283303E-3</c:v>
                </c:pt>
                <c:pt idx="3">
                  <c:v>3.6605657237936771E-3</c:v>
                </c:pt>
                <c:pt idx="4">
                  <c:v>4.7308319738988578E-3</c:v>
                </c:pt>
              </c:numCache>
            </c:numRef>
          </c:val>
          <c:smooth val="0"/>
        </c:ser>
        <c:ser>
          <c:idx val="3"/>
          <c:order val="3"/>
          <c:tx>
            <c:strRef>
              <c:f>'Fig 4 and 5'!$B$41</c:f>
              <c:strCache>
                <c:ptCount val="1"/>
                <c:pt idx="0">
                  <c:v>Hutt Valley</c:v>
                </c:pt>
              </c:strCache>
            </c:strRef>
          </c:tx>
          <c:spPr>
            <a:ln w="34925" cap="rnd">
              <a:solidFill>
                <a:schemeClr val="tx1">
                  <a:lumMod val="50000"/>
                  <a:lumOff val="50000"/>
                </a:schemeClr>
              </a:solidFill>
              <a:prstDash val="sysDot"/>
              <a:round/>
            </a:ln>
            <a:effectLst/>
          </c:spPr>
          <c:marker>
            <c:symbol val="none"/>
          </c:marker>
          <c:cat>
            <c:strRef>
              <c:f>'Fig 4 and 5'!$C$35:$G$35</c:f>
              <c:strCache>
                <c:ptCount val="5"/>
                <c:pt idx="0">
                  <c:v>2012/2013</c:v>
                </c:pt>
                <c:pt idx="1">
                  <c:v>2013/2014</c:v>
                </c:pt>
                <c:pt idx="2">
                  <c:v>2014/15</c:v>
                </c:pt>
                <c:pt idx="3">
                  <c:v>2015*</c:v>
                </c:pt>
                <c:pt idx="4">
                  <c:v>2016*</c:v>
                </c:pt>
              </c:strCache>
            </c:strRef>
          </c:cat>
          <c:val>
            <c:numRef>
              <c:f>'Fig 4 and 5'!$C$41:$G$41</c:f>
              <c:numCache>
                <c:formatCode>0.00%</c:formatCode>
                <c:ptCount val="5"/>
                <c:pt idx="0">
                  <c:v>4.5999999999999999E-3</c:v>
                </c:pt>
                <c:pt idx="1">
                  <c:v>4.8999999999999998E-3</c:v>
                </c:pt>
                <c:pt idx="2">
                  <c:v>5.0044682752457548E-3</c:v>
                </c:pt>
                <c:pt idx="3">
                  <c:v>4.3401240035429584E-3</c:v>
                </c:pt>
                <c:pt idx="4">
                  <c:v>4.6532045654082525E-3</c:v>
                </c:pt>
              </c:numCache>
            </c:numRef>
          </c:val>
          <c:smooth val="0"/>
        </c:ser>
        <c:ser>
          <c:idx val="4"/>
          <c:order val="4"/>
          <c:tx>
            <c:strRef>
              <c:f>'Fig 4 and 5'!$B$42</c:f>
              <c:strCache>
                <c:ptCount val="1"/>
                <c:pt idx="0">
                  <c:v>Waikato</c:v>
                </c:pt>
              </c:strCache>
            </c:strRef>
          </c:tx>
          <c:spPr>
            <a:ln w="34925" cap="rnd">
              <a:solidFill>
                <a:schemeClr val="bg1">
                  <a:lumMod val="75000"/>
                </a:schemeClr>
              </a:solidFill>
              <a:prstDash val="sysDot"/>
              <a:round/>
            </a:ln>
            <a:effectLst/>
          </c:spPr>
          <c:marker>
            <c:symbol val="none"/>
          </c:marker>
          <c:cat>
            <c:strRef>
              <c:f>'Fig 4 and 5'!$C$35:$G$35</c:f>
              <c:strCache>
                <c:ptCount val="5"/>
                <c:pt idx="0">
                  <c:v>2012/2013</c:v>
                </c:pt>
                <c:pt idx="1">
                  <c:v>2013/2014</c:v>
                </c:pt>
                <c:pt idx="2">
                  <c:v>2014/15</c:v>
                </c:pt>
                <c:pt idx="3">
                  <c:v>2015*</c:v>
                </c:pt>
                <c:pt idx="4">
                  <c:v>2016*</c:v>
                </c:pt>
              </c:strCache>
            </c:strRef>
          </c:cat>
          <c:val>
            <c:numRef>
              <c:f>'Fig 4 and 5'!$C$42:$G$42</c:f>
              <c:numCache>
                <c:formatCode>0.00%</c:formatCode>
                <c:ptCount val="5"/>
                <c:pt idx="0">
                  <c:v>9.7999999999999997E-3</c:v>
                </c:pt>
                <c:pt idx="1">
                  <c:v>1.06E-2</c:v>
                </c:pt>
                <c:pt idx="2">
                  <c:v>1.2623985572587917E-2</c:v>
                </c:pt>
                <c:pt idx="3">
                  <c:v>1.3572679509632224E-2</c:v>
                </c:pt>
                <c:pt idx="4">
                  <c:v>1.0423728813559323E-2</c:v>
                </c:pt>
              </c:numCache>
            </c:numRef>
          </c:val>
          <c:smooth val="0"/>
        </c:ser>
        <c:ser>
          <c:idx val="5"/>
          <c:order val="5"/>
          <c:tx>
            <c:strRef>
              <c:f>'Fig 4 and 5'!$B$44</c:f>
              <c:strCache>
                <c:ptCount val="1"/>
                <c:pt idx="0">
                  <c:v>Total New Zealand</c:v>
                </c:pt>
              </c:strCache>
            </c:strRef>
          </c:tx>
          <c:spPr>
            <a:ln w="34925" cap="rnd">
              <a:solidFill>
                <a:schemeClr val="tx1"/>
              </a:solidFill>
              <a:prstDash val="sysDot"/>
              <a:round/>
            </a:ln>
            <a:effectLst/>
          </c:spPr>
          <c:marker>
            <c:symbol val="none"/>
          </c:marker>
          <c:cat>
            <c:strRef>
              <c:f>'Fig 4 and 5'!$C$35:$G$35</c:f>
              <c:strCache>
                <c:ptCount val="5"/>
                <c:pt idx="0">
                  <c:v>2012/2013</c:v>
                </c:pt>
                <c:pt idx="1">
                  <c:v>2013/2014</c:v>
                </c:pt>
                <c:pt idx="2">
                  <c:v>2014/15</c:v>
                </c:pt>
                <c:pt idx="3">
                  <c:v>2015*</c:v>
                </c:pt>
                <c:pt idx="4">
                  <c:v>2016*</c:v>
                </c:pt>
              </c:strCache>
            </c:strRef>
          </c:cat>
          <c:val>
            <c:numRef>
              <c:f>'Fig 4 and 5'!$C$44:$G$44</c:f>
              <c:numCache>
                <c:formatCode>0.00%</c:formatCode>
                <c:ptCount val="5"/>
                <c:pt idx="0">
                  <c:v>0.01</c:v>
                </c:pt>
                <c:pt idx="1">
                  <c:v>1.01E-2</c:v>
                </c:pt>
                <c:pt idx="2">
                  <c:v>1.03E-2</c:v>
                </c:pt>
                <c:pt idx="3">
                  <c:v>0.01</c:v>
                </c:pt>
                <c:pt idx="4">
                  <c:v>9.7000000000000003E-3</c:v>
                </c:pt>
              </c:numCache>
            </c:numRef>
          </c:val>
          <c:smooth val="0"/>
        </c:ser>
        <c:dLbls>
          <c:showLegendKey val="0"/>
          <c:showVal val="0"/>
          <c:showCatName val="0"/>
          <c:showSerName val="0"/>
          <c:showPercent val="0"/>
          <c:showBubbleSize val="0"/>
        </c:dLbls>
        <c:smooth val="0"/>
        <c:axId val="398512200"/>
        <c:axId val="398512592"/>
      </c:lineChart>
      <c:catAx>
        <c:axId val="39851220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sz="900"/>
                  <a:t>Financial year or calendar year</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98512592"/>
        <c:crosses val="autoZero"/>
        <c:auto val="1"/>
        <c:lblAlgn val="ctr"/>
        <c:lblOffset val="100"/>
        <c:noMultiLvlLbl val="0"/>
      </c:catAx>
      <c:valAx>
        <c:axId val="398512592"/>
        <c:scaling>
          <c:orientation val="minMax"/>
          <c:max val="2.0000000000000004E-2"/>
        </c:scaling>
        <c:delete val="0"/>
        <c:axPos val="l"/>
        <c:title>
          <c:tx>
            <c:rich>
              <a:bodyPr rot="0" spcFirstLastPara="1" vertOverflow="ellipsis"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sz="900"/>
                  <a:t>Percentage</a:t>
                </a:r>
              </a:p>
            </c:rich>
          </c:tx>
          <c:layout>
            <c:manualLayout>
              <c:xMode val="edge"/>
              <c:yMode val="edge"/>
              <c:x val="1.9294599691542811E-4"/>
              <c:y val="4.528205880070032E-3"/>
            </c:manualLayout>
          </c:layout>
          <c:overlay val="0"/>
          <c:spPr>
            <a:noFill/>
            <a:ln>
              <a:noFill/>
            </a:ln>
            <a:effectLst/>
          </c:spPr>
        </c:title>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98512200"/>
        <c:crosses val="autoZero"/>
        <c:crossBetween val="between"/>
        <c:majorUnit val="2.0000000000000005E-3"/>
      </c:valAx>
      <c:spPr>
        <a:noFill/>
        <a:ln>
          <a:noFill/>
        </a:ln>
        <a:effectLst/>
      </c:spPr>
    </c:plotArea>
    <c:legend>
      <c:legendPos val="r"/>
      <c:layout>
        <c:manualLayout>
          <c:xMode val="edge"/>
          <c:yMode val="edge"/>
          <c:x val="0.31670258496354536"/>
          <c:y val="7.7118902206856632E-2"/>
          <c:w val="0.68111112108248051"/>
          <c:h val="0.183494351729961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818444372633019E-2"/>
          <c:y val="0.11664585205379309"/>
          <c:w val="0.89745880618790841"/>
          <c:h val="0.67013029432523397"/>
        </c:manualLayout>
      </c:layout>
      <c:lineChart>
        <c:grouping val="standard"/>
        <c:varyColors val="0"/>
        <c:ser>
          <c:idx val="0"/>
          <c:order val="0"/>
          <c:tx>
            <c:strRef>
              <c:f>'Fig 22 and 23'!$A$5</c:f>
              <c:strCache>
                <c:ptCount val="1"/>
                <c:pt idx="0">
                  <c:v>Pacific</c:v>
                </c:pt>
              </c:strCache>
            </c:strRef>
          </c:tx>
          <c:spPr>
            <a:ln w="34925" cap="rnd">
              <a:solidFill>
                <a:schemeClr val="tx1"/>
              </a:solidFill>
              <a:round/>
            </a:ln>
            <a:effectLst/>
          </c:spPr>
          <c:marker>
            <c:symbol val="none"/>
          </c:marker>
          <c:cat>
            <c:numRef>
              <c:f>'Fig 22 and 23'!$K$4:$Q$4</c:f>
              <c:numCache>
                <c:formatCode>mmm\-yy</c:formatCode>
                <c:ptCount val="7"/>
                <c:pt idx="0">
                  <c:v>42248</c:v>
                </c:pt>
                <c:pt idx="1">
                  <c:v>42339</c:v>
                </c:pt>
                <c:pt idx="2">
                  <c:v>42430</c:v>
                </c:pt>
                <c:pt idx="3">
                  <c:v>42522</c:v>
                </c:pt>
                <c:pt idx="4">
                  <c:v>42614</c:v>
                </c:pt>
                <c:pt idx="5">
                  <c:v>42705</c:v>
                </c:pt>
                <c:pt idx="6">
                  <c:v>42795</c:v>
                </c:pt>
              </c:numCache>
            </c:numRef>
          </c:cat>
          <c:val>
            <c:numRef>
              <c:f>'Fig 22 and 23'!$K$5:$Q$5</c:f>
              <c:numCache>
                <c:formatCode>0.00%</c:formatCode>
                <c:ptCount val="7"/>
                <c:pt idx="0">
                  <c:v>0.82399999999999995</c:v>
                </c:pt>
                <c:pt idx="1">
                  <c:v>0.84199999999999997</c:v>
                </c:pt>
                <c:pt idx="2">
                  <c:v>0.85699999999999998</c:v>
                </c:pt>
                <c:pt idx="3">
                  <c:v>0.89</c:v>
                </c:pt>
                <c:pt idx="4">
                  <c:v>0.86499999999999999</c:v>
                </c:pt>
                <c:pt idx="5">
                  <c:v>0.871</c:v>
                </c:pt>
                <c:pt idx="6">
                  <c:v>0.87400000000000011</c:v>
                </c:pt>
              </c:numCache>
            </c:numRef>
          </c:val>
          <c:smooth val="0"/>
        </c:ser>
        <c:ser>
          <c:idx val="1"/>
          <c:order val="1"/>
          <c:tx>
            <c:strRef>
              <c:f>'Fig 22 and 23'!$A$6</c:f>
              <c:strCache>
                <c:ptCount val="1"/>
                <c:pt idx="0">
                  <c:v>Total New Zealand</c:v>
                </c:pt>
              </c:strCache>
            </c:strRef>
          </c:tx>
          <c:spPr>
            <a:ln w="34925" cap="rnd">
              <a:solidFill>
                <a:schemeClr val="tx1"/>
              </a:solidFill>
              <a:prstDash val="sysDot"/>
              <a:round/>
            </a:ln>
            <a:effectLst/>
          </c:spPr>
          <c:marker>
            <c:symbol val="none"/>
          </c:marker>
          <c:cat>
            <c:numRef>
              <c:f>'Fig 22 and 23'!$K$4:$Q$4</c:f>
              <c:numCache>
                <c:formatCode>mmm\-yy</c:formatCode>
                <c:ptCount val="7"/>
                <c:pt idx="0">
                  <c:v>42248</c:v>
                </c:pt>
                <c:pt idx="1">
                  <c:v>42339</c:v>
                </c:pt>
                <c:pt idx="2">
                  <c:v>42430</c:v>
                </c:pt>
                <c:pt idx="3">
                  <c:v>42522</c:v>
                </c:pt>
                <c:pt idx="4">
                  <c:v>42614</c:v>
                </c:pt>
                <c:pt idx="5">
                  <c:v>42705</c:v>
                </c:pt>
                <c:pt idx="6">
                  <c:v>42795</c:v>
                </c:pt>
              </c:numCache>
            </c:numRef>
          </c:cat>
          <c:val>
            <c:numRef>
              <c:f>'Fig 22 and 23'!$K$6:$Q$6</c:f>
              <c:numCache>
                <c:formatCode>0.00%</c:formatCode>
                <c:ptCount val="7"/>
                <c:pt idx="0">
                  <c:v>0.83199999999999996</c:v>
                </c:pt>
                <c:pt idx="1">
                  <c:v>0.85</c:v>
                </c:pt>
                <c:pt idx="2">
                  <c:v>0.86</c:v>
                </c:pt>
                <c:pt idx="3">
                  <c:v>0.88100000000000001</c:v>
                </c:pt>
                <c:pt idx="4">
                  <c:v>0.86599999999999999</c:v>
                </c:pt>
                <c:pt idx="5">
                  <c:v>0.86199999999999999</c:v>
                </c:pt>
                <c:pt idx="6">
                  <c:v>0.86499999999999999</c:v>
                </c:pt>
              </c:numCache>
            </c:numRef>
          </c:val>
          <c:smooth val="0"/>
        </c:ser>
        <c:ser>
          <c:idx val="2"/>
          <c:order val="2"/>
          <c:tx>
            <c:strRef>
              <c:f>'Fig 22 and 23'!$A$7</c:f>
              <c:strCache>
                <c:ptCount val="1"/>
                <c:pt idx="0">
                  <c:v>Target</c:v>
                </c:pt>
              </c:strCache>
            </c:strRef>
          </c:tx>
          <c:spPr>
            <a:ln w="34925" cap="rnd">
              <a:solidFill>
                <a:srgbClr val="FF0000"/>
              </a:solidFill>
              <a:round/>
            </a:ln>
            <a:effectLst/>
          </c:spPr>
          <c:marker>
            <c:symbol val="none"/>
          </c:marker>
          <c:cat>
            <c:numRef>
              <c:f>'Fig 22 and 23'!$K$4:$Q$4</c:f>
              <c:numCache>
                <c:formatCode>mmm\-yy</c:formatCode>
                <c:ptCount val="7"/>
                <c:pt idx="0">
                  <c:v>42248</c:v>
                </c:pt>
                <c:pt idx="1">
                  <c:v>42339</c:v>
                </c:pt>
                <c:pt idx="2">
                  <c:v>42430</c:v>
                </c:pt>
                <c:pt idx="3">
                  <c:v>42522</c:v>
                </c:pt>
                <c:pt idx="4">
                  <c:v>42614</c:v>
                </c:pt>
                <c:pt idx="5">
                  <c:v>42705</c:v>
                </c:pt>
                <c:pt idx="6">
                  <c:v>42795</c:v>
                </c:pt>
              </c:numCache>
            </c:numRef>
          </c:cat>
          <c:val>
            <c:numRef>
              <c:f>'Fig 22 and 23'!$K$7:$Q$7</c:f>
              <c:numCache>
                <c:formatCode>0.00%</c:formatCode>
                <c:ptCount val="7"/>
                <c:pt idx="0">
                  <c:v>0.9</c:v>
                </c:pt>
                <c:pt idx="1">
                  <c:v>0.9</c:v>
                </c:pt>
                <c:pt idx="2">
                  <c:v>0.9</c:v>
                </c:pt>
                <c:pt idx="3">
                  <c:v>0.9</c:v>
                </c:pt>
                <c:pt idx="4">
                  <c:v>0.9</c:v>
                </c:pt>
                <c:pt idx="5">
                  <c:v>0.9</c:v>
                </c:pt>
                <c:pt idx="6">
                  <c:v>0.9</c:v>
                </c:pt>
              </c:numCache>
            </c:numRef>
          </c:val>
          <c:smooth val="0"/>
        </c:ser>
        <c:dLbls>
          <c:showLegendKey val="0"/>
          <c:showVal val="0"/>
          <c:showCatName val="0"/>
          <c:showSerName val="0"/>
          <c:showPercent val="0"/>
          <c:showBubbleSize val="0"/>
        </c:dLbls>
        <c:smooth val="0"/>
        <c:axId val="398514552"/>
        <c:axId val="398514944"/>
      </c:lineChart>
      <c:catAx>
        <c:axId val="398514552"/>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End of 15-month period:</a:t>
                </a:r>
                <a:r>
                  <a:rPr lang="en-NZ" sz="900" baseline="0"/>
                  <a:t> m</a:t>
                </a:r>
                <a:r>
                  <a:rPr lang="en-NZ" sz="900"/>
                  <a:t>onth-year</a:t>
                </a:r>
              </a:p>
            </c:rich>
          </c:tx>
          <c:layout>
            <c:manualLayout>
              <c:xMode val="edge"/>
              <c:yMode val="edge"/>
              <c:x val="0.34838410820185262"/>
              <c:y val="0.93962133374104939"/>
            </c:manualLayout>
          </c:layout>
          <c:overlay val="0"/>
          <c:spPr>
            <a:noFill/>
            <a:ln>
              <a:noFill/>
            </a:ln>
            <a:effectLst/>
          </c:spPr>
        </c:title>
        <c:numFmt formatCode="mmm\-yy" sourceLinked="1"/>
        <c:majorTickMark val="none"/>
        <c:minorTickMark val="none"/>
        <c:tickLblPos val="none"/>
        <c:spPr>
          <a:noFill/>
          <a:ln w="9525" cap="flat" cmpd="sng" algn="ctr">
            <a:solidFill>
              <a:schemeClr val="tx1"/>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8514944"/>
        <c:crosses val="autoZero"/>
        <c:auto val="0"/>
        <c:lblAlgn val="ctr"/>
        <c:lblOffset val="100"/>
        <c:noMultiLvlLbl val="0"/>
      </c:catAx>
      <c:valAx>
        <c:axId val="398514944"/>
        <c:scaling>
          <c:orientation val="minMax"/>
          <c:max val="0.95000000000000007"/>
          <c:min val="0.65000000000000013"/>
        </c:scaling>
        <c:delete val="0"/>
        <c:axPos val="l"/>
        <c:title>
          <c:tx>
            <c:rich>
              <a:bodyPr rot="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Percentage</a:t>
                </a:r>
              </a:p>
            </c:rich>
          </c:tx>
          <c:layout>
            <c:manualLayout>
              <c:xMode val="edge"/>
              <c:yMode val="edge"/>
              <c:x val="7.7134995838792962E-4"/>
              <c:y val="7.7090193271295631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8514552"/>
        <c:crosses val="autoZero"/>
        <c:crossBetween val="between"/>
      </c:valAx>
      <c:spPr>
        <a:noFill/>
        <a:ln>
          <a:noFill/>
        </a:ln>
        <a:effectLst/>
      </c:spPr>
    </c:plotArea>
    <c:legend>
      <c:legendPos val="r"/>
      <c:layout>
        <c:manualLayout>
          <c:xMode val="edge"/>
          <c:yMode val="edge"/>
          <c:x val="0.66192839263641412"/>
          <c:y val="0.54924991242632393"/>
          <c:w val="0.31756718421594848"/>
          <c:h val="0.2036830442132837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392857599127853E-2"/>
          <c:y val="0.11693365031836239"/>
          <c:w val="0.89745880618790841"/>
          <c:h val="0.68756128312243281"/>
        </c:manualLayout>
      </c:layout>
      <c:lineChart>
        <c:grouping val="standard"/>
        <c:varyColors val="0"/>
        <c:ser>
          <c:idx val="0"/>
          <c:order val="0"/>
          <c:tx>
            <c:strRef>
              <c:f>'Fig 22 and 23'!$A$36</c:f>
              <c:strCache>
                <c:ptCount val="1"/>
                <c:pt idx="0">
                  <c:v>Auckland</c:v>
                </c:pt>
              </c:strCache>
            </c:strRef>
          </c:tx>
          <c:spPr>
            <a:ln w="34925" cap="rnd">
              <a:solidFill>
                <a:schemeClr val="tx1"/>
              </a:solidFill>
              <a:round/>
            </a:ln>
            <a:effectLst/>
          </c:spPr>
          <c:marker>
            <c:symbol val="none"/>
          </c:marker>
          <c:cat>
            <c:numRef>
              <c:f>'Fig 22 and 23'!$K$35:$Q$35</c:f>
              <c:numCache>
                <c:formatCode>mmm\-yy</c:formatCode>
                <c:ptCount val="7"/>
                <c:pt idx="0">
                  <c:v>42248</c:v>
                </c:pt>
                <c:pt idx="1">
                  <c:v>42339</c:v>
                </c:pt>
                <c:pt idx="2">
                  <c:v>42430</c:v>
                </c:pt>
                <c:pt idx="3">
                  <c:v>42522</c:v>
                </c:pt>
                <c:pt idx="4">
                  <c:v>42614</c:v>
                </c:pt>
                <c:pt idx="5">
                  <c:v>42705</c:v>
                </c:pt>
                <c:pt idx="6">
                  <c:v>42795</c:v>
                </c:pt>
              </c:numCache>
            </c:numRef>
          </c:cat>
          <c:val>
            <c:numRef>
              <c:f>'Fig 22 and 23'!$K$36:$Q$36</c:f>
              <c:numCache>
                <c:formatCode>0.00</c:formatCode>
                <c:ptCount val="7"/>
                <c:pt idx="0">
                  <c:v>0.83399999999999996</c:v>
                </c:pt>
                <c:pt idx="1">
                  <c:v>0.84899999999999998</c:v>
                </c:pt>
                <c:pt idx="2">
                  <c:v>0.872</c:v>
                </c:pt>
                <c:pt idx="3">
                  <c:v>0.872</c:v>
                </c:pt>
                <c:pt idx="4">
                  <c:v>0.871</c:v>
                </c:pt>
                <c:pt idx="5">
                  <c:v>0.879</c:v>
                </c:pt>
                <c:pt idx="6">
                  <c:v>0.88200000000000001</c:v>
                </c:pt>
              </c:numCache>
            </c:numRef>
          </c:val>
          <c:smooth val="0"/>
        </c:ser>
        <c:ser>
          <c:idx val="1"/>
          <c:order val="1"/>
          <c:tx>
            <c:strRef>
              <c:f>'Fig 22 and 23'!$A$39</c:f>
              <c:strCache>
                <c:ptCount val="1"/>
                <c:pt idx="0">
                  <c:v>Counties Manukau</c:v>
                </c:pt>
              </c:strCache>
            </c:strRef>
          </c:tx>
          <c:spPr>
            <a:ln w="34925" cap="rnd">
              <a:solidFill>
                <a:schemeClr val="bg1">
                  <a:lumMod val="65000"/>
                </a:schemeClr>
              </a:solidFill>
              <a:prstDash val="solid"/>
              <a:round/>
            </a:ln>
            <a:effectLst/>
          </c:spPr>
          <c:marker>
            <c:symbol val="none"/>
          </c:marker>
          <c:cat>
            <c:numRef>
              <c:f>'Fig 22 and 23'!$K$35:$Q$35</c:f>
              <c:numCache>
                <c:formatCode>mmm\-yy</c:formatCode>
                <c:ptCount val="7"/>
                <c:pt idx="0">
                  <c:v>42248</c:v>
                </c:pt>
                <c:pt idx="1">
                  <c:v>42339</c:v>
                </c:pt>
                <c:pt idx="2">
                  <c:v>42430</c:v>
                </c:pt>
                <c:pt idx="3">
                  <c:v>42522</c:v>
                </c:pt>
                <c:pt idx="4">
                  <c:v>42614</c:v>
                </c:pt>
                <c:pt idx="5">
                  <c:v>42705</c:v>
                </c:pt>
                <c:pt idx="6">
                  <c:v>42795</c:v>
                </c:pt>
              </c:numCache>
            </c:numRef>
          </c:cat>
          <c:val>
            <c:numRef>
              <c:f>'Fig 22 and 23'!$K$39:$Q$39</c:f>
              <c:numCache>
                <c:formatCode>0.00</c:formatCode>
                <c:ptCount val="7"/>
                <c:pt idx="0">
                  <c:v>0.85799999999999998</c:v>
                </c:pt>
                <c:pt idx="1">
                  <c:v>0.87</c:v>
                </c:pt>
                <c:pt idx="2">
                  <c:v>0.88400000000000001</c:v>
                </c:pt>
                <c:pt idx="3">
                  <c:v>0.88400000000000001</c:v>
                </c:pt>
                <c:pt idx="4">
                  <c:v>0.89700000000000002</c:v>
                </c:pt>
                <c:pt idx="5">
                  <c:v>0.88800000000000001</c:v>
                </c:pt>
                <c:pt idx="6">
                  <c:v>0.89300000000000002</c:v>
                </c:pt>
              </c:numCache>
            </c:numRef>
          </c:val>
          <c:smooth val="0"/>
        </c:ser>
        <c:ser>
          <c:idx val="2"/>
          <c:order val="2"/>
          <c:tx>
            <c:strRef>
              <c:f>'Fig 22 and 23'!$A$43</c:f>
              <c:strCache>
                <c:ptCount val="1"/>
                <c:pt idx="0">
                  <c:v>Waitemata</c:v>
                </c:pt>
              </c:strCache>
            </c:strRef>
          </c:tx>
          <c:spPr>
            <a:ln w="34925" cap="rnd">
              <a:solidFill>
                <a:schemeClr val="bg1">
                  <a:lumMod val="85000"/>
                </a:schemeClr>
              </a:solidFill>
              <a:prstDash val="solid"/>
              <a:round/>
            </a:ln>
            <a:effectLst/>
          </c:spPr>
          <c:marker>
            <c:symbol val="none"/>
          </c:marker>
          <c:cat>
            <c:numRef>
              <c:f>'Fig 22 and 23'!$K$35:$Q$35</c:f>
              <c:numCache>
                <c:formatCode>mmm\-yy</c:formatCode>
                <c:ptCount val="7"/>
                <c:pt idx="0">
                  <c:v>42248</c:v>
                </c:pt>
                <c:pt idx="1">
                  <c:v>42339</c:v>
                </c:pt>
                <c:pt idx="2">
                  <c:v>42430</c:v>
                </c:pt>
                <c:pt idx="3">
                  <c:v>42522</c:v>
                </c:pt>
                <c:pt idx="4">
                  <c:v>42614</c:v>
                </c:pt>
                <c:pt idx="5">
                  <c:v>42705</c:v>
                </c:pt>
                <c:pt idx="6">
                  <c:v>42795</c:v>
                </c:pt>
              </c:numCache>
            </c:numRef>
          </c:cat>
          <c:val>
            <c:numRef>
              <c:f>'Fig 22 and 23'!$K$43:$Q$43</c:f>
              <c:numCache>
                <c:formatCode>0.00</c:formatCode>
                <c:ptCount val="7"/>
                <c:pt idx="0">
                  <c:v>0.84099999999999997</c:v>
                </c:pt>
                <c:pt idx="1">
                  <c:v>0.873</c:v>
                </c:pt>
                <c:pt idx="2">
                  <c:v>0.89700000000000002</c:v>
                </c:pt>
                <c:pt idx="3">
                  <c:v>0.89700000000000002</c:v>
                </c:pt>
                <c:pt idx="4">
                  <c:v>0.88600000000000001</c:v>
                </c:pt>
                <c:pt idx="5">
                  <c:v>0.89900000000000002</c:v>
                </c:pt>
                <c:pt idx="6">
                  <c:v>0.88600000000000001</c:v>
                </c:pt>
              </c:numCache>
            </c:numRef>
          </c:val>
          <c:smooth val="0"/>
        </c:ser>
        <c:ser>
          <c:idx val="3"/>
          <c:order val="3"/>
          <c:tx>
            <c:strRef>
              <c:f>'Fig 22 and 23'!$A$44</c:f>
              <c:strCache>
                <c:ptCount val="1"/>
                <c:pt idx="0">
                  <c:v>Target</c:v>
                </c:pt>
              </c:strCache>
            </c:strRef>
          </c:tx>
          <c:spPr>
            <a:ln w="34925" cap="rnd">
              <a:solidFill>
                <a:srgbClr val="FF0000"/>
              </a:solidFill>
              <a:round/>
            </a:ln>
            <a:effectLst/>
          </c:spPr>
          <c:marker>
            <c:symbol val="none"/>
          </c:marker>
          <c:cat>
            <c:numRef>
              <c:f>'Fig 22 and 23'!$K$35:$Q$35</c:f>
              <c:numCache>
                <c:formatCode>mmm\-yy</c:formatCode>
                <c:ptCount val="7"/>
                <c:pt idx="0">
                  <c:v>42248</c:v>
                </c:pt>
                <c:pt idx="1">
                  <c:v>42339</c:v>
                </c:pt>
                <c:pt idx="2">
                  <c:v>42430</c:v>
                </c:pt>
                <c:pt idx="3">
                  <c:v>42522</c:v>
                </c:pt>
                <c:pt idx="4">
                  <c:v>42614</c:v>
                </c:pt>
                <c:pt idx="5">
                  <c:v>42705</c:v>
                </c:pt>
                <c:pt idx="6">
                  <c:v>42795</c:v>
                </c:pt>
              </c:numCache>
            </c:numRef>
          </c:cat>
          <c:val>
            <c:numRef>
              <c:f>'Fig 22 and 23'!$K$44:$Q$44</c:f>
              <c:numCache>
                <c:formatCode>0.00</c:formatCode>
                <c:ptCount val="7"/>
                <c:pt idx="0">
                  <c:v>0.9</c:v>
                </c:pt>
                <c:pt idx="1">
                  <c:v>0.9</c:v>
                </c:pt>
                <c:pt idx="2">
                  <c:v>0.9</c:v>
                </c:pt>
                <c:pt idx="3">
                  <c:v>0.9</c:v>
                </c:pt>
                <c:pt idx="4">
                  <c:v>0.9</c:v>
                </c:pt>
                <c:pt idx="5">
                  <c:v>0.9</c:v>
                </c:pt>
                <c:pt idx="6">
                  <c:v>0.9</c:v>
                </c:pt>
              </c:numCache>
            </c:numRef>
          </c:val>
          <c:smooth val="0"/>
        </c:ser>
        <c:dLbls>
          <c:showLegendKey val="0"/>
          <c:showVal val="0"/>
          <c:showCatName val="0"/>
          <c:showSerName val="0"/>
          <c:showPercent val="0"/>
          <c:showBubbleSize val="0"/>
        </c:dLbls>
        <c:smooth val="0"/>
        <c:axId val="402851624"/>
        <c:axId val="402851232"/>
      </c:lineChart>
      <c:catAx>
        <c:axId val="402851624"/>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End of 15-month period</a:t>
                </a:r>
              </a:p>
            </c:rich>
          </c:tx>
          <c:layout>
            <c:manualLayout>
              <c:xMode val="edge"/>
              <c:yMode val="edge"/>
              <c:x val="0.34616828724018633"/>
              <c:y val="0.93962128167325076"/>
            </c:manualLayout>
          </c:layout>
          <c:overlay val="0"/>
          <c:spPr>
            <a:noFill/>
            <a:ln>
              <a:noFill/>
            </a:ln>
            <a:effectLst/>
          </c:spPr>
        </c:title>
        <c:numFmt formatCode="mmm\-yy" sourceLinked="1"/>
        <c:majorTickMark val="none"/>
        <c:minorTickMark val="none"/>
        <c:tickLblPos val="none"/>
        <c:spPr>
          <a:noFill/>
          <a:ln w="9525" cap="flat" cmpd="sng" algn="ctr">
            <a:solidFill>
              <a:schemeClr val="tx1"/>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2851232"/>
        <c:crosses val="autoZero"/>
        <c:auto val="0"/>
        <c:lblAlgn val="ctr"/>
        <c:lblOffset val="100"/>
        <c:noMultiLvlLbl val="0"/>
      </c:catAx>
      <c:valAx>
        <c:axId val="402851232"/>
        <c:scaling>
          <c:orientation val="minMax"/>
          <c:min val="0.65000000000000013"/>
        </c:scaling>
        <c:delete val="0"/>
        <c:axPos val="l"/>
        <c:title>
          <c:tx>
            <c:rich>
              <a:bodyPr rot="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Percentage</a:t>
                </a:r>
              </a:p>
            </c:rich>
          </c:tx>
          <c:layout>
            <c:manualLayout>
              <c:xMode val="edge"/>
              <c:yMode val="edge"/>
              <c:x val="7.7134995838792962E-4"/>
              <c:y val="7.7092385859667276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2851624"/>
        <c:crosses val="autoZero"/>
        <c:crossBetween val="between"/>
      </c:valAx>
      <c:spPr>
        <a:noFill/>
        <a:ln>
          <a:noFill/>
        </a:ln>
        <a:effectLst/>
      </c:spPr>
    </c:plotArea>
    <c:legend>
      <c:legendPos val="r"/>
      <c:layout>
        <c:manualLayout>
          <c:xMode val="edge"/>
          <c:yMode val="edge"/>
          <c:x val="0.67568721973571588"/>
          <c:y val="0.5027754949396972"/>
          <c:w val="0.32246603459031786"/>
          <c:h val="0.2763066010850520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688693185931534E-2"/>
          <c:y val="8.7071869360242929E-2"/>
          <c:w val="0.89745880618790841"/>
          <c:h val="0.72969091259180474"/>
        </c:manualLayout>
      </c:layout>
      <c:lineChart>
        <c:grouping val="standard"/>
        <c:varyColors val="0"/>
        <c:ser>
          <c:idx val="1"/>
          <c:order val="1"/>
          <c:tx>
            <c:strRef>
              <c:f>'Fig 22 and 23'!$A$37</c:f>
              <c:strCache>
                <c:ptCount val="1"/>
                <c:pt idx="0">
                  <c:v>Canterbury</c:v>
                </c:pt>
              </c:strCache>
            </c:strRef>
          </c:tx>
          <c:spPr>
            <a:ln w="34925" cap="rnd">
              <a:solidFill>
                <a:schemeClr val="tx1"/>
              </a:solidFill>
              <a:round/>
            </a:ln>
            <a:effectLst/>
          </c:spPr>
          <c:marker>
            <c:symbol val="none"/>
          </c:marker>
          <c:cat>
            <c:numRef>
              <c:f>'Fig 22 and 23'!$K$35:$Q$35</c:f>
              <c:numCache>
                <c:formatCode>mmm\-yy</c:formatCode>
                <c:ptCount val="7"/>
                <c:pt idx="0">
                  <c:v>42248</c:v>
                </c:pt>
                <c:pt idx="1">
                  <c:v>42339</c:v>
                </c:pt>
                <c:pt idx="2">
                  <c:v>42430</c:v>
                </c:pt>
                <c:pt idx="3">
                  <c:v>42522</c:v>
                </c:pt>
                <c:pt idx="4">
                  <c:v>42614</c:v>
                </c:pt>
                <c:pt idx="5">
                  <c:v>42705</c:v>
                </c:pt>
                <c:pt idx="6">
                  <c:v>42795</c:v>
                </c:pt>
              </c:numCache>
            </c:numRef>
          </c:cat>
          <c:val>
            <c:numRef>
              <c:f>'Fig 22 and 23'!$K$37:$Q$37</c:f>
              <c:numCache>
                <c:formatCode>0.00</c:formatCode>
                <c:ptCount val="7"/>
                <c:pt idx="0">
                  <c:v>0.76600000000000001</c:v>
                </c:pt>
                <c:pt idx="1">
                  <c:v>0.78</c:v>
                </c:pt>
                <c:pt idx="2">
                  <c:v>0.78700000000000003</c:v>
                </c:pt>
                <c:pt idx="3">
                  <c:v>0.78700000000000003</c:v>
                </c:pt>
                <c:pt idx="4">
                  <c:v>0.78700000000000003</c:v>
                </c:pt>
                <c:pt idx="5">
                  <c:v>0.81499999999999995</c:v>
                </c:pt>
                <c:pt idx="6">
                  <c:v>0.82299999999999995</c:v>
                </c:pt>
              </c:numCache>
            </c:numRef>
          </c:val>
          <c:smooth val="0"/>
        </c:ser>
        <c:ser>
          <c:idx val="2"/>
          <c:order val="2"/>
          <c:tx>
            <c:strRef>
              <c:f>'Fig 22 and 23'!$A$38</c:f>
              <c:strCache>
                <c:ptCount val="1"/>
                <c:pt idx="0">
                  <c:v>Capital &amp; Coast</c:v>
                </c:pt>
              </c:strCache>
            </c:strRef>
          </c:tx>
          <c:spPr>
            <a:ln w="31750" cap="rnd">
              <a:solidFill>
                <a:schemeClr val="bg1">
                  <a:lumMod val="65000"/>
                </a:schemeClr>
              </a:solidFill>
              <a:prstDash val="solid"/>
              <a:round/>
            </a:ln>
            <a:effectLst/>
          </c:spPr>
          <c:marker>
            <c:symbol val="none"/>
          </c:marker>
          <c:cat>
            <c:numRef>
              <c:f>'Fig 22 and 23'!$K$35:$Q$35</c:f>
              <c:numCache>
                <c:formatCode>mmm\-yy</c:formatCode>
                <c:ptCount val="7"/>
                <c:pt idx="0">
                  <c:v>42248</c:v>
                </c:pt>
                <c:pt idx="1">
                  <c:v>42339</c:v>
                </c:pt>
                <c:pt idx="2">
                  <c:v>42430</c:v>
                </c:pt>
                <c:pt idx="3">
                  <c:v>42522</c:v>
                </c:pt>
                <c:pt idx="4">
                  <c:v>42614</c:v>
                </c:pt>
                <c:pt idx="5">
                  <c:v>42705</c:v>
                </c:pt>
                <c:pt idx="6">
                  <c:v>42795</c:v>
                </c:pt>
              </c:numCache>
            </c:numRef>
          </c:cat>
          <c:val>
            <c:numRef>
              <c:f>'Fig 22 and 23'!$K$38:$Q$38</c:f>
              <c:numCache>
                <c:formatCode>0.00</c:formatCode>
                <c:ptCount val="7"/>
                <c:pt idx="0">
                  <c:v>0.72399999999999998</c:v>
                </c:pt>
                <c:pt idx="1">
                  <c:v>0.748</c:v>
                </c:pt>
                <c:pt idx="2">
                  <c:v>0.77200000000000002</c:v>
                </c:pt>
                <c:pt idx="3">
                  <c:v>0.77200000000000002</c:v>
                </c:pt>
                <c:pt idx="4">
                  <c:v>0.81499999999999995</c:v>
                </c:pt>
                <c:pt idx="5">
                  <c:v>0.83099999999999996</c:v>
                </c:pt>
                <c:pt idx="6">
                  <c:v>0.83699999999999997</c:v>
                </c:pt>
              </c:numCache>
            </c:numRef>
          </c:val>
          <c:smooth val="0"/>
        </c:ser>
        <c:ser>
          <c:idx val="4"/>
          <c:order val="4"/>
          <c:tx>
            <c:strRef>
              <c:f>'Fig 22 and 23'!$A$40</c:f>
              <c:strCache>
                <c:ptCount val="1"/>
                <c:pt idx="0">
                  <c:v>Hawke's Bay</c:v>
                </c:pt>
              </c:strCache>
            </c:strRef>
          </c:tx>
          <c:spPr>
            <a:ln w="34925" cap="rnd">
              <a:solidFill>
                <a:schemeClr val="bg1">
                  <a:lumMod val="85000"/>
                </a:schemeClr>
              </a:solidFill>
              <a:round/>
            </a:ln>
            <a:effectLst/>
          </c:spPr>
          <c:marker>
            <c:symbol val="none"/>
          </c:marker>
          <c:cat>
            <c:numRef>
              <c:f>'Fig 22 and 23'!$K$35:$Q$35</c:f>
              <c:numCache>
                <c:formatCode>mmm\-yy</c:formatCode>
                <c:ptCount val="7"/>
                <c:pt idx="0">
                  <c:v>42248</c:v>
                </c:pt>
                <c:pt idx="1">
                  <c:v>42339</c:v>
                </c:pt>
                <c:pt idx="2">
                  <c:v>42430</c:v>
                </c:pt>
                <c:pt idx="3">
                  <c:v>42522</c:v>
                </c:pt>
                <c:pt idx="4">
                  <c:v>42614</c:v>
                </c:pt>
                <c:pt idx="5">
                  <c:v>42705</c:v>
                </c:pt>
                <c:pt idx="6">
                  <c:v>42795</c:v>
                </c:pt>
              </c:numCache>
            </c:numRef>
          </c:cat>
          <c:val>
            <c:numRef>
              <c:f>'Fig 22 and 23'!$K$40:$Q$40</c:f>
              <c:numCache>
                <c:formatCode>0.00</c:formatCode>
                <c:ptCount val="7"/>
                <c:pt idx="0">
                  <c:v>0.746</c:v>
                </c:pt>
                <c:pt idx="1">
                  <c:v>0.70699999999999996</c:v>
                </c:pt>
                <c:pt idx="2">
                  <c:v>0.71899999999999997</c:v>
                </c:pt>
                <c:pt idx="3">
                  <c:v>0.71899999999999997</c:v>
                </c:pt>
                <c:pt idx="4">
                  <c:v>0.76400000000000001</c:v>
                </c:pt>
                <c:pt idx="5">
                  <c:v>0.82199999999999995</c:v>
                </c:pt>
                <c:pt idx="6">
                  <c:v>0.81399999999999995</c:v>
                </c:pt>
              </c:numCache>
            </c:numRef>
          </c:val>
          <c:smooth val="0"/>
        </c:ser>
        <c:ser>
          <c:idx val="5"/>
          <c:order val="5"/>
          <c:tx>
            <c:strRef>
              <c:f>'Fig 22 and 23'!$A$41</c:f>
              <c:strCache>
                <c:ptCount val="1"/>
                <c:pt idx="0">
                  <c:v>Hutt Valley</c:v>
                </c:pt>
              </c:strCache>
            </c:strRef>
          </c:tx>
          <c:spPr>
            <a:ln w="34925" cap="rnd">
              <a:solidFill>
                <a:schemeClr val="bg1">
                  <a:lumMod val="65000"/>
                </a:schemeClr>
              </a:solidFill>
              <a:prstDash val="sysDot"/>
              <a:round/>
            </a:ln>
            <a:effectLst/>
          </c:spPr>
          <c:marker>
            <c:symbol val="none"/>
          </c:marker>
          <c:cat>
            <c:numRef>
              <c:f>'Fig 22 and 23'!$K$35:$Q$35</c:f>
              <c:numCache>
                <c:formatCode>mmm\-yy</c:formatCode>
                <c:ptCount val="7"/>
                <c:pt idx="0">
                  <c:v>42248</c:v>
                </c:pt>
                <c:pt idx="1">
                  <c:v>42339</c:v>
                </c:pt>
                <c:pt idx="2">
                  <c:v>42430</c:v>
                </c:pt>
                <c:pt idx="3">
                  <c:v>42522</c:v>
                </c:pt>
                <c:pt idx="4">
                  <c:v>42614</c:v>
                </c:pt>
                <c:pt idx="5">
                  <c:v>42705</c:v>
                </c:pt>
                <c:pt idx="6">
                  <c:v>42795</c:v>
                </c:pt>
              </c:numCache>
            </c:numRef>
          </c:cat>
          <c:val>
            <c:numRef>
              <c:f>'Fig 22 and 23'!$K$41:$Q$41</c:f>
              <c:numCache>
                <c:formatCode>0.00</c:formatCode>
                <c:ptCount val="7"/>
                <c:pt idx="0">
                  <c:v>0.75</c:v>
                </c:pt>
                <c:pt idx="1">
                  <c:v>0.753</c:v>
                </c:pt>
                <c:pt idx="2">
                  <c:v>0.73899999999999999</c:v>
                </c:pt>
                <c:pt idx="3">
                  <c:v>0.73899999999999999</c:v>
                </c:pt>
                <c:pt idx="4">
                  <c:v>0.74099999999999999</c:v>
                </c:pt>
                <c:pt idx="5">
                  <c:v>0.877</c:v>
                </c:pt>
                <c:pt idx="6">
                  <c:v>0.873</c:v>
                </c:pt>
              </c:numCache>
            </c:numRef>
          </c:val>
          <c:smooth val="0"/>
        </c:ser>
        <c:ser>
          <c:idx val="6"/>
          <c:order val="6"/>
          <c:tx>
            <c:strRef>
              <c:f>'Fig 22 and 23'!$A$42</c:f>
              <c:strCache>
                <c:ptCount val="1"/>
                <c:pt idx="0">
                  <c:v>Waikato</c:v>
                </c:pt>
              </c:strCache>
            </c:strRef>
          </c:tx>
          <c:spPr>
            <a:ln w="34925" cap="rnd">
              <a:solidFill>
                <a:schemeClr val="bg1">
                  <a:lumMod val="85000"/>
                </a:schemeClr>
              </a:solidFill>
              <a:prstDash val="sysDot"/>
              <a:round/>
            </a:ln>
            <a:effectLst/>
          </c:spPr>
          <c:marker>
            <c:symbol val="none"/>
          </c:marker>
          <c:cat>
            <c:numRef>
              <c:f>'Fig 22 and 23'!$K$35:$Q$35</c:f>
              <c:numCache>
                <c:formatCode>mmm\-yy</c:formatCode>
                <c:ptCount val="7"/>
                <c:pt idx="0">
                  <c:v>42248</c:v>
                </c:pt>
                <c:pt idx="1">
                  <c:v>42339</c:v>
                </c:pt>
                <c:pt idx="2">
                  <c:v>42430</c:v>
                </c:pt>
                <c:pt idx="3">
                  <c:v>42522</c:v>
                </c:pt>
                <c:pt idx="4">
                  <c:v>42614</c:v>
                </c:pt>
                <c:pt idx="5">
                  <c:v>42705</c:v>
                </c:pt>
                <c:pt idx="6">
                  <c:v>42795</c:v>
                </c:pt>
              </c:numCache>
            </c:numRef>
          </c:cat>
          <c:val>
            <c:numRef>
              <c:f>'Fig 22 and 23'!$K$42:$Q$42</c:f>
              <c:numCache>
                <c:formatCode>0.00</c:formatCode>
                <c:ptCount val="7"/>
                <c:pt idx="0">
                  <c:v>0.81299999999999994</c:v>
                </c:pt>
                <c:pt idx="1">
                  <c:v>0.86299999999999999</c:v>
                </c:pt>
                <c:pt idx="2">
                  <c:v>0.874</c:v>
                </c:pt>
                <c:pt idx="3">
                  <c:v>0.874</c:v>
                </c:pt>
                <c:pt idx="4">
                  <c:v>0.86</c:v>
                </c:pt>
                <c:pt idx="5">
                  <c:v>0.85499999999999998</c:v>
                </c:pt>
                <c:pt idx="6">
                  <c:v>0.84699999999999998</c:v>
                </c:pt>
              </c:numCache>
            </c:numRef>
          </c:val>
          <c:smooth val="0"/>
        </c:ser>
        <c:ser>
          <c:idx val="8"/>
          <c:order val="8"/>
          <c:tx>
            <c:strRef>
              <c:f>'Fig 22 and 23'!$A$44</c:f>
              <c:strCache>
                <c:ptCount val="1"/>
                <c:pt idx="0">
                  <c:v>Target</c:v>
                </c:pt>
              </c:strCache>
            </c:strRef>
          </c:tx>
          <c:spPr>
            <a:ln w="34925" cap="rnd">
              <a:solidFill>
                <a:srgbClr val="FF0000"/>
              </a:solidFill>
              <a:round/>
            </a:ln>
            <a:effectLst/>
          </c:spPr>
          <c:marker>
            <c:symbol val="none"/>
          </c:marker>
          <c:cat>
            <c:numRef>
              <c:f>'Fig 22 and 23'!$K$35:$Q$35</c:f>
              <c:numCache>
                <c:formatCode>mmm\-yy</c:formatCode>
                <c:ptCount val="7"/>
                <c:pt idx="0">
                  <c:v>42248</c:v>
                </c:pt>
                <c:pt idx="1">
                  <c:v>42339</c:v>
                </c:pt>
                <c:pt idx="2">
                  <c:v>42430</c:v>
                </c:pt>
                <c:pt idx="3">
                  <c:v>42522</c:v>
                </c:pt>
                <c:pt idx="4">
                  <c:v>42614</c:v>
                </c:pt>
                <c:pt idx="5">
                  <c:v>42705</c:v>
                </c:pt>
                <c:pt idx="6">
                  <c:v>42795</c:v>
                </c:pt>
              </c:numCache>
            </c:numRef>
          </c:cat>
          <c:val>
            <c:numRef>
              <c:f>'Fig 22 and 23'!$K$44:$Q$44</c:f>
              <c:numCache>
                <c:formatCode>0.00</c:formatCode>
                <c:ptCount val="7"/>
                <c:pt idx="0">
                  <c:v>0.9</c:v>
                </c:pt>
                <c:pt idx="1">
                  <c:v>0.9</c:v>
                </c:pt>
                <c:pt idx="2">
                  <c:v>0.9</c:v>
                </c:pt>
                <c:pt idx="3">
                  <c:v>0.9</c:v>
                </c:pt>
                <c:pt idx="4">
                  <c:v>0.9</c:v>
                </c:pt>
                <c:pt idx="5">
                  <c:v>0.9</c:v>
                </c:pt>
                <c:pt idx="6">
                  <c:v>0.9</c:v>
                </c:pt>
              </c:numCache>
            </c:numRef>
          </c:val>
          <c:smooth val="0"/>
        </c:ser>
        <c:dLbls>
          <c:showLegendKey val="0"/>
          <c:showVal val="0"/>
          <c:showCatName val="0"/>
          <c:showSerName val="0"/>
          <c:showPercent val="0"/>
          <c:showBubbleSize val="0"/>
        </c:dLbls>
        <c:smooth val="0"/>
        <c:axId val="402852800"/>
        <c:axId val="402850840"/>
        <c:extLst>
          <c:ext xmlns:c15="http://schemas.microsoft.com/office/drawing/2012/chart" uri="{02D57815-91ED-43cb-92C2-25804820EDAC}">
            <c15:filteredLineSeries>
              <c15:ser>
                <c:idx val="0"/>
                <c:order val="0"/>
                <c:tx>
                  <c:strRef>
                    <c:extLst>
                      <c:ext uri="{02D57815-91ED-43cb-92C2-25804820EDAC}">
                        <c15:formulaRef>
                          <c15:sqref>'Fig 22 and 23'!$A$36</c15:sqref>
                        </c15:formulaRef>
                      </c:ext>
                    </c:extLst>
                    <c:strCache>
                      <c:ptCount val="1"/>
                      <c:pt idx="0">
                        <c:v>Auckland</c:v>
                      </c:pt>
                    </c:strCache>
                  </c:strRef>
                </c:tx>
                <c:spPr>
                  <a:ln w="28575" cap="rnd">
                    <a:solidFill>
                      <a:schemeClr val="accent1"/>
                    </a:solidFill>
                    <a:round/>
                  </a:ln>
                  <a:effectLst/>
                </c:spPr>
                <c:marker>
                  <c:symbol val="none"/>
                </c:marker>
                <c:cat>
                  <c:numRef>
                    <c:extLst>
                      <c:ext uri="{02D57815-91ED-43cb-92C2-25804820EDAC}">
                        <c15:formulaRef>
                          <c15:sqref>'Fig 22 and 23'!$K$35:$Q$35</c15:sqref>
                        </c15:formulaRef>
                      </c:ext>
                    </c:extLst>
                    <c:numCache>
                      <c:formatCode>mmm\-yy</c:formatCode>
                      <c:ptCount val="7"/>
                      <c:pt idx="0">
                        <c:v>42248</c:v>
                      </c:pt>
                      <c:pt idx="1">
                        <c:v>42339</c:v>
                      </c:pt>
                      <c:pt idx="2">
                        <c:v>42430</c:v>
                      </c:pt>
                      <c:pt idx="3">
                        <c:v>42522</c:v>
                      </c:pt>
                      <c:pt idx="4">
                        <c:v>42614</c:v>
                      </c:pt>
                      <c:pt idx="5">
                        <c:v>42705</c:v>
                      </c:pt>
                      <c:pt idx="6">
                        <c:v>42795</c:v>
                      </c:pt>
                    </c:numCache>
                  </c:numRef>
                </c:cat>
                <c:val>
                  <c:numRef>
                    <c:extLst>
                      <c:ext uri="{02D57815-91ED-43cb-92C2-25804820EDAC}">
                        <c15:formulaRef>
                          <c15:sqref>'Fig 22 and 23'!$K$36:$Q$36</c15:sqref>
                        </c15:formulaRef>
                      </c:ext>
                    </c:extLst>
                    <c:numCache>
                      <c:formatCode>0.00</c:formatCode>
                      <c:ptCount val="7"/>
                      <c:pt idx="0">
                        <c:v>0.83399999999999996</c:v>
                      </c:pt>
                      <c:pt idx="1">
                        <c:v>0.84899999999999998</c:v>
                      </c:pt>
                      <c:pt idx="2">
                        <c:v>0.872</c:v>
                      </c:pt>
                      <c:pt idx="3">
                        <c:v>0.872</c:v>
                      </c:pt>
                      <c:pt idx="4">
                        <c:v>0.871</c:v>
                      </c:pt>
                      <c:pt idx="5">
                        <c:v>0.879</c:v>
                      </c:pt>
                      <c:pt idx="6">
                        <c:v>0.88200000000000001</c:v>
                      </c:pt>
                    </c:numCache>
                  </c:numRef>
                </c:val>
                <c:smooth val="0"/>
              </c15:ser>
            </c15:filteredLineSeries>
            <c15:filteredLineSeries>
              <c15:ser>
                <c:idx val="3"/>
                <c:order val="3"/>
                <c:tx>
                  <c:strRef>
                    <c:extLst xmlns:c15="http://schemas.microsoft.com/office/drawing/2012/chart">
                      <c:ext xmlns:c15="http://schemas.microsoft.com/office/drawing/2012/chart" uri="{02D57815-91ED-43cb-92C2-25804820EDAC}">
                        <c15:formulaRef>
                          <c15:sqref>'Fig 22 and 23'!$A$39</c15:sqref>
                        </c15:formulaRef>
                      </c:ext>
                    </c:extLst>
                    <c:strCache>
                      <c:ptCount val="1"/>
                      <c:pt idx="0">
                        <c:v>Counties Manukau</c:v>
                      </c:pt>
                    </c:strCache>
                  </c:strRef>
                </c:tx>
                <c:spPr>
                  <a:ln w="28575" cap="rnd">
                    <a:solidFill>
                      <a:schemeClr val="accent4"/>
                    </a:solidFill>
                    <a:round/>
                  </a:ln>
                  <a:effectLst/>
                </c:spPr>
                <c:marker>
                  <c:symbol val="none"/>
                </c:marker>
                <c:cat>
                  <c:numRef>
                    <c:extLst xmlns:c15="http://schemas.microsoft.com/office/drawing/2012/chart">
                      <c:ext xmlns:c15="http://schemas.microsoft.com/office/drawing/2012/chart" uri="{02D57815-91ED-43cb-92C2-25804820EDAC}">
                        <c15:formulaRef>
                          <c15:sqref>'Fig 22 and 23'!$K$35:$Q$35</c15:sqref>
                        </c15:formulaRef>
                      </c:ext>
                    </c:extLst>
                    <c:numCache>
                      <c:formatCode>mmm\-yy</c:formatCode>
                      <c:ptCount val="7"/>
                      <c:pt idx="0">
                        <c:v>42248</c:v>
                      </c:pt>
                      <c:pt idx="1">
                        <c:v>42339</c:v>
                      </c:pt>
                      <c:pt idx="2">
                        <c:v>42430</c:v>
                      </c:pt>
                      <c:pt idx="3">
                        <c:v>42522</c:v>
                      </c:pt>
                      <c:pt idx="4">
                        <c:v>42614</c:v>
                      </c:pt>
                      <c:pt idx="5">
                        <c:v>42705</c:v>
                      </c:pt>
                      <c:pt idx="6">
                        <c:v>42795</c:v>
                      </c:pt>
                    </c:numCache>
                  </c:numRef>
                </c:cat>
                <c:val>
                  <c:numRef>
                    <c:extLst xmlns:c15="http://schemas.microsoft.com/office/drawing/2012/chart">
                      <c:ext xmlns:c15="http://schemas.microsoft.com/office/drawing/2012/chart" uri="{02D57815-91ED-43cb-92C2-25804820EDAC}">
                        <c15:formulaRef>
                          <c15:sqref>'Fig 22 and 23'!$K$39:$Q$39</c15:sqref>
                        </c15:formulaRef>
                      </c:ext>
                    </c:extLst>
                    <c:numCache>
                      <c:formatCode>0.00</c:formatCode>
                      <c:ptCount val="7"/>
                      <c:pt idx="0">
                        <c:v>0.85799999999999998</c:v>
                      </c:pt>
                      <c:pt idx="1">
                        <c:v>0.87</c:v>
                      </c:pt>
                      <c:pt idx="2">
                        <c:v>0.88400000000000001</c:v>
                      </c:pt>
                      <c:pt idx="3">
                        <c:v>0.88400000000000001</c:v>
                      </c:pt>
                      <c:pt idx="4">
                        <c:v>0.89700000000000002</c:v>
                      </c:pt>
                      <c:pt idx="5">
                        <c:v>0.88800000000000001</c:v>
                      </c:pt>
                      <c:pt idx="6">
                        <c:v>0.89300000000000002</c:v>
                      </c:pt>
                    </c:numCache>
                  </c:numRef>
                </c:val>
                <c:smooth val="0"/>
              </c15:ser>
            </c15:filteredLineSeries>
            <c15:filteredLineSeries>
              <c15:ser>
                <c:idx val="7"/>
                <c:order val="7"/>
                <c:tx>
                  <c:strRef>
                    <c:extLst xmlns:c15="http://schemas.microsoft.com/office/drawing/2012/chart">
                      <c:ext xmlns:c15="http://schemas.microsoft.com/office/drawing/2012/chart" uri="{02D57815-91ED-43cb-92C2-25804820EDAC}">
                        <c15:formulaRef>
                          <c15:sqref>'Fig 22 and 23'!$A$43</c15:sqref>
                        </c15:formulaRef>
                      </c:ext>
                    </c:extLst>
                    <c:strCache>
                      <c:ptCount val="1"/>
                      <c:pt idx="0">
                        <c:v>Waitemata</c:v>
                      </c:pt>
                    </c:strCache>
                  </c:strRef>
                </c:tx>
                <c:spPr>
                  <a:ln w="28575" cap="rnd">
                    <a:solidFill>
                      <a:schemeClr val="accent2">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'Fig 22 and 23'!$K$35:$Q$35</c15:sqref>
                        </c15:formulaRef>
                      </c:ext>
                    </c:extLst>
                    <c:numCache>
                      <c:formatCode>mmm\-yy</c:formatCode>
                      <c:ptCount val="7"/>
                      <c:pt idx="0">
                        <c:v>42248</c:v>
                      </c:pt>
                      <c:pt idx="1">
                        <c:v>42339</c:v>
                      </c:pt>
                      <c:pt idx="2">
                        <c:v>42430</c:v>
                      </c:pt>
                      <c:pt idx="3">
                        <c:v>42522</c:v>
                      </c:pt>
                      <c:pt idx="4">
                        <c:v>42614</c:v>
                      </c:pt>
                      <c:pt idx="5">
                        <c:v>42705</c:v>
                      </c:pt>
                      <c:pt idx="6">
                        <c:v>42795</c:v>
                      </c:pt>
                    </c:numCache>
                  </c:numRef>
                </c:cat>
                <c:val>
                  <c:numRef>
                    <c:extLst xmlns:c15="http://schemas.microsoft.com/office/drawing/2012/chart">
                      <c:ext xmlns:c15="http://schemas.microsoft.com/office/drawing/2012/chart" uri="{02D57815-91ED-43cb-92C2-25804820EDAC}">
                        <c15:formulaRef>
                          <c15:sqref>'Fig 22 and 23'!$K$43:$Q$43</c15:sqref>
                        </c15:formulaRef>
                      </c:ext>
                    </c:extLst>
                    <c:numCache>
                      <c:formatCode>0.00</c:formatCode>
                      <c:ptCount val="7"/>
                      <c:pt idx="0">
                        <c:v>0.84099999999999997</c:v>
                      </c:pt>
                      <c:pt idx="1">
                        <c:v>0.873</c:v>
                      </c:pt>
                      <c:pt idx="2">
                        <c:v>0.89700000000000002</c:v>
                      </c:pt>
                      <c:pt idx="3">
                        <c:v>0.89700000000000002</c:v>
                      </c:pt>
                      <c:pt idx="4">
                        <c:v>0.88600000000000001</c:v>
                      </c:pt>
                      <c:pt idx="5">
                        <c:v>0.89900000000000002</c:v>
                      </c:pt>
                      <c:pt idx="6">
                        <c:v>0.88600000000000001</c:v>
                      </c:pt>
                    </c:numCache>
                  </c:numRef>
                </c:val>
                <c:smooth val="0"/>
              </c15:ser>
            </c15:filteredLineSeries>
          </c:ext>
        </c:extLst>
      </c:lineChart>
      <c:catAx>
        <c:axId val="402852800"/>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End of</a:t>
                </a:r>
                <a:r>
                  <a:rPr lang="en-NZ" sz="900" baseline="0"/>
                  <a:t> 15-month period</a:t>
                </a:r>
                <a:endParaRPr lang="en-NZ" sz="900"/>
              </a:p>
            </c:rich>
          </c:tx>
          <c:layout>
            <c:manualLayout>
              <c:xMode val="edge"/>
              <c:yMode val="edge"/>
              <c:x val="0.36062708830536228"/>
              <c:y val="0.93600202490411966"/>
            </c:manualLayout>
          </c:layout>
          <c:overlay val="0"/>
          <c:spPr>
            <a:noFill/>
            <a:ln>
              <a:noFill/>
            </a:ln>
            <a:effectLst/>
          </c:spPr>
        </c:title>
        <c:numFmt formatCode="mmmm\ yyyy" sourceLinked="0"/>
        <c:majorTickMark val="none"/>
        <c:minorTickMark val="none"/>
        <c:tickLblPos val="none"/>
        <c:spPr>
          <a:noFill/>
          <a:ln w="9525" cap="flat" cmpd="sng" algn="ctr">
            <a:solidFill>
              <a:schemeClr val="tx1"/>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2850840"/>
        <c:crosses val="autoZero"/>
        <c:auto val="0"/>
        <c:lblAlgn val="ctr"/>
        <c:lblOffset val="100"/>
        <c:noMultiLvlLbl val="0"/>
      </c:catAx>
      <c:valAx>
        <c:axId val="402850840"/>
        <c:scaling>
          <c:orientation val="minMax"/>
          <c:min val="0.65000000000000013"/>
        </c:scaling>
        <c:delete val="0"/>
        <c:axPos val="l"/>
        <c:title>
          <c:tx>
            <c:rich>
              <a:bodyPr rot="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Percentage</a:t>
                </a:r>
              </a:p>
            </c:rich>
          </c:tx>
          <c:layout>
            <c:manualLayout>
              <c:xMode val="edge"/>
              <c:yMode val="edge"/>
              <c:x val="7.7139415814240293E-4"/>
              <c:y val="2.4405700137630154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2852800"/>
        <c:crosses val="autoZero"/>
        <c:crossBetween val="between"/>
      </c:valAx>
      <c:spPr>
        <a:noFill/>
        <a:ln>
          <a:noFill/>
        </a:ln>
        <a:effectLst/>
      </c:spPr>
    </c:plotArea>
    <c:legend>
      <c:legendPos val="r"/>
      <c:layout>
        <c:manualLayout>
          <c:xMode val="edge"/>
          <c:yMode val="edge"/>
          <c:x val="7.6925222459812648E-2"/>
          <c:y val="0.70151928696512122"/>
          <c:w val="0.89080371173181505"/>
          <c:h val="0.1165484169700081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08967183148097E-2"/>
          <c:y val="9.3650396443152484E-2"/>
          <c:w val="0.90975809291363285"/>
          <c:h val="0.51865240867990148"/>
        </c:manualLayout>
      </c:layout>
      <c:lineChart>
        <c:grouping val="standard"/>
        <c:varyColors val="0"/>
        <c:ser>
          <c:idx val="0"/>
          <c:order val="0"/>
          <c:tx>
            <c:strRef>
              <c:f>'Fig 28 and 29'!$B$3</c:f>
              <c:strCache>
                <c:ptCount val="1"/>
                <c:pt idx="0">
                  <c:v>Pacific</c:v>
                </c:pt>
              </c:strCache>
            </c:strRef>
          </c:tx>
          <c:spPr>
            <a:ln w="34925" cap="rnd">
              <a:solidFill>
                <a:schemeClr val="tx1"/>
              </a:solidFill>
              <a:round/>
            </a:ln>
            <a:effectLst/>
          </c:spPr>
          <c:marker>
            <c:symbol val="none"/>
          </c:marker>
          <c:cat>
            <c:numRef>
              <c:f>'Fig 28 and 29'!$C$2:$O$2</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28 and 29'!$C$3:$O$3</c:f>
              <c:numCache>
                <c:formatCode>0.0%</c:formatCode>
                <c:ptCount val="13"/>
                <c:pt idx="0">
                  <c:v>0.69799999999999995</c:v>
                </c:pt>
                <c:pt idx="1">
                  <c:v>0.69599999999999995</c:v>
                </c:pt>
                <c:pt idx="2">
                  <c:v>0.69699999999999995</c:v>
                </c:pt>
                <c:pt idx="3">
                  <c:v>0.72599999999999998</c:v>
                </c:pt>
                <c:pt idx="4">
                  <c:v>0.72799999999999998</c:v>
                </c:pt>
                <c:pt idx="5">
                  <c:v>0.73499999999999999</c:v>
                </c:pt>
                <c:pt idx="6">
                  <c:v>0.73899999999999999</c:v>
                </c:pt>
                <c:pt idx="7">
                  <c:v>0.745</c:v>
                </c:pt>
                <c:pt idx="8">
                  <c:v>0.76200000000000001</c:v>
                </c:pt>
                <c:pt idx="9">
                  <c:v>0.76922387524645996</c:v>
                </c:pt>
                <c:pt idx="10">
                  <c:v>0.76700000000000002</c:v>
                </c:pt>
                <c:pt idx="11">
                  <c:v>0.76500000000000001</c:v>
                </c:pt>
                <c:pt idx="12">
                  <c:v>0.75900000000000001</c:v>
                </c:pt>
              </c:numCache>
            </c:numRef>
          </c:val>
          <c:smooth val="0"/>
        </c:ser>
        <c:ser>
          <c:idx val="1"/>
          <c:order val="1"/>
          <c:tx>
            <c:strRef>
              <c:f>'Fig 28 and 29'!$B$4</c:f>
              <c:strCache>
                <c:ptCount val="1"/>
                <c:pt idx="0">
                  <c:v>Total New Zealand</c:v>
                </c:pt>
              </c:strCache>
            </c:strRef>
          </c:tx>
          <c:spPr>
            <a:ln w="34925" cap="rnd">
              <a:solidFill>
                <a:schemeClr val="tx1"/>
              </a:solidFill>
              <a:prstDash val="sysDot"/>
              <a:round/>
            </a:ln>
            <a:effectLst/>
          </c:spPr>
          <c:marker>
            <c:symbol val="none"/>
          </c:marker>
          <c:cat>
            <c:numRef>
              <c:f>'Fig 28 and 29'!$C$2:$O$2</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28 and 29'!$C$4:$O$4</c:f>
              <c:numCache>
                <c:formatCode>0.0%</c:formatCode>
                <c:ptCount val="13"/>
                <c:pt idx="0">
                  <c:v>0.77</c:v>
                </c:pt>
                <c:pt idx="1">
                  <c:v>0.76600000000000001</c:v>
                </c:pt>
                <c:pt idx="2">
                  <c:v>0.76500000000000001</c:v>
                </c:pt>
                <c:pt idx="3">
                  <c:v>0.76500000000000001</c:v>
                </c:pt>
                <c:pt idx="4">
                  <c:v>0.76300000000000001</c:v>
                </c:pt>
                <c:pt idx="5">
                  <c:v>0.76500000000000001</c:v>
                </c:pt>
                <c:pt idx="6">
                  <c:v>0.76600000000000001</c:v>
                </c:pt>
                <c:pt idx="7">
                  <c:v>0.76700000000000002</c:v>
                </c:pt>
                <c:pt idx="8">
                  <c:v>0.76600000000000001</c:v>
                </c:pt>
                <c:pt idx="9">
                  <c:v>0.76553622708472402</c:v>
                </c:pt>
                <c:pt idx="10">
                  <c:v>0.76178165825938604</c:v>
                </c:pt>
                <c:pt idx="11">
                  <c:v>0.7609999999999999</c:v>
                </c:pt>
                <c:pt idx="12">
                  <c:v>0.75700000000000001</c:v>
                </c:pt>
              </c:numCache>
            </c:numRef>
          </c:val>
          <c:smooth val="0"/>
        </c:ser>
        <c:ser>
          <c:idx val="2"/>
          <c:order val="2"/>
          <c:tx>
            <c:strRef>
              <c:f>'Fig 28 and 29'!$B$5</c:f>
              <c:strCache>
                <c:ptCount val="1"/>
                <c:pt idx="0">
                  <c:v>Target</c:v>
                </c:pt>
              </c:strCache>
            </c:strRef>
          </c:tx>
          <c:spPr>
            <a:ln w="34925" cap="rnd">
              <a:solidFill>
                <a:srgbClr val="FF0000"/>
              </a:solidFill>
              <a:round/>
            </a:ln>
            <a:effectLst/>
          </c:spPr>
          <c:marker>
            <c:symbol val="none"/>
          </c:marker>
          <c:cat>
            <c:numRef>
              <c:f>'Fig 28 and 29'!$C$2:$O$2</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28 and 29'!$C$5:$O$5</c:f>
              <c:numCache>
                <c:formatCode>0.0%</c:formatCode>
                <c:ptCount val="13"/>
                <c:pt idx="0">
                  <c:v>0.8</c:v>
                </c:pt>
                <c:pt idx="1">
                  <c:v>0.8</c:v>
                </c:pt>
                <c:pt idx="2">
                  <c:v>0.8</c:v>
                </c:pt>
                <c:pt idx="3">
                  <c:v>0.8</c:v>
                </c:pt>
                <c:pt idx="4">
                  <c:v>0.8</c:v>
                </c:pt>
                <c:pt idx="5">
                  <c:v>0.8</c:v>
                </c:pt>
                <c:pt idx="6">
                  <c:v>0.8</c:v>
                </c:pt>
                <c:pt idx="7">
                  <c:v>0.8</c:v>
                </c:pt>
                <c:pt idx="8">
                  <c:v>0.8</c:v>
                </c:pt>
                <c:pt idx="9">
                  <c:v>0.8</c:v>
                </c:pt>
                <c:pt idx="10">
                  <c:v>0.8</c:v>
                </c:pt>
                <c:pt idx="11">
                  <c:v>0.8</c:v>
                </c:pt>
                <c:pt idx="12">
                  <c:v>0.8</c:v>
                </c:pt>
              </c:numCache>
            </c:numRef>
          </c:val>
          <c:smooth val="0"/>
        </c:ser>
        <c:dLbls>
          <c:showLegendKey val="0"/>
          <c:showVal val="0"/>
          <c:showCatName val="0"/>
          <c:showSerName val="0"/>
          <c:showPercent val="0"/>
          <c:showBubbleSize val="0"/>
        </c:dLbls>
        <c:smooth val="0"/>
        <c:axId val="561011248"/>
        <c:axId val="561012816"/>
      </c:lineChart>
      <c:catAx>
        <c:axId val="56101124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sz="900"/>
                  <a:t>Quarter</a:t>
                </a:r>
              </a:p>
            </c:rich>
          </c:tx>
          <c:layout>
            <c:manualLayout>
              <c:xMode val="edge"/>
              <c:yMode val="edge"/>
              <c:x val="0.47923501062485241"/>
              <c:y val="0.94366799954639358"/>
            </c:manualLayout>
          </c:layout>
          <c:overlay val="0"/>
          <c:spPr>
            <a:noFill/>
            <a:ln>
              <a:noFill/>
            </a:ln>
            <a:effectLst/>
          </c:spPr>
        </c:title>
        <c:numFmt formatCode="mmmm\ yyyy" sourceLinked="0"/>
        <c:majorTickMark val="none"/>
        <c:minorTickMark val="none"/>
        <c:tickLblPos val="nextTo"/>
        <c:spPr>
          <a:noFill/>
          <a:ln w="9525" cap="flat" cmpd="sng" algn="ctr">
            <a:solidFill>
              <a:schemeClr val="tx1"/>
            </a:solidFill>
            <a:round/>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61012816"/>
        <c:crosses val="autoZero"/>
        <c:auto val="0"/>
        <c:lblAlgn val="ctr"/>
        <c:lblOffset val="100"/>
        <c:noMultiLvlLbl val="1"/>
      </c:catAx>
      <c:valAx>
        <c:axId val="561012816"/>
        <c:scaling>
          <c:orientation val="minMax"/>
          <c:max val="0.9"/>
          <c:min val="0.60000000000000009"/>
        </c:scaling>
        <c:delete val="0"/>
        <c:axPos val="l"/>
        <c:title>
          <c:tx>
            <c:rich>
              <a:bodyPr rot="0" spcFirstLastPara="1" vertOverflow="ellipsis"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sz="900"/>
                  <a:t>Percentage</a:t>
                </a:r>
              </a:p>
            </c:rich>
          </c:tx>
          <c:layout>
            <c:manualLayout>
              <c:xMode val="edge"/>
              <c:yMode val="edge"/>
              <c:x val="5.0597486526239371E-6"/>
              <c:y val="7.4515721557860005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61011248"/>
        <c:crosses val="autoZero"/>
        <c:crossBetween val="between"/>
      </c:valAx>
      <c:spPr>
        <a:noFill/>
        <a:ln>
          <a:noFill/>
        </a:ln>
        <a:effectLst/>
      </c:spPr>
    </c:plotArea>
    <c:legend>
      <c:legendPos val="r"/>
      <c:layout>
        <c:manualLayout>
          <c:xMode val="edge"/>
          <c:yMode val="edge"/>
          <c:x val="0.64999759618723241"/>
          <c:y val="0.43237433545093373"/>
          <c:w val="0.33371745424630606"/>
          <c:h val="0.169729431404879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33309976846147E-2"/>
          <c:y val="0.11079815121680514"/>
          <c:w val="0.92076662760553862"/>
          <c:h val="0.50101490128156634"/>
        </c:manualLayout>
      </c:layout>
      <c:lineChart>
        <c:grouping val="standard"/>
        <c:varyColors val="0"/>
        <c:ser>
          <c:idx val="0"/>
          <c:order val="0"/>
          <c:tx>
            <c:strRef>
              <c:f>'Fig 28 and 29'!$B$33</c:f>
              <c:strCache>
                <c:ptCount val="1"/>
                <c:pt idx="0">
                  <c:v>Auckland</c:v>
                </c:pt>
              </c:strCache>
            </c:strRef>
          </c:tx>
          <c:spPr>
            <a:ln w="34925" cap="rnd">
              <a:solidFill>
                <a:schemeClr val="tx1"/>
              </a:solidFill>
              <a:round/>
            </a:ln>
            <a:effectLst/>
          </c:spPr>
          <c:marker>
            <c:symbol val="none"/>
          </c:marker>
          <c:cat>
            <c:numRef>
              <c:f>'Fig 28 and 29'!$C$32:$O$32</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28 and 29'!$C$33:$O$33</c:f>
              <c:numCache>
                <c:formatCode>0.0%</c:formatCode>
                <c:ptCount val="13"/>
                <c:pt idx="0">
                  <c:v>0.85699999999999998</c:v>
                </c:pt>
                <c:pt idx="1">
                  <c:v>0.84</c:v>
                </c:pt>
                <c:pt idx="2">
                  <c:v>0.83499999999999996</c:v>
                </c:pt>
                <c:pt idx="3">
                  <c:v>0.80200000000000005</c:v>
                </c:pt>
                <c:pt idx="4">
                  <c:v>0.80100000000000005</c:v>
                </c:pt>
                <c:pt idx="5">
                  <c:v>0.80600000000000005</c:v>
                </c:pt>
                <c:pt idx="6">
                  <c:v>0.80900000000000005</c:v>
                </c:pt>
                <c:pt idx="7">
                  <c:v>0.81899999999999995</c:v>
                </c:pt>
                <c:pt idx="8">
                  <c:v>0.77700000000000002</c:v>
                </c:pt>
                <c:pt idx="9">
                  <c:v>0.78237249655396102</c:v>
                </c:pt>
                <c:pt idx="10">
                  <c:v>0.74688473520249221</c:v>
                </c:pt>
                <c:pt idx="11">
                  <c:v>0.7265467514343309</c:v>
                </c:pt>
                <c:pt idx="12">
                  <c:v>0.72</c:v>
                </c:pt>
              </c:numCache>
            </c:numRef>
          </c:val>
          <c:smooth val="0"/>
        </c:ser>
        <c:ser>
          <c:idx val="1"/>
          <c:order val="1"/>
          <c:tx>
            <c:strRef>
              <c:f>'Fig 28 and 29'!$B$36</c:f>
              <c:strCache>
                <c:ptCount val="1"/>
                <c:pt idx="0">
                  <c:v>Counties Manukau</c:v>
                </c:pt>
              </c:strCache>
            </c:strRef>
          </c:tx>
          <c:spPr>
            <a:ln w="34925" cap="rnd">
              <a:solidFill>
                <a:schemeClr val="bg1">
                  <a:lumMod val="65000"/>
                </a:schemeClr>
              </a:solidFill>
              <a:prstDash val="solid"/>
              <a:round/>
            </a:ln>
            <a:effectLst/>
          </c:spPr>
          <c:marker>
            <c:symbol val="none"/>
          </c:marker>
          <c:cat>
            <c:numRef>
              <c:f>'Fig 28 and 29'!$C$32:$O$32</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28 and 29'!$C$36:$O$36</c:f>
              <c:numCache>
                <c:formatCode>0.0%</c:formatCode>
                <c:ptCount val="13"/>
                <c:pt idx="0">
                  <c:v>0.64900000000000002</c:v>
                </c:pt>
                <c:pt idx="1">
                  <c:v>0.65100000000000002</c:v>
                </c:pt>
                <c:pt idx="2">
                  <c:v>0.65100000000000002</c:v>
                </c:pt>
                <c:pt idx="3">
                  <c:v>0.73199999999999998</c:v>
                </c:pt>
                <c:pt idx="4">
                  <c:v>0.73399999999999999</c:v>
                </c:pt>
                <c:pt idx="5">
                  <c:v>0.747</c:v>
                </c:pt>
                <c:pt idx="6">
                  <c:v>0.753</c:v>
                </c:pt>
                <c:pt idx="7">
                  <c:v>0.76300000000000001</c:v>
                </c:pt>
                <c:pt idx="8">
                  <c:v>0.80100000000000005</c:v>
                </c:pt>
                <c:pt idx="9">
                  <c:v>0.81486449169592501</c:v>
                </c:pt>
                <c:pt idx="10">
                  <c:v>0.81908893709327546</c:v>
                </c:pt>
                <c:pt idx="11">
                  <c:v>0.82192263980875491</c:v>
                </c:pt>
                <c:pt idx="12">
                  <c:v>0.81700000000000006</c:v>
                </c:pt>
              </c:numCache>
            </c:numRef>
          </c:val>
          <c:smooth val="0"/>
        </c:ser>
        <c:ser>
          <c:idx val="2"/>
          <c:order val="2"/>
          <c:tx>
            <c:strRef>
              <c:f>'Fig 28 and 29'!$B$40</c:f>
              <c:strCache>
                <c:ptCount val="1"/>
                <c:pt idx="0">
                  <c:v>Waitemata</c:v>
                </c:pt>
              </c:strCache>
            </c:strRef>
          </c:tx>
          <c:spPr>
            <a:ln w="34925" cap="rnd">
              <a:solidFill>
                <a:schemeClr val="bg1">
                  <a:lumMod val="85000"/>
                </a:schemeClr>
              </a:solidFill>
              <a:prstDash val="solid"/>
              <a:round/>
            </a:ln>
            <a:effectLst/>
          </c:spPr>
          <c:marker>
            <c:symbol val="none"/>
          </c:marker>
          <c:cat>
            <c:numRef>
              <c:f>'Fig 28 and 29'!$C$32:$O$32</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28 and 29'!$C$40:$O$40</c:f>
              <c:numCache>
                <c:formatCode>0.0%</c:formatCode>
                <c:ptCount val="13"/>
                <c:pt idx="0">
                  <c:v>0.67200000000000004</c:v>
                </c:pt>
                <c:pt idx="1">
                  <c:v>0.67600000000000005</c:v>
                </c:pt>
                <c:pt idx="2">
                  <c:v>0.68100000000000005</c:v>
                </c:pt>
                <c:pt idx="3">
                  <c:v>0.70499999999999996</c:v>
                </c:pt>
                <c:pt idx="4">
                  <c:v>0.71199999999999997</c:v>
                </c:pt>
                <c:pt idx="5">
                  <c:v>0.72699999999999998</c:v>
                </c:pt>
                <c:pt idx="6">
                  <c:v>0.72599999999999998</c:v>
                </c:pt>
                <c:pt idx="7">
                  <c:v>0.73099999999999998</c:v>
                </c:pt>
                <c:pt idx="8">
                  <c:v>0.76200000000000001</c:v>
                </c:pt>
                <c:pt idx="9">
                  <c:v>0.76765083440308102</c:v>
                </c:pt>
                <c:pt idx="10">
                  <c:v>0.74703847363455289</c:v>
                </c:pt>
                <c:pt idx="11">
                  <c:v>0.74684600145970181</c:v>
                </c:pt>
                <c:pt idx="12">
                  <c:v>0.7340000000000001</c:v>
                </c:pt>
              </c:numCache>
            </c:numRef>
          </c:val>
          <c:smooth val="0"/>
        </c:ser>
        <c:ser>
          <c:idx val="3"/>
          <c:order val="3"/>
          <c:tx>
            <c:strRef>
              <c:f>'Fig 28 and 29'!$B$41</c:f>
              <c:strCache>
                <c:ptCount val="1"/>
                <c:pt idx="0">
                  <c:v>Target</c:v>
                </c:pt>
              </c:strCache>
            </c:strRef>
          </c:tx>
          <c:spPr>
            <a:ln w="34925" cap="rnd">
              <a:solidFill>
                <a:srgbClr val="FF0000"/>
              </a:solidFill>
              <a:round/>
            </a:ln>
            <a:effectLst/>
          </c:spPr>
          <c:marker>
            <c:symbol val="none"/>
          </c:marker>
          <c:cat>
            <c:numRef>
              <c:f>'Fig 28 and 29'!$C$32:$O$32</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28 and 29'!$C$41:$O$41</c:f>
              <c:numCache>
                <c:formatCode>0.0%</c:formatCode>
                <c:ptCount val="13"/>
                <c:pt idx="0">
                  <c:v>0.8</c:v>
                </c:pt>
                <c:pt idx="1">
                  <c:v>0.8</c:v>
                </c:pt>
                <c:pt idx="2">
                  <c:v>0.8</c:v>
                </c:pt>
                <c:pt idx="3">
                  <c:v>0.8</c:v>
                </c:pt>
                <c:pt idx="4">
                  <c:v>0.8</c:v>
                </c:pt>
                <c:pt idx="5">
                  <c:v>0.8</c:v>
                </c:pt>
                <c:pt idx="6">
                  <c:v>0.8</c:v>
                </c:pt>
                <c:pt idx="7">
                  <c:v>0.8</c:v>
                </c:pt>
                <c:pt idx="8">
                  <c:v>0.8</c:v>
                </c:pt>
                <c:pt idx="9">
                  <c:v>0.8</c:v>
                </c:pt>
                <c:pt idx="10">
                  <c:v>0.8</c:v>
                </c:pt>
                <c:pt idx="11">
                  <c:v>0.8</c:v>
                </c:pt>
                <c:pt idx="12">
                  <c:v>0.8</c:v>
                </c:pt>
              </c:numCache>
            </c:numRef>
          </c:val>
          <c:smooth val="0"/>
        </c:ser>
        <c:dLbls>
          <c:showLegendKey val="0"/>
          <c:showVal val="0"/>
          <c:showCatName val="0"/>
          <c:showSerName val="0"/>
          <c:showPercent val="0"/>
          <c:showBubbleSize val="0"/>
        </c:dLbls>
        <c:smooth val="0"/>
        <c:axId val="561010856"/>
        <c:axId val="561012424"/>
      </c:lineChart>
      <c:catAx>
        <c:axId val="561010856"/>
        <c:scaling>
          <c:orientation val="minMax"/>
        </c:scaling>
        <c:delete val="0"/>
        <c:axPos val="b"/>
        <c:title>
          <c:tx>
            <c:rich>
              <a:bodyPr rot="0" vert="horz"/>
              <a:lstStyle/>
              <a:p>
                <a:pPr>
                  <a:defRPr/>
                </a:pPr>
                <a:r>
                  <a:rPr lang="en-NZ"/>
                  <a:t>Quarter</a:t>
                </a:r>
              </a:p>
            </c:rich>
          </c:tx>
          <c:layout>
            <c:manualLayout>
              <c:xMode val="edge"/>
              <c:yMode val="edge"/>
              <c:x val="0.49040691684842819"/>
              <c:y val="0.93810350984858726"/>
            </c:manualLayout>
          </c:layout>
          <c:overlay val="0"/>
          <c:spPr>
            <a:noFill/>
            <a:ln>
              <a:noFill/>
            </a:ln>
            <a:effectLst/>
          </c:spPr>
        </c:title>
        <c:numFmt formatCode="mmmm\ yyyy" sourceLinked="0"/>
        <c:majorTickMark val="none"/>
        <c:minorTickMark val="none"/>
        <c:tickLblPos val="nextTo"/>
        <c:spPr>
          <a:noFill/>
          <a:ln w="9525" cap="flat" cmpd="sng" algn="ctr">
            <a:solidFill>
              <a:schemeClr val="tx1"/>
            </a:solidFill>
            <a:round/>
          </a:ln>
          <a:effectLst/>
        </c:spPr>
        <c:txPr>
          <a:bodyPr rot="-5400000" vert="horz"/>
          <a:lstStyle/>
          <a:p>
            <a:pPr>
              <a:defRPr/>
            </a:pPr>
            <a:endParaRPr lang="en-US"/>
          </a:p>
        </c:txPr>
        <c:crossAx val="561012424"/>
        <c:crossesAt val="0.5"/>
        <c:auto val="0"/>
        <c:lblAlgn val="ctr"/>
        <c:lblOffset val="100"/>
        <c:noMultiLvlLbl val="1"/>
      </c:catAx>
      <c:valAx>
        <c:axId val="561012424"/>
        <c:scaling>
          <c:orientation val="minMax"/>
          <c:max val="0.9"/>
          <c:min val="0.60000000000000009"/>
        </c:scaling>
        <c:delete val="0"/>
        <c:axPos val="l"/>
        <c:title>
          <c:tx>
            <c:rich>
              <a:bodyPr rot="0"/>
              <a:lstStyle/>
              <a:p>
                <a:pPr>
                  <a:defRPr/>
                </a:pPr>
                <a:r>
                  <a:rPr lang="en-NZ"/>
                  <a:t>Percentage</a:t>
                </a:r>
              </a:p>
            </c:rich>
          </c:tx>
          <c:layout>
            <c:manualLayout>
              <c:xMode val="edge"/>
              <c:yMode val="edge"/>
              <c:x val="1.3244328283471547E-3"/>
              <c:y val="8.6663638775592803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561010856"/>
        <c:crosses val="autoZero"/>
        <c:crossBetween val="between"/>
      </c:valAx>
      <c:spPr>
        <a:noFill/>
        <a:ln>
          <a:noFill/>
        </a:ln>
        <a:effectLst/>
      </c:spPr>
    </c:plotArea>
    <c:legend>
      <c:legendPos val="r"/>
      <c:layout>
        <c:manualLayout>
          <c:xMode val="edge"/>
          <c:yMode val="edge"/>
          <c:x val="0.38496405366632125"/>
          <c:y val="6.429440705644951E-2"/>
          <c:w val="0.61145790339799566"/>
          <c:h val="0.12696891715320105"/>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957581093685006E-2"/>
          <c:y val="9.0459918069604336E-2"/>
          <c:w val="0.91655994836693999"/>
          <c:h val="0.52855218097619194"/>
        </c:manualLayout>
      </c:layout>
      <c:lineChart>
        <c:grouping val="standard"/>
        <c:varyColors val="0"/>
        <c:ser>
          <c:idx val="0"/>
          <c:order val="0"/>
          <c:tx>
            <c:strRef>
              <c:f>'Fig 28 and 29'!$B$34</c:f>
              <c:strCache>
                <c:ptCount val="1"/>
                <c:pt idx="0">
                  <c:v>Canterbury</c:v>
                </c:pt>
              </c:strCache>
            </c:strRef>
          </c:tx>
          <c:spPr>
            <a:ln w="34925" cap="rnd">
              <a:solidFill>
                <a:schemeClr val="tx1"/>
              </a:solidFill>
              <a:round/>
            </a:ln>
            <a:effectLst/>
          </c:spPr>
          <c:marker>
            <c:symbol val="none"/>
          </c:marker>
          <c:cat>
            <c:numRef>
              <c:f>'Fig 28 and 29'!$C$32:$O$32</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28 and 29'!$C$34:$O$34</c:f>
              <c:numCache>
                <c:formatCode>0.0%</c:formatCode>
                <c:ptCount val="13"/>
                <c:pt idx="0">
                  <c:v>0.68200000000000005</c:v>
                </c:pt>
                <c:pt idx="1">
                  <c:v>0.69799999999999995</c:v>
                </c:pt>
                <c:pt idx="2">
                  <c:v>0.69599999999999995</c:v>
                </c:pt>
                <c:pt idx="3">
                  <c:v>0.71</c:v>
                </c:pt>
                <c:pt idx="4">
                  <c:v>0.71599999999999997</c:v>
                </c:pt>
                <c:pt idx="5">
                  <c:v>0.72599999999999998</c:v>
                </c:pt>
                <c:pt idx="6">
                  <c:v>0.73199999999999998</c:v>
                </c:pt>
                <c:pt idx="7">
                  <c:v>0.73099999999999998</c:v>
                </c:pt>
                <c:pt idx="8">
                  <c:v>0.72</c:v>
                </c:pt>
                <c:pt idx="9">
                  <c:v>0.72183228666420396</c:v>
                </c:pt>
                <c:pt idx="10">
                  <c:v>0.71778916544655935</c:v>
                </c:pt>
                <c:pt idx="11">
                  <c:v>0.74109090909090913</c:v>
                </c:pt>
                <c:pt idx="12">
                  <c:v>0.73499999999999999</c:v>
                </c:pt>
              </c:numCache>
            </c:numRef>
          </c:val>
          <c:smooth val="0"/>
        </c:ser>
        <c:ser>
          <c:idx val="1"/>
          <c:order val="1"/>
          <c:tx>
            <c:strRef>
              <c:f>'Fig 28 and 29'!$B$35</c:f>
              <c:strCache>
                <c:ptCount val="1"/>
                <c:pt idx="0">
                  <c:v>Capital &amp; Coast</c:v>
                </c:pt>
              </c:strCache>
            </c:strRef>
          </c:tx>
          <c:spPr>
            <a:ln w="34925" cap="rnd">
              <a:solidFill>
                <a:schemeClr val="bg1">
                  <a:lumMod val="65000"/>
                </a:schemeClr>
              </a:solidFill>
              <a:prstDash val="solid"/>
              <a:round/>
            </a:ln>
            <a:effectLst/>
          </c:spPr>
          <c:marker>
            <c:symbol val="none"/>
          </c:marker>
          <c:cat>
            <c:numRef>
              <c:f>'Fig 28 and 29'!$C$32:$O$32</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28 and 29'!$C$35:$O$35</c:f>
              <c:numCache>
                <c:formatCode>0.0%</c:formatCode>
                <c:ptCount val="13"/>
                <c:pt idx="0">
                  <c:v>0.625</c:v>
                </c:pt>
                <c:pt idx="1">
                  <c:v>0.622</c:v>
                </c:pt>
                <c:pt idx="2">
                  <c:v>0.61799999999999999</c:v>
                </c:pt>
                <c:pt idx="3">
                  <c:v>0.66</c:v>
                </c:pt>
                <c:pt idx="4">
                  <c:v>0.66200000000000003</c:v>
                </c:pt>
                <c:pt idx="5">
                  <c:v>0.66</c:v>
                </c:pt>
                <c:pt idx="6">
                  <c:v>0.66100000000000003</c:v>
                </c:pt>
                <c:pt idx="7">
                  <c:v>0.65500000000000003</c:v>
                </c:pt>
                <c:pt idx="8">
                  <c:v>0.66700000000000004</c:v>
                </c:pt>
                <c:pt idx="9">
                  <c:v>0.66647173489278799</c:v>
                </c:pt>
                <c:pt idx="10">
                  <c:v>0.6834230999401556</c:v>
                </c:pt>
                <c:pt idx="11">
                  <c:v>0.67888446215139442</c:v>
                </c:pt>
                <c:pt idx="12">
                  <c:v>0.67099999999999993</c:v>
                </c:pt>
              </c:numCache>
            </c:numRef>
          </c:val>
          <c:smooth val="0"/>
        </c:ser>
        <c:ser>
          <c:idx val="2"/>
          <c:order val="2"/>
          <c:tx>
            <c:strRef>
              <c:f>'Fig 28 and 29'!$B$37</c:f>
              <c:strCache>
                <c:ptCount val="1"/>
                <c:pt idx="0">
                  <c:v>Hawke's Bay</c:v>
                </c:pt>
              </c:strCache>
            </c:strRef>
          </c:tx>
          <c:spPr>
            <a:ln w="34925" cap="rnd">
              <a:solidFill>
                <a:schemeClr val="bg1">
                  <a:lumMod val="85000"/>
                </a:schemeClr>
              </a:solidFill>
              <a:prstDash val="solid"/>
              <a:round/>
            </a:ln>
            <a:effectLst/>
          </c:spPr>
          <c:marker>
            <c:symbol val="none"/>
          </c:marker>
          <c:cat>
            <c:numRef>
              <c:f>'Fig 28 and 29'!$C$32:$O$32</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28 and 29'!$C$37:$O$37</c:f>
              <c:numCache>
                <c:formatCode>0.0%</c:formatCode>
                <c:ptCount val="13"/>
                <c:pt idx="0">
                  <c:v>0.83899999999999997</c:v>
                </c:pt>
                <c:pt idx="1">
                  <c:v>0.82499999999999996</c:v>
                </c:pt>
                <c:pt idx="2">
                  <c:v>0.81699999999999995</c:v>
                </c:pt>
                <c:pt idx="3">
                  <c:v>0.72799999999999998</c:v>
                </c:pt>
                <c:pt idx="4">
                  <c:v>0.72599999999999998</c:v>
                </c:pt>
                <c:pt idx="5">
                  <c:v>0.72099999999999997</c:v>
                </c:pt>
                <c:pt idx="6">
                  <c:v>0.71199999999999997</c:v>
                </c:pt>
                <c:pt idx="7">
                  <c:v>0.71199999999999997</c:v>
                </c:pt>
                <c:pt idx="8">
                  <c:v>0.70399999999999996</c:v>
                </c:pt>
                <c:pt idx="9">
                  <c:v>0.71355060034305295</c:v>
                </c:pt>
                <c:pt idx="10">
                  <c:v>0.74597495527728086</c:v>
                </c:pt>
                <c:pt idx="11">
                  <c:v>0.73351158645276293</c:v>
                </c:pt>
                <c:pt idx="12">
                  <c:v>0.73799999999999999</c:v>
                </c:pt>
              </c:numCache>
            </c:numRef>
          </c:val>
          <c:smooth val="0"/>
        </c:ser>
        <c:ser>
          <c:idx val="3"/>
          <c:order val="3"/>
          <c:tx>
            <c:strRef>
              <c:f>'Fig 28 and 29'!$B$38</c:f>
              <c:strCache>
                <c:ptCount val="1"/>
                <c:pt idx="0">
                  <c:v>Hutt Valley</c:v>
                </c:pt>
              </c:strCache>
            </c:strRef>
          </c:tx>
          <c:spPr>
            <a:ln w="34925" cap="rnd">
              <a:solidFill>
                <a:schemeClr val="bg1">
                  <a:lumMod val="65000"/>
                </a:schemeClr>
              </a:solidFill>
              <a:prstDash val="sysDot"/>
              <a:round/>
            </a:ln>
            <a:effectLst/>
          </c:spPr>
          <c:marker>
            <c:symbol val="none"/>
          </c:marker>
          <c:cat>
            <c:numRef>
              <c:f>'Fig 28 and 29'!$C$32:$O$32</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28 and 29'!$C$38:$O$38</c:f>
              <c:numCache>
                <c:formatCode>0.0%</c:formatCode>
                <c:ptCount val="13"/>
                <c:pt idx="0">
                  <c:v>0.64900000000000002</c:v>
                </c:pt>
                <c:pt idx="1">
                  <c:v>0.64100000000000001</c:v>
                </c:pt>
                <c:pt idx="2">
                  <c:v>0.66600000000000004</c:v>
                </c:pt>
                <c:pt idx="3">
                  <c:v>0.72</c:v>
                </c:pt>
                <c:pt idx="4">
                  <c:v>0.71</c:v>
                </c:pt>
                <c:pt idx="5">
                  <c:v>0.70599999999999996</c:v>
                </c:pt>
                <c:pt idx="6">
                  <c:v>0.71499999999999997</c:v>
                </c:pt>
                <c:pt idx="7">
                  <c:v>0.71</c:v>
                </c:pt>
                <c:pt idx="8">
                  <c:v>0.70299999999999996</c:v>
                </c:pt>
                <c:pt idx="9">
                  <c:v>0.71199999999999997</c:v>
                </c:pt>
                <c:pt idx="10">
                  <c:v>0.73382696804364766</c:v>
                </c:pt>
                <c:pt idx="11">
                  <c:v>0.73141300116776953</c:v>
                </c:pt>
                <c:pt idx="12">
                  <c:v>0.71400000000000008</c:v>
                </c:pt>
              </c:numCache>
            </c:numRef>
          </c:val>
          <c:smooth val="0"/>
        </c:ser>
        <c:ser>
          <c:idx val="4"/>
          <c:order val="4"/>
          <c:tx>
            <c:strRef>
              <c:f>'Fig 28 and 29'!$B$39</c:f>
              <c:strCache>
                <c:ptCount val="1"/>
                <c:pt idx="0">
                  <c:v>Waikato</c:v>
                </c:pt>
              </c:strCache>
            </c:strRef>
          </c:tx>
          <c:spPr>
            <a:ln w="34925" cap="rnd">
              <a:solidFill>
                <a:schemeClr val="bg1">
                  <a:lumMod val="85000"/>
                </a:schemeClr>
              </a:solidFill>
              <a:prstDash val="sysDot"/>
              <a:round/>
            </a:ln>
            <a:effectLst/>
          </c:spPr>
          <c:marker>
            <c:symbol val="none"/>
          </c:marker>
          <c:cat>
            <c:numRef>
              <c:f>'Fig 28 and 29'!$C$32:$O$32</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28 and 29'!$C$39:$O$39</c:f>
              <c:numCache>
                <c:formatCode>0.0%</c:formatCode>
                <c:ptCount val="13"/>
                <c:pt idx="0">
                  <c:v>0.67500000000000004</c:v>
                </c:pt>
                <c:pt idx="1">
                  <c:v>0.67300000000000004</c:v>
                </c:pt>
                <c:pt idx="2">
                  <c:v>0.67800000000000005</c:v>
                </c:pt>
                <c:pt idx="3">
                  <c:v>0.64800000000000002</c:v>
                </c:pt>
                <c:pt idx="4">
                  <c:v>0.65</c:v>
                </c:pt>
                <c:pt idx="5">
                  <c:v>0.65900000000000003</c:v>
                </c:pt>
                <c:pt idx="6">
                  <c:v>0.65700000000000003</c:v>
                </c:pt>
                <c:pt idx="7">
                  <c:v>0.66700000000000004</c:v>
                </c:pt>
                <c:pt idx="8">
                  <c:v>0.75</c:v>
                </c:pt>
                <c:pt idx="9">
                  <c:v>0.75922088686282596</c:v>
                </c:pt>
                <c:pt idx="10">
                  <c:v>0.7806691449814126</c:v>
                </c:pt>
                <c:pt idx="11">
                  <c:v>0.78880718954248363</c:v>
                </c:pt>
                <c:pt idx="12">
                  <c:v>0.79200000000000004</c:v>
                </c:pt>
              </c:numCache>
            </c:numRef>
          </c:val>
          <c:smooth val="0"/>
        </c:ser>
        <c:ser>
          <c:idx val="5"/>
          <c:order val="5"/>
          <c:tx>
            <c:strRef>
              <c:f>'Fig 28 and 29'!$B$41</c:f>
              <c:strCache>
                <c:ptCount val="1"/>
                <c:pt idx="0">
                  <c:v>Target</c:v>
                </c:pt>
              </c:strCache>
            </c:strRef>
          </c:tx>
          <c:spPr>
            <a:ln w="34925" cap="rnd">
              <a:solidFill>
                <a:srgbClr val="FF0000"/>
              </a:solidFill>
              <a:round/>
            </a:ln>
            <a:effectLst/>
          </c:spPr>
          <c:marker>
            <c:symbol val="none"/>
          </c:marker>
          <c:cat>
            <c:numRef>
              <c:f>'Fig 28 and 29'!$C$32:$O$32</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28 and 29'!$C$41:$O$41</c:f>
              <c:numCache>
                <c:formatCode>0.0%</c:formatCode>
                <c:ptCount val="13"/>
                <c:pt idx="0">
                  <c:v>0.8</c:v>
                </c:pt>
                <c:pt idx="1">
                  <c:v>0.8</c:v>
                </c:pt>
                <c:pt idx="2">
                  <c:v>0.8</c:v>
                </c:pt>
                <c:pt idx="3">
                  <c:v>0.8</c:v>
                </c:pt>
                <c:pt idx="4">
                  <c:v>0.8</c:v>
                </c:pt>
                <c:pt idx="5">
                  <c:v>0.8</c:v>
                </c:pt>
                <c:pt idx="6">
                  <c:v>0.8</c:v>
                </c:pt>
                <c:pt idx="7">
                  <c:v>0.8</c:v>
                </c:pt>
                <c:pt idx="8">
                  <c:v>0.8</c:v>
                </c:pt>
                <c:pt idx="9">
                  <c:v>0.8</c:v>
                </c:pt>
                <c:pt idx="10">
                  <c:v>0.8</c:v>
                </c:pt>
                <c:pt idx="11">
                  <c:v>0.8</c:v>
                </c:pt>
                <c:pt idx="12">
                  <c:v>0.8</c:v>
                </c:pt>
              </c:numCache>
            </c:numRef>
          </c:val>
          <c:smooth val="0"/>
        </c:ser>
        <c:dLbls>
          <c:showLegendKey val="0"/>
          <c:showVal val="0"/>
          <c:showCatName val="0"/>
          <c:showSerName val="0"/>
          <c:showPercent val="0"/>
          <c:showBubbleSize val="0"/>
        </c:dLbls>
        <c:smooth val="0"/>
        <c:axId val="561322640"/>
        <c:axId val="561323032"/>
      </c:lineChart>
      <c:catAx>
        <c:axId val="561322640"/>
        <c:scaling>
          <c:orientation val="minMax"/>
        </c:scaling>
        <c:delete val="0"/>
        <c:axPos val="b"/>
        <c:title>
          <c:tx>
            <c:rich>
              <a:bodyPr rot="0" vert="horz"/>
              <a:lstStyle/>
              <a:p>
                <a:pPr>
                  <a:defRPr/>
                </a:pPr>
                <a:r>
                  <a:rPr lang="en-NZ"/>
                  <a:t>Quarter</a:t>
                </a:r>
              </a:p>
            </c:rich>
          </c:tx>
          <c:layout>
            <c:manualLayout>
              <c:xMode val="edge"/>
              <c:yMode val="edge"/>
              <c:x val="0.47820210042850303"/>
              <c:y val="0.95486715773431552"/>
            </c:manualLayout>
          </c:layout>
          <c:overlay val="0"/>
          <c:spPr>
            <a:noFill/>
            <a:ln>
              <a:noFill/>
            </a:ln>
            <a:effectLst/>
          </c:spPr>
        </c:title>
        <c:numFmt formatCode="mmmm\ yyyy" sourceLinked="0"/>
        <c:majorTickMark val="none"/>
        <c:minorTickMark val="none"/>
        <c:tickLblPos val="nextTo"/>
        <c:spPr>
          <a:noFill/>
          <a:ln w="9525" cap="flat" cmpd="sng" algn="ctr">
            <a:solidFill>
              <a:schemeClr val="tx1"/>
            </a:solidFill>
            <a:round/>
          </a:ln>
          <a:effectLst/>
        </c:spPr>
        <c:txPr>
          <a:bodyPr rot="-5400000" vert="horz"/>
          <a:lstStyle/>
          <a:p>
            <a:pPr>
              <a:defRPr/>
            </a:pPr>
            <a:endParaRPr lang="en-US"/>
          </a:p>
        </c:txPr>
        <c:crossAx val="561323032"/>
        <c:crossesAt val="0.5"/>
        <c:auto val="0"/>
        <c:lblAlgn val="ctr"/>
        <c:lblOffset val="100"/>
        <c:noMultiLvlLbl val="1"/>
      </c:catAx>
      <c:valAx>
        <c:axId val="561323032"/>
        <c:scaling>
          <c:orientation val="minMax"/>
          <c:max val="0.9"/>
          <c:min val="0.5"/>
        </c:scaling>
        <c:delete val="0"/>
        <c:axPos val="l"/>
        <c:title>
          <c:tx>
            <c:rich>
              <a:bodyPr rot="0"/>
              <a:lstStyle/>
              <a:p>
                <a:pPr>
                  <a:defRPr/>
                </a:pPr>
                <a:r>
                  <a:rPr lang="en-NZ"/>
                  <a:t>Percentage</a:t>
                </a:r>
              </a:p>
            </c:rich>
          </c:tx>
          <c:layout>
            <c:manualLayout>
              <c:xMode val="edge"/>
              <c:yMode val="edge"/>
              <c:x val="1.3244328283471547E-3"/>
              <c:y val="1.0515621031242062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561322640"/>
        <c:crosses val="autoZero"/>
        <c:crossBetween val="between"/>
      </c:valAx>
      <c:spPr>
        <a:noFill/>
        <a:ln>
          <a:noFill/>
        </a:ln>
        <a:effectLst/>
      </c:spPr>
    </c:plotArea>
    <c:legend>
      <c:legendPos val="r"/>
      <c:layout>
        <c:manualLayout>
          <c:xMode val="edge"/>
          <c:yMode val="edge"/>
          <c:x val="7.4516815836948302E-2"/>
          <c:y val="0.49598809832437829"/>
          <c:w val="0.92173934373603539"/>
          <c:h val="0.11666753642302419"/>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589436594398302E-2"/>
          <c:y val="0.11786691899564057"/>
          <c:w val="0.91517684794186815"/>
          <c:h val="0.72816597876909483"/>
        </c:manualLayout>
      </c:layout>
      <c:lineChart>
        <c:grouping val="standard"/>
        <c:varyColors val="0"/>
        <c:ser>
          <c:idx val="0"/>
          <c:order val="0"/>
          <c:tx>
            <c:strRef>
              <c:f>'Fig 36 and 37'!$A$5</c:f>
              <c:strCache>
                <c:ptCount val="1"/>
                <c:pt idx="0">
                  <c:v>Pacific</c:v>
                </c:pt>
              </c:strCache>
            </c:strRef>
          </c:tx>
          <c:spPr>
            <a:ln w="34925" cap="rnd">
              <a:solidFill>
                <a:schemeClr val="tx1"/>
              </a:solidFill>
              <a:round/>
            </a:ln>
            <a:effectLst/>
          </c:spPr>
          <c:marker>
            <c:symbol val="none"/>
          </c:marker>
          <c:cat>
            <c:numRef>
              <c:f>'Fig 36 and 37'!$B$4:$H$4</c:f>
              <c:numCache>
                <c:formatCode>General</c:formatCode>
                <c:ptCount val="7"/>
                <c:pt idx="0">
                  <c:v>2010</c:v>
                </c:pt>
                <c:pt idx="1">
                  <c:v>2011</c:v>
                </c:pt>
                <c:pt idx="2">
                  <c:v>2012</c:v>
                </c:pt>
                <c:pt idx="3">
                  <c:v>2013</c:v>
                </c:pt>
                <c:pt idx="4">
                  <c:v>2014</c:v>
                </c:pt>
                <c:pt idx="5">
                  <c:v>2015</c:v>
                </c:pt>
                <c:pt idx="6">
                  <c:v>2016</c:v>
                </c:pt>
              </c:numCache>
            </c:numRef>
          </c:cat>
          <c:val>
            <c:numRef>
              <c:f>'Fig 36 and 37'!$B$5:$H$5</c:f>
              <c:numCache>
                <c:formatCode>0.00%</c:formatCode>
                <c:ptCount val="7"/>
                <c:pt idx="0">
                  <c:v>7.6200000000000004E-2</c:v>
                </c:pt>
                <c:pt idx="1">
                  <c:v>8.0500000000000002E-2</c:v>
                </c:pt>
                <c:pt idx="2">
                  <c:v>8.5400000000000004E-2</c:v>
                </c:pt>
                <c:pt idx="3">
                  <c:v>9.06E-2</c:v>
                </c:pt>
                <c:pt idx="4">
                  <c:v>9.5899999999999999E-2</c:v>
                </c:pt>
                <c:pt idx="5">
                  <c:v>9.9599999999999994E-2</c:v>
                </c:pt>
                <c:pt idx="6" formatCode="0.0%">
                  <c:v>0.10184801739310488</c:v>
                </c:pt>
              </c:numCache>
            </c:numRef>
          </c:val>
          <c:smooth val="0"/>
        </c:ser>
        <c:ser>
          <c:idx val="1"/>
          <c:order val="1"/>
          <c:tx>
            <c:strRef>
              <c:f>'Fig 36 and 37'!$A$6</c:f>
              <c:strCache>
                <c:ptCount val="1"/>
                <c:pt idx="0">
                  <c:v>Total New Zealand</c:v>
                </c:pt>
              </c:strCache>
            </c:strRef>
          </c:tx>
          <c:spPr>
            <a:ln w="34925" cap="rnd">
              <a:solidFill>
                <a:schemeClr val="tx1"/>
              </a:solidFill>
              <a:prstDash val="sysDot"/>
              <a:round/>
            </a:ln>
            <a:effectLst/>
          </c:spPr>
          <c:marker>
            <c:symbol val="none"/>
          </c:marker>
          <c:cat>
            <c:numRef>
              <c:f>'Fig 36 and 37'!$B$4:$H$4</c:f>
              <c:numCache>
                <c:formatCode>General</c:formatCode>
                <c:ptCount val="7"/>
                <c:pt idx="0">
                  <c:v>2010</c:v>
                </c:pt>
                <c:pt idx="1">
                  <c:v>2011</c:v>
                </c:pt>
                <c:pt idx="2">
                  <c:v>2012</c:v>
                </c:pt>
                <c:pt idx="3">
                  <c:v>2013</c:v>
                </c:pt>
                <c:pt idx="4">
                  <c:v>2014</c:v>
                </c:pt>
                <c:pt idx="5">
                  <c:v>2015</c:v>
                </c:pt>
                <c:pt idx="6">
                  <c:v>2016</c:v>
                </c:pt>
              </c:numCache>
            </c:numRef>
          </c:cat>
          <c:val>
            <c:numRef>
              <c:f>'Fig 36 and 37'!$B$6:$H$6</c:f>
              <c:numCache>
                <c:formatCode>0.00%</c:formatCode>
                <c:ptCount val="7"/>
                <c:pt idx="0">
                  <c:v>4.4900000000000002E-2</c:v>
                </c:pt>
                <c:pt idx="1">
                  <c:v>4.7500000000000001E-2</c:v>
                </c:pt>
                <c:pt idx="2">
                  <c:v>4.9700000000000001E-2</c:v>
                </c:pt>
                <c:pt idx="3">
                  <c:v>5.16E-2</c:v>
                </c:pt>
                <c:pt idx="4">
                  <c:v>5.3100000000000001E-2</c:v>
                </c:pt>
                <c:pt idx="5">
                  <c:v>5.4100000000000002E-2</c:v>
                </c:pt>
                <c:pt idx="6">
                  <c:v>5.4549516863466603E-2</c:v>
                </c:pt>
              </c:numCache>
            </c:numRef>
          </c:val>
          <c:smooth val="0"/>
        </c:ser>
        <c:dLbls>
          <c:showLegendKey val="0"/>
          <c:showVal val="0"/>
          <c:showCatName val="0"/>
          <c:showSerName val="0"/>
          <c:showPercent val="0"/>
          <c:showBubbleSize val="0"/>
        </c:dLbls>
        <c:smooth val="0"/>
        <c:axId val="561320680"/>
        <c:axId val="561321072"/>
      </c:lineChart>
      <c:catAx>
        <c:axId val="561320680"/>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solidFill>
                      <a:sysClr val="windowText" lastClr="000000"/>
                    </a:solidFill>
                    <a:latin typeface="Arial" panose="020B0604020202020204" pitchFamily="34" charset="0"/>
                    <a:cs typeface="Arial" panose="020B0604020202020204" pitchFamily="34" charset="0"/>
                  </a:rPr>
                  <a:t>Calendar year</a:t>
                </a:r>
              </a:p>
            </c:rich>
          </c:tx>
          <c:layout>
            <c:manualLayout>
              <c:xMode val="edge"/>
              <c:yMode val="edge"/>
              <c:x val="0.44315479974140976"/>
              <c:y val="0.94276298692861416"/>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61321072"/>
        <c:crosses val="autoZero"/>
        <c:auto val="1"/>
        <c:lblAlgn val="ctr"/>
        <c:lblOffset val="100"/>
        <c:noMultiLvlLbl val="0"/>
      </c:catAx>
      <c:valAx>
        <c:axId val="561321072"/>
        <c:scaling>
          <c:orientation val="minMax"/>
          <c:max val="0.12000000000000001"/>
          <c:min val="0"/>
        </c:scaling>
        <c:delete val="0"/>
        <c:axPos val="l"/>
        <c:title>
          <c:tx>
            <c:rich>
              <a:bodyPr rot="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solidFill>
                      <a:sysClr val="windowText" lastClr="000000"/>
                    </a:solidFill>
                    <a:latin typeface="Arial" panose="020B0604020202020204" pitchFamily="34" charset="0"/>
                    <a:cs typeface="Arial" panose="020B0604020202020204" pitchFamily="34" charset="0"/>
                  </a:rPr>
                  <a:t>Percentage</a:t>
                </a:r>
              </a:p>
            </c:rich>
          </c:tx>
          <c:layout>
            <c:manualLayout>
              <c:xMode val="edge"/>
              <c:yMode val="edge"/>
              <c:x val="2.2831050228310501E-3"/>
              <c:y val="1.1926596884220026E-2"/>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1320680"/>
        <c:crosses val="autoZero"/>
        <c:crossBetween val="between"/>
      </c:valAx>
      <c:spPr>
        <a:noFill/>
        <a:ln>
          <a:noFill/>
        </a:ln>
        <a:effectLst/>
      </c:spPr>
    </c:plotArea>
    <c:legend>
      <c:legendPos val="r"/>
      <c:layout>
        <c:manualLayout>
          <c:xMode val="edge"/>
          <c:yMode val="edge"/>
          <c:x val="0.65312545191535321"/>
          <c:y val="0.68803078142459917"/>
          <c:w val="0.33319774984013661"/>
          <c:h val="0.1435578809679529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176223370851651E-2"/>
          <c:y val="0.10182252920431591"/>
          <c:w val="0.91224585853252504"/>
          <c:h val="0.76631412863016113"/>
        </c:manualLayout>
      </c:layout>
      <c:lineChart>
        <c:grouping val="standard"/>
        <c:varyColors val="0"/>
        <c:ser>
          <c:idx val="0"/>
          <c:order val="0"/>
          <c:tx>
            <c:strRef>
              <c:f>'Fig 36 and 37'!$A$33</c:f>
              <c:strCache>
                <c:ptCount val="1"/>
                <c:pt idx="0">
                  <c:v>Auckland</c:v>
                </c:pt>
              </c:strCache>
            </c:strRef>
          </c:tx>
          <c:spPr>
            <a:ln w="34925" cap="rnd">
              <a:solidFill>
                <a:schemeClr val="tx1"/>
              </a:solidFill>
              <a:round/>
            </a:ln>
            <a:effectLst/>
          </c:spPr>
          <c:marker>
            <c:symbol val="none"/>
          </c:marker>
          <c:cat>
            <c:numRef>
              <c:f>'Fig 36 and 37'!$B$31:$H$31</c:f>
              <c:numCache>
                <c:formatCode>General</c:formatCode>
                <c:ptCount val="7"/>
                <c:pt idx="0">
                  <c:v>2010</c:v>
                </c:pt>
                <c:pt idx="1">
                  <c:v>2011</c:v>
                </c:pt>
                <c:pt idx="2">
                  <c:v>2012</c:v>
                </c:pt>
                <c:pt idx="3">
                  <c:v>2013</c:v>
                </c:pt>
                <c:pt idx="4">
                  <c:v>2014</c:v>
                </c:pt>
                <c:pt idx="5">
                  <c:v>2015</c:v>
                </c:pt>
                <c:pt idx="6">
                  <c:v>2016</c:v>
                </c:pt>
              </c:numCache>
            </c:numRef>
          </c:cat>
          <c:val>
            <c:numRef>
              <c:f>'Fig 36 and 37'!$B$33:$H$33</c:f>
              <c:numCache>
                <c:formatCode>0.0%</c:formatCode>
                <c:ptCount val="7"/>
                <c:pt idx="0">
                  <c:v>8.4355187730154518E-2</c:v>
                </c:pt>
                <c:pt idx="1">
                  <c:v>8.8137752712147049E-2</c:v>
                </c:pt>
                <c:pt idx="2">
                  <c:v>9.2706494471801543E-2</c:v>
                </c:pt>
                <c:pt idx="3">
                  <c:v>9.77000817418444E-2</c:v>
                </c:pt>
                <c:pt idx="4">
                  <c:v>0.10238996511541602</c:v>
                </c:pt>
                <c:pt idx="5">
                  <c:v>0.10668716087334951</c:v>
                </c:pt>
                <c:pt idx="6">
                  <c:v>0.10903725562523055</c:v>
                </c:pt>
              </c:numCache>
            </c:numRef>
          </c:val>
          <c:smooth val="0"/>
        </c:ser>
        <c:ser>
          <c:idx val="1"/>
          <c:order val="1"/>
          <c:tx>
            <c:strRef>
              <c:f>'Fig 36 and 37'!$A$36</c:f>
              <c:strCache>
                <c:ptCount val="1"/>
                <c:pt idx="0">
                  <c:v>Counties Manukau</c:v>
                </c:pt>
              </c:strCache>
            </c:strRef>
          </c:tx>
          <c:spPr>
            <a:ln w="34925" cap="rnd">
              <a:solidFill>
                <a:schemeClr val="tx1">
                  <a:lumMod val="50000"/>
                  <a:lumOff val="50000"/>
                </a:schemeClr>
              </a:solidFill>
              <a:prstDash val="solid"/>
              <a:round/>
            </a:ln>
            <a:effectLst/>
          </c:spPr>
          <c:marker>
            <c:symbol val="none"/>
          </c:marker>
          <c:cat>
            <c:numRef>
              <c:f>'Fig 36 and 37'!$B$31:$H$31</c:f>
              <c:numCache>
                <c:formatCode>General</c:formatCode>
                <c:ptCount val="7"/>
                <c:pt idx="0">
                  <c:v>2010</c:v>
                </c:pt>
                <c:pt idx="1">
                  <c:v>2011</c:v>
                </c:pt>
                <c:pt idx="2">
                  <c:v>2012</c:v>
                </c:pt>
                <c:pt idx="3">
                  <c:v>2013</c:v>
                </c:pt>
                <c:pt idx="4">
                  <c:v>2014</c:v>
                </c:pt>
                <c:pt idx="5">
                  <c:v>2015</c:v>
                </c:pt>
                <c:pt idx="6">
                  <c:v>2016</c:v>
                </c:pt>
              </c:numCache>
            </c:numRef>
          </c:cat>
          <c:val>
            <c:numRef>
              <c:f>'Fig 36 and 37'!$B$36:$H$36</c:f>
              <c:numCache>
                <c:formatCode>0.0%</c:formatCode>
                <c:ptCount val="7"/>
                <c:pt idx="0">
                  <c:v>8.033057303193826E-2</c:v>
                </c:pt>
                <c:pt idx="1">
                  <c:v>8.4177271730567757E-2</c:v>
                </c:pt>
                <c:pt idx="2">
                  <c:v>8.9528121525305773E-2</c:v>
                </c:pt>
                <c:pt idx="3">
                  <c:v>9.6172115115954179E-2</c:v>
                </c:pt>
                <c:pt idx="4">
                  <c:v>0.10325459108473091</c:v>
                </c:pt>
                <c:pt idx="5">
                  <c:v>0.10837547583434239</c:v>
                </c:pt>
                <c:pt idx="6">
                  <c:v>0.11123936959645693</c:v>
                </c:pt>
              </c:numCache>
            </c:numRef>
          </c:val>
          <c:smooth val="0"/>
        </c:ser>
        <c:ser>
          <c:idx val="2"/>
          <c:order val="2"/>
          <c:tx>
            <c:strRef>
              <c:f>'Fig 36 and 37'!$A$40</c:f>
              <c:strCache>
                <c:ptCount val="1"/>
                <c:pt idx="0">
                  <c:v>Waitemata</c:v>
                </c:pt>
              </c:strCache>
            </c:strRef>
          </c:tx>
          <c:spPr>
            <a:ln w="34925" cap="rnd">
              <a:solidFill>
                <a:schemeClr val="bg1">
                  <a:lumMod val="75000"/>
                </a:schemeClr>
              </a:solidFill>
              <a:prstDash val="solid"/>
              <a:round/>
            </a:ln>
            <a:effectLst/>
          </c:spPr>
          <c:marker>
            <c:symbol val="none"/>
          </c:marker>
          <c:cat>
            <c:numRef>
              <c:f>'Fig 36 and 37'!$B$31:$H$31</c:f>
              <c:numCache>
                <c:formatCode>General</c:formatCode>
                <c:ptCount val="7"/>
                <c:pt idx="0">
                  <c:v>2010</c:v>
                </c:pt>
                <c:pt idx="1">
                  <c:v>2011</c:v>
                </c:pt>
                <c:pt idx="2">
                  <c:v>2012</c:v>
                </c:pt>
                <c:pt idx="3">
                  <c:v>2013</c:v>
                </c:pt>
                <c:pt idx="4">
                  <c:v>2014</c:v>
                </c:pt>
                <c:pt idx="5">
                  <c:v>2015</c:v>
                </c:pt>
                <c:pt idx="6">
                  <c:v>2016</c:v>
                </c:pt>
              </c:numCache>
            </c:numRef>
          </c:cat>
          <c:val>
            <c:numRef>
              <c:f>'Fig 36 and 37'!$B$40:$H$40</c:f>
              <c:numCache>
                <c:formatCode>0.0%</c:formatCode>
                <c:ptCount val="7"/>
                <c:pt idx="0">
                  <c:v>7.4468363370040022E-2</c:v>
                </c:pt>
                <c:pt idx="1">
                  <c:v>7.9356070378205454E-2</c:v>
                </c:pt>
                <c:pt idx="2">
                  <c:v>8.3649415777817371E-2</c:v>
                </c:pt>
                <c:pt idx="3">
                  <c:v>8.8723366522256847E-2</c:v>
                </c:pt>
                <c:pt idx="4">
                  <c:v>9.397847278635256E-2</c:v>
                </c:pt>
                <c:pt idx="5">
                  <c:v>9.5949999999999994E-2</c:v>
                </c:pt>
                <c:pt idx="6">
                  <c:v>9.7528456087504017E-2</c:v>
                </c:pt>
              </c:numCache>
            </c:numRef>
          </c:val>
          <c:smooth val="0"/>
        </c:ser>
        <c:ser>
          <c:idx val="3"/>
          <c:order val="3"/>
          <c:tx>
            <c:strRef>
              <c:f>'Fig 36 and 37'!$A$41</c:f>
              <c:strCache>
                <c:ptCount val="1"/>
                <c:pt idx="0">
                  <c:v>Total New Zealand</c:v>
                </c:pt>
              </c:strCache>
            </c:strRef>
          </c:tx>
          <c:spPr>
            <a:ln w="34925" cap="rnd">
              <a:solidFill>
                <a:schemeClr val="tx1"/>
              </a:solidFill>
              <a:prstDash val="sysDot"/>
              <a:round/>
            </a:ln>
            <a:effectLst/>
          </c:spPr>
          <c:marker>
            <c:symbol val="none"/>
          </c:marker>
          <c:cat>
            <c:numRef>
              <c:f>'Fig 36 and 37'!$B$31:$H$31</c:f>
              <c:numCache>
                <c:formatCode>General</c:formatCode>
                <c:ptCount val="7"/>
                <c:pt idx="0">
                  <c:v>2010</c:v>
                </c:pt>
                <c:pt idx="1">
                  <c:v>2011</c:v>
                </c:pt>
                <c:pt idx="2">
                  <c:v>2012</c:v>
                </c:pt>
                <c:pt idx="3">
                  <c:v>2013</c:v>
                </c:pt>
                <c:pt idx="4">
                  <c:v>2014</c:v>
                </c:pt>
                <c:pt idx="5">
                  <c:v>2015</c:v>
                </c:pt>
                <c:pt idx="6">
                  <c:v>2016</c:v>
                </c:pt>
              </c:numCache>
            </c:numRef>
          </c:cat>
          <c:val>
            <c:numRef>
              <c:f>'Fig 36 and 37'!$B$41:$H$41</c:f>
              <c:numCache>
                <c:formatCode>0.0%</c:formatCode>
                <c:ptCount val="7"/>
                <c:pt idx="0">
                  <c:v>4.4940057197741273E-2</c:v>
                </c:pt>
                <c:pt idx="1">
                  <c:v>4.7471640534168864E-2</c:v>
                </c:pt>
                <c:pt idx="2">
                  <c:v>4.9711211623708652E-2</c:v>
                </c:pt>
                <c:pt idx="3">
                  <c:v>5.1636297324972998E-2</c:v>
                </c:pt>
                <c:pt idx="4">
                  <c:v>5.3076544222604591E-2</c:v>
                </c:pt>
                <c:pt idx="5">
                  <c:v>5.4127927105808007E-2</c:v>
                </c:pt>
                <c:pt idx="6">
                  <c:v>5.4549516863466603E-2</c:v>
                </c:pt>
              </c:numCache>
            </c:numRef>
          </c:val>
          <c:smooth val="0"/>
        </c:ser>
        <c:dLbls>
          <c:showLegendKey val="0"/>
          <c:showVal val="0"/>
          <c:showCatName val="0"/>
          <c:showSerName val="0"/>
          <c:showPercent val="0"/>
          <c:showBubbleSize val="0"/>
        </c:dLbls>
        <c:smooth val="0"/>
        <c:axId val="397804336"/>
        <c:axId val="397806688"/>
      </c:lineChart>
      <c:catAx>
        <c:axId val="397804336"/>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a:t>Calendar</a:t>
                </a:r>
                <a:r>
                  <a:rPr lang="en-US" sz="900" baseline="0"/>
                  <a:t> y</a:t>
                </a:r>
                <a:r>
                  <a:rPr lang="en-US" sz="900"/>
                  <a:t>ear</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7806688"/>
        <c:crosses val="autoZero"/>
        <c:auto val="1"/>
        <c:lblAlgn val="ctr"/>
        <c:lblOffset val="100"/>
        <c:noMultiLvlLbl val="0"/>
      </c:catAx>
      <c:valAx>
        <c:axId val="397806688"/>
        <c:scaling>
          <c:orientation val="minMax"/>
        </c:scaling>
        <c:delete val="0"/>
        <c:axPos val="l"/>
        <c:title>
          <c:tx>
            <c:rich>
              <a:bodyPr rot="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Percentage</a:t>
                </a:r>
              </a:p>
            </c:rich>
          </c:tx>
          <c:layout>
            <c:manualLayout>
              <c:xMode val="edge"/>
              <c:yMode val="edge"/>
              <c:x val="0"/>
              <c:y val="1.8310346195927121E-4"/>
            </c:manualLayout>
          </c:layout>
          <c:overlay val="0"/>
          <c:spPr>
            <a:noFill/>
            <a:ln>
              <a:noFill/>
            </a:ln>
            <a:effectLst/>
          </c:sp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7804336"/>
        <c:crosses val="autoZero"/>
        <c:crossBetween val="between"/>
      </c:valAx>
      <c:spPr>
        <a:noFill/>
        <a:ln>
          <a:noFill/>
        </a:ln>
        <a:effectLst/>
      </c:spPr>
    </c:plotArea>
    <c:legend>
      <c:legendPos val="r"/>
      <c:layout>
        <c:manualLayout>
          <c:xMode val="edge"/>
          <c:yMode val="edge"/>
          <c:x val="0.66033476822901238"/>
          <c:y val="0.61515898193101815"/>
          <c:w val="0.33894899259402717"/>
          <c:h val="0.242864852507429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52230487763615E-2"/>
          <c:y val="0.10547548743907012"/>
          <c:w val="0.88773427554226791"/>
          <c:h val="0.7362915573053368"/>
        </c:manualLayout>
      </c:layout>
      <c:lineChart>
        <c:grouping val="standard"/>
        <c:varyColors val="0"/>
        <c:ser>
          <c:idx val="0"/>
          <c:order val="0"/>
          <c:tx>
            <c:strRef>
              <c:f>'Fig 1a, 1b, 1c, 1d'!$A$39</c:f>
              <c:strCache>
                <c:ptCount val="1"/>
                <c:pt idx="0">
                  <c:v>Canterbury</c:v>
                </c:pt>
              </c:strCache>
            </c:strRef>
          </c:tx>
          <c:spPr>
            <a:ln w="34925" cap="rnd">
              <a:solidFill>
                <a:schemeClr val="tx1"/>
              </a:solidFill>
              <a:round/>
            </a:ln>
            <a:effectLst/>
          </c:spPr>
          <c:marker>
            <c:symbol val="none"/>
          </c:marker>
          <c:cat>
            <c:numRef>
              <c:f>'Fig 1a, 1b, 1c, 1d'!$B$37:$L$37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'Fig 1a, 1b, 1c, 1d'!$B$39:$L$39</c:f>
              <c:numCache>
                <c:formatCode>0</c:formatCode>
                <c:ptCount val="11"/>
                <c:pt idx="0">
                  <c:v>10803.571428571429</c:v>
                </c:pt>
                <c:pt idx="1">
                  <c:v>12931.034482758621</c:v>
                </c:pt>
                <c:pt idx="2">
                  <c:v>11544.715447154471</c:v>
                </c:pt>
                <c:pt idx="3">
                  <c:v>11904.761904761905</c:v>
                </c:pt>
                <c:pt idx="4">
                  <c:v>11777.777777777777</c:v>
                </c:pt>
                <c:pt idx="5">
                  <c:v>8962.9629629629635</c:v>
                </c:pt>
                <c:pt idx="6">
                  <c:v>13059.701492537313</c:v>
                </c:pt>
                <c:pt idx="7">
                  <c:v>14812.030075187969</c:v>
                </c:pt>
                <c:pt idx="8">
                  <c:v>14428.571428571429</c:v>
                </c:pt>
                <c:pt idx="9">
                  <c:v>11655.172413793103</c:v>
                </c:pt>
                <c:pt idx="10">
                  <c:v>13289.473684210527</c:v>
                </c:pt>
              </c:numCache>
            </c:numRef>
          </c:val>
          <c:smooth val="0"/>
        </c:ser>
        <c:ser>
          <c:idx val="1"/>
          <c:order val="1"/>
          <c:tx>
            <c:strRef>
              <c:f>'Fig 1a, 1b, 1c, 1d'!$A$40</c:f>
              <c:strCache>
                <c:ptCount val="1"/>
                <c:pt idx="0">
                  <c:v>Capital &amp; Coast</c:v>
                </c:pt>
              </c:strCache>
            </c:strRef>
          </c:tx>
          <c:spPr>
            <a:ln w="34925" cap="rnd">
              <a:solidFill>
                <a:schemeClr val="tx1">
                  <a:lumMod val="50000"/>
                  <a:lumOff val="50000"/>
                </a:schemeClr>
              </a:solidFill>
              <a:prstDash val="solid"/>
              <a:round/>
            </a:ln>
            <a:effectLst/>
          </c:spPr>
          <c:marker>
            <c:symbol val="none"/>
          </c:marker>
          <c:cat>
            <c:numRef>
              <c:f>'Fig 1a, 1b, 1c, 1d'!$B$37:$L$37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'Fig 1a, 1b, 1c, 1d'!$B$40:$L$40</c:f>
              <c:numCache>
                <c:formatCode>0</c:formatCode>
                <c:ptCount val="11"/>
                <c:pt idx="0">
                  <c:v>6682.6923076923076</c:v>
                </c:pt>
                <c:pt idx="1">
                  <c:v>8937.1980676328494</c:v>
                </c:pt>
                <c:pt idx="2">
                  <c:v>9033.8164251207727</c:v>
                </c:pt>
                <c:pt idx="3">
                  <c:v>8543.6893203883501</c:v>
                </c:pt>
                <c:pt idx="4">
                  <c:v>12352.941176470587</c:v>
                </c:pt>
                <c:pt idx="5">
                  <c:v>13480.392156862745</c:v>
                </c:pt>
                <c:pt idx="6">
                  <c:v>11750</c:v>
                </c:pt>
                <c:pt idx="7">
                  <c:v>10753.768844221106</c:v>
                </c:pt>
                <c:pt idx="8">
                  <c:v>13850</c:v>
                </c:pt>
                <c:pt idx="9">
                  <c:v>13463.414634146342</c:v>
                </c:pt>
                <c:pt idx="10">
                  <c:v>11960.784313725489</c:v>
                </c:pt>
              </c:numCache>
            </c:numRef>
          </c:val>
          <c:smooth val="0"/>
        </c:ser>
        <c:ser>
          <c:idx val="2"/>
          <c:order val="2"/>
          <c:tx>
            <c:strRef>
              <c:f>'Fig 1a, 1b, 1c, 1d'!$A$42</c:f>
              <c:strCache>
                <c:ptCount val="1"/>
                <c:pt idx="0">
                  <c:v>Hawke's Bay</c:v>
                </c:pt>
              </c:strCache>
            </c:strRef>
          </c:tx>
          <c:spPr>
            <a:ln w="34925" cap="rnd">
              <a:solidFill>
                <a:schemeClr val="bg1">
                  <a:lumMod val="75000"/>
                </a:schemeClr>
              </a:solidFill>
              <a:prstDash val="solid"/>
              <a:round/>
            </a:ln>
            <a:effectLst/>
          </c:spPr>
          <c:marker>
            <c:symbol val="none"/>
          </c:marker>
          <c:cat>
            <c:numRef>
              <c:f>'Fig 1a, 1b, 1c, 1d'!$B$37:$L$37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'Fig 1a, 1b, 1c, 1d'!$B$42:$L$42</c:f>
              <c:numCache>
                <c:formatCode>0</c:formatCode>
                <c:ptCount val="11"/>
                <c:pt idx="0">
                  <c:v>8000</c:v>
                </c:pt>
                <c:pt idx="1">
                  <c:v>10909.09090909091</c:v>
                </c:pt>
                <c:pt idx="2">
                  <c:v>14655.172413793103</c:v>
                </c:pt>
                <c:pt idx="3">
                  <c:v>11206.896551724138</c:v>
                </c:pt>
                <c:pt idx="4">
                  <c:v>12950.819672131147</c:v>
                </c:pt>
                <c:pt idx="5">
                  <c:v>16833.333333333332</c:v>
                </c:pt>
                <c:pt idx="6">
                  <c:v>10983.606557377048</c:v>
                </c:pt>
                <c:pt idx="7">
                  <c:v>13174.603174603175</c:v>
                </c:pt>
                <c:pt idx="8">
                  <c:v>12307.692307692309</c:v>
                </c:pt>
                <c:pt idx="9">
                  <c:v>8461.538461538461</c:v>
                </c:pt>
                <c:pt idx="10">
                  <c:v>8955.2238805970155</c:v>
                </c:pt>
              </c:numCache>
            </c:numRef>
          </c:val>
          <c:smooth val="0"/>
        </c:ser>
        <c:ser>
          <c:idx val="3"/>
          <c:order val="3"/>
          <c:tx>
            <c:strRef>
              <c:f>'Fig 1a, 1b, 1c, 1d'!$A$43</c:f>
              <c:strCache>
                <c:ptCount val="1"/>
                <c:pt idx="0">
                  <c:v>Hutt Valley</c:v>
                </c:pt>
              </c:strCache>
            </c:strRef>
          </c:tx>
          <c:spPr>
            <a:ln w="34925" cap="rnd">
              <a:solidFill>
                <a:schemeClr val="tx1">
                  <a:lumMod val="50000"/>
                  <a:lumOff val="50000"/>
                </a:schemeClr>
              </a:solidFill>
              <a:prstDash val="sysDot"/>
              <a:round/>
            </a:ln>
            <a:effectLst/>
          </c:spPr>
          <c:marker>
            <c:symbol val="none"/>
          </c:marker>
          <c:cat>
            <c:numRef>
              <c:f>'Fig 1a, 1b, 1c, 1d'!$B$37:$L$37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'Fig 1a, 1b, 1c, 1d'!$B$43:$L$43</c:f>
              <c:numCache>
                <c:formatCode>0</c:formatCode>
                <c:ptCount val="11"/>
                <c:pt idx="0">
                  <c:v>12564.102564102564</c:v>
                </c:pt>
                <c:pt idx="1">
                  <c:v>13826.08695652174</c:v>
                </c:pt>
                <c:pt idx="2">
                  <c:v>15847.457627118643</c:v>
                </c:pt>
                <c:pt idx="3">
                  <c:v>15083.333333333334</c:v>
                </c:pt>
                <c:pt idx="4">
                  <c:v>14833.333333333334</c:v>
                </c:pt>
                <c:pt idx="5">
                  <c:v>15583.333333333334</c:v>
                </c:pt>
                <c:pt idx="6">
                  <c:v>15877.192982456141</c:v>
                </c:pt>
                <c:pt idx="7">
                  <c:v>15779.816513761469</c:v>
                </c:pt>
                <c:pt idx="8">
                  <c:v>16074.766355140187</c:v>
                </c:pt>
                <c:pt idx="9">
                  <c:v>13523.809523809523</c:v>
                </c:pt>
                <c:pt idx="10">
                  <c:v>12924.528301886792</c:v>
                </c:pt>
              </c:numCache>
            </c:numRef>
          </c:val>
          <c:smooth val="0"/>
        </c:ser>
        <c:ser>
          <c:idx val="4"/>
          <c:order val="4"/>
          <c:tx>
            <c:strRef>
              <c:f>'Fig 1a, 1b, 1c, 1d'!$A$44</c:f>
              <c:strCache>
                <c:ptCount val="1"/>
                <c:pt idx="0">
                  <c:v>Waikato</c:v>
                </c:pt>
              </c:strCache>
            </c:strRef>
          </c:tx>
          <c:spPr>
            <a:ln w="34925" cap="rnd">
              <a:solidFill>
                <a:schemeClr val="bg1">
                  <a:lumMod val="75000"/>
                </a:schemeClr>
              </a:solidFill>
              <a:prstDash val="sysDot"/>
              <a:round/>
            </a:ln>
            <a:effectLst/>
          </c:spPr>
          <c:marker>
            <c:symbol val="none"/>
          </c:marker>
          <c:cat>
            <c:numRef>
              <c:f>'Fig 1a, 1b, 1c, 1d'!$B$37:$L$37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'Fig 1a, 1b, 1c, 1d'!$B$44:$L$44</c:f>
              <c:numCache>
                <c:formatCode>0</c:formatCode>
                <c:ptCount val="11"/>
                <c:pt idx="0">
                  <c:v>5411.7647058823532</c:v>
                </c:pt>
                <c:pt idx="1">
                  <c:v>5180.7228915662654</c:v>
                </c:pt>
                <c:pt idx="2">
                  <c:v>5595.2380952380954</c:v>
                </c:pt>
                <c:pt idx="3">
                  <c:v>7472.5274725274721</c:v>
                </c:pt>
                <c:pt idx="4">
                  <c:v>9354.8387096774186</c:v>
                </c:pt>
                <c:pt idx="5">
                  <c:v>10294.117647058823</c:v>
                </c:pt>
                <c:pt idx="6">
                  <c:v>12523.364485981308</c:v>
                </c:pt>
                <c:pt idx="7">
                  <c:v>11666.666666666666</c:v>
                </c:pt>
                <c:pt idx="8">
                  <c:v>10983.606557377048</c:v>
                </c:pt>
                <c:pt idx="9">
                  <c:v>12539.682539682539</c:v>
                </c:pt>
                <c:pt idx="10">
                  <c:v>10384.615384615385</c:v>
                </c:pt>
              </c:numCache>
            </c:numRef>
          </c:val>
          <c:smooth val="0"/>
        </c:ser>
        <c:ser>
          <c:idx val="5"/>
          <c:order val="5"/>
          <c:tx>
            <c:strRef>
              <c:f>'Fig 1a, 1b, 1c, 1d'!$A$46</c:f>
              <c:strCache>
                <c:ptCount val="1"/>
                <c:pt idx="0">
                  <c:v>Total New Zealand</c:v>
                </c:pt>
              </c:strCache>
            </c:strRef>
          </c:tx>
          <c:spPr>
            <a:ln w="34925" cap="rnd">
              <a:solidFill>
                <a:schemeClr val="tx1"/>
              </a:solidFill>
              <a:prstDash val="sysDot"/>
              <a:round/>
            </a:ln>
            <a:effectLst/>
          </c:spPr>
          <c:marker>
            <c:symbol val="none"/>
          </c:marker>
          <c:cat>
            <c:numRef>
              <c:f>'Fig 1a, 1b, 1c, 1d'!$B$37:$L$37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'Fig 1a, 1b, 1c, 1d'!$B$46:$L$46</c:f>
              <c:numCache>
                <c:formatCode>0</c:formatCode>
                <c:ptCount val="11"/>
                <c:pt idx="0">
                  <c:v>6525.5220417633409</c:v>
                </c:pt>
                <c:pt idx="1">
                  <c:v>6051.1523327712193</c:v>
                </c:pt>
                <c:pt idx="2">
                  <c:v>6170.6186971926954</c:v>
                </c:pt>
                <c:pt idx="3">
                  <c:v>6217.8800856531052</c:v>
                </c:pt>
                <c:pt idx="4">
                  <c:v>6518.1347150259071</c:v>
                </c:pt>
                <c:pt idx="5">
                  <c:v>6326.5306122448983</c:v>
                </c:pt>
                <c:pt idx="6">
                  <c:v>6145.3356801609252</c:v>
                </c:pt>
                <c:pt idx="7">
                  <c:v>5875.9768086715403</c:v>
                </c:pt>
                <c:pt idx="8">
                  <c:v>6008.1778686429852</c:v>
                </c:pt>
                <c:pt idx="9">
                  <c:v>5335.2243424445587</c:v>
                </c:pt>
                <c:pt idx="10">
                  <c:v>5722.3360655737706</c:v>
                </c:pt>
              </c:numCache>
            </c:numRef>
          </c:val>
          <c:smooth val="0"/>
        </c:ser>
        <c:dLbls>
          <c:showLegendKey val="0"/>
          <c:showVal val="0"/>
          <c:showCatName val="0"/>
          <c:showSerName val="0"/>
          <c:showPercent val="0"/>
          <c:showBubbleSize val="0"/>
        </c:dLbls>
        <c:smooth val="0"/>
        <c:axId val="402844600"/>
        <c:axId val="402844992"/>
      </c:lineChart>
      <c:catAx>
        <c:axId val="402844600"/>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Calendar</a:t>
                </a:r>
                <a:r>
                  <a:rPr lang="en-NZ" sz="900" baseline="0"/>
                  <a:t> y</a:t>
                </a:r>
                <a:r>
                  <a:rPr lang="en-NZ" sz="900"/>
                  <a:t>ear</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2844992"/>
        <c:crosses val="autoZero"/>
        <c:auto val="1"/>
        <c:lblAlgn val="ctr"/>
        <c:lblOffset val="100"/>
        <c:noMultiLvlLbl val="0"/>
      </c:catAx>
      <c:valAx>
        <c:axId val="402844992"/>
        <c:scaling>
          <c:orientation val="minMax"/>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2844600"/>
        <c:crosses val="autoZero"/>
        <c:crossBetween val="between"/>
      </c:valAx>
      <c:spPr>
        <a:noFill/>
        <a:ln>
          <a:noFill/>
        </a:ln>
        <a:effectLst/>
      </c:spPr>
    </c:plotArea>
    <c:legend>
      <c:legendPos val="r"/>
      <c:layout>
        <c:manualLayout>
          <c:xMode val="edge"/>
          <c:yMode val="edge"/>
          <c:x val="8.5015681402783622E-2"/>
          <c:y val="0.69478268341457305"/>
          <c:w val="0.91498434812337737"/>
          <c:h val="0.1398782183477065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176223370851651E-2"/>
          <c:y val="9.3409578158130932E-2"/>
          <c:w val="0.90814455636908809"/>
          <c:h val="0.7723619988652074"/>
        </c:manualLayout>
      </c:layout>
      <c:lineChart>
        <c:grouping val="standard"/>
        <c:varyColors val="0"/>
        <c:ser>
          <c:idx val="0"/>
          <c:order val="0"/>
          <c:tx>
            <c:strRef>
              <c:f>'Fig 36 and 37'!$A$34</c:f>
              <c:strCache>
                <c:ptCount val="1"/>
                <c:pt idx="0">
                  <c:v>Canterbury</c:v>
                </c:pt>
              </c:strCache>
            </c:strRef>
          </c:tx>
          <c:spPr>
            <a:ln w="34925" cap="rnd">
              <a:solidFill>
                <a:schemeClr val="tx1"/>
              </a:solidFill>
              <a:round/>
            </a:ln>
            <a:effectLst/>
          </c:spPr>
          <c:marker>
            <c:symbol val="none"/>
          </c:marker>
          <c:cat>
            <c:numRef>
              <c:f>'Fig 36 and 37'!$B$31:$H$31</c:f>
              <c:numCache>
                <c:formatCode>General</c:formatCode>
                <c:ptCount val="7"/>
                <c:pt idx="0">
                  <c:v>2010</c:v>
                </c:pt>
                <c:pt idx="1">
                  <c:v>2011</c:v>
                </c:pt>
                <c:pt idx="2">
                  <c:v>2012</c:v>
                </c:pt>
                <c:pt idx="3">
                  <c:v>2013</c:v>
                </c:pt>
                <c:pt idx="4">
                  <c:v>2014</c:v>
                </c:pt>
                <c:pt idx="5">
                  <c:v>2015</c:v>
                </c:pt>
                <c:pt idx="6">
                  <c:v>2016</c:v>
                </c:pt>
              </c:numCache>
            </c:numRef>
          </c:cat>
          <c:val>
            <c:numRef>
              <c:f>'Fig 36 and 37'!$B$34:$H$34</c:f>
              <c:numCache>
                <c:formatCode>0.0%</c:formatCode>
                <c:ptCount val="7"/>
                <c:pt idx="0">
                  <c:v>6.1904329672324586E-2</c:v>
                </c:pt>
                <c:pt idx="1">
                  <c:v>6.528084918177797E-2</c:v>
                </c:pt>
                <c:pt idx="2">
                  <c:v>6.8477888241343848E-2</c:v>
                </c:pt>
                <c:pt idx="3">
                  <c:v>7.1471113758189403E-2</c:v>
                </c:pt>
                <c:pt idx="4">
                  <c:v>7.3966220151426912E-2</c:v>
                </c:pt>
                <c:pt idx="5">
                  <c:v>7.4359177843028326E-2</c:v>
                </c:pt>
                <c:pt idx="6">
                  <c:v>7.5454682098301515E-2</c:v>
                </c:pt>
              </c:numCache>
            </c:numRef>
          </c:val>
          <c:smooth val="0"/>
        </c:ser>
        <c:ser>
          <c:idx val="1"/>
          <c:order val="1"/>
          <c:tx>
            <c:strRef>
              <c:f>'Fig 36 and 37'!$A$35</c:f>
              <c:strCache>
                <c:ptCount val="1"/>
                <c:pt idx="0">
                  <c:v>Capital &amp; Coast</c:v>
                </c:pt>
              </c:strCache>
            </c:strRef>
          </c:tx>
          <c:spPr>
            <a:ln w="34925" cap="rnd">
              <a:solidFill>
                <a:schemeClr val="tx1">
                  <a:lumMod val="50000"/>
                  <a:lumOff val="50000"/>
                </a:schemeClr>
              </a:solidFill>
              <a:prstDash val="solid"/>
              <a:round/>
            </a:ln>
            <a:effectLst/>
          </c:spPr>
          <c:marker>
            <c:symbol val="none"/>
          </c:marker>
          <c:cat>
            <c:numRef>
              <c:f>'Fig 36 and 37'!$B$31:$H$31</c:f>
              <c:numCache>
                <c:formatCode>General</c:formatCode>
                <c:ptCount val="7"/>
                <c:pt idx="0">
                  <c:v>2010</c:v>
                </c:pt>
                <c:pt idx="1">
                  <c:v>2011</c:v>
                </c:pt>
                <c:pt idx="2">
                  <c:v>2012</c:v>
                </c:pt>
                <c:pt idx="3">
                  <c:v>2013</c:v>
                </c:pt>
                <c:pt idx="4">
                  <c:v>2014</c:v>
                </c:pt>
                <c:pt idx="5">
                  <c:v>2015</c:v>
                </c:pt>
                <c:pt idx="6">
                  <c:v>2016</c:v>
                </c:pt>
              </c:numCache>
            </c:numRef>
          </c:cat>
          <c:val>
            <c:numRef>
              <c:f>'Fig 36 and 37'!$B$35:$H$35</c:f>
              <c:numCache>
                <c:formatCode>0.0%</c:formatCode>
                <c:ptCount val="7"/>
                <c:pt idx="0">
                  <c:v>7.496527088708077E-2</c:v>
                </c:pt>
                <c:pt idx="1">
                  <c:v>8.143594787312515E-2</c:v>
                </c:pt>
                <c:pt idx="2">
                  <c:v>8.9356302767068463E-2</c:v>
                </c:pt>
                <c:pt idx="3">
                  <c:v>9.3840066435445263E-2</c:v>
                </c:pt>
                <c:pt idx="4">
                  <c:v>9.8358245528056845E-2</c:v>
                </c:pt>
                <c:pt idx="5">
                  <c:v>0.10096670247046187</c:v>
                </c:pt>
                <c:pt idx="6">
                  <c:v>0.10375513397222766</c:v>
                </c:pt>
              </c:numCache>
            </c:numRef>
          </c:val>
          <c:smooth val="0"/>
        </c:ser>
        <c:ser>
          <c:idx val="2"/>
          <c:order val="2"/>
          <c:tx>
            <c:strRef>
              <c:f>'Fig 36 and 37'!$A$37</c:f>
              <c:strCache>
                <c:ptCount val="1"/>
                <c:pt idx="0">
                  <c:v>Hawke's Bay</c:v>
                </c:pt>
              </c:strCache>
            </c:strRef>
          </c:tx>
          <c:spPr>
            <a:ln w="34925" cap="rnd">
              <a:solidFill>
                <a:schemeClr val="bg1">
                  <a:lumMod val="75000"/>
                </a:schemeClr>
              </a:solidFill>
              <a:prstDash val="solid"/>
              <a:round/>
            </a:ln>
            <a:effectLst/>
          </c:spPr>
          <c:marker>
            <c:symbol val="none"/>
          </c:marker>
          <c:cat>
            <c:numRef>
              <c:f>'Fig 36 and 37'!$B$31:$H$31</c:f>
              <c:numCache>
                <c:formatCode>General</c:formatCode>
                <c:ptCount val="7"/>
                <c:pt idx="0">
                  <c:v>2010</c:v>
                </c:pt>
                <c:pt idx="1">
                  <c:v>2011</c:v>
                </c:pt>
                <c:pt idx="2">
                  <c:v>2012</c:v>
                </c:pt>
                <c:pt idx="3">
                  <c:v>2013</c:v>
                </c:pt>
                <c:pt idx="4">
                  <c:v>2014</c:v>
                </c:pt>
                <c:pt idx="5">
                  <c:v>2015</c:v>
                </c:pt>
                <c:pt idx="6">
                  <c:v>2016</c:v>
                </c:pt>
              </c:numCache>
            </c:numRef>
          </c:cat>
          <c:val>
            <c:numRef>
              <c:f>'Fig 36 and 37'!$B$37:$H$37</c:f>
              <c:numCache>
                <c:formatCode>0.0%</c:formatCode>
                <c:ptCount val="7"/>
                <c:pt idx="0">
                  <c:v>6.0480530240265118E-2</c:v>
                </c:pt>
                <c:pt idx="1">
                  <c:v>6.4110367214445116E-2</c:v>
                </c:pt>
                <c:pt idx="2">
                  <c:v>6.8643056108237163E-2</c:v>
                </c:pt>
                <c:pt idx="3">
                  <c:v>7.2018890200708383E-2</c:v>
                </c:pt>
                <c:pt idx="4">
                  <c:v>7.3916408668730657E-2</c:v>
                </c:pt>
                <c:pt idx="5">
                  <c:v>7.7097935215002841E-2</c:v>
                </c:pt>
                <c:pt idx="6">
                  <c:v>7.9350433659346742E-2</c:v>
                </c:pt>
              </c:numCache>
            </c:numRef>
          </c:val>
          <c:smooth val="0"/>
        </c:ser>
        <c:ser>
          <c:idx val="3"/>
          <c:order val="3"/>
          <c:tx>
            <c:strRef>
              <c:f>'Fig 36 and 37'!$A$38</c:f>
              <c:strCache>
                <c:ptCount val="1"/>
                <c:pt idx="0">
                  <c:v>Hutt Valley</c:v>
                </c:pt>
              </c:strCache>
            </c:strRef>
          </c:tx>
          <c:spPr>
            <a:ln w="34925" cap="rnd">
              <a:solidFill>
                <a:schemeClr val="tx1">
                  <a:lumMod val="50000"/>
                  <a:lumOff val="50000"/>
                </a:schemeClr>
              </a:solidFill>
              <a:prstDash val="sysDot"/>
              <a:round/>
            </a:ln>
            <a:effectLst/>
          </c:spPr>
          <c:marker>
            <c:symbol val="none"/>
          </c:marker>
          <c:cat>
            <c:numRef>
              <c:f>'Fig 36 and 37'!$B$31:$H$31</c:f>
              <c:numCache>
                <c:formatCode>General</c:formatCode>
                <c:ptCount val="7"/>
                <c:pt idx="0">
                  <c:v>2010</c:v>
                </c:pt>
                <c:pt idx="1">
                  <c:v>2011</c:v>
                </c:pt>
                <c:pt idx="2">
                  <c:v>2012</c:v>
                </c:pt>
                <c:pt idx="3">
                  <c:v>2013</c:v>
                </c:pt>
                <c:pt idx="4">
                  <c:v>2014</c:v>
                </c:pt>
                <c:pt idx="5">
                  <c:v>2015</c:v>
                </c:pt>
                <c:pt idx="6">
                  <c:v>2016</c:v>
                </c:pt>
              </c:numCache>
            </c:numRef>
          </c:cat>
          <c:val>
            <c:numRef>
              <c:f>'Fig 36 and 37'!$B$38:$H$38</c:f>
              <c:numCache>
                <c:formatCode>0.0%</c:formatCode>
                <c:ptCount val="7"/>
                <c:pt idx="0">
                  <c:v>7.2779529019098829E-2</c:v>
                </c:pt>
                <c:pt idx="1">
                  <c:v>8.0545571836697083E-2</c:v>
                </c:pt>
                <c:pt idx="2">
                  <c:v>8.7231121281464527E-2</c:v>
                </c:pt>
                <c:pt idx="3">
                  <c:v>9.2443952394132306E-2</c:v>
                </c:pt>
                <c:pt idx="4">
                  <c:v>9.6343048078707999E-2</c:v>
                </c:pt>
                <c:pt idx="5">
                  <c:v>9.9510302134343531E-2</c:v>
                </c:pt>
                <c:pt idx="6">
                  <c:v>0.10073059360730593</c:v>
                </c:pt>
              </c:numCache>
            </c:numRef>
          </c:val>
          <c:smooth val="0"/>
        </c:ser>
        <c:ser>
          <c:idx val="4"/>
          <c:order val="4"/>
          <c:tx>
            <c:strRef>
              <c:f>'Fig 36 and 37'!$A$39</c:f>
              <c:strCache>
                <c:ptCount val="1"/>
                <c:pt idx="0">
                  <c:v>Waikato</c:v>
                </c:pt>
              </c:strCache>
            </c:strRef>
          </c:tx>
          <c:spPr>
            <a:ln w="34925" cap="rnd">
              <a:solidFill>
                <a:schemeClr val="bg1">
                  <a:lumMod val="75000"/>
                </a:schemeClr>
              </a:solidFill>
              <a:prstDash val="sysDot"/>
              <a:round/>
            </a:ln>
            <a:effectLst/>
          </c:spPr>
          <c:marker>
            <c:symbol val="none"/>
          </c:marker>
          <c:cat>
            <c:numRef>
              <c:f>'Fig 36 and 37'!$B$31:$H$31</c:f>
              <c:numCache>
                <c:formatCode>General</c:formatCode>
                <c:ptCount val="7"/>
                <c:pt idx="0">
                  <c:v>2010</c:v>
                </c:pt>
                <c:pt idx="1">
                  <c:v>2011</c:v>
                </c:pt>
                <c:pt idx="2">
                  <c:v>2012</c:v>
                </c:pt>
                <c:pt idx="3">
                  <c:v>2013</c:v>
                </c:pt>
                <c:pt idx="4">
                  <c:v>2014</c:v>
                </c:pt>
                <c:pt idx="5">
                  <c:v>2015</c:v>
                </c:pt>
                <c:pt idx="6">
                  <c:v>2016</c:v>
                </c:pt>
              </c:numCache>
            </c:numRef>
          </c:cat>
          <c:val>
            <c:numRef>
              <c:f>'Fig 36 and 37'!$B$39:$H$39</c:f>
              <c:numCache>
                <c:formatCode>0.0%</c:formatCode>
                <c:ptCount val="7"/>
                <c:pt idx="0">
                  <c:v>6.3710718897976748E-2</c:v>
                </c:pt>
                <c:pt idx="1">
                  <c:v>6.6542288557213933E-2</c:v>
                </c:pt>
                <c:pt idx="2">
                  <c:v>7.0229770229770228E-2</c:v>
                </c:pt>
                <c:pt idx="3">
                  <c:v>7.2574334898278567E-2</c:v>
                </c:pt>
                <c:pt idx="4">
                  <c:v>7.6031301323543618E-2</c:v>
                </c:pt>
                <c:pt idx="5">
                  <c:v>8.0118128989235024E-2</c:v>
                </c:pt>
                <c:pt idx="6">
                  <c:v>8.2319056025271758E-2</c:v>
                </c:pt>
              </c:numCache>
            </c:numRef>
          </c:val>
          <c:smooth val="0"/>
        </c:ser>
        <c:ser>
          <c:idx val="5"/>
          <c:order val="5"/>
          <c:tx>
            <c:strRef>
              <c:f>'Fig 36 and 37'!$A$41</c:f>
              <c:strCache>
                <c:ptCount val="1"/>
                <c:pt idx="0">
                  <c:v>Total New Zealand</c:v>
                </c:pt>
              </c:strCache>
            </c:strRef>
          </c:tx>
          <c:spPr>
            <a:ln w="34925" cap="rnd">
              <a:solidFill>
                <a:schemeClr val="tx1"/>
              </a:solidFill>
              <a:prstDash val="sysDot"/>
              <a:round/>
            </a:ln>
            <a:effectLst/>
          </c:spPr>
          <c:marker>
            <c:symbol val="none"/>
          </c:marker>
          <c:cat>
            <c:numRef>
              <c:f>'Fig 36 and 37'!$B$31:$H$31</c:f>
              <c:numCache>
                <c:formatCode>General</c:formatCode>
                <c:ptCount val="7"/>
                <c:pt idx="0">
                  <c:v>2010</c:v>
                </c:pt>
                <c:pt idx="1">
                  <c:v>2011</c:v>
                </c:pt>
                <c:pt idx="2">
                  <c:v>2012</c:v>
                </c:pt>
                <c:pt idx="3">
                  <c:v>2013</c:v>
                </c:pt>
                <c:pt idx="4">
                  <c:v>2014</c:v>
                </c:pt>
                <c:pt idx="5">
                  <c:v>2015</c:v>
                </c:pt>
                <c:pt idx="6">
                  <c:v>2016</c:v>
                </c:pt>
              </c:numCache>
            </c:numRef>
          </c:cat>
          <c:val>
            <c:numRef>
              <c:f>'Fig 36 and 37'!$B$41:$H$41</c:f>
              <c:numCache>
                <c:formatCode>0.0%</c:formatCode>
                <c:ptCount val="7"/>
                <c:pt idx="0">
                  <c:v>4.4940057197741273E-2</c:v>
                </c:pt>
                <c:pt idx="1">
                  <c:v>4.7471640534168864E-2</c:v>
                </c:pt>
                <c:pt idx="2">
                  <c:v>4.9711211623708652E-2</c:v>
                </c:pt>
                <c:pt idx="3">
                  <c:v>5.1636297324972998E-2</c:v>
                </c:pt>
                <c:pt idx="4">
                  <c:v>5.3076544222604591E-2</c:v>
                </c:pt>
                <c:pt idx="5">
                  <c:v>5.4127927105808007E-2</c:v>
                </c:pt>
                <c:pt idx="6">
                  <c:v>5.4549516863466603E-2</c:v>
                </c:pt>
              </c:numCache>
            </c:numRef>
          </c:val>
          <c:smooth val="0"/>
        </c:ser>
        <c:dLbls>
          <c:showLegendKey val="0"/>
          <c:showVal val="0"/>
          <c:showCatName val="0"/>
          <c:showSerName val="0"/>
          <c:showPercent val="0"/>
          <c:showBubbleSize val="0"/>
        </c:dLbls>
        <c:smooth val="0"/>
        <c:axId val="397805904"/>
        <c:axId val="397807080"/>
      </c:lineChart>
      <c:catAx>
        <c:axId val="397805904"/>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a:t>Calendar year</a:t>
                </a:r>
              </a:p>
            </c:rich>
          </c:tx>
          <c:layout>
            <c:manualLayout>
              <c:xMode val="edge"/>
              <c:yMode val="edge"/>
              <c:x val="0.45392296270965243"/>
              <c:y val="0.94473822351153469"/>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7807080"/>
        <c:crosses val="autoZero"/>
        <c:auto val="1"/>
        <c:lblAlgn val="ctr"/>
        <c:lblOffset val="100"/>
        <c:noMultiLvlLbl val="0"/>
      </c:catAx>
      <c:valAx>
        <c:axId val="397807080"/>
        <c:scaling>
          <c:orientation val="minMax"/>
          <c:max val="0.12000000000000001"/>
        </c:scaling>
        <c:delete val="0"/>
        <c:axPos val="l"/>
        <c:title>
          <c:tx>
            <c:rich>
              <a:bodyPr rot="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Percentage</a:t>
                </a:r>
              </a:p>
            </c:rich>
          </c:tx>
          <c:layout>
            <c:manualLayout>
              <c:xMode val="edge"/>
              <c:yMode val="edge"/>
              <c:x val="0"/>
              <c:y val="1.8310346195927121E-4"/>
            </c:manualLayout>
          </c:layout>
          <c:overlay val="0"/>
          <c:spPr>
            <a:noFill/>
            <a:ln>
              <a:noFill/>
            </a:ln>
            <a:effectLst/>
          </c:sp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7805904"/>
        <c:crosses val="autoZero"/>
        <c:crossBetween val="between"/>
      </c:valAx>
      <c:spPr>
        <a:noFill/>
        <a:ln>
          <a:noFill/>
        </a:ln>
        <a:effectLst/>
      </c:spPr>
    </c:plotArea>
    <c:legend>
      <c:legendPos val="r"/>
      <c:layout>
        <c:manualLayout>
          <c:xMode val="edge"/>
          <c:yMode val="edge"/>
          <c:x val="6.8875176915719594E-2"/>
          <c:y val="0.71107335267302119"/>
          <c:w val="0.91942507297378873"/>
          <c:h val="0.1384282772610239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019898051903561E-2"/>
          <c:y val="0.10661948506436696"/>
          <c:w val="0.89902386634133846"/>
          <c:h val="0.52508896929805238"/>
        </c:manualLayout>
      </c:layout>
      <c:lineChart>
        <c:grouping val="standard"/>
        <c:varyColors val="0"/>
        <c:ser>
          <c:idx val="0"/>
          <c:order val="0"/>
          <c:tx>
            <c:strRef>
              <c:f>'Fig 24 and 25'!$A$4</c:f>
              <c:strCache>
                <c:ptCount val="1"/>
                <c:pt idx="0">
                  <c:v>Pacific</c:v>
                </c:pt>
              </c:strCache>
            </c:strRef>
          </c:tx>
          <c:spPr>
            <a:ln w="34925" cap="rnd">
              <a:solidFill>
                <a:schemeClr val="tx1"/>
              </a:solidFill>
              <a:round/>
            </a:ln>
            <a:effectLst/>
          </c:spPr>
          <c:marker>
            <c:symbol val="none"/>
          </c:marker>
          <c:cat>
            <c:numRef>
              <c:f>'Fig 24 and 25'!$B$3:$N$3</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24 and 25'!$B$4:$N$4</c:f>
              <c:numCache>
                <c:formatCode>0.00%</c:formatCode>
                <c:ptCount val="13"/>
                <c:pt idx="0">
                  <c:v>0.80700000000000005</c:v>
                </c:pt>
                <c:pt idx="1">
                  <c:v>0.86399999999999999</c:v>
                </c:pt>
                <c:pt idx="2">
                  <c:v>0.86699999999999999</c:v>
                </c:pt>
                <c:pt idx="3">
                  <c:v>0.873</c:v>
                </c:pt>
                <c:pt idx="4">
                  <c:v>0.879</c:v>
                </c:pt>
                <c:pt idx="5">
                  <c:v>0.89100000000000001</c:v>
                </c:pt>
                <c:pt idx="6">
                  <c:v>0.89200000000000002</c:v>
                </c:pt>
                <c:pt idx="7">
                  <c:v>0.89600000000000002</c:v>
                </c:pt>
                <c:pt idx="8">
                  <c:v>0.89800000000000002</c:v>
                </c:pt>
                <c:pt idx="9">
                  <c:v>0.90100000000000002</c:v>
                </c:pt>
                <c:pt idx="10">
                  <c:v>0.89700000000000002</c:v>
                </c:pt>
                <c:pt idx="11">
                  <c:v>0.89500000000000002</c:v>
                </c:pt>
                <c:pt idx="12">
                  <c:v>0.89100000000000001</c:v>
                </c:pt>
              </c:numCache>
            </c:numRef>
          </c:val>
          <c:smooth val="0"/>
        </c:ser>
        <c:ser>
          <c:idx val="1"/>
          <c:order val="1"/>
          <c:tx>
            <c:strRef>
              <c:f>'Fig 24 and 25'!$A$5</c:f>
              <c:strCache>
                <c:ptCount val="1"/>
                <c:pt idx="0">
                  <c:v>Total New Zealand</c:v>
                </c:pt>
              </c:strCache>
            </c:strRef>
          </c:tx>
          <c:spPr>
            <a:ln w="34925" cap="rnd">
              <a:solidFill>
                <a:schemeClr val="tx1"/>
              </a:solidFill>
              <a:prstDash val="sysDot"/>
              <a:round/>
            </a:ln>
            <a:effectLst/>
          </c:spPr>
          <c:marker>
            <c:symbol val="none"/>
          </c:marker>
          <c:cat>
            <c:numRef>
              <c:f>'Fig 24 and 25'!$B$3:$N$3</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24 and 25'!$B$5:$N$5</c:f>
              <c:numCache>
                <c:formatCode>0.00%</c:formatCode>
                <c:ptCount val="13"/>
                <c:pt idx="0">
                  <c:v>0.77600000000000002</c:v>
                </c:pt>
                <c:pt idx="1">
                  <c:v>0.83699999999999997</c:v>
                </c:pt>
                <c:pt idx="2">
                  <c:v>0.84899999999999998</c:v>
                </c:pt>
                <c:pt idx="3">
                  <c:v>0.86099999999999999</c:v>
                </c:pt>
                <c:pt idx="4">
                  <c:v>0.86899999999999999</c:v>
                </c:pt>
                <c:pt idx="5">
                  <c:v>0.89</c:v>
                </c:pt>
                <c:pt idx="6">
                  <c:v>0.89800000000000002</c:v>
                </c:pt>
                <c:pt idx="7">
                  <c:v>0.9</c:v>
                </c:pt>
                <c:pt idx="8">
                  <c:v>0.90300000000000002</c:v>
                </c:pt>
                <c:pt idx="9">
                  <c:v>0.90500000000000003</c:v>
                </c:pt>
                <c:pt idx="10">
                  <c:v>0.90500000000000003</c:v>
                </c:pt>
                <c:pt idx="11">
                  <c:v>0.90200000000000002</c:v>
                </c:pt>
                <c:pt idx="12">
                  <c:v>0.89900000000000002</c:v>
                </c:pt>
              </c:numCache>
            </c:numRef>
          </c:val>
          <c:smooth val="0"/>
        </c:ser>
        <c:ser>
          <c:idx val="2"/>
          <c:order val="2"/>
          <c:tx>
            <c:strRef>
              <c:f>'Fig 24 and 25'!$A$6</c:f>
              <c:strCache>
                <c:ptCount val="1"/>
                <c:pt idx="0">
                  <c:v>Target</c:v>
                </c:pt>
              </c:strCache>
            </c:strRef>
          </c:tx>
          <c:spPr>
            <a:ln w="34925" cap="rnd">
              <a:solidFill>
                <a:srgbClr val="FF0000"/>
              </a:solidFill>
              <a:round/>
            </a:ln>
            <a:effectLst/>
          </c:spPr>
          <c:marker>
            <c:symbol val="none"/>
          </c:marker>
          <c:cat>
            <c:numRef>
              <c:f>'Fig 24 and 25'!$B$3:$N$3</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24 and 25'!$B$6:$N$6</c:f>
              <c:numCache>
                <c:formatCode>0.00%</c:formatCode>
                <c:ptCount val="13"/>
                <c:pt idx="0">
                  <c:v>0.9</c:v>
                </c:pt>
                <c:pt idx="1">
                  <c:v>0.9</c:v>
                </c:pt>
                <c:pt idx="2">
                  <c:v>0.9</c:v>
                </c:pt>
                <c:pt idx="3">
                  <c:v>0.9</c:v>
                </c:pt>
                <c:pt idx="4">
                  <c:v>0.9</c:v>
                </c:pt>
                <c:pt idx="5">
                  <c:v>0.9</c:v>
                </c:pt>
                <c:pt idx="6">
                  <c:v>0.9</c:v>
                </c:pt>
                <c:pt idx="7">
                  <c:v>0.9</c:v>
                </c:pt>
                <c:pt idx="8">
                  <c:v>0.9</c:v>
                </c:pt>
                <c:pt idx="9">
                  <c:v>0.9</c:v>
                </c:pt>
                <c:pt idx="10">
                  <c:v>0.9</c:v>
                </c:pt>
                <c:pt idx="11">
                  <c:v>0.9</c:v>
                </c:pt>
                <c:pt idx="12">
                  <c:v>0.9</c:v>
                </c:pt>
              </c:numCache>
            </c:numRef>
          </c:val>
          <c:smooth val="0"/>
        </c:ser>
        <c:dLbls>
          <c:showLegendKey val="0"/>
          <c:showVal val="0"/>
          <c:showCatName val="0"/>
          <c:showSerName val="0"/>
          <c:showPercent val="0"/>
          <c:showBubbleSize val="0"/>
        </c:dLbls>
        <c:smooth val="0"/>
        <c:axId val="398863768"/>
        <c:axId val="398862592"/>
      </c:lineChart>
      <c:catAx>
        <c:axId val="398863768"/>
        <c:scaling>
          <c:orientation val="minMax"/>
        </c:scaling>
        <c:delete val="0"/>
        <c:axPos val="b"/>
        <c:title>
          <c:tx>
            <c:rich>
              <a:bodyPr rot="0" vert="horz"/>
              <a:lstStyle/>
              <a:p>
                <a:pPr>
                  <a:defRPr/>
                </a:pPr>
                <a:r>
                  <a:rPr lang="en-NZ"/>
                  <a:t>Final month of quarter</a:t>
                </a:r>
              </a:p>
            </c:rich>
          </c:tx>
          <c:layout>
            <c:manualLayout>
              <c:xMode val="edge"/>
              <c:yMode val="edge"/>
              <c:x val="0.40123430288263306"/>
              <c:y val="0.94256492631771582"/>
            </c:manualLayout>
          </c:layout>
          <c:overlay val="0"/>
          <c:spPr>
            <a:noFill/>
            <a:ln>
              <a:noFill/>
            </a:ln>
            <a:effectLst/>
          </c:spPr>
        </c:title>
        <c:numFmt formatCode="mmmm\ yyyy" sourceLinked="0"/>
        <c:majorTickMark val="none"/>
        <c:minorTickMark val="none"/>
        <c:tickLblPos val="nextTo"/>
        <c:spPr>
          <a:noFill/>
          <a:ln w="9525" cap="flat" cmpd="sng" algn="ctr">
            <a:solidFill>
              <a:schemeClr val="tx1"/>
            </a:solidFill>
            <a:round/>
          </a:ln>
          <a:effectLst/>
        </c:spPr>
        <c:txPr>
          <a:bodyPr rot="-5400000" vert="horz"/>
          <a:lstStyle/>
          <a:p>
            <a:pPr>
              <a:defRPr/>
            </a:pPr>
            <a:endParaRPr lang="en-US"/>
          </a:p>
        </c:txPr>
        <c:crossAx val="398862592"/>
        <c:crosses val="autoZero"/>
        <c:auto val="0"/>
        <c:lblAlgn val="ctr"/>
        <c:lblOffset val="100"/>
        <c:noMultiLvlLbl val="1"/>
      </c:catAx>
      <c:valAx>
        <c:axId val="398862592"/>
        <c:scaling>
          <c:orientation val="minMax"/>
          <c:max val="1"/>
          <c:min val="0.4"/>
        </c:scaling>
        <c:delete val="0"/>
        <c:axPos val="l"/>
        <c:title>
          <c:tx>
            <c:rich>
              <a:bodyPr rot="0"/>
              <a:lstStyle/>
              <a:p>
                <a:pPr>
                  <a:defRPr/>
                </a:pPr>
                <a:r>
                  <a:rPr lang="en-NZ"/>
                  <a:t>Percentage</a:t>
                </a:r>
              </a:p>
            </c:rich>
          </c:tx>
          <c:layout>
            <c:manualLayout>
              <c:xMode val="edge"/>
              <c:yMode val="edge"/>
              <c:x val="5.1644331075057007E-5"/>
              <c:y val="7.5746531683539555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398863768"/>
        <c:crosses val="autoZero"/>
        <c:crossBetween val="between"/>
      </c:valAx>
      <c:spPr>
        <a:noFill/>
        <a:ln>
          <a:noFill/>
        </a:ln>
        <a:effectLst/>
      </c:spPr>
    </c:plotArea>
    <c:legend>
      <c:legendPos val="r"/>
      <c:layout>
        <c:manualLayout>
          <c:xMode val="edge"/>
          <c:yMode val="edge"/>
          <c:x val="0.67201940742239541"/>
          <c:y val="0.44441066880842606"/>
          <c:w val="0.31059354341177109"/>
          <c:h val="0.17058717660292463"/>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076516574838333E-2"/>
          <c:y val="0.10900378233631859"/>
          <c:w val="0.90451131611229552"/>
          <c:h val="0.49571319434602101"/>
        </c:manualLayout>
      </c:layout>
      <c:lineChart>
        <c:grouping val="standard"/>
        <c:varyColors val="0"/>
        <c:ser>
          <c:idx val="0"/>
          <c:order val="0"/>
          <c:tx>
            <c:strRef>
              <c:f>'Fig 24 and 25'!$A$37</c:f>
              <c:strCache>
                <c:ptCount val="1"/>
                <c:pt idx="0">
                  <c:v>Auckland</c:v>
                </c:pt>
              </c:strCache>
            </c:strRef>
          </c:tx>
          <c:spPr>
            <a:ln w="34925" cap="rnd">
              <a:solidFill>
                <a:schemeClr val="tx1"/>
              </a:solidFill>
              <a:round/>
            </a:ln>
            <a:effectLst/>
          </c:spPr>
          <c:marker>
            <c:symbol val="none"/>
          </c:marker>
          <c:cat>
            <c:numRef>
              <c:f>'Fig 24 and 25'!$B$36:$N$36</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24 and 25'!$B$37:$N$37</c:f>
              <c:numCache>
                <c:formatCode>0.00%</c:formatCode>
                <c:ptCount val="13"/>
                <c:pt idx="0">
                  <c:v>0.90100000000000002</c:v>
                </c:pt>
                <c:pt idx="1">
                  <c:v>0.97299999999999998</c:v>
                </c:pt>
                <c:pt idx="2">
                  <c:v>0.93700000000000006</c:v>
                </c:pt>
                <c:pt idx="3">
                  <c:v>0.94</c:v>
                </c:pt>
                <c:pt idx="4">
                  <c:v>0.9</c:v>
                </c:pt>
                <c:pt idx="5">
                  <c:v>0.90500000000000003</c:v>
                </c:pt>
                <c:pt idx="6">
                  <c:v>0.90300000000000002</c:v>
                </c:pt>
                <c:pt idx="7">
                  <c:v>0.90800000000000003</c:v>
                </c:pt>
                <c:pt idx="8">
                  <c:v>0.90600000000000003</c:v>
                </c:pt>
                <c:pt idx="9" formatCode="0.0%">
                  <c:v>0.90700000000000003</c:v>
                </c:pt>
                <c:pt idx="10" formatCode="0.0%">
                  <c:v>0.91500000000000004</c:v>
                </c:pt>
                <c:pt idx="11" formatCode="0.0%">
                  <c:v>0.91500000000000004</c:v>
                </c:pt>
                <c:pt idx="12" formatCode="0.0%">
                  <c:v>0.91200000000000003</c:v>
                </c:pt>
              </c:numCache>
            </c:numRef>
          </c:val>
          <c:smooth val="0"/>
        </c:ser>
        <c:ser>
          <c:idx val="1"/>
          <c:order val="1"/>
          <c:tx>
            <c:strRef>
              <c:f>'Fig 24 and 25'!$A$40</c:f>
              <c:strCache>
                <c:ptCount val="1"/>
                <c:pt idx="0">
                  <c:v>Counties Manukau</c:v>
                </c:pt>
              </c:strCache>
            </c:strRef>
          </c:tx>
          <c:spPr>
            <a:ln w="34925" cap="rnd">
              <a:solidFill>
                <a:schemeClr val="tx1">
                  <a:lumMod val="50000"/>
                  <a:lumOff val="50000"/>
                </a:schemeClr>
              </a:solidFill>
              <a:prstDash val="solid"/>
              <a:round/>
            </a:ln>
            <a:effectLst/>
          </c:spPr>
          <c:marker>
            <c:symbol val="none"/>
          </c:marker>
          <c:cat>
            <c:numRef>
              <c:f>'Fig 24 and 25'!$B$36:$N$36</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24 and 25'!$B$40:$N$40</c:f>
              <c:numCache>
                <c:formatCode>0.00%</c:formatCode>
                <c:ptCount val="13"/>
                <c:pt idx="0">
                  <c:v>0.81599999999999995</c:v>
                </c:pt>
                <c:pt idx="1">
                  <c:v>0.85399999999999998</c:v>
                </c:pt>
                <c:pt idx="2">
                  <c:v>0.878</c:v>
                </c:pt>
                <c:pt idx="3">
                  <c:v>0.88100000000000001</c:v>
                </c:pt>
                <c:pt idx="4">
                  <c:v>0.91</c:v>
                </c:pt>
                <c:pt idx="5">
                  <c:v>0.92400000000000004</c:v>
                </c:pt>
                <c:pt idx="6">
                  <c:v>0.92200000000000004</c:v>
                </c:pt>
                <c:pt idx="7">
                  <c:v>0.92300000000000004</c:v>
                </c:pt>
                <c:pt idx="8">
                  <c:v>0.92300000000000004</c:v>
                </c:pt>
                <c:pt idx="9" formatCode="0.0%">
                  <c:v>0.92900000000000005</c:v>
                </c:pt>
                <c:pt idx="10" formatCode="0.0%">
                  <c:v>0.91400000000000003</c:v>
                </c:pt>
                <c:pt idx="11" formatCode="0.0%">
                  <c:v>0.91</c:v>
                </c:pt>
                <c:pt idx="12" formatCode="0.0%">
                  <c:v>0.91</c:v>
                </c:pt>
              </c:numCache>
            </c:numRef>
          </c:val>
          <c:smooth val="0"/>
        </c:ser>
        <c:ser>
          <c:idx val="2"/>
          <c:order val="2"/>
          <c:tx>
            <c:strRef>
              <c:f>'Fig 24 and 25'!$A$44</c:f>
              <c:strCache>
                <c:ptCount val="1"/>
                <c:pt idx="0">
                  <c:v>Waitemata</c:v>
                </c:pt>
              </c:strCache>
            </c:strRef>
          </c:tx>
          <c:spPr>
            <a:ln w="34925" cap="rnd">
              <a:solidFill>
                <a:schemeClr val="bg1">
                  <a:lumMod val="75000"/>
                </a:schemeClr>
              </a:solidFill>
              <a:prstDash val="solid"/>
              <a:round/>
            </a:ln>
            <a:effectLst/>
          </c:spPr>
          <c:marker>
            <c:symbol val="none"/>
          </c:marker>
          <c:cat>
            <c:numRef>
              <c:f>'Fig 24 and 25'!$B$36:$N$36</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24 and 25'!$B$44:$N$44</c:f>
              <c:numCache>
                <c:formatCode>0.00%</c:formatCode>
                <c:ptCount val="13"/>
                <c:pt idx="0">
                  <c:v>0.78900000000000003</c:v>
                </c:pt>
                <c:pt idx="1">
                  <c:v>0.878</c:v>
                </c:pt>
                <c:pt idx="2">
                  <c:v>0.879</c:v>
                </c:pt>
                <c:pt idx="3">
                  <c:v>0.88400000000000001</c:v>
                </c:pt>
                <c:pt idx="4">
                  <c:v>0.88</c:v>
                </c:pt>
                <c:pt idx="5">
                  <c:v>0.88500000000000001</c:v>
                </c:pt>
                <c:pt idx="6">
                  <c:v>0.88500000000000001</c:v>
                </c:pt>
                <c:pt idx="7">
                  <c:v>0.88300000000000001</c:v>
                </c:pt>
                <c:pt idx="8">
                  <c:v>0.88700000000000001</c:v>
                </c:pt>
                <c:pt idx="9" formatCode="0.0%">
                  <c:v>0.90300000000000002</c:v>
                </c:pt>
                <c:pt idx="10" formatCode="0.0%">
                  <c:v>0.90200000000000002</c:v>
                </c:pt>
                <c:pt idx="11" formatCode="0.0%">
                  <c:v>0.90100000000000002</c:v>
                </c:pt>
                <c:pt idx="12" formatCode="0.0%">
                  <c:v>0.89900000000000002</c:v>
                </c:pt>
              </c:numCache>
            </c:numRef>
          </c:val>
          <c:smooth val="0"/>
        </c:ser>
        <c:ser>
          <c:idx val="3"/>
          <c:order val="3"/>
          <c:tx>
            <c:strRef>
              <c:f>'Fig 24 and 25'!$A$45</c:f>
              <c:strCache>
                <c:ptCount val="1"/>
                <c:pt idx="0">
                  <c:v>Target</c:v>
                </c:pt>
              </c:strCache>
            </c:strRef>
          </c:tx>
          <c:spPr>
            <a:ln w="34925" cap="rnd">
              <a:solidFill>
                <a:srgbClr val="FF0000"/>
              </a:solidFill>
              <a:round/>
            </a:ln>
            <a:effectLst/>
          </c:spPr>
          <c:marker>
            <c:symbol val="none"/>
          </c:marker>
          <c:cat>
            <c:numRef>
              <c:f>'Fig 24 and 25'!$B$36:$N$36</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24 and 25'!$B$45:$N$45</c:f>
              <c:numCache>
                <c:formatCode>0.00%</c:formatCode>
                <c:ptCount val="13"/>
                <c:pt idx="0">
                  <c:v>0.9</c:v>
                </c:pt>
                <c:pt idx="1">
                  <c:v>0.9</c:v>
                </c:pt>
                <c:pt idx="2">
                  <c:v>0.9</c:v>
                </c:pt>
                <c:pt idx="3">
                  <c:v>0.9</c:v>
                </c:pt>
                <c:pt idx="4">
                  <c:v>0.9</c:v>
                </c:pt>
                <c:pt idx="5">
                  <c:v>0.9</c:v>
                </c:pt>
                <c:pt idx="6">
                  <c:v>0.9</c:v>
                </c:pt>
                <c:pt idx="7">
                  <c:v>0.9</c:v>
                </c:pt>
                <c:pt idx="8">
                  <c:v>0.9</c:v>
                </c:pt>
                <c:pt idx="9" formatCode="0.0%">
                  <c:v>0.9</c:v>
                </c:pt>
                <c:pt idx="10" formatCode="0.0%">
                  <c:v>0.9</c:v>
                </c:pt>
                <c:pt idx="11" formatCode="0.0%">
                  <c:v>0.9</c:v>
                </c:pt>
                <c:pt idx="12" formatCode="0.0%">
                  <c:v>0.9</c:v>
                </c:pt>
              </c:numCache>
            </c:numRef>
          </c:val>
          <c:smooth val="0"/>
        </c:ser>
        <c:dLbls>
          <c:showLegendKey val="0"/>
          <c:showVal val="0"/>
          <c:showCatName val="0"/>
          <c:showSerName val="0"/>
          <c:showPercent val="0"/>
          <c:showBubbleSize val="0"/>
        </c:dLbls>
        <c:smooth val="0"/>
        <c:axId val="398864160"/>
        <c:axId val="402807024"/>
      </c:lineChart>
      <c:catAx>
        <c:axId val="398864160"/>
        <c:scaling>
          <c:orientation val="minMax"/>
        </c:scaling>
        <c:delete val="0"/>
        <c:axPos val="b"/>
        <c:title>
          <c:tx>
            <c:rich>
              <a:bodyPr rot="0" vert="horz"/>
              <a:lstStyle/>
              <a:p>
                <a:pPr>
                  <a:defRPr/>
                </a:pPr>
                <a:r>
                  <a:rPr lang="en-NZ"/>
                  <a:t>Final month of quarter</a:t>
                </a:r>
              </a:p>
            </c:rich>
          </c:tx>
          <c:layout>
            <c:manualLayout>
              <c:xMode val="edge"/>
              <c:yMode val="edge"/>
              <c:x val="0.40288773644104642"/>
              <c:y val="0.94140487653093852"/>
            </c:manualLayout>
          </c:layout>
          <c:overlay val="0"/>
          <c:spPr>
            <a:noFill/>
            <a:ln>
              <a:noFill/>
            </a:ln>
            <a:effectLst/>
          </c:spPr>
        </c:title>
        <c:numFmt formatCode="mmmm\ yyyy" sourceLinked="0"/>
        <c:majorTickMark val="none"/>
        <c:minorTickMark val="none"/>
        <c:tickLblPos val="nextTo"/>
        <c:spPr>
          <a:noFill/>
          <a:ln w="9525" cap="flat" cmpd="sng" algn="ctr">
            <a:solidFill>
              <a:schemeClr val="tx1"/>
            </a:solidFill>
            <a:round/>
          </a:ln>
          <a:effectLst/>
        </c:spPr>
        <c:txPr>
          <a:bodyPr rot="-5400000" vert="horz"/>
          <a:lstStyle/>
          <a:p>
            <a:pPr>
              <a:defRPr/>
            </a:pPr>
            <a:endParaRPr lang="en-US"/>
          </a:p>
        </c:txPr>
        <c:crossAx val="402807024"/>
        <c:crosses val="autoZero"/>
        <c:auto val="0"/>
        <c:lblAlgn val="ctr"/>
        <c:lblOffset val="100"/>
        <c:noMultiLvlLbl val="1"/>
      </c:catAx>
      <c:valAx>
        <c:axId val="402807024"/>
        <c:scaling>
          <c:orientation val="minMax"/>
          <c:max val="1"/>
          <c:min val="0.4"/>
        </c:scaling>
        <c:delete val="0"/>
        <c:axPos val="l"/>
        <c:title>
          <c:tx>
            <c:rich>
              <a:bodyPr rot="0"/>
              <a:lstStyle/>
              <a:p>
                <a:pPr>
                  <a:defRPr/>
                </a:pPr>
                <a:r>
                  <a:rPr lang="en-NZ"/>
                  <a:t>Percentage</a:t>
                </a:r>
              </a:p>
            </c:rich>
          </c:tx>
          <c:layout>
            <c:manualLayout>
              <c:xMode val="edge"/>
              <c:yMode val="edge"/>
              <c:x val="8.464983103327725E-4"/>
              <c:y val="9.5119623350850557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398864160"/>
        <c:crosses val="autoZero"/>
        <c:crossBetween val="between"/>
      </c:valAx>
      <c:spPr>
        <a:noFill/>
        <a:ln>
          <a:noFill/>
        </a:ln>
        <a:effectLst/>
      </c:spPr>
    </c:plotArea>
    <c:legend>
      <c:legendPos val="r"/>
      <c:layout>
        <c:manualLayout>
          <c:xMode val="edge"/>
          <c:yMode val="edge"/>
          <c:x val="0.66861140462650415"/>
          <c:y val="0.35218337554128454"/>
          <c:w val="0.32059467048092111"/>
          <c:h val="0.25066180867869869"/>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076516574838333E-2"/>
          <c:y val="0.1093520158532522"/>
          <c:w val="0.90451131611229552"/>
          <c:h val="0.50958996336395446"/>
        </c:manualLayout>
      </c:layout>
      <c:lineChart>
        <c:grouping val="standard"/>
        <c:varyColors val="0"/>
        <c:ser>
          <c:idx val="0"/>
          <c:order val="0"/>
          <c:tx>
            <c:strRef>
              <c:f>'Fig 24 and 25'!$A$38</c:f>
              <c:strCache>
                <c:ptCount val="1"/>
                <c:pt idx="0">
                  <c:v>Canterbury</c:v>
                </c:pt>
              </c:strCache>
            </c:strRef>
          </c:tx>
          <c:spPr>
            <a:ln w="34925" cap="rnd">
              <a:solidFill>
                <a:schemeClr val="tx1"/>
              </a:solidFill>
              <a:round/>
            </a:ln>
            <a:effectLst/>
          </c:spPr>
          <c:marker>
            <c:symbol val="none"/>
          </c:marker>
          <c:cat>
            <c:numRef>
              <c:f>'Fig 24 and 25'!$B$36:$N$36</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24 and 25'!$B$38:$N$38</c:f>
              <c:numCache>
                <c:formatCode>0.00%</c:formatCode>
                <c:ptCount val="13"/>
                <c:pt idx="0">
                  <c:v>0.45900000000000002</c:v>
                </c:pt>
                <c:pt idx="1">
                  <c:v>0.54</c:v>
                </c:pt>
                <c:pt idx="2">
                  <c:v>0.51200000000000001</c:v>
                </c:pt>
                <c:pt idx="3">
                  <c:v>0.55600000000000005</c:v>
                </c:pt>
                <c:pt idx="4">
                  <c:v>0.71</c:v>
                </c:pt>
                <c:pt idx="5">
                  <c:v>0.75900000000000001</c:v>
                </c:pt>
                <c:pt idx="6">
                  <c:v>0.78100000000000003</c:v>
                </c:pt>
                <c:pt idx="7">
                  <c:v>0.78</c:v>
                </c:pt>
                <c:pt idx="8">
                  <c:v>0.80300000000000005</c:v>
                </c:pt>
                <c:pt idx="9" formatCode="0.0%">
                  <c:v>0.78800000000000003</c:v>
                </c:pt>
                <c:pt idx="10" formatCode="0.0%">
                  <c:v>0.77300000000000002</c:v>
                </c:pt>
                <c:pt idx="11" formatCode="0.0%">
                  <c:v>0.76900000000000002</c:v>
                </c:pt>
                <c:pt idx="12" formatCode="0.0%">
                  <c:v>0.71399999999999997</c:v>
                </c:pt>
              </c:numCache>
            </c:numRef>
          </c:val>
          <c:smooth val="0"/>
        </c:ser>
        <c:ser>
          <c:idx val="1"/>
          <c:order val="1"/>
          <c:tx>
            <c:strRef>
              <c:f>'Fig 24 and 25'!$A$39</c:f>
              <c:strCache>
                <c:ptCount val="1"/>
                <c:pt idx="0">
                  <c:v>Capital &amp; Coast</c:v>
                </c:pt>
              </c:strCache>
            </c:strRef>
          </c:tx>
          <c:spPr>
            <a:ln w="34925" cap="rnd">
              <a:solidFill>
                <a:schemeClr val="tx1">
                  <a:lumMod val="50000"/>
                  <a:lumOff val="50000"/>
                </a:schemeClr>
              </a:solidFill>
              <a:prstDash val="solid"/>
              <a:round/>
            </a:ln>
            <a:effectLst/>
          </c:spPr>
          <c:marker>
            <c:symbol val="none"/>
          </c:marker>
          <c:cat>
            <c:numRef>
              <c:f>'Fig 24 and 25'!$B$36:$N$36</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24 and 25'!$B$39:$N$39</c:f>
              <c:numCache>
                <c:formatCode>0.00%</c:formatCode>
                <c:ptCount val="13"/>
                <c:pt idx="0">
                  <c:v>0.77400000000000002</c:v>
                </c:pt>
                <c:pt idx="1">
                  <c:v>0.80800000000000005</c:v>
                </c:pt>
                <c:pt idx="2">
                  <c:v>0.84</c:v>
                </c:pt>
                <c:pt idx="3">
                  <c:v>0.85</c:v>
                </c:pt>
                <c:pt idx="4">
                  <c:v>0.85</c:v>
                </c:pt>
                <c:pt idx="5">
                  <c:v>0.86099999999999999</c:v>
                </c:pt>
                <c:pt idx="6">
                  <c:v>0.87</c:v>
                </c:pt>
                <c:pt idx="7">
                  <c:v>0.88300000000000001</c:v>
                </c:pt>
                <c:pt idx="8">
                  <c:v>0.89300000000000002</c:v>
                </c:pt>
                <c:pt idx="9" formatCode="0.0%">
                  <c:v>0.89100000000000001</c:v>
                </c:pt>
                <c:pt idx="10" formatCode="0.0%">
                  <c:v>0.88400000000000001</c:v>
                </c:pt>
                <c:pt idx="11" formatCode="0.0%">
                  <c:v>0.88300000000000001</c:v>
                </c:pt>
                <c:pt idx="12" formatCode="0.0%">
                  <c:v>0.877</c:v>
                </c:pt>
              </c:numCache>
            </c:numRef>
          </c:val>
          <c:smooth val="0"/>
        </c:ser>
        <c:ser>
          <c:idx val="2"/>
          <c:order val="2"/>
          <c:tx>
            <c:strRef>
              <c:f>'Fig 24 and 25'!$A$41</c:f>
              <c:strCache>
                <c:ptCount val="1"/>
                <c:pt idx="0">
                  <c:v>Hawke's Bay</c:v>
                </c:pt>
              </c:strCache>
            </c:strRef>
          </c:tx>
          <c:spPr>
            <a:ln w="34925" cap="rnd">
              <a:solidFill>
                <a:schemeClr val="bg1">
                  <a:lumMod val="75000"/>
                </a:schemeClr>
              </a:solidFill>
              <a:prstDash val="solid"/>
              <a:round/>
            </a:ln>
            <a:effectLst/>
          </c:spPr>
          <c:marker>
            <c:symbol val="none"/>
          </c:marker>
          <c:cat>
            <c:numRef>
              <c:f>'Fig 24 and 25'!$B$36:$N$36</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24 and 25'!$B$41:$N$41</c:f>
              <c:numCache>
                <c:formatCode>0.00%</c:formatCode>
                <c:ptCount val="13"/>
                <c:pt idx="0">
                  <c:v>0.74199999999999999</c:v>
                </c:pt>
                <c:pt idx="1">
                  <c:v>0.79</c:v>
                </c:pt>
                <c:pt idx="2">
                  <c:v>0.82399999999999995</c:v>
                </c:pt>
                <c:pt idx="3">
                  <c:v>0.83799999999999997</c:v>
                </c:pt>
                <c:pt idx="4">
                  <c:v>0.86</c:v>
                </c:pt>
                <c:pt idx="5">
                  <c:v>0.873</c:v>
                </c:pt>
                <c:pt idx="6">
                  <c:v>0.86499999999999999</c:v>
                </c:pt>
                <c:pt idx="7">
                  <c:v>0.87</c:v>
                </c:pt>
                <c:pt idx="8">
                  <c:v>0.86299999999999999</c:v>
                </c:pt>
                <c:pt idx="9" formatCode="0.0%">
                  <c:v>0.84899999999999998</c:v>
                </c:pt>
                <c:pt idx="10" formatCode="0.0%">
                  <c:v>0.84599999999999997</c:v>
                </c:pt>
                <c:pt idx="11" formatCode="0.0%">
                  <c:v>0.84</c:v>
                </c:pt>
                <c:pt idx="12" formatCode="0.0%">
                  <c:v>0.84299999999999997</c:v>
                </c:pt>
              </c:numCache>
            </c:numRef>
          </c:val>
          <c:smooth val="0"/>
        </c:ser>
        <c:ser>
          <c:idx val="3"/>
          <c:order val="3"/>
          <c:tx>
            <c:strRef>
              <c:f>'Fig 24 and 25'!$A$42</c:f>
              <c:strCache>
                <c:ptCount val="1"/>
                <c:pt idx="0">
                  <c:v>Hutt Valley</c:v>
                </c:pt>
              </c:strCache>
            </c:strRef>
          </c:tx>
          <c:spPr>
            <a:ln w="34925" cap="rnd">
              <a:solidFill>
                <a:schemeClr val="tx1">
                  <a:lumMod val="50000"/>
                  <a:lumOff val="50000"/>
                </a:schemeClr>
              </a:solidFill>
              <a:prstDash val="sysDot"/>
              <a:round/>
            </a:ln>
            <a:effectLst/>
          </c:spPr>
          <c:marker>
            <c:symbol val="none"/>
          </c:marker>
          <c:cat>
            <c:numRef>
              <c:f>'Fig 24 and 25'!$B$36:$N$36</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24 and 25'!$B$42:$N$42</c:f>
              <c:numCache>
                <c:formatCode>0.00%</c:formatCode>
                <c:ptCount val="13"/>
                <c:pt idx="0">
                  <c:v>0.73299999999999998</c:v>
                </c:pt>
                <c:pt idx="1">
                  <c:v>0.78700000000000003</c:v>
                </c:pt>
                <c:pt idx="2">
                  <c:v>0.81699999999999995</c:v>
                </c:pt>
                <c:pt idx="3">
                  <c:v>0.82799999999999996</c:v>
                </c:pt>
                <c:pt idx="4">
                  <c:v>0.84</c:v>
                </c:pt>
                <c:pt idx="5">
                  <c:v>0.86499999999999999</c:v>
                </c:pt>
                <c:pt idx="6">
                  <c:v>0.86699999999999999</c:v>
                </c:pt>
                <c:pt idx="7">
                  <c:v>0.873</c:v>
                </c:pt>
                <c:pt idx="8">
                  <c:v>0.88100000000000001</c:v>
                </c:pt>
                <c:pt idx="9" formatCode="0.0%">
                  <c:v>0.85499999999999998</c:v>
                </c:pt>
                <c:pt idx="10" formatCode="0.0%">
                  <c:v>0.871</c:v>
                </c:pt>
                <c:pt idx="11" formatCode="0.0%">
                  <c:v>0.86599999999999999</c:v>
                </c:pt>
                <c:pt idx="12" formatCode="0.0%">
                  <c:v>0.86199999999999999</c:v>
                </c:pt>
              </c:numCache>
            </c:numRef>
          </c:val>
          <c:smooth val="0"/>
        </c:ser>
        <c:ser>
          <c:idx val="4"/>
          <c:order val="4"/>
          <c:tx>
            <c:strRef>
              <c:f>'Fig 24 and 25'!$A$43</c:f>
              <c:strCache>
                <c:ptCount val="1"/>
                <c:pt idx="0">
                  <c:v>Waikato</c:v>
                </c:pt>
              </c:strCache>
            </c:strRef>
          </c:tx>
          <c:spPr>
            <a:ln w="34925" cap="rnd">
              <a:solidFill>
                <a:schemeClr val="bg1">
                  <a:lumMod val="75000"/>
                </a:schemeClr>
              </a:solidFill>
              <a:prstDash val="sysDot"/>
              <a:round/>
            </a:ln>
            <a:effectLst/>
          </c:spPr>
          <c:marker>
            <c:symbol val="none"/>
          </c:marker>
          <c:cat>
            <c:numRef>
              <c:f>'Fig 24 and 25'!$B$36:$N$36</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24 and 25'!$B$43:$N$43</c:f>
              <c:numCache>
                <c:formatCode>0.00%</c:formatCode>
                <c:ptCount val="13"/>
                <c:pt idx="0">
                  <c:v>0.70599999999999996</c:v>
                </c:pt>
                <c:pt idx="1">
                  <c:v>0.79100000000000004</c:v>
                </c:pt>
                <c:pt idx="2">
                  <c:v>0.80400000000000005</c:v>
                </c:pt>
                <c:pt idx="3">
                  <c:v>0.83099999999999996</c:v>
                </c:pt>
                <c:pt idx="4">
                  <c:v>0.85</c:v>
                </c:pt>
                <c:pt idx="5">
                  <c:v>0.878</c:v>
                </c:pt>
                <c:pt idx="6">
                  <c:v>0.878</c:v>
                </c:pt>
                <c:pt idx="7">
                  <c:v>0.88100000000000001</c:v>
                </c:pt>
                <c:pt idx="8">
                  <c:v>0.88200000000000001</c:v>
                </c:pt>
                <c:pt idx="9" formatCode="0.0%">
                  <c:v>0.88700000000000001</c:v>
                </c:pt>
                <c:pt idx="10" formatCode="0.0%">
                  <c:v>0.89</c:v>
                </c:pt>
                <c:pt idx="11" formatCode="0.0%">
                  <c:v>0.89400000000000002</c:v>
                </c:pt>
                <c:pt idx="12" formatCode="0.0%">
                  <c:v>0.88800000000000001</c:v>
                </c:pt>
              </c:numCache>
            </c:numRef>
          </c:val>
          <c:smooth val="0"/>
        </c:ser>
        <c:ser>
          <c:idx val="5"/>
          <c:order val="5"/>
          <c:tx>
            <c:strRef>
              <c:f>'Fig 24 and 25'!$A$45</c:f>
              <c:strCache>
                <c:ptCount val="1"/>
                <c:pt idx="0">
                  <c:v>Target</c:v>
                </c:pt>
              </c:strCache>
            </c:strRef>
          </c:tx>
          <c:spPr>
            <a:ln w="34925" cap="rnd">
              <a:solidFill>
                <a:srgbClr val="FF0000"/>
              </a:solidFill>
              <a:round/>
            </a:ln>
            <a:effectLst/>
          </c:spPr>
          <c:marker>
            <c:symbol val="none"/>
          </c:marker>
          <c:cat>
            <c:numRef>
              <c:f>'Fig 24 and 25'!$B$36:$N$36</c:f>
              <c:numCache>
                <c:formatCode>mmm\-yy</c:formatCode>
                <c:ptCount val="13"/>
                <c:pt idx="0">
                  <c:v>41699</c:v>
                </c:pt>
                <c:pt idx="1">
                  <c:v>41791</c:v>
                </c:pt>
                <c:pt idx="2">
                  <c:v>41883</c:v>
                </c:pt>
                <c:pt idx="3">
                  <c:v>41974</c:v>
                </c:pt>
                <c:pt idx="4">
                  <c:v>42064</c:v>
                </c:pt>
                <c:pt idx="5">
                  <c:v>42156</c:v>
                </c:pt>
                <c:pt idx="6">
                  <c:v>42248</c:v>
                </c:pt>
                <c:pt idx="7">
                  <c:v>42339</c:v>
                </c:pt>
                <c:pt idx="8">
                  <c:v>42430</c:v>
                </c:pt>
                <c:pt idx="9">
                  <c:v>42522</c:v>
                </c:pt>
                <c:pt idx="10">
                  <c:v>42614</c:v>
                </c:pt>
                <c:pt idx="11">
                  <c:v>42705</c:v>
                </c:pt>
                <c:pt idx="12">
                  <c:v>42795</c:v>
                </c:pt>
              </c:numCache>
            </c:numRef>
          </c:cat>
          <c:val>
            <c:numRef>
              <c:f>'Fig 24 and 25'!$B$45:$N$45</c:f>
              <c:numCache>
                <c:formatCode>0.00%</c:formatCode>
                <c:ptCount val="13"/>
                <c:pt idx="0">
                  <c:v>0.9</c:v>
                </c:pt>
                <c:pt idx="1">
                  <c:v>0.9</c:v>
                </c:pt>
                <c:pt idx="2">
                  <c:v>0.9</c:v>
                </c:pt>
                <c:pt idx="3">
                  <c:v>0.9</c:v>
                </c:pt>
                <c:pt idx="4">
                  <c:v>0.9</c:v>
                </c:pt>
                <c:pt idx="5">
                  <c:v>0.9</c:v>
                </c:pt>
                <c:pt idx="6">
                  <c:v>0.9</c:v>
                </c:pt>
                <c:pt idx="7">
                  <c:v>0.9</c:v>
                </c:pt>
                <c:pt idx="8">
                  <c:v>0.9</c:v>
                </c:pt>
                <c:pt idx="9" formatCode="0.0%">
                  <c:v>0.9</c:v>
                </c:pt>
                <c:pt idx="10" formatCode="0.0%">
                  <c:v>0.9</c:v>
                </c:pt>
                <c:pt idx="11" formatCode="0.0%">
                  <c:v>0.9</c:v>
                </c:pt>
                <c:pt idx="12" formatCode="0.0%">
                  <c:v>0.9</c:v>
                </c:pt>
              </c:numCache>
            </c:numRef>
          </c:val>
          <c:smooth val="0"/>
        </c:ser>
        <c:dLbls>
          <c:showLegendKey val="0"/>
          <c:showVal val="0"/>
          <c:showCatName val="0"/>
          <c:showSerName val="0"/>
          <c:showPercent val="0"/>
          <c:showBubbleSize val="0"/>
        </c:dLbls>
        <c:smooth val="0"/>
        <c:axId val="402807808"/>
        <c:axId val="402806632"/>
      </c:lineChart>
      <c:catAx>
        <c:axId val="402807808"/>
        <c:scaling>
          <c:orientation val="minMax"/>
        </c:scaling>
        <c:delete val="0"/>
        <c:axPos val="b"/>
        <c:title>
          <c:tx>
            <c:rich>
              <a:bodyPr rot="0" vert="horz"/>
              <a:lstStyle/>
              <a:p>
                <a:pPr>
                  <a:defRPr/>
                </a:pPr>
                <a:r>
                  <a:rPr lang="en-NZ"/>
                  <a:t>Final month of quarter</a:t>
                </a:r>
              </a:p>
            </c:rich>
          </c:tx>
          <c:layout>
            <c:manualLayout>
              <c:xMode val="edge"/>
              <c:yMode val="edge"/>
              <c:x val="0.41956911891002829"/>
              <c:y val="0.95035951568724208"/>
            </c:manualLayout>
          </c:layout>
          <c:overlay val="0"/>
          <c:spPr>
            <a:noFill/>
            <a:ln>
              <a:noFill/>
            </a:ln>
            <a:effectLst/>
          </c:spPr>
        </c:title>
        <c:numFmt formatCode="mmmm\ yyyy" sourceLinked="0"/>
        <c:majorTickMark val="none"/>
        <c:minorTickMark val="none"/>
        <c:tickLblPos val="nextTo"/>
        <c:spPr>
          <a:noFill/>
          <a:ln w="9525" cap="flat" cmpd="sng" algn="ctr">
            <a:solidFill>
              <a:schemeClr val="tx1"/>
            </a:solidFill>
            <a:round/>
          </a:ln>
          <a:effectLst/>
        </c:spPr>
        <c:txPr>
          <a:bodyPr rot="-5400000" vert="horz"/>
          <a:lstStyle/>
          <a:p>
            <a:pPr>
              <a:defRPr/>
            </a:pPr>
            <a:endParaRPr lang="en-US"/>
          </a:p>
        </c:txPr>
        <c:crossAx val="402806632"/>
        <c:crosses val="autoZero"/>
        <c:auto val="0"/>
        <c:lblAlgn val="ctr"/>
        <c:lblOffset val="100"/>
        <c:noMultiLvlLbl val="1"/>
      </c:catAx>
      <c:valAx>
        <c:axId val="402806632"/>
        <c:scaling>
          <c:orientation val="minMax"/>
          <c:max val="1"/>
          <c:min val="0.30000000000000004"/>
        </c:scaling>
        <c:delete val="0"/>
        <c:axPos val="l"/>
        <c:title>
          <c:tx>
            <c:rich>
              <a:bodyPr rot="0"/>
              <a:lstStyle/>
              <a:p>
                <a:pPr>
                  <a:defRPr/>
                </a:pPr>
                <a:r>
                  <a:rPr lang="en-NZ"/>
                  <a:t>Percentage</a:t>
                </a:r>
              </a:p>
            </c:rich>
          </c:tx>
          <c:layout>
            <c:manualLayout>
              <c:xMode val="edge"/>
              <c:yMode val="edge"/>
              <c:x val="8.464983103327725E-4"/>
              <c:y val="9.5119623350850557E-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402807808"/>
        <c:crosses val="autoZero"/>
        <c:crossBetween val="between"/>
      </c:valAx>
      <c:spPr>
        <a:noFill/>
        <a:ln>
          <a:noFill/>
        </a:ln>
        <a:effectLst/>
      </c:spPr>
    </c:plotArea>
    <c:legend>
      <c:legendPos val="r"/>
      <c:layout>
        <c:manualLayout>
          <c:xMode val="edge"/>
          <c:yMode val="edge"/>
          <c:x val="8.2399286064391564E-2"/>
          <c:y val="0.50228052548118984"/>
          <c:w val="0.89811236480438839"/>
          <c:h val="0.12323791557305337"/>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048072093408029E-2"/>
          <c:y val="0.10431557369197464"/>
          <c:w val="0.9335782367997264"/>
          <c:h val="0.73226378402234926"/>
        </c:manualLayout>
      </c:layout>
      <c:lineChart>
        <c:grouping val="standard"/>
        <c:varyColors val="0"/>
        <c:ser>
          <c:idx val="0"/>
          <c:order val="0"/>
          <c:tx>
            <c:strRef>
              <c:f>'Fig 38'!$A$5</c:f>
              <c:strCache>
                <c:ptCount val="1"/>
                <c:pt idx="0">
                  <c:v>Pacific</c:v>
                </c:pt>
              </c:strCache>
            </c:strRef>
          </c:tx>
          <c:spPr>
            <a:ln w="34925" cap="rnd">
              <a:solidFill>
                <a:schemeClr val="tx1"/>
              </a:solidFill>
              <a:round/>
            </a:ln>
            <a:effectLst/>
          </c:spPr>
          <c:marker>
            <c:symbol val="none"/>
          </c:marker>
          <c:cat>
            <c:numRef>
              <c:f>'Fig 38'!$B$3:$G$3</c:f>
              <c:numCache>
                <c:formatCode>General</c:formatCode>
                <c:ptCount val="6"/>
                <c:pt idx="0">
                  <c:v>2011</c:v>
                </c:pt>
                <c:pt idx="1">
                  <c:v>2012</c:v>
                </c:pt>
                <c:pt idx="2">
                  <c:v>2013</c:v>
                </c:pt>
                <c:pt idx="3">
                  <c:v>2014</c:v>
                </c:pt>
                <c:pt idx="4">
                  <c:v>2015</c:v>
                </c:pt>
                <c:pt idx="5">
                  <c:v>2016</c:v>
                </c:pt>
              </c:numCache>
            </c:numRef>
          </c:cat>
          <c:val>
            <c:numRef>
              <c:f>'Fig 38'!$B$5:$G$5</c:f>
              <c:numCache>
                <c:formatCode>General</c:formatCode>
                <c:ptCount val="6"/>
                <c:pt idx="0">
                  <c:v>25.6</c:v>
                </c:pt>
                <c:pt idx="1">
                  <c:v>19.3</c:v>
                </c:pt>
                <c:pt idx="2">
                  <c:v>32.5</c:v>
                </c:pt>
                <c:pt idx="3">
                  <c:v>26.8</c:v>
                </c:pt>
                <c:pt idx="4">
                  <c:v>16.600000000000001</c:v>
                </c:pt>
                <c:pt idx="5">
                  <c:v>25</c:v>
                </c:pt>
              </c:numCache>
            </c:numRef>
          </c:val>
          <c:smooth val="0"/>
        </c:ser>
        <c:ser>
          <c:idx val="1"/>
          <c:order val="1"/>
          <c:tx>
            <c:strRef>
              <c:f>'Fig 38'!$A$6</c:f>
              <c:strCache>
                <c:ptCount val="1"/>
                <c:pt idx="0">
                  <c:v>Total New Zealand</c:v>
                </c:pt>
              </c:strCache>
            </c:strRef>
          </c:tx>
          <c:spPr>
            <a:ln w="34925" cap="rnd">
              <a:solidFill>
                <a:schemeClr val="tx1"/>
              </a:solidFill>
              <a:prstDash val="sysDot"/>
              <a:round/>
            </a:ln>
            <a:effectLst/>
          </c:spPr>
          <c:marker>
            <c:symbol val="none"/>
          </c:marker>
          <c:cat>
            <c:numRef>
              <c:f>'Fig 38'!$B$3:$G$3</c:f>
              <c:numCache>
                <c:formatCode>General</c:formatCode>
                <c:ptCount val="6"/>
                <c:pt idx="0">
                  <c:v>2011</c:v>
                </c:pt>
                <c:pt idx="1">
                  <c:v>2012</c:v>
                </c:pt>
                <c:pt idx="2">
                  <c:v>2013</c:v>
                </c:pt>
                <c:pt idx="3">
                  <c:v>2014</c:v>
                </c:pt>
                <c:pt idx="4">
                  <c:v>2015</c:v>
                </c:pt>
                <c:pt idx="5">
                  <c:v>2016</c:v>
                </c:pt>
              </c:numCache>
            </c:numRef>
          </c:cat>
          <c:val>
            <c:numRef>
              <c:f>'Fig 38'!$B$6:$G$6</c:f>
              <c:numCache>
                <c:formatCode>General</c:formatCode>
                <c:ptCount val="6"/>
                <c:pt idx="0">
                  <c:v>4.2</c:v>
                </c:pt>
                <c:pt idx="1">
                  <c:v>3.8</c:v>
                </c:pt>
                <c:pt idx="2">
                  <c:v>4.3</c:v>
                </c:pt>
                <c:pt idx="3">
                  <c:v>3.4</c:v>
                </c:pt>
                <c:pt idx="4">
                  <c:v>2.1</c:v>
                </c:pt>
                <c:pt idx="5">
                  <c:v>3</c:v>
                </c:pt>
              </c:numCache>
            </c:numRef>
          </c:val>
          <c:smooth val="0"/>
        </c:ser>
        <c:dLbls>
          <c:showLegendKey val="0"/>
          <c:showVal val="0"/>
          <c:showCatName val="0"/>
          <c:showSerName val="0"/>
          <c:showPercent val="0"/>
          <c:showBubbleSize val="0"/>
        </c:dLbls>
        <c:smooth val="0"/>
        <c:axId val="396671552"/>
        <c:axId val="396681352"/>
      </c:lineChart>
      <c:catAx>
        <c:axId val="396671552"/>
        <c:scaling>
          <c:orientation val="minMax"/>
        </c:scaling>
        <c:delete val="0"/>
        <c:axPos val="b"/>
        <c:title>
          <c:tx>
            <c:rich>
              <a:bodyPr rot="0" vert="horz"/>
              <a:lstStyle/>
              <a:p>
                <a:pPr>
                  <a:defRPr/>
                </a:pPr>
                <a:r>
                  <a:rPr lang="en-NZ"/>
                  <a:t>Calendar year</a:t>
                </a:r>
              </a:p>
            </c:rich>
          </c:tx>
          <c:layout>
            <c:manualLayout>
              <c:xMode val="edge"/>
              <c:yMode val="edge"/>
              <c:x val="0.43430713970902918"/>
              <c:y val="0.9339165086116060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396681352"/>
        <c:crosses val="autoZero"/>
        <c:auto val="1"/>
        <c:lblAlgn val="ctr"/>
        <c:lblOffset val="100"/>
        <c:noMultiLvlLbl val="0"/>
      </c:catAx>
      <c:valAx>
        <c:axId val="396681352"/>
        <c:scaling>
          <c:orientation val="minMax"/>
        </c:scaling>
        <c:delete val="0"/>
        <c:axPos val="l"/>
        <c:numFmt formatCode="General" sourceLinked="1"/>
        <c:majorTickMark val="out"/>
        <c:minorTickMark val="none"/>
        <c:tickLblPos val="nextTo"/>
        <c:spPr>
          <a:noFill/>
          <a:ln w="6350">
            <a:solidFill>
              <a:schemeClr val="tx1"/>
            </a:solidFill>
          </a:ln>
          <a:effectLst/>
        </c:spPr>
        <c:txPr>
          <a:bodyPr rot="-60000000" vert="horz"/>
          <a:lstStyle/>
          <a:p>
            <a:pPr>
              <a:defRPr/>
            </a:pPr>
            <a:endParaRPr lang="en-US"/>
          </a:p>
        </c:txPr>
        <c:crossAx val="396671552"/>
        <c:crosses val="autoZero"/>
        <c:crossBetween val="between"/>
      </c:valAx>
      <c:spPr>
        <a:noFill/>
        <a:ln>
          <a:noFill/>
        </a:ln>
        <a:effectLst/>
      </c:spPr>
    </c:plotArea>
    <c:legend>
      <c:legendPos val="r"/>
      <c:layout>
        <c:manualLayout>
          <c:xMode val="edge"/>
          <c:yMode val="edge"/>
          <c:x val="0.63838022096412583"/>
          <c:y val="9.2204532827557084E-2"/>
          <c:w val="0.34750876191855135"/>
          <c:h val="0.14351451002146964"/>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0">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315202535166978E-2"/>
          <c:y val="0.11217191601049868"/>
          <c:w val="0.91734944422269793"/>
          <c:h val="0.74242465381482492"/>
        </c:manualLayout>
      </c:layout>
      <c:lineChart>
        <c:grouping val="standard"/>
        <c:varyColors val="0"/>
        <c:ser>
          <c:idx val="0"/>
          <c:order val="0"/>
          <c:tx>
            <c:strRef>
              <c:f>'Fig 1a, 1b, 1c, 1d'!$A$87</c:f>
              <c:strCache>
                <c:ptCount val="1"/>
                <c:pt idx="0">
                  <c:v>Pacific</c:v>
                </c:pt>
              </c:strCache>
            </c:strRef>
          </c:tx>
          <c:spPr>
            <a:ln w="34925" cap="rnd">
              <a:solidFill>
                <a:sysClr val="windowText" lastClr="000000"/>
              </a:solidFill>
              <a:round/>
            </a:ln>
            <a:effectLst/>
          </c:spPr>
          <c:marker>
            <c:symbol val="none"/>
          </c:marker>
          <c:cat>
            <c:strRef>
              <c:f>'Fig 1a, 1b, 1c, 1d'!$B$86:$L$86</c:f>
              <c:strCache>
                <c:ptCount val="11"/>
                <c:pt idx="0">
                  <c:v>2006</c:v>
                </c:pt>
                <c:pt idx="1">
                  <c:v>2007</c:v>
                </c:pt>
                <c:pt idx="2">
                  <c:v>2008</c:v>
                </c:pt>
                <c:pt idx="3">
                  <c:v>2009</c:v>
                </c:pt>
                <c:pt idx="4">
                  <c:v>2010</c:v>
                </c:pt>
                <c:pt idx="5">
                  <c:v>2011</c:v>
                </c:pt>
                <c:pt idx="6">
                  <c:v>2012</c:v>
                </c:pt>
                <c:pt idx="7">
                  <c:v>2013</c:v>
                </c:pt>
                <c:pt idx="8">
                  <c:v>2014</c:v>
                </c:pt>
                <c:pt idx="9">
                  <c:v>2015</c:v>
                </c:pt>
                <c:pt idx="10">
                  <c:v>2016</c:v>
                </c:pt>
              </c:strCache>
            </c:strRef>
          </c:cat>
          <c:val>
            <c:numRef>
              <c:f>'Fig 1a, 1b, 1c, 1d'!$B$87:$L$87</c:f>
              <c:numCache>
                <c:formatCode>0</c:formatCode>
                <c:ptCount val="11"/>
                <c:pt idx="0">
                  <c:v>7455.4916461243492</c:v>
                </c:pt>
                <c:pt idx="1">
                  <c:v>7680.5078021687386</c:v>
                </c:pt>
                <c:pt idx="2">
                  <c:v>7900.8894536213465</c:v>
                </c:pt>
                <c:pt idx="3">
                  <c:v>8646.5981399902103</c:v>
                </c:pt>
                <c:pt idx="4">
                  <c:v>8788.5203481533754</c:v>
                </c:pt>
                <c:pt idx="5">
                  <c:v>8877.5510204081638</c:v>
                </c:pt>
                <c:pt idx="6">
                  <c:v>8733.816107087996</c:v>
                </c:pt>
                <c:pt idx="7">
                  <c:v>8589.5270270270266</c:v>
                </c:pt>
                <c:pt idx="8">
                  <c:v>8853.4376286537663</c:v>
                </c:pt>
                <c:pt idx="9">
                  <c:v>8568.277521556045</c:v>
                </c:pt>
                <c:pt idx="10">
                  <c:v>8786.7502940023514</c:v>
                </c:pt>
              </c:numCache>
            </c:numRef>
          </c:val>
          <c:smooth val="0"/>
        </c:ser>
        <c:ser>
          <c:idx val="1"/>
          <c:order val="1"/>
          <c:tx>
            <c:strRef>
              <c:f>'Fig 1a, 1b, 1c, 1d'!$A$88</c:f>
              <c:strCache>
                <c:ptCount val="1"/>
                <c:pt idx="0">
                  <c:v>Total New Zealand</c:v>
                </c:pt>
              </c:strCache>
            </c:strRef>
          </c:tx>
          <c:spPr>
            <a:ln w="34925" cap="rnd">
              <a:solidFill>
                <a:sysClr val="windowText" lastClr="000000"/>
              </a:solidFill>
              <a:prstDash val="sysDot"/>
              <a:round/>
            </a:ln>
            <a:effectLst/>
          </c:spPr>
          <c:marker>
            <c:symbol val="none"/>
          </c:marker>
          <c:cat>
            <c:strRef>
              <c:f>'Fig 1a, 1b, 1c, 1d'!$B$86:$L$86</c:f>
              <c:strCache>
                <c:ptCount val="11"/>
                <c:pt idx="0">
                  <c:v>2006</c:v>
                </c:pt>
                <c:pt idx="1">
                  <c:v>2007</c:v>
                </c:pt>
                <c:pt idx="2">
                  <c:v>2008</c:v>
                </c:pt>
                <c:pt idx="3">
                  <c:v>2009</c:v>
                </c:pt>
                <c:pt idx="4">
                  <c:v>2010</c:v>
                </c:pt>
                <c:pt idx="5">
                  <c:v>2011</c:v>
                </c:pt>
                <c:pt idx="6">
                  <c:v>2012</c:v>
                </c:pt>
                <c:pt idx="7">
                  <c:v>2013</c:v>
                </c:pt>
                <c:pt idx="8">
                  <c:v>2014</c:v>
                </c:pt>
                <c:pt idx="9">
                  <c:v>2015</c:v>
                </c:pt>
                <c:pt idx="10">
                  <c:v>2016</c:v>
                </c:pt>
              </c:strCache>
            </c:strRef>
          </c:cat>
          <c:val>
            <c:numRef>
              <c:f>'Fig 1a, 1b, 1c, 1d'!$B$88:$L$88</c:f>
              <c:numCache>
                <c:formatCode>0</c:formatCode>
                <c:ptCount val="11"/>
                <c:pt idx="0">
                  <c:v>3455.121880368421</c:v>
                </c:pt>
                <c:pt idx="1">
                  <c:v>3429.9995606820166</c:v>
                </c:pt>
                <c:pt idx="2">
                  <c:v>3498.6875768349005</c:v>
                </c:pt>
                <c:pt idx="3">
                  <c:v>3637.9405503429789</c:v>
                </c:pt>
                <c:pt idx="4">
                  <c:v>3689.0511413490694</c:v>
                </c:pt>
                <c:pt idx="5">
                  <c:v>3646.3727381362646</c:v>
                </c:pt>
                <c:pt idx="6">
                  <c:v>3768.7860245732518</c:v>
                </c:pt>
                <c:pt idx="7">
                  <c:v>3844.4271663833356</c:v>
                </c:pt>
                <c:pt idx="8">
                  <c:v>3793.0570914373684</c:v>
                </c:pt>
                <c:pt idx="9">
                  <c:v>3748.2145369734749</c:v>
                </c:pt>
                <c:pt idx="10">
                  <c:v>3789.0015355841288</c:v>
                </c:pt>
              </c:numCache>
            </c:numRef>
          </c:val>
          <c:smooth val="0"/>
        </c:ser>
        <c:dLbls>
          <c:showLegendKey val="0"/>
          <c:showVal val="0"/>
          <c:showCatName val="0"/>
          <c:showSerName val="0"/>
          <c:showPercent val="0"/>
          <c:showBubbleSize val="0"/>
        </c:dLbls>
        <c:smooth val="0"/>
        <c:axId val="402846168"/>
        <c:axId val="570368152"/>
      </c:lineChart>
      <c:catAx>
        <c:axId val="402846168"/>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Calendar</a:t>
                </a:r>
                <a:r>
                  <a:rPr lang="en-NZ" sz="900" baseline="0"/>
                  <a:t> y</a:t>
                </a:r>
                <a:r>
                  <a:rPr lang="en-NZ" sz="900"/>
                  <a:t>ear</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0368152"/>
        <c:crosses val="autoZero"/>
        <c:auto val="1"/>
        <c:lblAlgn val="ctr"/>
        <c:lblOffset val="100"/>
        <c:noMultiLvlLbl val="0"/>
      </c:catAx>
      <c:valAx>
        <c:axId val="570368152"/>
        <c:scaling>
          <c:orientation val="minMax"/>
        </c:scaling>
        <c:delete val="0"/>
        <c:axPos val="l"/>
        <c:numFmt formatCode="#,##0" sourceLinked="0"/>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2846168"/>
        <c:crosses val="autoZero"/>
        <c:crossBetween val="between"/>
      </c:valAx>
      <c:spPr>
        <a:noFill/>
        <a:ln>
          <a:noFill/>
        </a:ln>
        <a:effectLst/>
      </c:spPr>
    </c:plotArea>
    <c:legend>
      <c:legendPos val="r"/>
      <c:layout>
        <c:manualLayout>
          <c:xMode val="edge"/>
          <c:yMode val="edge"/>
          <c:x val="0.68813917182620765"/>
          <c:y val="0.70671780251606475"/>
          <c:w val="0.29825269449927766"/>
          <c:h val="0.1330256131776631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22164497479052E-2"/>
          <c:y val="0.11127486406822885"/>
          <c:w val="0.90933663205682269"/>
          <c:h val="0.74617480239285316"/>
        </c:manualLayout>
      </c:layout>
      <c:lineChart>
        <c:grouping val="standard"/>
        <c:varyColors val="0"/>
        <c:ser>
          <c:idx val="0"/>
          <c:order val="0"/>
          <c:tx>
            <c:strRef>
              <c:f>'Fig 1a, 1b, 1c, 1d'!$A$123</c:f>
              <c:strCache>
                <c:ptCount val="1"/>
                <c:pt idx="0">
                  <c:v>Auckland</c:v>
                </c:pt>
              </c:strCache>
            </c:strRef>
          </c:tx>
          <c:spPr>
            <a:ln w="34925" cap="rnd">
              <a:solidFill>
                <a:schemeClr val="tx1"/>
              </a:solidFill>
              <a:round/>
            </a:ln>
            <a:effectLst/>
          </c:spPr>
          <c:marker>
            <c:symbol val="none"/>
          </c:marker>
          <c:cat>
            <c:strRef>
              <c:f>'Fig 1a, 1b, 1c, 1d'!$B$122:$L$122</c:f>
              <c:strCache>
                <c:ptCount val="11"/>
                <c:pt idx="0">
                  <c:v>2006</c:v>
                </c:pt>
                <c:pt idx="1">
                  <c:v>2007</c:v>
                </c:pt>
                <c:pt idx="2">
                  <c:v>2008</c:v>
                </c:pt>
                <c:pt idx="3">
                  <c:v>2009</c:v>
                </c:pt>
                <c:pt idx="4">
                  <c:v>2010</c:v>
                </c:pt>
                <c:pt idx="5">
                  <c:v>2011</c:v>
                </c:pt>
                <c:pt idx="6">
                  <c:v>2012</c:v>
                </c:pt>
                <c:pt idx="7">
                  <c:v>2013</c:v>
                </c:pt>
                <c:pt idx="8">
                  <c:v>2014</c:v>
                </c:pt>
                <c:pt idx="9">
                  <c:v>2015</c:v>
                </c:pt>
                <c:pt idx="10">
                  <c:v>2016</c:v>
                </c:pt>
              </c:strCache>
            </c:strRef>
          </c:cat>
          <c:val>
            <c:numRef>
              <c:f>'Fig 1a, 1b, 1c, 1d'!$B$123:$L$123</c:f>
              <c:numCache>
                <c:formatCode>0</c:formatCode>
                <c:ptCount val="11"/>
                <c:pt idx="0">
                  <c:v>8082.0265379975872</c:v>
                </c:pt>
                <c:pt idx="1">
                  <c:v>7751.7564402810303</c:v>
                </c:pt>
                <c:pt idx="2">
                  <c:v>7834.4671201814062</c:v>
                </c:pt>
                <c:pt idx="3">
                  <c:v>8432.0175438596489</c:v>
                </c:pt>
                <c:pt idx="4">
                  <c:v>8050.8474576271183</c:v>
                </c:pt>
                <c:pt idx="5">
                  <c:v>7934.5603271983637</c:v>
                </c:pt>
                <c:pt idx="6">
                  <c:v>7472.7452923686815</c:v>
                </c:pt>
                <c:pt idx="7">
                  <c:v>7707.7363896848137</c:v>
                </c:pt>
                <c:pt idx="8">
                  <c:v>7988.6685552407935</c:v>
                </c:pt>
                <c:pt idx="9">
                  <c:v>7898.6866791744842</c:v>
                </c:pt>
                <c:pt idx="10">
                  <c:v>8336.4485981308408</c:v>
                </c:pt>
              </c:numCache>
            </c:numRef>
          </c:val>
          <c:smooth val="0"/>
        </c:ser>
        <c:ser>
          <c:idx val="1"/>
          <c:order val="1"/>
          <c:tx>
            <c:strRef>
              <c:f>'Fig 1a, 1b, 1c, 1d'!$A$126</c:f>
              <c:strCache>
                <c:ptCount val="1"/>
                <c:pt idx="0">
                  <c:v>Counties Manukau</c:v>
                </c:pt>
              </c:strCache>
            </c:strRef>
          </c:tx>
          <c:spPr>
            <a:ln w="34925" cap="rnd">
              <a:solidFill>
                <a:schemeClr val="tx1">
                  <a:lumMod val="50000"/>
                  <a:lumOff val="50000"/>
                </a:schemeClr>
              </a:solidFill>
              <a:prstDash val="solid"/>
              <a:round/>
            </a:ln>
            <a:effectLst/>
          </c:spPr>
          <c:marker>
            <c:symbol val="none"/>
          </c:marker>
          <c:cat>
            <c:strRef>
              <c:f>'Fig 1a, 1b, 1c, 1d'!$B$122:$L$122</c:f>
              <c:strCache>
                <c:ptCount val="11"/>
                <c:pt idx="0">
                  <c:v>2006</c:v>
                </c:pt>
                <c:pt idx="1">
                  <c:v>2007</c:v>
                </c:pt>
                <c:pt idx="2">
                  <c:v>2008</c:v>
                </c:pt>
                <c:pt idx="3">
                  <c:v>2009</c:v>
                </c:pt>
                <c:pt idx="4">
                  <c:v>2010</c:v>
                </c:pt>
                <c:pt idx="5">
                  <c:v>2011</c:v>
                </c:pt>
                <c:pt idx="6">
                  <c:v>2012</c:v>
                </c:pt>
                <c:pt idx="7">
                  <c:v>2013</c:v>
                </c:pt>
                <c:pt idx="8">
                  <c:v>2014</c:v>
                </c:pt>
                <c:pt idx="9">
                  <c:v>2015</c:v>
                </c:pt>
                <c:pt idx="10">
                  <c:v>2016</c:v>
                </c:pt>
              </c:strCache>
            </c:strRef>
          </c:cat>
          <c:val>
            <c:numRef>
              <c:f>'Fig 1a, 1b, 1c, 1d'!$B$126:$L$126</c:f>
              <c:numCache>
                <c:formatCode>0</c:formatCode>
                <c:ptCount val="11"/>
                <c:pt idx="0">
                  <c:v>7868.7367678193368</c:v>
                </c:pt>
                <c:pt idx="1">
                  <c:v>8431.1050477489771</c:v>
                </c:pt>
                <c:pt idx="2">
                  <c:v>9010.4849279161208</c:v>
                </c:pt>
                <c:pt idx="3">
                  <c:v>9427.3127753303961</c:v>
                </c:pt>
                <c:pt idx="4">
                  <c:v>9751.213592233009</c:v>
                </c:pt>
                <c:pt idx="5">
                  <c:v>10005.847953216375</c:v>
                </c:pt>
                <c:pt idx="6">
                  <c:v>10033.955857385399</c:v>
                </c:pt>
                <c:pt idx="7">
                  <c:v>9918.3451279259662</c:v>
                </c:pt>
                <c:pt idx="8">
                  <c:v>9789.9159663865539</c:v>
                </c:pt>
                <c:pt idx="9">
                  <c:v>9021.2981744421904</c:v>
                </c:pt>
                <c:pt idx="10">
                  <c:v>9764.5904855321241</c:v>
                </c:pt>
              </c:numCache>
            </c:numRef>
          </c:val>
          <c:smooth val="0"/>
        </c:ser>
        <c:ser>
          <c:idx val="2"/>
          <c:order val="2"/>
          <c:tx>
            <c:strRef>
              <c:f>'Fig 1a, 1b, 1c, 1d'!$A$130</c:f>
              <c:strCache>
                <c:ptCount val="1"/>
                <c:pt idx="0">
                  <c:v>Waitemata</c:v>
                </c:pt>
              </c:strCache>
            </c:strRef>
          </c:tx>
          <c:spPr>
            <a:ln w="34925" cap="rnd">
              <a:solidFill>
                <a:schemeClr val="bg1">
                  <a:lumMod val="75000"/>
                </a:schemeClr>
              </a:solidFill>
              <a:prstDash val="solid"/>
              <a:round/>
            </a:ln>
            <a:effectLst/>
          </c:spPr>
          <c:marker>
            <c:symbol val="none"/>
          </c:marker>
          <c:cat>
            <c:strRef>
              <c:f>'Fig 1a, 1b, 1c, 1d'!$B$122:$L$122</c:f>
              <c:strCache>
                <c:ptCount val="11"/>
                <c:pt idx="0">
                  <c:v>2006</c:v>
                </c:pt>
                <c:pt idx="1">
                  <c:v>2007</c:v>
                </c:pt>
                <c:pt idx="2">
                  <c:v>2008</c:v>
                </c:pt>
                <c:pt idx="3">
                  <c:v>2009</c:v>
                </c:pt>
                <c:pt idx="4">
                  <c:v>2010</c:v>
                </c:pt>
                <c:pt idx="5">
                  <c:v>2011</c:v>
                </c:pt>
                <c:pt idx="6">
                  <c:v>2012</c:v>
                </c:pt>
                <c:pt idx="7">
                  <c:v>2013</c:v>
                </c:pt>
                <c:pt idx="8">
                  <c:v>2014</c:v>
                </c:pt>
                <c:pt idx="9">
                  <c:v>2015</c:v>
                </c:pt>
                <c:pt idx="10">
                  <c:v>2016</c:v>
                </c:pt>
              </c:strCache>
            </c:strRef>
          </c:cat>
          <c:val>
            <c:numRef>
              <c:f>'Fig 1a, 1b, 1c, 1d'!$B$130:$L$130</c:f>
              <c:numCache>
                <c:formatCode>0</c:formatCode>
                <c:ptCount val="11"/>
                <c:pt idx="0">
                  <c:v>8614.800759013282</c:v>
                </c:pt>
                <c:pt idx="1">
                  <c:v>9456.5217391304341</c:v>
                </c:pt>
                <c:pt idx="2">
                  <c:v>8938.3561643835619</c:v>
                </c:pt>
                <c:pt idx="3">
                  <c:v>9754.0983606557384</c:v>
                </c:pt>
                <c:pt idx="4">
                  <c:v>9595.6454121306379</c:v>
                </c:pt>
                <c:pt idx="5">
                  <c:v>9526.6272189349111</c:v>
                </c:pt>
                <c:pt idx="6">
                  <c:v>9460.2272727272721</c:v>
                </c:pt>
                <c:pt idx="7">
                  <c:v>9132.791327913279</c:v>
                </c:pt>
                <c:pt idx="8">
                  <c:v>10144.546649145861</c:v>
                </c:pt>
                <c:pt idx="9">
                  <c:v>10306.122448979591</c:v>
                </c:pt>
                <c:pt idx="10">
                  <c:v>9651.7412935323391</c:v>
                </c:pt>
              </c:numCache>
            </c:numRef>
          </c:val>
          <c:smooth val="0"/>
        </c:ser>
        <c:ser>
          <c:idx val="3"/>
          <c:order val="3"/>
          <c:tx>
            <c:strRef>
              <c:f>'Fig 1a, 1b, 1c, 1d'!$A$131</c:f>
              <c:strCache>
                <c:ptCount val="1"/>
                <c:pt idx="0">
                  <c:v>Total New Zealand</c:v>
                </c:pt>
              </c:strCache>
            </c:strRef>
          </c:tx>
          <c:spPr>
            <a:ln w="34925" cap="rnd">
              <a:solidFill>
                <a:schemeClr val="tx1"/>
              </a:solidFill>
              <a:prstDash val="sysDot"/>
              <a:round/>
            </a:ln>
            <a:effectLst/>
          </c:spPr>
          <c:marker>
            <c:symbol val="none"/>
          </c:marker>
          <c:cat>
            <c:strRef>
              <c:f>'Fig 1a, 1b, 1c, 1d'!$B$122:$L$122</c:f>
              <c:strCache>
                <c:ptCount val="11"/>
                <c:pt idx="0">
                  <c:v>2006</c:v>
                </c:pt>
                <c:pt idx="1">
                  <c:v>2007</c:v>
                </c:pt>
                <c:pt idx="2">
                  <c:v>2008</c:v>
                </c:pt>
                <c:pt idx="3">
                  <c:v>2009</c:v>
                </c:pt>
                <c:pt idx="4">
                  <c:v>2010</c:v>
                </c:pt>
                <c:pt idx="5">
                  <c:v>2011</c:v>
                </c:pt>
                <c:pt idx="6">
                  <c:v>2012</c:v>
                </c:pt>
                <c:pt idx="7">
                  <c:v>2013</c:v>
                </c:pt>
                <c:pt idx="8">
                  <c:v>2014</c:v>
                </c:pt>
                <c:pt idx="9">
                  <c:v>2015</c:v>
                </c:pt>
                <c:pt idx="10">
                  <c:v>2016</c:v>
                </c:pt>
              </c:strCache>
            </c:strRef>
          </c:cat>
          <c:val>
            <c:numRef>
              <c:f>'Fig 1a, 1b, 1c, 1d'!$B$131:$L$131</c:f>
              <c:numCache>
                <c:formatCode>0</c:formatCode>
                <c:ptCount val="11"/>
                <c:pt idx="0">
                  <c:v>3455.121880368421</c:v>
                </c:pt>
                <c:pt idx="1">
                  <c:v>3429.9995606820166</c:v>
                </c:pt>
                <c:pt idx="2">
                  <c:v>3498.6875768349005</c:v>
                </c:pt>
                <c:pt idx="3">
                  <c:v>3637.9405503429789</c:v>
                </c:pt>
                <c:pt idx="4">
                  <c:v>3689.0511413490694</c:v>
                </c:pt>
                <c:pt idx="5">
                  <c:v>3646.3727381362646</c:v>
                </c:pt>
                <c:pt idx="6">
                  <c:v>3768.7860245732518</c:v>
                </c:pt>
                <c:pt idx="7">
                  <c:v>3844.4271663833356</c:v>
                </c:pt>
                <c:pt idx="8">
                  <c:v>3793.0570914373684</c:v>
                </c:pt>
                <c:pt idx="9">
                  <c:v>3748.2145369734749</c:v>
                </c:pt>
                <c:pt idx="10">
                  <c:v>3789.0015355841288</c:v>
                </c:pt>
              </c:numCache>
            </c:numRef>
          </c:val>
          <c:smooth val="0"/>
        </c:ser>
        <c:dLbls>
          <c:showLegendKey val="0"/>
          <c:showVal val="0"/>
          <c:showCatName val="0"/>
          <c:showSerName val="0"/>
          <c:showPercent val="0"/>
          <c:showBubbleSize val="0"/>
        </c:dLbls>
        <c:smooth val="0"/>
        <c:axId val="570363840"/>
        <c:axId val="570365408"/>
      </c:lineChart>
      <c:catAx>
        <c:axId val="570363840"/>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Calendar</a:t>
                </a:r>
                <a:r>
                  <a:rPr lang="en-NZ" sz="900" baseline="0"/>
                  <a:t> y</a:t>
                </a:r>
                <a:r>
                  <a:rPr lang="en-NZ" sz="900"/>
                  <a:t>ear</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0365408"/>
        <c:crosses val="autoZero"/>
        <c:auto val="1"/>
        <c:lblAlgn val="ctr"/>
        <c:lblOffset val="100"/>
        <c:noMultiLvlLbl val="0"/>
      </c:catAx>
      <c:valAx>
        <c:axId val="570365408"/>
        <c:scaling>
          <c:orientation val="minMax"/>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0363840"/>
        <c:crosses val="autoZero"/>
        <c:crossBetween val="between"/>
      </c:valAx>
      <c:spPr>
        <a:noFill/>
        <a:ln>
          <a:noFill/>
        </a:ln>
        <a:effectLst/>
      </c:spPr>
    </c:plotArea>
    <c:legend>
      <c:legendPos val="r"/>
      <c:layout>
        <c:manualLayout>
          <c:xMode val="edge"/>
          <c:yMode val="edge"/>
          <c:x val="0.6840131924811077"/>
          <c:y val="0.65268013594366148"/>
          <c:w val="0.3125606444770046"/>
          <c:h val="0.2007851313155773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22164497479052E-2"/>
          <c:y val="0.13111333219570465"/>
          <c:w val="0.90933663205682269"/>
          <c:h val="0.7179048799455624"/>
        </c:manualLayout>
      </c:layout>
      <c:lineChart>
        <c:grouping val="standard"/>
        <c:varyColors val="0"/>
        <c:ser>
          <c:idx val="0"/>
          <c:order val="0"/>
          <c:tx>
            <c:strRef>
              <c:f>'Fig 1a, 1b, 1c, 1d'!$A$124</c:f>
              <c:strCache>
                <c:ptCount val="1"/>
                <c:pt idx="0">
                  <c:v>Canterbury</c:v>
                </c:pt>
              </c:strCache>
            </c:strRef>
          </c:tx>
          <c:spPr>
            <a:ln w="34925" cap="rnd">
              <a:solidFill>
                <a:schemeClr val="tx1"/>
              </a:solidFill>
              <a:round/>
            </a:ln>
            <a:effectLst/>
          </c:spPr>
          <c:marker>
            <c:symbol val="none"/>
          </c:marker>
          <c:cat>
            <c:strRef>
              <c:f>'Fig 1a, 1b, 1c, 1d'!$B$122:$L$122</c:f>
              <c:strCache>
                <c:ptCount val="11"/>
                <c:pt idx="0">
                  <c:v>2006</c:v>
                </c:pt>
                <c:pt idx="1">
                  <c:v>2007</c:v>
                </c:pt>
                <c:pt idx="2">
                  <c:v>2008</c:v>
                </c:pt>
                <c:pt idx="3">
                  <c:v>2009</c:v>
                </c:pt>
                <c:pt idx="4">
                  <c:v>2010</c:v>
                </c:pt>
                <c:pt idx="5">
                  <c:v>2011</c:v>
                </c:pt>
                <c:pt idx="6">
                  <c:v>2012</c:v>
                </c:pt>
                <c:pt idx="7">
                  <c:v>2013</c:v>
                </c:pt>
                <c:pt idx="8">
                  <c:v>2014</c:v>
                </c:pt>
                <c:pt idx="9">
                  <c:v>2015</c:v>
                </c:pt>
                <c:pt idx="10">
                  <c:v>2016</c:v>
                </c:pt>
              </c:strCache>
            </c:strRef>
          </c:cat>
          <c:val>
            <c:numRef>
              <c:f>'Fig 1a, 1b, 1c, 1d'!$B$124:$L$124</c:f>
              <c:numCache>
                <c:formatCode>#,##0</c:formatCode>
                <c:ptCount val="11"/>
                <c:pt idx="0">
                  <c:v>5460.5263157894733</c:v>
                </c:pt>
                <c:pt idx="1">
                  <c:v>4465.4088050314467</c:v>
                </c:pt>
                <c:pt idx="2">
                  <c:v>5818.181818181818</c:v>
                </c:pt>
                <c:pt idx="3">
                  <c:v>6473.9884393063585</c:v>
                </c:pt>
                <c:pt idx="4">
                  <c:v>7252.7472527472528</c:v>
                </c:pt>
                <c:pt idx="5">
                  <c:v>7311.8279569892475</c:v>
                </c:pt>
                <c:pt idx="6">
                  <c:v>6020.9424083769636</c:v>
                </c:pt>
                <c:pt idx="7">
                  <c:v>6281.4070351758792</c:v>
                </c:pt>
                <c:pt idx="8">
                  <c:v>7044.3349753694583</c:v>
                </c:pt>
                <c:pt idx="9">
                  <c:v>6333.333333333333</c:v>
                </c:pt>
                <c:pt idx="10">
                  <c:v>6186.0465116279074</c:v>
                </c:pt>
              </c:numCache>
            </c:numRef>
          </c:val>
          <c:smooth val="0"/>
        </c:ser>
        <c:ser>
          <c:idx val="1"/>
          <c:order val="1"/>
          <c:tx>
            <c:strRef>
              <c:f>'Fig 1a, 1b, 1c, 1d'!$A$125</c:f>
              <c:strCache>
                <c:ptCount val="1"/>
                <c:pt idx="0">
                  <c:v>Capital &amp; Coast</c:v>
                </c:pt>
              </c:strCache>
            </c:strRef>
          </c:tx>
          <c:spPr>
            <a:ln w="34925" cap="rnd">
              <a:solidFill>
                <a:schemeClr val="tx1">
                  <a:lumMod val="50000"/>
                  <a:lumOff val="50000"/>
                </a:schemeClr>
              </a:solidFill>
              <a:prstDash val="solid"/>
              <a:round/>
            </a:ln>
            <a:effectLst/>
          </c:spPr>
          <c:marker>
            <c:symbol val="none"/>
          </c:marker>
          <c:cat>
            <c:strRef>
              <c:f>'Fig 1a, 1b, 1c, 1d'!$B$122:$L$122</c:f>
              <c:strCache>
                <c:ptCount val="11"/>
                <c:pt idx="0">
                  <c:v>2006</c:v>
                </c:pt>
                <c:pt idx="1">
                  <c:v>2007</c:v>
                </c:pt>
                <c:pt idx="2">
                  <c:v>2008</c:v>
                </c:pt>
                <c:pt idx="3">
                  <c:v>2009</c:v>
                </c:pt>
                <c:pt idx="4">
                  <c:v>2010</c:v>
                </c:pt>
                <c:pt idx="5">
                  <c:v>2011</c:v>
                </c:pt>
                <c:pt idx="6">
                  <c:v>2012</c:v>
                </c:pt>
                <c:pt idx="7">
                  <c:v>2013</c:v>
                </c:pt>
                <c:pt idx="8">
                  <c:v>2014</c:v>
                </c:pt>
                <c:pt idx="9">
                  <c:v>2015</c:v>
                </c:pt>
                <c:pt idx="10">
                  <c:v>2016</c:v>
                </c:pt>
              </c:strCache>
            </c:strRef>
          </c:cat>
          <c:val>
            <c:numRef>
              <c:f>'Fig 1a, 1b, 1c, 1d'!$B$125:$L$125</c:f>
              <c:numCache>
                <c:formatCode>#,##0</c:formatCode>
                <c:ptCount val="11"/>
                <c:pt idx="0">
                  <c:v>5269.1218130311618</c:v>
                </c:pt>
                <c:pt idx="1">
                  <c:v>6308.5399449035813</c:v>
                </c:pt>
                <c:pt idx="2">
                  <c:v>5427.8074866310162</c:v>
                </c:pt>
                <c:pt idx="3">
                  <c:v>7441.2532637075719</c:v>
                </c:pt>
                <c:pt idx="4">
                  <c:v>7353.6895674300258</c:v>
                </c:pt>
                <c:pt idx="5">
                  <c:v>7747.5247524752476</c:v>
                </c:pt>
                <c:pt idx="6">
                  <c:v>8087.1670702179181</c:v>
                </c:pt>
                <c:pt idx="7">
                  <c:v>6501.1820330969267</c:v>
                </c:pt>
                <c:pt idx="8">
                  <c:v>6548.4633569739954</c:v>
                </c:pt>
                <c:pt idx="9">
                  <c:v>7652.5821596244132</c:v>
                </c:pt>
                <c:pt idx="10">
                  <c:v>6978.9227166276351</c:v>
                </c:pt>
              </c:numCache>
            </c:numRef>
          </c:val>
          <c:smooth val="0"/>
        </c:ser>
        <c:ser>
          <c:idx val="2"/>
          <c:order val="2"/>
          <c:tx>
            <c:strRef>
              <c:f>'Fig 1a, 1b, 1c, 1d'!$A$127</c:f>
              <c:strCache>
                <c:ptCount val="1"/>
                <c:pt idx="0">
                  <c:v>Hawke's Bay</c:v>
                </c:pt>
              </c:strCache>
            </c:strRef>
          </c:tx>
          <c:spPr>
            <a:ln w="34925" cap="rnd">
              <a:solidFill>
                <a:schemeClr val="bg1">
                  <a:lumMod val="75000"/>
                </a:schemeClr>
              </a:solidFill>
              <a:prstDash val="solid"/>
              <a:round/>
            </a:ln>
            <a:effectLst/>
          </c:spPr>
          <c:marker>
            <c:symbol val="none"/>
          </c:marker>
          <c:cat>
            <c:strRef>
              <c:f>'Fig 1a, 1b, 1c, 1d'!$B$122:$L$122</c:f>
              <c:strCache>
                <c:ptCount val="11"/>
                <c:pt idx="0">
                  <c:v>2006</c:v>
                </c:pt>
                <c:pt idx="1">
                  <c:v>2007</c:v>
                </c:pt>
                <c:pt idx="2">
                  <c:v>2008</c:v>
                </c:pt>
                <c:pt idx="3">
                  <c:v>2009</c:v>
                </c:pt>
                <c:pt idx="4">
                  <c:v>2010</c:v>
                </c:pt>
                <c:pt idx="5">
                  <c:v>2011</c:v>
                </c:pt>
                <c:pt idx="6">
                  <c:v>2012</c:v>
                </c:pt>
                <c:pt idx="7">
                  <c:v>2013</c:v>
                </c:pt>
                <c:pt idx="8">
                  <c:v>2014</c:v>
                </c:pt>
                <c:pt idx="9">
                  <c:v>2015</c:v>
                </c:pt>
                <c:pt idx="10">
                  <c:v>2016</c:v>
                </c:pt>
              </c:strCache>
            </c:strRef>
          </c:cat>
          <c:val>
            <c:numRef>
              <c:f>'Fig 1a, 1b, 1c, 1d'!$B$127:$L$127</c:f>
              <c:numCache>
                <c:formatCode>#,##0</c:formatCode>
                <c:ptCount val="11"/>
                <c:pt idx="0">
                  <c:v>5857.1428571428569</c:v>
                </c:pt>
                <c:pt idx="1">
                  <c:v>5405.405405405405</c:v>
                </c:pt>
                <c:pt idx="2">
                  <c:v>4936.7088607594933</c:v>
                </c:pt>
                <c:pt idx="3">
                  <c:v>6666.666666666667</c:v>
                </c:pt>
                <c:pt idx="4">
                  <c:v>8255.8139534883721</c:v>
                </c:pt>
                <c:pt idx="5">
                  <c:v>7555.5555555555557</c:v>
                </c:pt>
                <c:pt idx="6">
                  <c:v>6170.2127659574471</c:v>
                </c:pt>
                <c:pt idx="7">
                  <c:v>8673.4693877551017</c:v>
                </c:pt>
                <c:pt idx="8">
                  <c:v>5656.5656565656564</c:v>
                </c:pt>
                <c:pt idx="9">
                  <c:v>6285.7142857142853</c:v>
                </c:pt>
                <c:pt idx="10">
                  <c:v>6454.545454545455</c:v>
                </c:pt>
              </c:numCache>
            </c:numRef>
          </c:val>
          <c:smooth val="0"/>
        </c:ser>
        <c:ser>
          <c:idx val="3"/>
          <c:order val="3"/>
          <c:tx>
            <c:strRef>
              <c:f>'Fig 1a, 1b, 1c, 1d'!$A$128</c:f>
              <c:strCache>
                <c:ptCount val="1"/>
                <c:pt idx="0">
                  <c:v>Hutt Valley</c:v>
                </c:pt>
              </c:strCache>
            </c:strRef>
          </c:tx>
          <c:spPr>
            <a:ln w="34925" cap="rnd">
              <a:solidFill>
                <a:schemeClr val="tx1">
                  <a:lumMod val="50000"/>
                  <a:lumOff val="50000"/>
                </a:schemeClr>
              </a:solidFill>
              <a:prstDash val="sysDot"/>
              <a:round/>
            </a:ln>
            <a:effectLst/>
          </c:spPr>
          <c:marker>
            <c:symbol val="none"/>
          </c:marker>
          <c:cat>
            <c:strRef>
              <c:f>'Fig 1a, 1b, 1c, 1d'!$B$122:$L$122</c:f>
              <c:strCache>
                <c:ptCount val="11"/>
                <c:pt idx="0">
                  <c:v>2006</c:v>
                </c:pt>
                <c:pt idx="1">
                  <c:v>2007</c:v>
                </c:pt>
                <c:pt idx="2">
                  <c:v>2008</c:v>
                </c:pt>
                <c:pt idx="3">
                  <c:v>2009</c:v>
                </c:pt>
                <c:pt idx="4">
                  <c:v>2010</c:v>
                </c:pt>
                <c:pt idx="5">
                  <c:v>2011</c:v>
                </c:pt>
                <c:pt idx="6">
                  <c:v>2012</c:v>
                </c:pt>
                <c:pt idx="7">
                  <c:v>2013</c:v>
                </c:pt>
                <c:pt idx="8">
                  <c:v>2014</c:v>
                </c:pt>
                <c:pt idx="9">
                  <c:v>2015</c:v>
                </c:pt>
                <c:pt idx="10">
                  <c:v>2016</c:v>
                </c:pt>
              </c:strCache>
            </c:strRef>
          </c:cat>
          <c:val>
            <c:numRef>
              <c:f>'Fig 1a, 1b, 1c, 1d'!$B$128:$L$128</c:f>
              <c:numCache>
                <c:formatCode>#,##0</c:formatCode>
                <c:ptCount val="11"/>
                <c:pt idx="0">
                  <c:v>7206.7039106145248</c:v>
                </c:pt>
                <c:pt idx="1">
                  <c:v>4590.1639344262294</c:v>
                </c:pt>
                <c:pt idx="2">
                  <c:v>6878.3068783068784</c:v>
                </c:pt>
                <c:pt idx="3">
                  <c:v>6217.6165803108806</c:v>
                </c:pt>
                <c:pt idx="4">
                  <c:v>7412.9353233830843</c:v>
                </c:pt>
                <c:pt idx="5">
                  <c:v>7254.9019607843138</c:v>
                </c:pt>
                <c:pt idx="6">
                  <c:v>7857.1428571428569</c:v>
                </c:pt>
                <c:pt idx="7">
                  <c:v>6898.1481481481478</c:v>
                </c:pt>
                <c:pt idx="8">
                  <c:v>9192.8251121076228</c:v>
                </c:pt>
                <c:pt idx="9">
                  <c:v>7224.6696035242294</c:v>
                </c:pt>
                <c:pt idx="10">
                  <c:v>7641.9213973799124</c:v>
                </c:pt>
              </c:numCache>
            </c:numRef>
          </c:val>
          <c:smooth val="0"/>
        </c:ser>
        <c:ser>
          <c:idx val="4"/>
          <c:order val="4"/>
          <c:tx>
            <c:strRef>
              <c:f>'Fig 1a, 1b, 1c, 1d'!$A$129</c:f>
              <c:strCache>
                <c:ptCount val="1"/>
                <c:pt idx="0">
                  <c:v>Waikato</c:v>
                </c:pt>
              </c:strCache>
            </c:strRef>
          </c:tx>
          <c:spPr>
            <a:ln w="34925" cap="rnd">
              <a:solidFill>
                <a:schemeClr val="bg1">
                  <a:lumMod val="75000"/>
                </a:schemeClr>
              </a:solidFill>
              <a:prstDash val="sysDot"/>
              <a:round/>
            </a:ln>
            <a:effectLst/>
          </c:spPr>
          <c:marker>
            <c:symbol val="none"/>
          </c:marker>
          <c:cat>
            <c:strRef>
              <c:f>'Fig 1a, 1b, 1c, 1d'!$B$122:$L$122</c:f>
              <c:strCache>
                <c:ptCount val="11"/>
                <c:pt idx="0">
                  <c:v>2006</c:v>
                </c:pt>
                <c:pt idx="1">
                  <c:v>2007</c:v>
                </c:pt>
                <c:pt idx="2">
                  <c:v>2008</c:v>
                </c:pt>
                <c:pt idx="3">
                  <c:v>2009</c:v>
                </c:pt>
                <c:pt idx="4">
                  <c:v>2010</c:v>
                </c:pt>
                <c:pt idx="5">
                  <c:v>2011</c:v>
                </c:pt>
                <c:pt idx="6">
                  <c:v>2012</c:v>
                </c:pt>
                <c:pt idx="7">
                  <c:v>2013</c:v>
                </c:pt>
                <c:pt idx="8">
                  <c:v>2014</c:v>
                </c:pt>
                <c:pt idx="9">
                  <c:v>2015</c:v>
                </c:pt>
                <c:pt idx="10">
                  <c:v>2016</c:v>
                </c:pt>
              </c:strCache>
            </c:strRef>
          </c:cat>
          <c:val>
            <c:numRef>
              <c:f>'Fig 1a, 1b, 1c, 1d'!$B$129:$L$129</c:f>
              <c:numCache>
                <c:formatCode>#,##0</c:formatCode>
                <c:ptCount val="11"/>
                <c:pt idx="0">
                  <c:v>3548.3870967741937</c:v>
                </c:pt>
                <c:pt idx="1">
                  <c:v>4615.3846153846152</c:v>
                </c:pt>
                <c:pt idx="2">
                  <c:v>3897.0588235294117</c:v>
                </c:pt>
                <c:pt idx="3">
                  <c:v>6896.5517241379312</c:v>
                </c:pt>
                <c:pt idx="4">
                  <c:v>7207.7922077922076</c:v>
                </c:pt>
                <c:pt idx="5">
                  <c:v>7345.6790123456794</c:v>
                </c:pt>
                <c:pt idx="6">
                  <c:v>6804.7337278106506</c:v>
                </c:pt>
                <c:pt idx="7">
                  <c:v>7359.5505617977524</c:v>
                </c:pt>
                <c:pt idx="8">
                  <c:v>7419.3548387096771</c:v>
                </c:pt>
                <c:pt idx="9">
                  <c:v>7868.0203045685275</c:v>
                </c:pt>
                <c:pt idx="10">
                  <c:v>7067.3076923076924</c:v>
                </c:pt>
              </c:numCache>
            </c:numRef>
          </c:val>
          <c:smooth val="0"/>
        </c:ser>
        <c:ser>
          <c:idx val="5"/>
          <c:order val="5"/>
          <c:tx>
            <c:strRef>
              <c:f>'Fig 1a, 1b, 1c, 1d'!$A$131</c:f>
              <c:strCache>
                <c:ptCount val="1"/>
                <c:pt idx="0">
                  <c:v>Total New Zealand</c:v>
                </c:pt>
              </c:strCache>
            </c:strRef>
          </c:tx>
          <c:spPr>
            <a:ln w="34925" cap="rnd">
              <a:solidFill>
                <a:schemeClr val="tx1"/>
              </a:solidFill>
              <a:prstDash val="sysDot"/>
              <a:round/>
            </a:ln>
            <a:effectLst/>
          </c:spPr>
          <c:marker>
            <c:symbol val="none"/>
          </c:marker>
          <c:cat>
            <c:strRef>
              <c:f>'Fig 1a, 1b, 1c, 1d'!$B$122:$L$122</c:f>
              <c:strCache>
                <c:ptCount val="11"/>
                <c:pt idx="0">
                  <c:v>2006</c:v>
                </c:pt>
                <c:pt idx="1">
                  <c:v>2007</c:v>
                </c:pt>
                <c:pt idx="2">
                  <c:v>2008</c:v>
                </c:pt>
                <c:pt idx="3">
                  <c:v>2009</c:v>
                </c:pt>
                <c:pt idx="4">
                  <c:v>2010</c:v>
                </c:pt>
                <c:pt idx="5">
                  <c:v>2011</c:v>
                </c:pt>
                <c:pt idx="6">
                  <c:v>2012</c:v>
                </c:pt>
                <c:pt idx="7">
                  <c:v>2013</c:v>
                </c:pt>
                <c:pt idx="8">
                  <c:v>2014</c:v>
                </c:pt>
                <c:pt idx="9">
                  <c:v>2015</c:v>
                </c:pt>
                <c:pt idx="10">
                  <c:v>2016</c:v>
                </c:pt>
              </c:strCache>
            </c:strRef>
          </c:cat>
          <c:val>
            <c:numRef>
              <c:f>'Fig 1a, 1b, 1c, 1d'!$B$131:$L$131</c:f>
              <c:numCache>
                <c:formatCode>#,##0</c:formatCode>
                <c:ptCount val="11"/>
                <c:pt idx="0">
                  <c:v>3455.121880368421</c:v>
                </c:pt>
                <c:pt idx="1">
                  <c:v>3429.9995606820166</c:v>
                </c:pt>
                <c:pt idx="2">
                  <c:v>3498.6875768349005</c:v>
                </c:pt>
                <c:pt idx="3">
                  <c:v>3637.9405503429789</c:v>
                </c:pt>
                <c:pt idx="4">
                  <c:v>3689.0511413490694</c:v>
                </c:pt>
                <c:pt idx="5">
                  <c:v>3646.3727381362646</c:v>
                </c:pt>
                <c:pt idx="6">
                  <c:v>3768.7860245732518</c:v>
                </c:pt>
                <c:pt idx="7">
                  <c:v>3844.4271663833356</c:v>
                </c:pt>
                <c:pt idx="8">
                  <c:v>3793.0570914373684</c:v>
                </c:pt>
                <c:pt idx="9">
                  <c:v>3748.2145369734749</c:v>
                </c:pt>
                <c:pt idx="10">
                  <c:v>3789.0015355841288</c:v>
                </c:pt>
              </c:numCache>
            </c:numRef>
          </c:val>
          <c:smooth val="0"/>
        </c:ser>
        <c:dLbls>
          <c:showLegendKey val="0"/>
          <c:showVal val="0"/>
          <c:showCatName val="0"/>
          <c:showSerName val="0"/>
          <c:showPercent val="0"/>
          <c:showBubbleSize val="0"/>
        </c:dLbls>
        <c:smooth val="0"/>
        <c:axId val="570362272"/>
        <c:axId val="570368936"/>
      </c:lineChart>
      <c:catAx>
        <c:axId val="570362272"/>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Calendar</a:t>
                </a:r>
                <a:r>
                  <a:rPr lang="en-NZ" sz="900" baseline="0"/>
                  <a:t> y</a:t>
                </a:r>
                <a:r>
                  <a:rPr lang="en-NZ" sz="900"/>
                  <a:t>ear</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0368936"/>
        <c:crosses val="autoZero"/>
        <c:auto val="1"/>
        <c:lblAlgn val="ctr"/>
        <c:lblOffset val="100"/>
        <c:noMultiLvlLbl val="0"/>
      </c:catAx>
      <c:valAx>
        <c:axId val="570368936"/>
        <c:scaling>
          <c:orientation val="minMax"/>
        </c:scaling>
        <c:delete val="0"/>
        <c:axPos val="l"/>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0362272"/>
        <c:crosses val="autoZero"/>
        <c:crossBetween val="between"/>
      </c:valAx>
      <c:spPr>
        <a:noFill/>
        <a:ln>
          <a:noFill/>
        </a:ln>
        <a:effectLst/>
      </c:spPr>
    </c:plotArea>
    <c:legend>
      <c:legendPos val="r"/>
      <c:layout>
        <c:manualLayout>
          <c:xMode val="edge"/>
          <c:yMode val="edge"/>
          <c:x val="9.4796428277102843E-2"/>
          <c:y val="0.68040082952593894"/>
          <c:w val="0.90297461627953024"/>
          <c:h val="0.1410959625417193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245508194565453E-2"/>
          <c:y val="0.12263143282408015"/>
          <c:w val="0.92770258801998395"/>
          <c:h val="0.72512320019742871"/>
        </c:manualLayout>
      </c:layout>
      <c:lineChart>
        <c:grouping val="standard"/>
        <c:varyColors val="0"/>
        <c:ser>
          <c:idx val="0"/>
          <c:order val="0"/>
          <c:tx>
            <c:strRef>
              <c:f>'Fig 30, 31, 32, 33, 34 and 35'!$A$5</c:f>
              <c:strCache>
                <c:ptCount val="1"/>
                <c:pt idx="0">
                  <c:v>Pacific</c:v>
                </c:pt>
              </c:strCache>
            </c:strRef>
          </c:tx>
          <c:spPr>
            <a:ln w="34925" cap="rnd">
              <a:solidFill>
                <a:schemeClr val="tx1"/>
              </a:solidFill>
              <a:round/>
            </a:ln>
            <a:effectLst/>
          </c:spPr>
          <c:marker>
            <c:symbol val="none"/>
          </c:marker>
          <c:cat>
            <c:numRef>
              <c:f>'Fig 30, 31, 32, 33, 34 and 35'!$B$4:$J$4</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35'!$B$5:$J$5</c:f>
              <c:numCache>
                <c:formatCode>#,##0.00</c:formatCode>
                <c:ptCount val="9"/>
                <c:pt idx="0">
                  <c:v>2.8446674286175173</c:v>
                </c:pt>
                <c:pt idx="1">
                  <c:v>2.8867523494348934</c:v>
                </c:pt>
                <c:pt idx="2">
                  <c:v>2.7422016172653918</c:v>
                </c:pt>
                <c:pt idx="3">
                  <c:v>2.9307495901398046</c:v>
                </c:pt>
                <c:pt idx="4">
                  <c:v>2.8627661083440392</c:v>
                </c:pt>
                <c:pt idx="5">
                  <c:v>2.8813468557097681</c:v>
                </c:pt>
                <c:pt idx="6">
                  <c:v>2.9814762280511462</c:v>
                </c:pt>
                <c:pt idx="7">
                  <c:v>3.0794205313426524</c:v>
                </c:pt>
                <c:pt idx="8">
                  <c:v>3.1293837446032078</c:v>
                </c:pt>
              </c:numCache>
            </c:numRef>
          </c:val>
          <c:smooth val="0"/>
        </c:ser>
        <c:ser>
          <c:idx val="1"/>
          <c:order val="1"/>
          <c:tx>
            <c:strRef>
              <c:f>'Fig 30, 31, 32, 33, 34 and 35'!$A$6</c:f>
              <c:strCache>
                <c:ptCount val="1"/>
                <c:pt idx="0">
                  <c:v>Total New Zealand</c:v>
                </c:pt>
              </c:strCache>
            </c:strRef>
          </c:tx>
          <c:spPr>
            <a:ln w="34925" cap="rnd">
              <a:solidFill>
                <a:schemeClr val="tx1"/>
              </a:solidFill>
              <a:prstDash val="sysDot"/>
              <a:round/>
            </a:ln>
            <a:effectLst/>
          </c:spPr>
          <c:marker>
            <c:symbol val="none"/>
          </c:marker>
          <c:cat>
            <c:numRef>
              <c:f>'Fig 30, 31, 32, 33, 34 and 35'!$B$4:$J$4</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35'!$B$6:$J$6</c:f>
              <c:numCache>
                <c:formatCode>#,##0.00</c:formatCode>
                <c:ptCount val="9"/>
                <c:pt idx="0">
                  <c:v>2.910545543024925</c:v>
                </c:pt>
                <c:pt idx="1">
                  <c:v>2.9015934319040011</c:v>
                </c:pt>
                <c:pt idx="2">
                  <c:v>2.904264182423812</c:v>
                </c:pt>
                <c:pt idx="3">
                  <c:v>2.9015602761073036</c:v>
                </c:pt>
                <c:pt idx="4">
                  <c:v>2.8740096707510343</c:v>
                </c:pt>
                <c:pt idx="5">
                  <c:v>2.9030289278054315</c:v>
                </c:pt>
                <c:pt idx="6">
                  <c:v>2.9314248571193811</c:v>
                </c:pt>
                <c:pt idx="7">
                  <c:v>2.9925743758590952</c:v>
                </c:pt>
                <c:pt idx="8">
                  <c:v>2.9975859023062537</c:v>
                </c:pt>
              </c:numCache>
            </c:numRef>
          </c:val>
          <c:smooth val="0"/>
        </c:ser>
        <c:dLbls>
          <c:showLegendKey val="0"/>
          <c:showVal val="0"/>
          <c:showCatName val="0"/>
          <c:showSerName val="0"/>
          <c:showPercent val="0"/>
          <c:showBubbleSize val="0"/>
        </c:dLbls>
        <c:smooth val="0"/>
        <c:axId val="570364624"/>
        <c:axId val="570366976"/>
      </c:lineChart>
      <c:catAx>
        <c:axId val="570364624"/>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Calendar year</a:t>
                </a:r>
              </a:p>
            </c:rich>
          </c:tx>
          <c:layout>
            <c:manualLayout>
              <c:xMode val="edge"/>
              <c:yMode val="edge"/>
              <c:x val="0.45164799503097786"/>
              <c:y val="0.94192034406914105"/>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0366976"/>
        <c:crosses val="autoZero"/>
        <c:auto val="1"/>
        <c:lblAlgn val="ctr"/>
        <c:lblOffset val="100"/>
        <c:noMultiLvlLbl val="0"/>
      </c:catAx>
      <c:valAx>
        <c:axId val="570366976"/>
        <c:scaling>
          <c:orientation val="minMax"/>
          <c:min val="0"/>
        </c:scaling>
        <c:delete val="0"/>
        <c:axPos val="l"/>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0364624"/>
        <c:crosses val="autoZero"/>
        <c:crossBetween val="between"/>
      </c:valAx>
      <c:spPr>
        <a:noFill/>
        <a:ln>
          <a:noFill/>
        </a:ln>
        <a:effectLst/>
      </c:spPr>
    </c:plotArea>
    <c:legend>
      <c:legendPos val="r"/>
      <c:layout>
        <c:manualLayout>
          <c:xMode val="edge"/>
          <c:yMode val="edge"/>
          <c:x val="0.66276128040159654"/>
          <c:y val="0.67970493649116581"/>
          <c:w val="0.32088224937629706"/>
          <c:h val="0.1364192458968734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568013006471356E-2"/>
          <c:y val="0.12576705143324557"/>
          <c:w val="0.92290007345359248"/>
          <c:h val="0.72804522230608182"/>
        </c:manualLayout>
      </c:layout>
      <c:lineChart>
        <c:grouping val="standard"/>
        <c:varyColors val="0"/>
        <c:ser>
          <c:idx val="0"/>
          <c:order val="0"/>
          <c:tx>
            <c:strRef>
              <c:f>'Fig 30, 31, 32, 33, 34 and 35'!$A$34</c:f>
              <c:strCache>
                <c:ptCount val="1"/>
                <c:pt idx="0">
                  <c:v>Auckland </c:v>
                </c:pt>
              </c:strCache>
            </c:strRef>
          </c:tx>
          <c:spPr>
            <a:ln w="34925" cap="rnd">
              <a:solidFill>
                <a:schemeClr val="tx1"/>
              </a:solidFill>
              <a:prstDash val="solid"/>
              <a:round/>
            </a:ln>
            <a:effectLst/>
          </c:spPr>
          <c:marker>
            <c:symbol val="none"/>
          </c:marker>
          <c:cat>
            <c:numRef>
              <c:f>'Fig 30, 31, 32, 33, 34 and 35'!$B$33:$J$33</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35'!$B$34:$J$34</c:f>
              <c:numCache>
                <c:formatCode>#,##0.00</c:formatCode>
                <c:ptCount val="9"/>
                <c:pt idx="0">
                  <c:v>2.7073923975978991</c:v>
                </c:pt>
                <c:pt idx="1">
                  <c:v>2.8814818836926084</c:v>
                </c:pt>
                <c:pt idx="2">
                  <c:v>2.7867248273355143</c:v>
                </c:pt>
                <c:pt idx="3">
                  <c:v>2.8314104214954074</c:v>
                </c:pt>
                <c:pt idx="4">
                  <c:v>2.4963188495544775</c:v>
                </c:pt>
                <c:pt idx="5">
                  <c:v>2.6473660535785686</c:v>
                </c:pt>
                <c:pt idx="6">
                  <c:v>2.8534234773902534</c:v>
                </c:pt>
                <c:pt idx="7">
                  <c:v>3.1161687877943369</c:v>
                </c:pt>
                <c:pt idx="8">
                  <c:v>3.2444403039699758</c:v>
                </c:pt>
              </c:numCache>
            </c:numRef>
          </c:val>
          <c:smooth val="0"/>
        </c:ser>
        <c:ser>
          <c:idx val="1"/>
          <c:order val="1"/>
          <c:tx>
            <c:strRef>
              <c:f>'Fig 30, 31, 32, 33, 34 and 35'!$A$37</c:f>
              <c:strCache>
                <c:ptCount val="1"/>
                <c:pt idx="0">
                  <c:v>Counties Manukau </c:v>
                </c:pt>
              </c:strCache>
            </c:strRef>
          </c:tx>
          <c:spPr>
            <a:ln w="34925" cap="rnd">
              <a:solidFill>
                <a:schemeClr val="tx1">
                  <a:lumMod val="50000"/>
                  <a:lumOff val="50000"/>
                </a:schemeClr>
              </a:solidFill>
              <a:prstDash val="solid"/>
              <a:round/>
            </a:ln>
            <a:effectLst/>
          </c:spPr>
          <c:marker>
            <c:symbol val="none"/>
          </c:marker>
          <c:cat>
            <c:numRef>
              <c:f>'Fig 30, 31, 32, 33, 34 and 35'!$B$33:$J$33</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35'!$B$37:$J$37</c:f>
              <c:numCache>
                <c:formatCode>#,##0.00</c:formatCode>
                <c:ptCount val="9"/>
                <c:pt idx="0">
                  <c:v>3.3101612161510992</c:v>
                </c:pt>
                <c:pt idx="1">
                  <c:v>3.307731515742196</c:v>
                </c:pt>
                <c:pt idx="2">
                  <c:v>3.0115831102535764</c:v>
                </c:pt>
                <c:pt idx="3">
                  <c:v>3.6191228246929179</c:v>
                </c:pt>
                <c:pt idx="4">
                  <c:v>3.3631063472475771</c:v>
                </c:pt>
                <c:pt idx="5">
                  <c:v>3.5823652793220693</c:v>
                </c:pt>
                <c:pt idx="6">
                  <c:v>3.5860054920307438</c:v>
                </c:pt>
                <c:pt idx="7">
                  <c:v>3.5517658916409309</c:v>
                </c:pt>
                <c:pt idx="8">
                  <c:v>3.5953577798883458</c:v>
                </c:pt>
              </c:numCache>
            </c:numRef>
          </c:val>
          <c:smooth val="0"/>
        </c:ser>
        <c:ser>
          <c:idx val="2"/>
          <c:order val="2"/>
          <c:tx>
            <c:strRef>
              <c:f>'Fig 30, 31, 32, 33, 34 and 35'!$A$41</c:f>
              <c:strCache>
                <c:ptCount val="1"/>
                <c:pt idx="0">
                  <c:v>Waitemata </c:v>
                </c:pt>
              </c:strCache>
            </c:strRef>
          </c:tx>
          <c:spPr>
            <a:ln w="34925" cap="rnd">
              <a:solidFill>
                <a:schemeClr val="bg1">
                  <a:lumMod val="75000"/>
                </a:schemeClr>
              </a:solidFill>
              <a:prstDash val="solid"/>
              <a:round/>
            </a:ln>
            <a:effectLst/>
          </c:spPr>
          <c:marker>
            <c:symbol val="none"/>
          </c:marker>
          <c:cat>
            <c:numRef>
              <c:f>'Fig 30, 31, 32, 33, 34 and 35'!$B$33:$J$33</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35'!$B$41:$J$41</c:f>
              <c:numCache>
                <c:formatCode>#,##0.00</c:formatCode>
                <c:ptCount val="9"/>
                <c:pt idx="0">
                  <c:v>2.6110681361084063</c:v>
                </c:pt>
                <c:pt idx="1">
                  <c:v>2.6487655217796315</c:v>
                </c:pt>
                <c:pt idx="2">
                  <c:v>2.5213049925852693</c:v>
                </c:pt>
                <c:pt idx="3">
                  <c:v>2.4691326971750169</c:v>
                </c:pt>
                <c:pt idx="4">
                  <c:v>2.3035709223544085</c:v>
                </c:pt>
                <c:pt idx="5">
                  <c:v>2.5771824653428252</c:v>
                </c:pt>
                <c:pt idx="6">
                  <c:v>2.7707912612447219</c:v>
                </c:pt>
                <c:pt idx="7">
                  <c:v>2.721954965331888</c:v>
                </c:pt>
                <c:pt idx="8">
                  <c:v>2.6631858330070051</c:v>
                </c:pt>
              </c:numCache>
            </c:numRef>
          </c:val>
          <c:smooth val="0"/>
        </c:ser>
        <c:ser>
          <c:idx val="3"/>
          <c:order val="3"/>
          <c:tx>
            <c:strRef>
              <c:f>'Fig 30, 31, 32, 33, 34 and 35'!$A$42</c:f>
              <c:strCache>
                <c:ptCount val="1"/>
                <c:pt idx="0">
                  <c:v>Total New Zealand</c:v>
                </c:pt>
              </c:strCache>
            </c:strRef>
          </c:tx>
          <c:spPr>
            <a:ln w="34925" cap="rnd">
              <a:solidFill>
                <a:schemeClr val="tx1"/>
              </a:solidFill>
              <a:prstDash val="sysDot"/>
              <a:round/>
            </a:ln>
            <a:effectLst/>
          </c:spPr>
          <c:marker>
            <c:symbol val="none"/>
          </c:marker>
          <c:cat>
            <c:numRef>
              <c:f>'Fig 30, 31, 32, 33, 34 and 35'!$B$33:$J$33</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35'!$B$42:$J$42</c:f>
              <c:numCache>
                <c:formatCode>#,##0.00</c:formatCode>
                <c:ptCount val="9"/>
                <c:pt idx="0">
                  <c:v>2.910545543024925</c:v>
                </c:pt>
                <c:pt idx="1">
                  <c:v>2.9015934319040011</c:v>
                </c:pt>
                <c:pt idx="2">
                  <c:v>2.904264182423812</c:v>
                </c:pt>
                <c:pt idx="3">
                  <c:v>2.9015602761073036</c:v>
                </c:pt>
                <c:pt idx="4">
                  <c:v>2.8740096707510343</c:v>
                </c:pt>
                <c:pt idx="5">
                  <c:v>2.9030289278054315</c:v>
                </c:pt>
                <c:pt idx="6">
                  <c:v>2.9314248571193811</c:v>
                </c:pt>
                <c:pt idx="7">
                  <c:v>2.9925743758590952</c:v>
                </c:pt>
                <c:pt idx="8">
                  <c:v>2.9975859023062537</c:v>
                </c:pt>
              </c:numCache>
            </c:numRef>
          </c:val>
          <c:smooth val="0"/>
        </c:ser>
        <c:dLbls>
          <c:showLegendKey val="0"/>
          <c:showVal val="0"/>
          <c:showCatName val="0"/>
          <c:showSerName val="0"/>
          <c:showPercent val="0"/>
          <c:showBubbleSize val="0"/>
        </c:dLbls>
        <c:smooth val="0"/>
        <c:axId val="570369328"/>
        <c:axId val="570361880"/>
      </c:lineChart>
      <c:catAx>
        <c:axId val="570369328"/>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Calendar</a:t>
                </a:r>
                <a:r>
                  <a:rPr lang="en-NZ" sz="900" baseline="0"/>
                  <a:t> y</a:t>
                </a:r>
                <a:r>
                  <a:rPr lang="en-NZ" sz="900"/>
                  <a:t>ear</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0361880"/>
        <c:crosses val="autoZero"/>
        <c:auto val="1"/>
        <c:lblAlgn val="ctr"/>
        <c:lblOffset val="100"/>
        <c:noMultiLvlLbl val="0"/>
      </c:catAx>
      <c:valAx>
        <c:axId val="570361880"/>
        <c:scaling>
          <c:orientation val="minMax"/>
        </c:scaling>
        <c:delete val="0"/>
        <c:axPos val="l"/>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0369328"/>
        <c:crosses val="autoZero"/>
        <c:crossBetween val="between"/>
      </c:valAx>
      <c:spPr>
        <a:noFill/>
        <a:ln>
          <a:noFill/>
        </a:ln>
        <a:effectLst/>
      </c:spPr>
    </c:plotArea>
    <c:legend>
      <c:legendPos val="r"/>
      <c:layout>
        <c:manualLayout>
          <c:xMode val="edge"/>
          <c:yMode val="edge"/>
          <c:x val="0.63552182494480158"/>
          <c:y val="0.56933598596450552"/>
          <c:w val="0.35130161866597392"/>
          <c:h val="0.2643668028637116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34669522578667E-2"/>
          <c:y val="0.11230513242459736"/>
          <c:w val="0.93064901820229406"/>
          <c:h val="0.7392392589296457"/>
        </c:manualLayout>
      </c:layout>
      <c:lineChart>
        <c:grouping val="standard"/>
        <c:varyColors val="0"/>
        <c:ser>
          <c:idx val="0"/>
          <c:order val="0"/>
          <c:tx>
            <c:strRef>
              <c:f>'Fig 30, 31, 32, 33, 34 and 35'!$A$35</c:f>
              <c:strCache>
                <c:ptCount val="1"/>
                <c:pt idx="0">
                  <c:v>Canterbury </c:v>
                </c:pt>
              </c:strCache>
            </c:strRef>
          </c:tx>
          <c:spPr>
            <a:ln w="34925" cap="rnd">
              <a:solidFill>
                <a:schemeClr val="tx1"/>
              </a:solidFill>
              <a:round/>
            </a:ln>
            <a:effectLst/>
          </c:spPr>
          <c:marker>
            <c:symbol val="none"/>
          </c:marker>
          <c:cat>
            <c:numRef>
              <c:f>'Fig 30, 31, 32, 33, 34 and 35'!$B$33:$J$33</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35'!$B$35:$J$35</c:f>
              <c:numCache>
                <c:formatCode>#,##0.00</c:formatCode>
                <c:ptCount val="9"/>
                <c:pt idx="0">
                  <c:v>2.0304683701582844</c:v>
                </c:pt>
                <c:pt idx="1">
                  <c:v>1.861533594529482</c:v>
                </c:pt>
                <c:pt idx="2">
                  <c:v>1.950745183569611</c:v>
                </c:pt>
                <c:pt idx="3">
                  <c:v>1.6438206592206728</c:v>
                </c:pt>
                <c:pt idx="4">
                  <c:v>1.8920320072128931</c:v>
                </c:pt>
                <c:pt idx="5">
                  <c:v>1.9585112873703479</c:v>
                </c:pt>
                <c:pt idx="6">
                  <c:v>2.0437204591492235</c:v>
                </c:pt>
                <c:pt idx="7">
                  <c:v>2.0481351609818299</c:v>
                </c:pt>
                <c:pt idx="8">
                  <c:v>1.9249396937000953</c:v>
                </c:pt>
              </c:numCache>
            </c:numRef>
          </c:val>
          <c:smooth val="0"/>
        </c:ser>
        <c:ser>
          <c:idx val="1"/>
          <c:order val="1"/>
          <c:tx>
            <c:strRef>
              <c:f>'Fig 30, 31, 32, 33, 34 and 35'!$A$36</c:f>
              <c:strCache>
                <c:ptCount val="1"/>
                <c:pt idx="0">
                  <c:v>Capital Coast </c:v>
                </c:pt>
              </c:strCache>
            </c:strRef>
          </c:tx>
          <c:spPr>
            <a:ln w="38100" cap="rnd">
              <a:solidFill>
                <a:schemeClr val="tx1">
                  <a:lumMod val="50000"/>
                  <a:lumOff val="50000"/>
                </a:schemeClr>
              </a:solidFill>
              <a:prstDash val="solid"/>
              <a:round/>
            </a:ln>
            <a:effectLst/>
          </c:spPr>
          <c:marker>
            <c:symbol val="none"/>
          </c:marker>
          <c:cat>
            <c:numRef>
              <c:f>'Fig 30, 31, 32, 33, 34 and 35'!$B$33:$J$33</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35'!$B$36:$J$36</c:f>
              <c:numCache>
                <c:formatCode>#,##0.00</c:formatCode>
                <c:ptCount val="9"/>
                <c:pt idx="0">
                  <c:v>2.5760932800257459</c:v>
                </c:pt>
                <c:pt idx="1">
                  <c:v>2.6427383886144158</c:v>
                </c:pt>
                <c:pt idx="2">
                  <c:v>2.7241946806919013</c:v>
                </c:pt>
                <c:pt idx="3">
                  <c:v>2.7549105411842909</c:v>
                </c:pt>
                <c:pt idx="4">
                  <c:v>2.8089075074412966</c:v>
                </c:pt>
                <c:pt idx="5">
                  <c:v>2.8025615545986531</c:v>
                </c:pt>
                <c:pt idx="6">
                  <c:v>2.9002548630927745</c:v>
                </c:pt>
                <c:pt idx="7">
                  <c:v>2.9754467720308617</c:v>
                </c:pt>
                <c:pt idx="8">
                  <c:v>2.9993261678836149</c:v>
                </c:pt>
              </c:numCache>
            </c:numRef>
          </c:val>
          <c:smooth val="0"/>
        </c:ser>
        <c:ser>
          <c:idx val="2"/>
          <c:order val="2"/>
          <c:tx>
            <c:strRef>
              <c:f>'Fig 30, 31, 32, 33, 34 and 35'!$A$38</c:f>
              <c:strCache>
                <c:ptCount val="1"/>
                <c:pt idx="0">
                  <c:v>Hawke's Bay </c:v>
                </c:pt>
              </c:strCache>
            </c:strRef>
          </c:tx>
          <c:spPr>
            <a:ln w="34925" cap="rnd">
              <a:solidFill>
                <a:schemeClr val="bg1">
                  <a:lumMod val="75000"/>
                </a:schemeClr>
              </a:solidFill>
              <a:prstDash val="solid"/>
              <a:round/>
            </a:ln>
            <a:effectLst/>
          </c:spPr>
          <c:marker>
            <c:symbol val="none"/>
          </c:marker>
          <c:cat>
            <c:numRef>
              <c:f>'Fig 30, 31, 32, 33, 34 and 35'!$B$33:$J$33</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35'!$B$38:$J$38</c:f>
              <c:numCache>
                <c:formatCode>#,##0.00</c:formatCode>
                <c:ptCount val="9"/>
                <c:pt idx="0">
                  <c:v>2.8106838861168182</c:v>
                </c:pt>
                <c:pt idx="1">
                  <c:v>2.6318067497221733</c:v>
                </c:pt>
                <c:pt idx="2">
                  <c:v>2.6940725515249153</c:v>
                </c:pt>
                <c:pt idx="3">
                  <c:v>2.6646222175223393</c:v>
                </c:pt>
                <c:pt idx="4">
                  <c:v>2.7638357298024205</c:v>
                </c:pt>
                <c:pt idx="5">
                  <c:v>2.8523585868899328</c:v>
                </c:pt>
                <c:pt idx="6">
                  <c:v>2.8409914764377389</c:v>
                </c:pt>
                <c:pt idx="7">
                  <c:v>2.9829203752706279</c:v>
                </c:pt>
                <c:pt idx="8">
                  <c:v>2.9354149242635441</c:v>
                </c:pt>
              </c:numCache>
            </c:numRef>
          </c:val>
          <c:smooth val="0"/>
        </c:ser>
        <c:ser>
          <c:idx val="3"/>
          <c:order val="3"/>
          <c:tx>
            <c:strRef>
              <c:f>'Fig 30, 31, 32, 33, 34 and 35'!$A$39</c:f>
              <c:strCache>
                <c:ptCount val="1"/>
                <c:pt idx="0">
                  <c:v>Hutt Valley</c:v>
                </c:pt>
              </c:strCache>
            </c:strRef>
          </c:tx>
          <c:spPr>
            <a:ln w="34925" cap="rnd">
              <a:solidFill>
                <a:schemeClr val="tx1">
                  <a:lumMod val="50000"/>
                  <a:lumOff val="50000"/>
                </a:schemeClr>
              </a:solidFill>
              <a:prstDash val="sysDot"/>
              <a:round/>
            </a:ln>
            <a:effectLst/>
          </c:spPr>
          <c:marker>
            <c:symbol val="none"/>
          </c:marker>
          <c:cat>
            <c:numRef>
              <c:f>'Fig 30, 31, 32, 33, 34 and 35'!$B$33:$J$33</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35'!$B$39:$J$39</c:f>
              <c:numCache>
                <c:formatCode>#,##0.00</c:formatCode>
                <c:ptCount val="9"/>
                <c:pt idx="0">
                  <c:v>2.0987605744638991</c:v>
                </c:pt>
                <c:pt idx="1">
                  <c:v>2.1061310076965234</c:v>
                </c:pt>
                <c:pt idx="2">
                  <c:v>2.0820272172688878</c:v>
                </c:pt>
                <c:pt idx="3">
                  <c:v>2.1340929009640668</c:v>
                </c:pt>
                <c:pt idx="4">
                  <c:v>2.0370058468275545</c:v>
                </c:pt>
                <c:pt idx="5">
                  <c:v>2.0453757225433526</c:v>
                </c:pt>
                <c:pt idx="6">
                  <c:v>2.2178986438951021</c:v>
                </c:pt>
                <c:pt idx="7">
                  <c:v>2.1962078305835999</c:v>
                </c:pt>
                <c:pt idx="8">
                  <c:v>2.276247953673614</c:v>
                </c:pt>
              </c:numCache>
            </c:numRef>
          </c:val>
          <c:smooth val="0"/>
        </c:ser>
        <c:ser>
          <c:idx val="4"/>
          <c:order val="4"/>
          <c:tx>
            <c:strRef>
              <c:f>'Fig 30, 31, 32, 33, 34 and 35'!$A$40</c:f>
              <c:strCache>
                <c:ptCount val="1"/>
                <c:pt idx="0">
                  <c:v>Waikato </c:v>
                </c:pt>
              </c:strCache>
            </c:strRef>
          </c:tx>
          <c:spPr>
            <a:ln w="34925" cap="rnd">
              <a:solidFill>
                <a:schemeClr val="bg1">
                  <a:lumMod val="75000"/>
                </a:schemeClr>
              </a:solidFill>
              <a:prstDash val="sysDot"/>
              <a:round/>
            </a:ln>
            <a:effectLst/>
          </c:spPr>
          <c:marker>
            <c:symbol val="none"/>
          </c:marker>
          <c:cat>
            <c:numRef>
              <c:f>'Fig 30, 31, 32, 33, 34 and 35'!$B$33:$J$33</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35'!$B$40:$J$40</c:f>
              <c:numCache>
                <c:formatCode>#,##0.00</c:formatCode>
                <c:ptCount val="9"/>
                <c:pt idx="0">
                  <c:v>1.8176735912584969</c:v>
                </c:pt>
                <c:pt idx="1">
                  <c:v>2.2597503202931799</c:v>
                </c:pt>
                <c:pt idx="2">
                  <c:v>2.5184642745057015</c:v>
                </c:pt>
                <c:pt idx="3">
                  <c:v>2.5429533484905171</c:v>
                </c:pt>
                <c:pt idx="4">
                  <c:v>2.3284067395802541</c:v>
                </c:pt>
                <c:pt idx="5">
                  <c:v>2.5450315928452421</c:v>
                </c:pt>
                <c:pt idx="6">
                  <c:v>2.3698592019589291</c:v>
                </c:pt>
                <c:pt idx="7">
                  <c:v>2.3934650856389985</c:v>
                </c:pt>
                <c:pt idx="8">
                  <c:v>2.4457678414526995</c:v>
                </c:pt>
              </c:numCache>
            </c:numRef>
          </c:val>
          <c:smooth val="0"/>
        </c:ser>
        <c:ser>
          <c:idx val="5"/>
          <c:order val="5"/>
          <c:tx>
            <c:strRef>
              <c:f>'Fig 30, 31, 32, 33, 34 and 35'!$A$42</c:f>
              <c:strCache>
                <c:ptCount val="1"/>
                <c:pt idx="0">
                  <c:v>Total New Zealand</c:v>
                </c:pt>
              </c:strCache>
            </c:strRef>
          </c:tx>
          <c:spPr>
            <a:ln w="34925" cap="rnd">
              <a:solidFill>
                <a:schemeClr val="tx1"/>
              </a:solidFill>
              <a:prstDash val="sysDot"/>
              <a:round/>
            </a:ln>
            <a:effectLst/>
          </c:spPr>
          <c:marker>
            <c:symbol val="none"/>
          </c:marker>
          <c:cat>
            <c:numRef>
              <c:f>'Fig 30, 31, 32, 33, 34 and 35'!$B$33:$J$33</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'Fig 30, 31, 32, 33, 34 and 35'!$B$42:$J$42</c:f>
              <c:numCache>
                <c:formatCode>#,##0.00</c:formatCode>
                <c:ptCount val="9"/>
                <c:pt idx="0">
                  <c:v>2.910545543024925</c:v>
                </c:pt>
                <c:pt idx="1">
                  <c:v>2.9015934319040011</c:v>
                </c:pt>
                <c:pt idx="2">
                  <c:v>2.904264182423812</c:v>
                </c:pt>
                <c:pt idx="3">
                  <c:v>2.9015602761073036</c:v>
                </c:pt>
                <c:pt idx="4">
                  <c:v>2.8740096707510343</c:v>
                </c:pt>
                <c:pt idx="5">
                  <c:v>2.9030289278054315</c:v>
                </c:pt>
                <c:pt idx="6">
                  <c:v>2.9314248571193811</c:v>
                </c:pt>
                <c:pt idx="7">
                  <c:v>2.9925743758590952</c:v>
                </c:pt>
                <c:pt idx="8">
                  <c:v>2.9975859023062537</c:v>
                </c:pt>
              </c:numCache>
            </c:numRef>
          </c:val>
          <c:smooth val="0"/>
        </c:ser>
        <c:dLbls>
          <c:showLegendKey val="0"/>
          <c:showVal val="0"/>
          <c:showCatName val="0"/>
          <c:showSerName val="0"/>
          <c:showPercent val="0"/>
          <c:showBubbleSize val="0"/>
        </c:dLbls>
        <c:smooth val="0"/>
        <c:axId val="560464528"/>
        <c:axId val="560466880"/>
      </c:lineChart>
      <c:catAx>
        <c:axId val="560464528"/>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NZ" sz="900"/>
                  <a:t>Calendar year</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0466880"/>
        <c:crosses val="autoZero"/>
        <c:auto val="1"/>
        <c:lblAlgn val="ctr"/>
        <c:lblOffset val="100"/>
        <c:noMultiLvlLbl val="0"/>
      </c:catAx>
      <c:valAx>
        <c:axId val="560466880"/>
        <c:scaling>
          <c:orientation val="minMax"/>
        </c:scaling>
        <c:delete val="0"/>
        <c:axPos val="l"/>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0464528"/>
        <c:crosses val="autoZero"/>
        <c:crossBetween val="between"/>
      </c:valAx>
      <c:spPr>
        <a:noFill/>
        <a:ln>
          <a:noFill/>
        </a:ln>
        <a:effectLst/>
      </c:spPr>
    </c:plotArea>
    <c:legend>
      <c:legendPos val="r"/>
      <c:layout>
        <c:manualLayout>
          <c:xMode val="edge"/>
          <c:yMode val="edge"/>
          <c:x val="7.4197999016328522E-2"/>
          <c:y val="0.66644118551395004"/>
          <c:w val="0.92439931100413275"/>
          <c:h val="0.1623744657742249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0.01603</cdr:y>
    </cdr:from>
    <cdr:to>
      <cdr:x>0.39077</cdr:x>
      <cdr:y>0.11219</cdr:y>
    </cdr:to>
    <cdr:sp macro="" textlink="">
      <cdr:nvSpPr>
        <cdr:cNvPr id="2" name="Text Box 1"/>
        <cdr:cNvSpPr txBox="1"/>
      </cdr:nvSpPr>
      <cdr:spPr>
        <a:xfrm xmlns:a="http://schemas.openxmlformats.org/drawingml/2006/main">
          <a:off x="0" y="41564"/>
          <a:ext cx="1828800" cy="249381"/>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r>
            <a:rPr lang="en-NZ" sz="900">
              <a:latin typeface="Arial" panose="020B0604020202020204" pitchFamily="34" charset="0"/>
              <a:cs typeface="Arial" panose="020B0604020202020204" pitchFamily="34" charset="0"/>
            </a:rPr>
            <a:t>Crude rate per 100,000 population</a:t>
          </a:r>
        </a:p>
      </cdr:txBody>
    </cdr:sp>
  </cdr:relSizeAnchor>
</c:userShapes>
</file>

<file path=word/drawings/drawing10.xml><?xml version="1.0" encoding="utf-8"?>
<c:userShapes xmlns:c="http://schemas.openxmlformats.org/drawingml/2006/chart">
  <cdr:relSizeAnchor xmlns:cdr="http://schemas.openxmlformats.org/drawingml/2006/chartDrawing">
    <cdr:from>
      <cdr:x>0</cdr:x>
      <cdr:y>0</cdr:y>
    </cdr:from>
    <cdr:to>
      <cdr:x>0.2961</cdr:x>
      <cdr:y>0.09128</cdr:y>
    </cdr:to>
    <cdr:sp macro="" textlink="">
      <cdr:nvSpPr>
        <cdr:cNvPr id="2" name="Text Box 1"/>
        <cdr:cNvSpPr txBox="1"/>
      </cdr:nvSpPr>
      <cdr:spPr>
        <a:xfrm xmlns:a="http://schemas.openxmlformats.org/drawingml/2006/main">
          <a:off x="0" y="0"/>
          <a:ext cx="1383270" cy="199507"/>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r>
            <a:rPr lang="en-NZ" sz="900">
              <a:latin typeface="Arial" panose="020B0604020202020204" pitchFamily="34" charset="0"/>
              <a:cs typeface="Arial" panose="020B0604020202020204" pitchFamily="34" charset="0"/>
            </a:rPr>
            <a:t>Average visits per person</a:t>
          </a:r>
        </a:p>
      </cdr:txBody>
    </cdr:sp>
  </cdr:relSizeAnchor>
</c:userShapes>
</file>

<file path=word/drawings/drawing11.xml><?xml version="1.0" encoding="utf-8"?>
<c:userShapes xmlns:c="http://schemas.openxmlformats.org/drawingml/2006/chart">
  <cdr:relSizeAnchor xmlns:cdr="http://schemas.openxmlformats.org/drawingml/2006/chartDrawing">
    <cdr:from>
      <cdr:x>0</cdr:x>
      <cdr:y>0</cdr:y>
    </cdr:from>
    <cdr:to>
      <cdr:x>0.27992</cdr:x>
      <cdr:y>0.076</cdr:y>
    </cdr:to>
    <cdr:sp macro="" textlink="">
      <cdr:nvSpPr>
        <cdr:cNvPr id="2" name="Text Box 1"/>
        <cdr:cNvSpPr txBox="1"/>
      </cdr:nvSpPr>
      <cdr:spPr>
        <a:xfrm xmlns:a="http://schemas.openxmlformats.org/drawingml/2006/main">
          <a:off x="0" y="0"/>
          <a:ext cx="1604357" cy="241069"/>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r>
            <a:rPr lang="en-NZ" sz="900">
              <a:latin typeface="Arial" panose="020B0604020202020204" pitchFamily="34" charset="0"/>
              <a:cs typeface="Arial" panose="020B0604020202020204" pitchFamily="34" charset="0"/>
            </a:rPr>
            <a:t>Average visits per person</a:t>
          </a:r>
        </a:p>
      </cdr:txBody>
    </cdr:sp>
  </cdr:relSizeAnchor>
</c:userShapes>
</file>

<file path=word/drawings/drawing12.xml><?xml version="1.0" encoding="utf-8"?>
<c:userShapes xmlns:c="http://schemas.openxmlformats.org/drawingml/2006/chart">
  <cdr:relSizeAnchor xmlns:cdr="http://schemas.openxmlformats.org/drawingml/2006/chartDrawing">
    <cdr:from>
      <cdr:x>0</cdr:x>
      <cdr:y>0.01287</cdr:y>
    </cdr:from>
    <cdr:to>
      <cdr:x>0.36751</cdr:x>
      <cdr:y>0.1313</cdr:y>
    </cdr:to>
    <cdr:sp macro="" textlink="">
      <cdr:nvSpPr>
        <cdr:cNvPr id="2" name="Text Box 1"/>
        <cdr:cNvSpPr txBox="1"/>
      </cdr:nvSpPr>
      <cdr:spPr>
        <a:xfrm xmlns:a="http://schemas.openxmlformats.org/drawingml/2006/main">
          <a:off x="0" y="34134"/>
          <a:ext cx="1729047" cy="314030"/>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r>
            <a:rPr lang="en-NZ" sz="900">
              <a:latin typeface="Arial" panose="020B0604020202020204" pitchFamily="34" charset="0"/>
              <a:cs typeface="Arial" panose="020B0604020202020204" pitchFamily="34" charset="0"/>
            </a:rPr>
            <a:t>Average</a:t>
          </a:r>
          <a:r>
            <a:rPr lang="en-NZ" sz="900" baseline="0">
              <a:latin typeface="Arial" panose="020B0604020202020204" pitchFamily="34" charset="0"/>
              <a:cs typeface="Arial" panose="020B0604020202020204" pitchFamily="34" charset="0"/>
            </a:rPr>
            <a:t> visits per person</a:t>
          </a:r>
          <a:endParaRPr lang="en-NZ" sz="900">
            <a:latin typeface="Arial" panose="020B0604020202020204" pitchFamily="34" charset="0"/>
            <a:cs typeface="Arial" panose="020B0604020202020204" pitchFamily="34" charset="0"/>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cdr:x>
      <cdr:y>0</cdr:y>
    </cdr:from>
    <cdr:to>
      <cdr:x>0.27992</cdr:x>
      <cdr:y>0.07621</cdr:y>
    </cdr:to>
    <cdr:sp macro="" textlink="">
      <cdr:nvSpPr>
        <cdr:cNvPr id="2" name="Text Box 1"/>
        <cdr:cNvSpPr txBox="1"/>
      </cdr:nvSpPr>
      <cdr:spPr>
        <a:xfrm xmlns:a="http://schemas.openxmlformats.org/drawingml/2006/main">
          <a:off x="0" y="0"/>
          <a:ext cx="1604356" cy="257694"/>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r>
            <a:rPr lang="en-NZ" sz="900">
              <a:latin typeface="Arial" panose="020B0604020202020204" pitchFamily="34" charset="0"/>
              <a:cs typeface="Arial" panose="020B0604020202020204" pitchFamily="34" charset="0"/>
            </a:rPr>
            <a:t>Average visits per person</a:t>
          </a:r>
        </a:p>
      </cdr:txBody>
    </cdr:sp>
  </cdr:relSizeAnchor>
</c:userShapes>
</file>

<file path=word/drawings/drawing14.xml><?xml version="1.0" encoding="utf-8"?>
<c:userShapes xmlns:c="http://schemas.openxmlformats.org/drawingml/2006/chart">
  <cdr:relSizeAnchor xmlns:cdr="http://schemas.openxmlformats.org/drawingml/2006/chartDrawing">
    <cdr:from>
      <cdr:x>0</cdr:x>
      <cdr:y>0</cdr:y>
    </cdr:from>
    <cdr:to>
      <cdr:x>0.32053</cdr:x>
      <cdr:y>0.07669</cdr:y>
    </cdr:to>
    <cdr:sp macro="" textlink="">
      <cdr:nvSpPr>
        <cdr:cNvPr id="2" name="Text Box 1"/>
        <cdr:cNvSpPr txBox="1"/>
      </cdr:nvSpPr>
      <cdr:spPr>
        <a:xfrm xmlns:a="http://schemas.openxmlformats.org/drawingml/2006/main">
          <a:off x="0" y="0"/>
          <a:ext cx="1837113" cy="241070"/>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r>
            <a:rPr lang="en-NZ" sz="900">
              <a:latin typeface="Arial" panose="020B0604020202020204" pitchFamily="34" charset="0"/>
              <a:cs typeface="Arial" panose="020B0604020202020204" pitchFamily="34" charset="0"/>
            </a:rPr>
            <a:t>Average visits per person</a:t>
          </a:r>
        </a:p>
      </cdr:txBody>
    </cdr:sp>
  </cdr:relSizeAnchor>
</c:userShapes>
</file>

<file path=word/drawings/drawing15.xml><?xml version="1.0" encoding="utf-8"?>
<c:userShapes xmlns:c="http://schemas.openxmlformats.org/drawingml/2006/chart">
  <cdr:relSizeAnchor xmlns:cdr="http://schemas.openxmlformats.org/drawingml/2006/chartDrawing">
    <cdr:from>
      <cdr:x>0.00725</cdr:x>
      <cdr:y>0</cdr:y>
    </cdr:from>
    <cdr:to>
      <cdr:x>0.33808</cdr:x>
      <cdr:y>0.10528</cdr:y>
    </cdr:to>
    <cdr:sp macro="" textlink="">
      <cdr:nvSpPr>
        <cdr:cNvPr id="2" name="Text Box 1"/>
        <cdr:cNvSpPr txBox="1"/>
      </cdr:nvSpPr>
      <cdr:spPr>
        <a:xfrm xmlns:a="http://schemas.openxmlformats.org/drawingml/2006/main">
          <a:off x="33878" y="0"/>
          <a:ext cx="1545540" cy="266007"/>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r>
            <a:rPr lang="en-NZ" sz="900">
              <a:latin typeface="Arial" panose="020B0604020202020204" pitchFamily="34" charset="0"/>
              <a:cs typeface="Arial" panose="020B0604020202020204" pitchFamily="34" charset="0"/>
            </a:rPr>
            <a:t>Average visits per person</a:t>
          </a:r>
        </a:p>
      </cdr:txBody>
    </cdr:sp>
  </cdr:relSizeAnchor>
</c:userShapes>
</file>

<file path=word/drawings/drawing16.xml><?xml version="1.0" encoding="utf-8"?>
<c:userShapes xmlns:c="http://schemas.openxmlformats.org/drawingml/2006/chart">
  <cdr:relSizeAnchor xmlns:cdr="http://schemas.openxmlformats.org/drawingml/2006/chartDrawing">
    <cdr:from>
      <cdr:x>0.06383</cdr:x>
      <cdr:y>0.78178</cdr:y>
    </cdr:from>
    <cdr:to>
      <cdr:x>0.21277</cdr:x>
      <cdr:y>0.92738</cdr:y>
    </cdr:to>
    <cdr:sp macro="" textlink="">
      <cdr:nvSpPr>
        <cdr:cNvPr id="2" name="Text Box 1"/>
        <cdr:cNvSpPr txBox="1"/>
      </cdr:nvSpPr>
      <cdr:spPr>
        <a:xfrm xmlns:a="http://schemas.openxmlformats.org/drawingml/2006/main">
          <a:off x="299259" y="2053244"/>
          <a:ext cx="698269" cy="382385"/>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September 2015</a:t>
          </a:r>
        </a:p>
      </cdr:txBody>
    </cdr:sp>
  </cdr:relSizeAnchor>
  <cdr:relSizeAnchor xmlns:cdr="http://schemas.openxmlformats.org/drawingml/2006/chartDrawing">
    <cdr:from>
      <cdr:x>0.21632</cdr:x>
      <cdr:y>0.78178</cdr:y>
    </cdr:from>
    <cdr:to>
      <cdr:x>0.3564</cdr:x>
      <cdr:y>0.93371</cdr:y>
    </cdr:to>
    <cdr:sp macro="" textlink="">
      <cdr:nvSpPr>
        <cdr:cNvPr id="3" name="Text Box 2"/>
        <cdr:cNvSpPr txBox="1"/>
      </cdr:nvSpPr>
      <cdr:spPr>
        <a:xfrm xmlns:a="http://schemas.openxmlformats.org/drawingml/2006/main">
          <a:off x="1014153" y="2053244"/>
          <a:ext cx="656705" cy="399011"/>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2015</a:t>
          </a:r>
        </a:p>
      </cdr:txBody>
    </cdr:sp>
  </cdr:relSizeAnchor>
  <cdr:relSizeAnchor xmlns:cdr="http://schemas.openxmlformats.org/drawingml/2006/chartDrawing">
    <cdr:from>
      <cdr:x>0.36526</cdr:x>
      <cdr:y>0.78178</cdr:y>
    </cdr:from>
    <cdr:to>
      <cdr:x>0.46278</cdr:x>
      <cdr:y>0.92421</cdr:y>
    </cdr:to>
    <cdr:sp macro="" textlink="">
      <cdr:nvSpPr>
        <cdr:cNvPr id="4" name="Text Box 3"/>
        <cdr:cNvSpPr txBox="1"/>
      </cdr:nvSpPr>
      <cdr:spPr>
        <a:xfrm xmlns:a="http://schemas.openxmlformats.org/drawingml/2006/main">
          <a:off x="1712421" y="2053244"/>
          <a:ext cx="457200" cy="374073"/>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March 2016</a:t>
          </a:r>
        </a:p>
      </cdr:txBody>
    </cdr:sp>
  </cdr:relSizeAnchor>
  <cdr:relSizeAnchor xmlns:cdr="http://schemas.openxmlformats.org/drawingml/2006/chartDrawing">
    <cdr:from>
      <cdr:x>0.48406</cdr:x>
      <cdr:y>0.78178</cdr:y>
    </cdr:from>
    <cdr:to>
      <cdr:x>0.56562</cdr:x>
      <cdr:y>0.92105</cdr:y>
    </cdr:to>
    <cdr:sp macro="" textlink="">
      <cdr:nvSpPr>
        <cdr:cNvPr id="5" name="Text Box 4"/>
        <cdr:cNvSpPr txBox="1"/>
      </cdr:nvSpPr>
      <cdr:spPr>
        <a:xfrm xmlns:a="http://schemas.openxmlformats.org/drawingml/2006/main">
          <a:off x="2269374" y="2053244"/>
          <a:ext cx="382385" cy="365760"/>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2016</a:t>
          </a:r>
        </a:p>
      </cdr:txBody>
    </cdr:sp>
  </cdr:relSizeAnchor>
  <cdr:relSizeAnchor xmlns:cdr="http://schemas.openxmlformats.org/drawingml/2006/chartDrawing">
    <cdr:from>
      <cdr:x>0.58864</cdr:x>
      <cdr:y>0.78178</cdr:y>
    </cdr:from>
    <cdr:to>
      <cdr:x>0.7252</cdr:x>
      <cdr:y>0.91788</cdr:y>
    </cdr:to>
    <cdr:sp macro="" textlink="">
      <cdr:nvSpPr>
        <cdr:cNvPr id="6" name="Text Box 5"/>
        <cdr:cNvSpPr txBox="1"/>
      </cdr:nvSpPr>
      <cdr:spPr>
        <a:xfrm xmlns:a="http://schemas.openxmlformats.org/drawingml/2006/main">
          <a:off x="2759653" y="2053244"/>
          <a:ext cx="640253" cy="357447"/>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September 2016</a:t>
          </a:r>
        </a:p>
      </cdr:txBody>
    </cdr:sp>
  </cdr:relSizeAnchor>
  <cdr:relSizeAnchor xmlns:cdr="http://schemas.openxmlformats.org/drawingml/2006/chartDrawing">
    <cdr:from>
      <cdr:x>0.73762</cdr:x>
      <cdr:y>0.78178</cdr:y>
    </cdr:from>
    <cdr:to>
      <cdr:x>0.86173</cdr:x>
      <cdr:y>0.92421</cdr:y>
    </cdr:to>
    <cdr:sp macro="" textlink="">
      <cdr:nvSpPr>
        <cdr:cNvPr id="7" name="Text Box 6"/>
        <cdr:cNvSpPr txBox="1"/>
      </cdr:nvSpPr>
      <cdr:spPr>
        <a:xfrm xmlns:a="http://schemas.openxmlformats.org/drawingml/2006/main">
          <a:off x="3458093" y="2053244"/>
          <a:ext cx="581891" cy="374073"/>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2016</a:t>
          </a:r>
        </a:p>
      </cdr:txBody>
    </cdr:sp>
  </cdr:relSizeAnchor>
  <cdr:relSizeAnchor xmlns:cdr="http://schemas.openxmlformats.org/drawingml/2006/chartDrawing">
    <cdr:from>
      <cdr:x>0.88301</cdr:x>
      <cdr:y>0.78178</cdr:y>
    </cdr:from>
    <cdr:to>
      <cdr:x>0.98231</cdr:x>
      <cdr:y>0.9432</cdr:y>
    </cdr:to>
    <cdr:sp macro="" textlink="">
      <cdr:nvSpPr>
        <cdr:cNvPr id="8" name="Text Box 7"/>
        <cdr:cNvSpPr txBox="1"/>
      </cdr:nvSpPr>
      <cdr:spPr>
        <a:xfrm xmlns:a="http://schemas.openxmlformats.org/drawingml/2006/main">
          <a:off x="4139738" y="2053244"/>
          <a:ext cx="465512" cy="423950"/>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March 2017</a:t>
          </a:r>
        </a:p>
      </cdr:txBody>
    </cdr:sp>
  </cdr:relSizeAnchor>
</c:userShapes>
</file>

<file path=word/drawings/drawing17.xml><?xml version="1.0" encoding="utf-8"?>
<c:userShapes xmlns:c="http://schemas.openxmlformats.org/drawingml/2006/chart">
  <cdr:relSizeAnchor xmlns:cdr="http://schemas.openxmlformats.org/drawingml/2006/chartDrawing">
    <cdr:from>
      <cdr:x>0.05841</cdr:x>
      <cdr:y>0.79561</cdr:y>
    </cdr:from>
    <cdr:to>
      <cdr:x>0.20532</cdr:x>
      <cdr:y>0.93301</cdr:y>
    </cdr:to>
    <cdr:sp macro="" textlink="">
      <cdr:nvSpPr>
        <cdr:cNvPr id="2" name="Text Box 1"/>
        <cdr:cNvSpPr txBox="1"/>
      </cdr:nvSpPr>
      <cdr:spPr>
        <a:xfrm xmlns:a="http://schemas.openxmlformats.org/drawingml/2006/main">
          <a:off x="274320" y="2069868"/>
          <a:ext cx="689956" cy="357447"/>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September 2015</a:t>
          </a:r>
        </a:p>
      </cdr:txBody>
    </cdr:sp>
  </cdr:relSizeAnchor>
  <cdr:relSizeAnchor xmlns:cdr="http://schemas.openxmlformats.org/drawingml/2006/chartDrawing">
    <cdr:from>
      <cdr:x>0.20178</cdr:x>
      <cdr:y>0.79561</cdr:y>
    </cdr:from>
    <cdr:to>
      <cdr:x>0.34161</cdr:x>
      <cdr:y>0.94899</cdr:y>
    </cdr:to>
    <cdr:sp macro="" textlink="">
      <cdr:nvSpPr>
        <cdr:cNvPr id="3" name="Text Box 2"/>
        <cdr:cNvSpPr txBox="1"/>
      </cdr:nvSpPr>
      <cdr:spPr>
        <a:xfrm xmlns:a="http://schemas.openxmlformats.org/drawingml/2006/main">
          <a:off x="947651" y="2069868"/>
          <a:ext cx="656706" cy="399011"/>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2015</a:t>
          </a:r>
        </a:p>
      </cdr:txBody>
    </cdr:sp>
  </cdr:relSizeAnchor>
  <cdr:relSizeAnchor xmlns:cdr="http://schemas.openxmlformats.org/drawingml/2006/chartDrawing">
    <cdr:from>
      <cdr:x>0.36108</cdr:x>
      <cdr:y>0.79561</cdr:y>
    </cdr:from>
    <cdr:to>
      <cdr:x>0.44427</cdr:x>
      <cdr:y>0.94899</cdr:y>
    </cdr:to>
    <cdr:sp macro="" textlink="">
      <cdr:nvSpPr>
        <cdr:cNvPr id="4" name="Text Box 3"/>
        <cdr:cNvSpPr txBox="1"/>
      </cdr:nvSpPr>
      <cdr:spPr>
        <a:xfrm xmlns:a="http://schemas.openxmlformats.org/drawingml/2006/main">
          <a:off x="1695797" y="2069868"/>
          <a:ext cx="390699" cy="399011"/>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March 2016</a:t>
          </a:r>
        </a:p>
      </cdr:txBody>
    </cdr:sp>
  </cdr:relSizeAnchor>
  <cdr:relSizeAnchor xmlns:cdr="http://schemas.openxmlformats.org/drawingml/2006/chartDrawing">
    <cdr:from>
      <cdr:x>0.48498</cdr:x>
      <cdr:y>0.79561</cdr:y>
    </cdr:from>
    <cdr:to>
      <cdr:x>0.57702</cdr:x>
      <cdr:y>0.93621</cdr:y>
    </cdr:to>
    <cdr:sp macro="" textlink="">
      <cdr:nvSpPr>
        <cdr:cNvPr id="5" name="Text Box 4"/>
        <cdr:cNvSpPr txBox="1"/>
      </cdr:nvSpPr>
      <cdr:spPr>
        <a:xfrm xmlns:a="http://schemas.openxmlformats.org/drawingml/2006/main">
          <a:off x="2277687" y="2069868"/>
          <a:ext cx="432261" cy="365760"/>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2016</a:t>
          </a:r>
        </a:p>
      </cdr:txBody>
    </cdr:sp>
  </cdr:relSizeAnchor>
  <cdr:relSizeAnchor xmlns:cdr="http://schemas.openxmlformats.org/drawingml/2006/chartDrawing">
    <cdr:from>
      <cdr:x>0.58587</cdr:x>
      <cdr:y>0.79561</cdr:y>
    </cdr:from>
    <cdr:to>
      <cdr:x>0.71685</cdr:x>
      <cdr:y>0.9394</cdr:y>
    </cdr:to>
    <cdr:sp macro="" textlink="">
      <cdr:nvSpPr>
        <cdr:cNvPr id="6" name="Text Box 5"/>
        <cdr:cNvSpPr txBox="1"/>
      </cdr:nvSpPr>
      <cdr:spPr>
        <a:xfrm xmlns:a="http://schemas.openxmlformats.org/drawingml/2006/main">
          <a:off x="2751513" y="2069868"/>
          <a:ext cx="615142" cy="374073"/>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September 2016</a:t>
          </a:r>
        </a:p>
      </cdr:txBody>
    </cdr:sp>
  </cdr:relSizeAnchor>
  <cdr:relSizeAnchor xmlns:cdr="http://schemas.openxmlformats.org/drawingml/2006/chartDrawing">
    <cdr:from>
      <cdr:x>0.7434</cdr:x>
      <cdr:y>0.79561</cdr:y>
    </cdr:from>
    <cdr:to>
      <cdr:x>0.86376</cdr:x>
      <cdr:y>0.93621</cdr:y>
    </cdr:to>
    <cdr:sp macro="" textlink="">
      <cdr:nvSpPr>
        <cdr:cNvPr id="7" name="Text Box 6"/>
        <cdr:cNvSpPr txBox="1"/>
      </cdr:nvSpPr>
      <cdr:spPr>
        <a:xfrm xmlns:a="http://schemas.openxmlformats.org/drawingml/2006/main">
          <a:off x="3491345" y="2069868"/>
          <a:ext cx="565266" cy="365760"/>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2016</a:t>
          </a:r>
        </a:p>
      </cdr:txBody>
    </cdr:sp>
  </cdr:relSizeAnchor>
  <cdr:relSizeAnchor xmlns:cdr="http://schemas.openxmlformats.org/drawingml/2006/chartDrawing">
    <cdr:from>
      <cdr:x>0.885</cdr:x>
      <cdr:y>0.79561</cdr:y>
    </cdr:from>
    <cdr:to>
      <cdr:x>0.98235</cdr:x>
      <cdr:y>0.94899</cdr:y>
    </cdr:to>
    <cdr:sp macro="" textlink="">
      <cdr:nvSpPr>
        <cdr:cNvPr id="8" name="Text Box 7"/>
        <cdr:cNvSpPr txBox="1"/>
      </cdr:nvSpPr>
      <cdr:spPr>
        <a:xfrm xmlns:a="http://schemas.openxmlformats.org/drawingml/2006/main">
          <a:off x="4156363" y="2069868"/>
          <a:ext cx="457200" cy="399011"/>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March 2017</a:t>
          </a:r>
        </a:p>
      </cdr:txBody>
    </cdr:sp>
  </cdr:relSizeAnchor>
</c:userShapes>
</file>

<file path=word/drawings/drawing18.xml><?xml version="1.0" encoding="utf-8"?>
<c:userShapes xmlns:c="http://schemas.openxmlformats.org/drawingml/2006/chart">
  <cdr:relSizeAnchor xmlns:cdr="http://schemas.openxmlformats.org/drawingml/2006/chartDrawing">
    <cdr:from>
      <cdr:x>0.05669</cdr:x>
      <cdr:y>0.8123</cdr:y>
    </cdr:from>
    <cdr:to>
      <cdr:x>0.17882</cdr:x>
      <cdr:y>0.94755</cdr:y>
    </cdr:to>
    <cdr:sp macro="" textlink="">
      <cdr:nvSpPr>
        <cdr:cNvPr id="2" name="Text Box 1"/>
        <cdr:cNvSpPr txBox="1"/>
      </cdr:nvSpPr>
      <cdr:spPr>
        <a:xfrm xmlns:a="http://schemas.openxmlformats.org/drawingml/2006/main">
          <a:off x="266241" y="2275250"/>
          <a:ext cx="573578" cy="378832"/>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September</a:t>
          </a:r>
          <a:r>
            <a:rPr lang="en-NZ" sz="900" baseline="0">
              <a:latin typeface="Arial" panose="020B0604020202020204" pitchFamily="34" charset="0"/>
              <a:cs typeface="Arial" panose="020B0604020202020204" pitchFamily="34" charset="0"/>
            </a:rPr>
            <a:t> 2015</a:t>
          </a:r>
          <a:endParaRPr lang="en-NZ"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0.20183</cdr:x>
      <cdr:y>0.8123</cdr:y>
    </cdr:from>
    <cdr:to>
      <cdr:x>0.3275</cdr:x>
      <cdr:y>0.97923</cdr:y>
    </cdr:to>
    <cdr:sp macro="" textlink="">
      <cdr:nvSpPr>
        <cdr:cNvPr id="3" name="Text Box 2"/>
        <cdr:cNvSpPr txBox="1"/>
      </cdr:nvSpPr>
      <cdr:spPr>
        <a:xfrm xmlns:a="http://schemas.openxmlformats.org/drawingml/2006/main">
          <a:off x="947883" y="2275250"/>
          <a:ext cx="590204" cy="467546"/>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2015</a:t>
          </a:r>
        </a:p>
      </cdr:txBody>
    </cdr:sp>
  </cdr:relSizeAnchor>
  <cdr:relSizeAnchor xmlns:cdr="http://schemas.openxmlformats.org/drawingml/2006/chartDrawing">
    <cdr:from>
      <cdr:x>0.35759</cdr:x>
      <cdr:y>0.8123</cdr:y>
    </cdr:from>
    <cdr:to>
      <cdr:x>0.4337</cdr:x>
      <cdr:y>0.96035</cdr:y>
    </cdr:to>
    <cdr:sp macro="" textlink="">
      <cdr:nvSpPr>
        <cdr:cNvPr id="4" name="Text Box 3"/>
        <cdr:cNvSpPr txBox="1"/>
      </cdr:nvSpPr>
      <cdr:spPr>
        <a:xfrm xmlns:a="http://schemas.openxmlformats.org/drawingml/2006/main">
          <a:off x="1679404" y="2275250"/>
          <a:ext cx="357447" cy="414685"/>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March 2016</a:t>
          </a:r>
        </a:p>
      </cdr:txBody>
    </cdr:sp>
  </cdr:relSizeAnchor>
  <cdr:relSizeAnchor xmlns:cdr="http://schemas.openxmlformats.org/drawingml/2006/chartDrawing">
    <cdr:from>
      <cdr:x>0.48326</cdr:x>
      <cdr:y>0.8123</cdr:y>
    </cdr:from>
    <cdr:to>
      <cdr:x>0.56291</cdr:x>
      <cdr:y>0.95384</cdr:y>
    </cdr:to>
    <cdr:sp macro="" textlink="">
      <cdr:nvSpPr>
        <cdr:cNvPr id="5" name="Text Box 4"/>
        <cdr:cNvSpPr txBox="1"/>
      </cdr:nvSpPr>
      <cdr:spPr>
        <a:xfrm xmlns:a="http://schemas.openxmlformats.org/drawingml/2006/main">
          <a:off x="2269607" y="2275250"/>
          <a:ext cx="374072" cy="396451"/>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June 2016</a:t>
          </a:r>
        </a:p>
      </cdr:txBody>
    </cdr:sp>
  </cdr:relSizeAnchor>
  <cdr:relSizeAnchor xmlns:cdr="http://schemas.openxmlformats.org/drawingml/2006/chartDrawing">
    <cdr:from>
      <cdr:x>0.57707</cdr:x>
      <cdr:y>0.8123</cdr:y>
    </cdr:from>
    <cdr:to>
      <cdr:x>0.72398</cdr:x>
      <cdr:y>0.97586</cdr:y>
    </cdr:to>
    <cdr:sp macro="" textlink="">
      <cdr:nvSpPr>
        <cdr:cNvPr id="6" name="Text Box 5"/>
        <cdr:cNvSpPr txBox="1"/>
      </cdr:nvSpPr>
      <cdr:spPr>
        <a:xfrm xmlns:a="http://schemas.openxmlformats.org/drawingml/2006/main">
          <a:off x="2710181" y="2275250"/>
          <a:ext cx="689957" cy="458123"/>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September 2016</a:t>
          </a:r>
        </a:p>
      </cdr:txBody>
    </cdr:sp>
  </cdr:relSizeAnchor>
  <cdr:relSizeAnchor xmlns:cdr="http://schemas.openxmlformats.org/drawingml/2006/chartDrawing">
    <cdr:from>
      <cdr:x>0.73106</cdr:x>
      <cdr:y>0.8123</cdr:y>
    </cdr:from>
    <cdr:to>
      <cdr:x>0.87089</cdr:x>
      <cdr:y>0.97272</cdr:y>
    </cdr:to>
    <cdr:sp macro="" textlink="">
      <cdr:nvSpPr>
        <cdr:cNvPr id="7" name="Text Box 6"/>
        <cdr:cNvSpPr txBox="1"/>
      </cdr:nvSpPr>
      <cdr:spPr>
        <a:xfrm xmlns:a="http://schemas.openxmlformats.org/drawingml/2006/main">
          <a:off x="3433389" y="2275250"/>
          <a:ext cx="656706" cy="449314"/>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December 2016</a:t>
          </a:r>
        </a:p>
      </cdr:txBody>
    </cdr:sp>
  </cdr:relSizeAnchor>
  <cdr:relSizeAnchor xmlns:cdr="http://schemas.openxmlformats.org/drawingml/2006/chartDrawing">
    <cdr:from>
      <cdr:x>0.88854</cdr:x>
      <cdr:y>0.8123</cdr:y>
    </cdr:from>
    <cdr:to>
      <cdr:x>0.98584</cdr:x>
      <cdr:y>0.97901</cdr:y>
    </cdr:to>
    <cdr:sp macro="" textlink="">
      <cdr:nvSpPr>
        <cdr:cNvPr id="8" name="Text Box 7"/>
        <cdr:cNvSpPr txBox="1"/>
      </cdr:nvSpPr>
      <cdr:spPr>
        <a:xfrm xmlns:a="http://schemas.openxmlformats.org/drawingml/2006/main">
          <a:off x="4172989" y="2275250"/>
          <a:ext cx="456969" cy="466933"/>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pPr algn="ctr"/>
          <a:r>
            <a:rPr lang="en-NZ" sz="900">
              <a:latin typeface="Arial" panose="020B0604020202020204" pitchFamily="34" charset="0"/>
              <a:cs typeface="Arial" panose="020B0604020202020204" pitchFamily="34" charset="0"/>
            </a:rPr>
            <a:t>March 2017</a:t>
          </a:r>
        </a:p>
      </cdr:txBody>
    </cdr:sp>
  </cdr:relSizeAnchor>
</c:userShapes>
</file>

<file path=word/drawings/drawing19.xml><?xml version="1.0" encoding="utf-8"?>
<c:userShapes xmlns:c="http://schemas.openxmlformats.org/drawingml/2006/chart">
  <cdr:relSizeAnchor xmlns:cdr="http://schemas.openxmlformats.org/drawingml/2006/chartDrawing">
    <cdr:from>
      <cdr:x>0</cdr:x>
      <cdr:y>0</cdr:y>
    </cdr:from>
    <cdr:to>
      <cdr:x>0.26904</cdr:x>
      <cdr:y>0.086</cdr:y>
    </cdr:to>
    <cdr:sp macro="" textlink="">
      <cdr:nvSpPr>
        <cdr:cNvPr id="2" name="Text Box 1"/>
        <cdr:cNvSpPr txBox="1"/>
      </cdr:nvSpPr>
      <cdr:spPr>
        <a:xfrm xmlns:a="http://schemas.openxmlformats.org/drawingml/2006/main">
          <a:off x="0" y="0"/>
          <a:ext cx="1263534" cy="224443"/>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r>
            <a:rPr lang="en-NZ" sz="900">
              <a:latin typeface="Arial" panose="020B0604020202020204" pitchFamily="34" charset="0"/>
              <a:cs typeface="Arial" panose="020B0604020202020204" pitchFamily="34" charset="0"/>
            </a:rPr>
            <a:t>Rate per 100,000</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0.4938</cdr:x>
      <cdr:y>0.0974</cdr:y>
    </cdr:to>
    <cdr:sp macro="" textlink="">
      <cdr:nvSpPr>
        <cdr:cNvPr id="2" name="Text Box 1"/>
        <cdr:cNvSpPr txBox="1"/>
      </cdr:nvSpPr>
      <cdr:spPr>
        <a:xfrm xmlns:a="http://schemas.openxmlformats.org/drawingml/2006/main">
          <a:off x="0" y="0"/>
          <a:ext cx="2310938" cy="249382"/>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r>
            <a:rPr lang="en-NZ" sz="900">
              <a:latin typeface="Arial" panose="020B0604020202020204" pitchFamily="34" charset="0"/>
              <a:cs typeface="Arial" panose="020B0604020202020204" pitchFamily="34" charset="0"/>
            </a:rPr>
            <a:t>Crude rate per 100,000</a:t>
          </a:r>
          <a:r>
            <a:rPr lang="en-NZ" sz="900" baseline="0">
              <a:latin typeface="Arial" panose="020B0604020202020204" pitchFamily="34" charset="0"/>
              <a:cs typeface="Arial" panose="020B0604020202020204" pitchFamily="34" charset="0"/>
            </a:rPr>
            <a:t> population</a:t>
          </a:r>
          <a:endParaRPr lang="en-NZ" sz="900">
            <a:latin typeface="Arial" panose="020B0604020202020204" pitchFamily="34" charset="0"/>
            <a:cs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0.55064</cdr:x>
      <cdr:y>0.09416</cdr:y>
    </cdr:to>
    <cdr:sp macro="" textlink="">
      <cdr:nvSpPr>
        <cdr:cNvPr id="2" name="Text Box 1"/>
        <cdr:cNvSpPr txBox="1"/>
      </cdr:nvSpPr>
      <cdr:spPr>
        <a:xfrm xmlns:a="http://schemas.openxmlformats.org/drawingml/2006/main">
          <a:off x="0" y="0"/>
          <a:ext cx="2576946" cy="241069"/>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r>
            <a:rPr lang="en-NZ" sz="900">
              <a:latin typeface="Arial" panose="020B0604020202020204" pitchFamily="34" charset="0"/>
              <a:cs typeface="Arial" panose="020B0604020202020204" pitchFamily="34" charset="0"/>
            </a:rPr>
            <a:t>Crude ASH rate</a:t>
          </a:r>
          <a:r>
            <a:rPr lang="en-NZ" sz="900" baseline="0">
              <a:latin typeface="Arial" panose="020B0604020202020204" pitchFamily="34" charset="0"/>
              <a:cs typeface="Arial" panose="020B0604020202020204" pitchFamily="34" charset="0"/>
            </a:rPr>
            <a:t> per 100,000 population</a:t>
          </a:r>
          <a:endParaRPr lang="en-NZ" sz="900">
            <a:latin typeface="Arial" panose="020B0604020202020204" pitchFamily="34" charset="0"/>
            <a:cs typeface="Arial" panose="020B0604020202020204"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0.50263</cdr:x>
      <cdr:y>0.08777</cdr:y>
    </cdr:to>
    <cdr:sp macro="" textlink="">
      <cdr:nvSpPr>
        <cdr:cNvPr id="2" name="Text Box 1"/>
        <cdr:cNvSpPr txBox="1"/>
      </cdr:nvSpPr>
      <cdr:spPr>
        <a:xfrm xmlns:a="http://schemas.openxmlformats.org/drawingml/2006/main">
          <a:off x="0" y="0"/>
          <a:ext cx="2402378" cy="232757"/>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r>
            <a:rPr lang="en-NZ" sz="900">
              <a:latin typeface="Arial" panose="020B0604020202020204" pitchFamily="34" charset="0"/>
              <a:cs typeface="Arial" panose="020B0604020202020204" pitchFamily="34" charset="0"/>
            </a:rPr>
            <a:t>Crude ASH rate per 100,000</a:t>
          </a:r>
          <a:r>
            <a:rPr lang="en-NZ" sz="900" baseline="0">
              <a:latin typeface="Arial" panose="020B0604020202020204" pitchFamily="34" charset="0"/>
              <a:cs typeface="Arial" panose="020B0604020202020204" pitchFamily="34" charset="0"/>
            </a:rPr>
            <a:t> population</a:t>
          </a:r>
          <a:endParaRPr lang="en-NZ" sz="900">
            <a:latin typeface="Arial" panose="020B0604020202020204" pitchFamily="34" charset="0"/>
            <a:cs typeface="Arial" panose="020B0604020202020204" pitchFamily="34"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cdr:y>
    </cdr:from>
    <cdr:to>
      <cdr:x>0.41993</cdr:x>
      <cdr:y>0.10694</cdr:y>
    </cdr:to>
    <cdr:sp macro="" textlink="">
      <cdr:nvSpPr>
        <cdr:cNvPr id="2" name="Text Box 1"/>
        <cdr:cNvSpPr txBox="1"/>
      </cdr:nvSpPr>
      <cdr:spPr>
        <a:xfrm xmlns:a="http://schemas.openxmlformats.org/drawingml/2006/main">
          <a:off x="0" y="0"/>
          <a:ext cx="1961802" cy="282633"/>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r>
            <a:rPr lang="en-NZ" sz="900">
              <a:latin typeface="Arial" panose="020B0604020202020204" pitchFamily="34" charset="0"/>
              <a:cs typeface="Arial" panose="020B0604020202020204" pitchFamily="34" charset="0"/>
            </a:rPr>
            <a:t>Crude rate per 100,000 population</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cdr:y>
    </cdr:from>
    <cdr:to>
      <cdr:x>0.46798</cdr:x>
      <cdr:y>0.08418</cdr:y>
    </cdr:to>
    <cdr:sp macro="" textlink="">
      <cdr:nvSpPr>
        <cdr:cNvPr id="2" name="Text Box 1"/>
        <cdr:cNvSpPr txBox="1"/>
      </cdr:nvSpPr>
      <cdr:spPr>
        <a:xfrm xmlns:a="http://schemas.openxmlformats.org/drawingml/2006/main">
          <a:off x="0" y="0"/>
          <a:ext cx="2186247" cy="207818"/>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r>
            <a:rPr lang="en-NZ" sz="900">
              <a:latin typeface="Arial" panose="020B0604020202020204" pitchFamily="34" charset="0"/>
              <a:cs typeface="Arial" panose="020B0604020202020204" pitchFamily="34" charset="0"/>
            </a:rPr>
            <a:t>Crude rate per 100,000 population</a:t>
          </a: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cdr:y>
    </cdr:from>
    <cdr:to>
      <cdr:x>0.40036</cdr:x>
      <cdr:y>0.08655</cdr:y>
    </cdr:to>
    <cdr:sp macro="" textlink="">
      <cdr:nvSpPr>
        <cdr:cNvPr id="2" name="Text Box 1"/>
        <cdr:cNvSpPr txBox="1"/>
      </cdr:nvSpPr>
      <cdr:spPr>
        <a:xfrm xmlns:a="http://schemas.openxmlformats.org/drawingml/2006/main">
          <a:off x="0" y="0"/>
          <a:ext cx="1870364" cy="224443"/>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r>
            <a:rPr lang="en-NZ" sz="900">
              <a:latin typeface="Arial" panose="020B0604020202020204" pitchFamily="34" charset="0"/>
              <a:cs typeface="Arial" panose="020B0604020202020204" pitchFamily="34" charset="0"/>
            </a:rPr>
            <a:t>Average visits per person</a:t>
          </a: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cdr:y>
    </cdr:from>
    <cdr:to>
      <cdr:x>0.41241</cdr:x>
      <cdr:y>0.08252</cdr:y>
    </cdr:to>
    <cdr:sp macro="" textlink="">
      <cdr:nvSpPr>
        <cdr:cNvPr id="2" name="Text Box 1"/>
        <cdr:cNvSpPr txBox="1"/>
      </cdr:nvSpPr>
      <cdr:spPr>
        <a:xfrm xmlns:a="http://schemas.openxmlformats.org/drawingml/2006/main">
          <a:off x="0" y="0"/>
          <a:ext cx="1936865" cy="220867"/>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r>
            <a:rPr lang="en-NZ" sz="900">
              <a:latin typeface="Arial" panose="020B0604020202020204" pitchFamily="34" charset="0"/>
              <a:cs typeface="Arial" panose="020B0604020202020204" pitchFamily="34" charset="0"/>
            </a:rPr>
            <a:t>Average visits per person</a:t>
          </a:r>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cdr:y>
    </cdr:from>
    <cdr:to>
      <cdr:x>0.354</cdr:x>
      <cdr:y>0.10952</cdr:y>
    </cdr:to>
    <cdr:sp macro="" textlink="">
      <cdr:nvSpPr>
        <cdr:cNvPr id="2" name="Text Box 1"/>
        <cdr:cNvSpPr txBox="1"/>
      </cdr:nvSpPr>
      <cdr:spPr>
        <a:xfrm xmlns:a="http://schemas.openxmlformats.org/drawingml/2006/main">
          <a:off x="0" y="0"/>
          <a:ext cx="1662545" cy="249381"/>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r>
            <a:rPr lang="en-NZ" sz="900">
              <a:latin typeface="Arial" panose="020B0604020202020204" pitchFamily="34" charset="0"/>
              <a:cs typeface="Arial" panose="020B0604020202020204" pitchFamily="34" charset="0"/>
            </a:rPr>
            <a:t>Average visits per person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28D8-6325-4DA3-8BFD-831F1586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0</TotalTime>
  <Pages>42</Pages>
  <Words>7296</Words>
  <Characters>46757</Characters>
  <Application>Microsoft Office Word</Application>
  <DocSecurity>0</DocSecurity>
  <Lines>389</Lines>
  <Paragraphs>107</Paragraphs>
  <ScaleCrop>false</ScaleCrop>
  <HeadingPairs>
    <vt:vector size="2" baseType="variant">
      <vt:variant>
        <vt:lpstr>Title</vt:lpstr>
      </vt:variant>
      <vt:variant>
        <vt:i4>1</vt:i4>
      </vt:variant>
    </vt:vector>
  </HeadingPairs>
  <TitlesOfParts>
    <vt:vector size="1" baseType="lpstr">
      <vt:lpstr>’Ala Mo’ui Progress Report: Health care utilisation December 2017</vt:lpstr>
    </vt:vector>
  </TitlesOfParts>
  <Company>Microsoft</Company>
  <LinksUpToDate>false</LinksUpToDate>
  <CharactersWithSpaces>53946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 Mo’ui Progress Report: Health care utilisation December 2017</dc:title>
  <dc:creator>Ministry of Health</dc:creator>
  <cp:lastModifiedBy>Ministry of Health</cp:lastModifiedBy>
  <cp:revision>2</cp:revision>
  <cp:lastPrinted>2018-01-29T21:58:00Z</cp:lastPrinted>
  <dcterms:created xsi:type="dcterms:W3CDTF">2018-11-29T02:44:00Z</dcterms:created>
  <dcterms:modified xsi:type="dcterms:W3CDTF">2018-11-29T02:44:00Z</dcterms:modified>
</cp:coreProperties>
</file>