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D6" w:rsidRDefault="004C6BD6" w:rsidP="004C6BD6">
      <w:pPr>
        <w:jc w:val="center"/>
        <w:rPr>
          <w:rFonts w:cs="Arial"/>
          <w:b/>
          <w:sz w:val="36"/>
          <w:szCs w:val="36"/>
        </w:rPr>
      </w:pPr>
    </w:p>
    <w:p w:rsidR="004C6BD6" w:rsidRDefault="004C6BD6" w:rsidP="004C6BD6">
      <w:pPr>
        <w:jc w:val="center"/>
        <w:rPr>
          <w:rFonts w:cs="Arial"/>
          <w:b/>
          <w:sz w:val="36"/>
          <w:szCs w:val="36"/>
        </w:rPr>
      </w:pPr>
    </w:p>
    <w:p w:rsidR="004C6BD6" w:rsidRDefault="004C6BD6" w:rsidP="004C6BD6">
      <w:pPr>
        <w:jc w:val="center"/>
        <w:rPr>
          <w:rFonts w:cs="Arial"/>
          <w:b/>
          <w:sz w:val="36"/>
          <w:szCs w:val="36"/>
        </w:rPr>
      </w:pPr>
    </w:p>
    <w:p w:rsidR="004C6BD6" w:rsidRDefault="004C6BD6" w:rsidP="004C6BD6">
      <w:pPr>
        <w:jc w:val="center"/>
        <w:rPr>
          <w:rFonts w:cs="Arial"/>
          <w:b/>
          <w:sz w:val="36"/>
          <w:szCs w:val="36"/>
        </w:rPr>
      </w:pPr>
    </w:p>
    <w:p w:rsidR="004C6BD6" w:rsidRDefault="004C6BD6" w:rsidP="004C6BD6">
      <w:pPr>
        <w:jc w:val="center"/>
        <w:rPr>
          <w:rFonts w:cs="Arial"/>
          <w:b/>
          <w:sz w:val="36"/>
          <w:szCs w:val="36"/>
        </w:rPr>
      </w:pPr>
    </w:p>
    <w:p w:rsidR="004C6BD6" w:rsidRDefault="004C6BD6" w:rsidP="004C6BD6">
      <w:pPr>
        <w:jc w:val="center"/>
        <w:rPr>
          <w:rFonts w:cs="Arial"/>
          <w:b/>
          <w:sz w:val="36"/>
          <w:szCs w:val="36"/>
        </w:rPr>
      </w:pPr>
      <w:bookmarkStart w:id="0" w:name="_GoBack"/>
      <w:r w:rsidRPr="00D02B39">
        <w:rPr>
          <w:rFonts w:cs="Arial"/>
          <w:b/>
          <w:sz w:val="36"/>
          <w:szCs w:val="36"/>
        </w:rPr>
        <w:t xml:space="preserve">Review </w:t>
      </w:r>
      <w:r w:rsidR="00A3024A">
        <w:rPr>
          <w:rFonts w:cs="Arial"/>
          <w:b/>
          <w:sz w:val="36"/>
          <w:szCs w:val="36"/>
        </w:rPr>
        <w:t xml:space="preserve">of </w:t>
      </w:r>
      <w:r w:rsidR="008218A7">
        <w:rPr>
          <w:rFonts w:cs="Arial"/>
          <w:b/>
          <w:sz w:val="36"/>
          <w:szCs w:val="36"/>
        </w:rPr>
        <w:t xml:space="preserve">the </w:t>
      </w:r>
      <w:r w:rsidR="00A3024A">
        <w:rPr>
          <w:rFonts w:cs="Arial"/>
          <w:b/>
          <w:sz w:val="36"/>
          <w:szCs w:val="36"/>
        </w:rPr>
        <w:t>Psychoactive Substances Act 2013</w:t>
      </w:r>
    </w:p>
    <w:bookmarkEnd w:id="0"/>
    <w:p w:rsidR="004C6BD6" w:rsidRDefault="004C6BD6" w:rsidP="004C6BD6">
      <w:pPr>
        <w:jc w:val="center"/>
        <w:rPr>
          <w:rFonts w:cs="Arial"/>
          <w:b/>
          <w:sz w:val="36"/>
          <w:szCs w:val="36"/>
        </w:rPr>
      </w:pPr>
    </w:p>
    <w:p w:rsidR="004C6BD6" w:rsidRDefault="004C6BD6" w:rsidP="004C6BD6">
      <w:pPr>
        <w:jc w:val="center"/>
        <w:rPr>
          <w:rFonts w:cs="Arial"/>
          <w:b/>
          <w:sz w:val="36"/>
          <w:szCs w:val="36"/>
        </w:rPr>
      </w:pPr>
    </w:p>
    <w:p w:rsidR="004C6BD6" w:rsidRDefault="004C6BD6" w:rsidP="004C6BD6">
      <w:pPr>
        <w:jc w:val="center"/>
        <w:rPr>
          <w:rFonts w:cs="Arial"/>
          <w:b/>
          <w:sz w:val="36"/>
          <w:szCs w:val="36"/>
        </w:rPr>
      </w:pPr>
    </w:p>
    <w:p w:rsidR="004C6BD6" w:rsidRPr="00445741" w:rsidRDefault="004C6BD6" w:rsidP="004C6BD6">
      <w:pPr>
        <w:jc w:val="center"/>
        <w:rPr>
          <w:rFonts w:cs="Arial"/>
          <w:b/>
          <w:sz w:val="28"/>
          <w:szCs w:val="28"/>
        </w:rPr>
      </w:pPr>
      <w:r w:rsidRPr="00445741">
        <w:rPr>
          <w:rFonts w:cs="Arial"/>
          <w:b/>
          <w:sz w:val="28"/>
          <w:szCs w:val="28"/>
        </w:rPr>
        <w:t>Prepared by the Ministry of Health</w:t>
      </w:r>
    </w:p>
    <w:p w:rsidR="004C6BD6" w:rsidRDefault="004C6BD6" w:rsidP="004C6BD6">
      <w:pPr>
        <w:jc w:val="center"/>
        <w:rPr>
          <w:rFonts w:cs="Arial"/>
          <w:b/>
        </w:rPr>
      </w:pPr>
    </w:p>
    <w:p w:rsidR="004C6BD6" w:rsidRDefault="00E55123" w:rsidP="004C6BD6">
      <w:pPr>
        <w:jc w:val="center"/>
        <w:rPr>
          <w:rFonts w:cs="Arial"/>
          <w:b/>
          <w:sz w:val="24"/>
          <w:szCs w:val="24"/>
        </w:rPr>
      </w:pPr>
      <w:r>
        <w:rPr>
          <w:rFonts w:cs="Arial"/>
          <w:b/>
          <w:sz w:val="24"/>
          <w:szCs w:val="24"/>
        </w:rPr>
        <w:t xml:space="preserve">6 December </w:t>
      </w:r>
      <w:r w:rsidR="004C6BD6" w:rsidRPr="00445741">
        <w:rPr>
          <w:rFonts w:cs="Arial"/>
          <w:b/>
          <w:sz w:val="24"/>
          <w:szCs w:val="24"/>
        </w:rPr>
        <w:t>2018</w:t>
      </w:r>
    </w:p>
    <w:p w:rsidR="004C6BD6" w:rsidRPr="00D02B39" w:rsidRDefault="004C6BD6" w:rsidP="004C6BD6">
      <w:pPr>
        <w:rPr>
          <w:rFonts w:cs="Arial"/>
          <w:b/>
          <w:sz w:val="36"/>
          <w:szCs w:val="36"/>
        </w:rPr>
      </w:pPr>
    </w:p>
    <w:p w:rsidR="004C6BD6" w:rsidRDefault="004C6BD6">
      <w:pPr>
        <w:rPr>
          <w:b/>
          <w:sz w:val="28"/>
          <w:szCs w:val="28"/>
        </w:rPr>
      </w:pPr>
      <w:r>
        <w:rPr>
          <w:b/>
          <w:sz w:val="28"/>
          <w:szCs w:val="28"/>
        </w:rPr>
        <w:br w:type="page"/>
      </w:r>
    </w:p>
    <w:p w:rsidR="00A918BB" w:rsidRPr="0074128A" w:rsidRDefault="00A918BB" w:rsidP="0074128A">
      <w:pPr>
        <w:spacing w:after="120"/>
        <w:rPr>
          <w:rFonts w:cs="Arial"/>
          <w:b/>
        </w:rPr>
      </w:pPr>
      <w:r w:rsidRPr="0074128A">
        <w:rPr>
          <w:rFonts w:cs="Arial"/>
          <w:b/>
        </w:rPr>
        <w:lastRenderedPageBreak/>
        <w:t>Introduction</w:t>
      </w:r>
    </w:p>
    <w:p w:rsidR="00A918BB" w:rsidRPr="00FF4FE1" w:rsidRDefault="00C826F0" w:rsidP="00B77BE6">
      <w:pPr>
        <w:pStyle w:val="Style1"/>
        <w:ind w:left="567" w:hanging="567"/>
        <w:rPr>
          <w:rFonts w:ascii="Arial" w:hAnsi="Arial" w:cs="Arial"/>
          <w:sz w:val="22"/>
          <w:szCs w:val="22"/>
        </w:rPr>
      </w:pPr>
      <w:r w:rsidRPr="00FF4FE1">
        <w:rPr>
          <w:rFonts w:ascii="Arial" w:hAnsi="Arial" w:cs="Arial"/>
          <w:sz w:val="22"/>
          <w:szCs w:val="22"/>
        </w:rPr>
        <w:t xml:space="preserve">Section 106 of the </w:t>
      </w:r>
      <w:r w:rsidR="00A918BB" w:rsidRPr="00FF4FE1">
        <w:rPr>
          <w:rFonts w:ascii="Arial" w:hAnsi="Arial" w:cs="Arial"/>
          <w:sz w:val="22"/>
          <w:szCs w:val="22"/>
        </w:rPr>
        <w:t xml:space="preserve">Psychoactive Substances Act 2013 </w:t>
      </w:r>
      <w:r w:rsidR="004E197A" w:rsidRPr="00FF4FE1">
        <w:rPr>
          <w:rFonts w:ascii="Arial" w:hAnsi="Arial" w:cs="Arial"/>
          <w:sz w:val="22"/>
          <w:szCs w:val="22"/>
        </w:rPr>
        <w:t xml:space="preserve">(the Act) </w:t>
      </w:r>
      <w:r w:rsidR="00235BF5" w:rsidRPr="00FF4FE1">
        <w:rPr>
          <w:rFonts w:ascii="Arial" w:hAnsi="Arial" w:cs="Arial"/>
          <w:sz w:val="22"/>
          <w:szCs w:val="22"/>
        </w:rPr>
        <w:t>requires that:</w:t>
      </w:r>
    </w:p>
    <w:p w:rsidR="00235BF5" w:rsidRPr="00FF4FE1" w:rsidRDefault="00235BF5" w:rsidP="00235BF5">
      <w:pPr>
        <w:pStyle w:val="Style1"/>
        <w:numPr>
          <w:ilvl w:val="0"/>
          <w:numId w:val="0"/>
        </w:numPr>
        <w:rPr>
          <w:rFonts w:ascii="Arial" w:hAnsi="Arial" w:cs="Arial"/>
          <w:sz w:val="22"/>
          <w:szCs w:val="22"/>
        </w:rPr>
      </w:pPr>
    </w:p>
    <w:p w:rsidR="00235BF5" w:rsidRPr="00FF4FE1" w:rsidRDefault="00235BF5" w:rsidP="00235BF5">
      <w:pPr>
        <w:pStyle w:val="Style1"/>
        <w:numPr>
          <w:ilvl w:val="0"/>
          <w:numId w:val="35"/>
        </w:numPr>
        <w:rPr>
          <w:rFonts w:ascii="Arial" w:hAnsi="Arial" w:cs="Arial"/>
          <w:i/>
          <w:sz w:val="22"/>
          <w:szCs w:val="22"/>
        </w:rPr>
      </w:pPr>
      <w:r w:rsidRPr="00FF4FE1">
        <w:rPr>
          <w:rFonts w:ascii="Arial" w:hAnsi="Arial" w:cs="Arial"/>
          <w:i/>
          <w:sz w:val="22"/>
          <w:szCs w:val="22"/>
        </w:rPr>
        <w:t>The Ministry must, no later than 5 years after the commencement of this Act,-</w:t>
      </w:r>
    </w:p>
    <w:p w:rsidR="00235BF5" w:rsidRPr="00FF4FE1" w:rsidRDefault="00EF368D" w:rsidP="00235BF5">
      <w:pPr>
        <w:pStyle w:val="Style1"/>
        <w:numPr>
          <w:ilvl w:val="1"/>
          <w:numId w:val="35"/>
        </w:numPr>
        <w:rPr>
          <w:rFonts w:ascii="Arial" w:hAnsi="Arial" w:cs="Arial"/>
          <w:i/>
          <w:sz w:val="22"/>
          <w:szCs w:val="22"/>
        </w:rPr>
      </w:pPr>
      <w:r>
        <w:rPr>
          <w:rFonts w:ascii="Arial" w:hAnsi="Arial" w:cs="Arial"/>
          <w:i/>
          <w:sz w:val="22"/>
          <w:szCs w:val="22"/>
        </w:rPr>
        <w:t>c</w:t>
      </w:r>
      <w:r w:rsidR="00235BF5" w:rsidRPr="00FF4FE1">
        <w:rPr>
          <w:rFonts w:ascii="Arial" w:hAnsi="Arial" w:cs="Arial"/>
          <w:i/>
          <w:sz w:val="22"/>
          <w:szCs w:val="22"/>
        </w:rPr>
        <w:t>onduct a review of the policy and operation of this Act; and</w:t>
      </w:r>
    </w:p>
    <w:p w:rsidR="00235BF5" w:rsidRPr="00FF4FE1" w:rsidRDefault="00EF368D" w:rsidP="00235BF5">
      <w:pPr>
        <w:pStyle w:val="Style1"/>
        <w:numPr>
          <w:ilvl w:val="1"/>
          <w:numId w:val="35"/>
        </w:numPr>
        <w:rPr>
          <w:rFonts w:ascii="Arial" w:hAnsi="Arial" w:cs="Arial"/>
          <w:i/>
          <w:sz w:val="22"/>
          <w:szCs w:val="22"/>
        </w:rPr>
      </w:pPr>
      <w:r>
        <w:rPr>
          <w:rFonts w:ascii="Arial" w:hAnsi="Arial" w:cs="Arial"/>
          <w:i/>
          <w:sz w:val="22"/>
          <w:szCs w:val="22"/>
        </w:rPr>
        <w:t>p</w:t>
      </w:r>
      <w:r w:rsidR="00235BF5" w:rsidRPr="00FF4FE1">
        <w:rPr>
          <w:rFonts w:ascii="Arial" w:hAnsi="Arial" w:cs="Arial"/>
          <w:i/>
          <w:sz w:val="22"/>
          <w:szCs w:val="22"/>
        </w:rPr>
        <w:t>repare for the Minister a report on the review.</w:t>
      </w:r>
    </w:p>
    <w:p w:rsidR="00235BF5" w:rsidRPr="00FF4FE1" w:rsidRDefault="00235BF5" w:rsidP="00235BF5">
      <w:pPr>
        <w:pStyle w:val="Style1"/>
        <w:numPr>
          <w:ilvl w:val="0"/>
          <w:numId w:val="0"/>
        </w:numPr>
        <w:ind w:left="1287"/>
        <w:rPr>
          <w:rFonts w:ascii="Arial" w:hAnsi="Arial" w:cs="Arial"/>
          <w:i/>
          <w:sz w:val="22"/>
          <w:szCs w:val="22"/>
        </w:rPr>
      </w:pPr>
    </w:p>
    <w:p w:rsidR="00235BF5" w:rsidRPr="00FF4FE1" w:rsidRDefault="00235BF5" w:rsidP="00235BF5">
      <w:pPr>
        <w:pStyle w:val="Style1"/>
        <w:numPr>
          <w:ilvl w:val="0"/>
          <w:numId w:val="35"/>
        </w:numPr>
        <w:rPr>
          <w:rFonts w:ascii="Arial" w:hAnsi="Arial" w:cs="Arial"/>
          <w:i/>
          <w:sz w:val="22"/>
          <w:szCs w:val="22"/>
        </w:rPr>
      </w:pPr>
      <w:r w:rsidRPr="00FF4FE1">
        <w:rPr>
          <w:rFonts w:ascii="Arial" w:hAnsi="Arial" w:cs="Arial"/>
          <w:i/>
          <w:sz w:val="22"/>
          <w:szCs w:val="22"/>
        </w:rPr>
        <w:t>As soon as practicable after receiving the report, the Minister must present a copy to the House of Representatives.</w:t>
      </w:r>
    </w:p>
    <w:p w:rsidR="00F779A8" w:rsidRPr="00FF4FE1" w:rsidRDefault="00F779A8" w:rsidP="00B77BE6">
      <w:pPr>
        <w:pStyle w:val="Style1"/>
        <w:numPr>
          <w:ilvl w:val="0"/>
          <w:numId w:val="0"/>
        </w:numPr>
        <w:ind w:left="567" w:hanging="567"/>
        <w:rPr>
          <w:rFonts w:ascii="Arial" w:hAnsi="Arial" w:cs="Arial"/>
          <w:sz w:val="22"/>
          <w:szCs w:val="22"/>
        </w:rPr>
      </w:pPr>
    </w:p>
    <w:p w:rsidR="004D7893" w:rsidRPr="00FF4FE1" w:rsidRDefault="00FF4FE1" w:rsidP="00B77BE6">
      <w:pPr>
        <w:pStyle w:val="Style1"/>
        <w:ind w:left="567" w:hanging="567"/>
        <w:rPr>
          <w:rFonts w:ascii="Arial" w:hAnsi="Arial" w:cs="Arial"/>
          <w:sz w:val="22"/>
          <w:szCs w:val="22"/>
        </w:rPr>
      </w:pPr>
      <w:r w:rsidRPr="00FF4FE1">
        <w:rPr>
          <w:rFonts w:ascii="Arial" w:hAnsi="Arial" w:cs="Arial"/>
          <w:sz w:val="22"/>
          <w:szCs w:val="22"/>
        </w:rPr>
        <w:t xml:space="preserve">Section </w:t>
      </w:r>
      <w:r>
        <w:rPr>
          <w:rFonts w:ascii="Arial" w:hAnsi="Arial" w:cs="Arial"/>
          <w:sz w:val="22"/>
          <w:szCs w:val="22"/>
        </w:rPr>
        <w:t>three</w:t>
      </w:r>
      <w:r w:rsidRPr="00FF4FE1">
        <w:rPr>
          <w:rFonts w:ascii="Arial" w:hAnsi="Arial" w:cs="Arial"/>
          <w:sz w:val="22"/>
          <w:szCs w:val="22"/>
        </w:rPr>
        <w:t xml:space="preserve"> of the Act describes the </w:t>
      </w:r>
      <w:r w:rsidR="00B77BE6" w:rsidRPr="00FF4FE1">
        <w:rPr>
          <w:rFonts w:ascii="Arial" w:hAnsi="Arial" w:cs="Arial"/>
          <w:sz w:val="22"/>
          <w:szCs w:val="22"/>
        </w:rPr>
        <w:t xml:space="preserve">purpose </w:t>
      </w:r>
      <w:r w:rsidRPr="00FF4FE1">
        <w:rPr>
          <w:rFonts w:ascii="Arial" w:hAnsi="Arial" w:cs="Arial"/>
          <w:sz w:val="22"/>
          <w:szCs w:val="22"/>
        </w:rPr>
        <w:t>of the Act:</w:t>
      </w:r>
    </w:p>
    <w:p w:rsidR="004D7893" w:rsidRPr="00FF4FE1" w:rsidRDefault="004D7893" w:rsidP="004D7893">
      <w:pPr>
        <w:pStyle w:val="ListParagraph"/>
        <w:rPr>
          <w:rFonts w:ascii="Arial" w:hAnsi="Arial" w:cs="Arial"/>
          <w:sz w:val="22"/>
          <w:szCs w:val="22"/>
        </w:rPr>
      </w:pPr>
    </w:p>
    <w:p w:rsidR="004D7893" w:rsidRPr="00FF4FE1" w:rsidRDefault="004D7893" w:rsidP="004D7893">
      <w:pPr>
        <w:pStyle w:val="Style1"/>
        <w:numPr>
          <w:ilvl w:val="0"/>
          <w:numId w:val="0"/>
        </w:numPr>
        <w:ind w:left="1080"/>
        <w:rPr>
          <w:rFonts w:ascii="Arial" w:hAnsi="Arial" w:cs="Arial"/>
          <w:i/>
          <w:sz w:val="22"/>
          <w:szCs w:val="22"/>
        </w:rPr>
      </w:pPr>
      <w:r w:rsidRPr="00FF4FE1">
        <w:rPr>
          <w:rFonts w:ascii="Arial" w:hAnsi="Arial" w:cs="Arial"/>
          <w:i/>
          <w:sz w:val="22"/>
          <w:szCs w:val="22"/>
        </w:rPr>
        <w:t xml:space="preserve">The purpose of this Act is to regulate the availability of psychoactive substances in New Zealand to protect the health of, and minimise harm to, individuals who use psychoactive substances. </w:t>
      </w:r>
    </w:p>
    <w:p w:rsidR="004D7893" w:rsidRPr="00FF4FE1" w:rsidRDefault="004D7893" w:rsidP="004D7893">
      <w:pPr>
        <w:pStyle w:val="Style1"/>
        <w:numPr>
          <w:ilvl w:val="0"/>
          <w:numId w:val="0"/>
        </w:numPr>
        <w:ind w:left="1080"/>
        <w:rPr>
          <w:rFonts w:ascii="Arial" w:hAnsi="Arial" w:cs="Arial"/>
          <w:sz w:val="22"/>
          <w:szCs w:val="22"/>
        </w:rPr>
      </w:pPr>
    </w:p>
    <w:p w:rsidR="00D34AF0" w:rsidRPr="00FF4FE1" w:rsidRDefault="00A918BB" w:rsidP="00FF4FE1">
      <w:pPr>
        <w:pStyle w:val="Style1"/>
        <w:ind w:left="567" w:hanging="567"/>
        <w:rPr>
          <w:rFonts w:ascii="Arial" w:hAnsi="Arial" w:cs="Arial"/>
          <w:sz w:val="22"/>
          <w:szCs w:val="22"/>
        </w:rPr>
      </w:pPr>
      <w:r w:rsidRPr="00FF4FE1">
        <w:rPr>
          <w:rFonts w:ascii="Arial" w:hAnsi="Arial" w:cs="Arial"/>
          <w:sz w:val="22"/>
          <w:szCs w:val="22"/>
        </w:rPr>
        <w:t>This review has considered the effectiveness of th</w:t>
      </w:r>
      <w:r w:rsidR="00235BF5" w:rsidRPr="00FF4FE1">
        <w:rPr>
          <w:rFonts w:ascii="Arial" w:hAnsi="Arial" w:cs="Arial"/>
          <w:sz w:val="22"/>
          <w:szCs w:val="22"/>
        </w:rPr>
        <w:t xml:space="preserve">e Act against </w:t>
      </w:r>
      <w:r w:rsidR="00FF4FE1" w:rsidRPr="00FF4FE1">
        <w:rPr>
          <w:rFonts w:ascii="Arial" w:hAnsi="Arial" w:cs="Arial"/>
          <w:sz w:val="22"/>
          <w:szCs w:val="22"/>
        </w:rPr>
        <w:t>its stated purpose</w:t>
      </w:r>
      <w:r w:rsidR="00235BF5" w:rsidRPr="00FF4FE1">
        <w:rPr>
          <w:rFonts w:ascii="Arial" w:hAnsi="Arial" w:cs="Arial"/>
          <w:sz w:val="22"/>
          <w:szCs w:val="22"/>
        </w:rPr>
        <w:t xml:space="preserve">. </w:t>
      </w:r>
      <w:r w:rsidR="00FF4FE1" w:rsidRPr="00FF4FE1">
        <w:rPr>
          <w:rFonts w:ascii="Arial" w:hAnsi="Arial" w:cs="Arial"/>
          <w:sz w:val="22"/>
          <w:szCs w:val="22"/>
        </w:rPr>
        <w:t>The Ministry of Health has held discussions with the following agencies to inform the review: the</w:t>
      </w:r>
      <w:r w:rsidR="00D34AF0" w:rsidRPr="00FF4FE1">
        <w:rPr>
          <w:rFonts w:ascii="Arial" w:hAnsi="Arial" w:cs="Arial"/>
          <w:sz w:val="22"/>
          <w:szCs w:val="22"/>
        </w:rPr>
        <w:t xml:space="preserve"> N</w:t>
      </w:r>
      <w:r w:rsidR="00FF4FE1" w:rsidRPr="00FF4FE1">
        <w:rPr>
          <w:rFonts w:ascii="Arial" w:hAnsi="Arial" w:cs="Arial"/>
          <w:sz w:val="22"/>
          <w:szCs w:val="22"/>
        </w:rPr>
        <w:t xml:space="preserve">ew </w:t>
      </w:r>
      <w:r w:rsidR="00D34AF0" w:rsidRPr="00FF4FE1">
        <w:rPr>
          <w:rFonts w:ascii="Arial" w:hAnsi="Arial" w:cs="Arial"/>
          <w:sz w:val="22"/>
          <w:szCs w:val="22"/>
        </w:rPr>
        <w:t>Z</w:t>
      </w:r>
      <w:r w:rsidR="00FF4FE1" w:rsidRPr="00FF4FE1">
        <w:rPr>
          <w:rFonts w:ascii="Arial" w:hAnsi="Arial" w:cs="Arial"/>
          <w:sz w:val="22"/>
          <w:szCs w:val="22"/>
        </w:rPr>
        <w:t>ealand</w:t>
      </w:r>
      <w:r w:rsidR="00D34AF0" w:rsidRPr="00FF4FE1">
        <w:rPr>
          <w:rFonts w:ascii="Arial" w:hAnsi="Arial" w:cs="Arial"/>
          <w:sz w:val="22"/>
          <w:szCs w:val="22"/>
        </w:rPr>
        <w:t xml:space="preserve"> Police</w:t>
      </w:r>
      <w:r w:rsidR="00FF4FE1" w:rsidRPr="00FF4FE1">
        <w:rPr>
          <w:rFonts w:ascii="Arial" w:hAnsi="Arial" w:cs="Arial"/>
          <w:sz w:val="22"/>
          <w:szCs w:val="22"/>
        </w:rPr>
        <w:t xml:space="preserve"> (Police)</w:t>
      </w:r>
      <w:r w:rsidR="00D34AF0" w:rsidRPr="00FF4FE1">
        <w:rPr>
          <w:rFonts w:ascii="Arial" w:hAnsi="Arial" w:cs="Arial"/>
          <w:sz w:val="22"/>
          <w:szCs w:val="22"/>
        </w:rPr>
        <w:t xml:space="preserve">, </w:t>
      </w:r>
      <w:r w:rsidR="00FF4FE1" w:rsidRPr="00FF4FE1">
        <w:rPr>
          <w:rFonts w:ascii="Arial" w:hAnsi="Arial" w:cs="Arial"/>
          <w:sz w:val="22"/>
          <w:szCs w:val="22"/>
        </w:rPr>
        <w:t xml:space="preserve">the </w:t>
      </w:r>
      <w:r w:rsidR="00D34AF0" w:rsidRPr="00FF4FE1">
        <w:rPr>
          <w:rFonts w:ascii="Arial" w:hAnsi="Arial" w:cs="Arial"/>
          <w:sz w:val="22"/>
          <w:szCs w:val="22"/>
        </w:rPr>
        <w:t>N</w:t>
      </w:r>
      <w:r w:rsidR="00FF4FE1" w:rsidRPr="00FF4FE1">
        <w:rPr>
          <w:rFonts w:ascii="Arial" w:hAnsi="Arial" w:cs="Arial"/>
          <w:sz w:val="22"/>
          <w:szCs w:val="22"/>
        </w:rPr>
        <w:t xml:space="preserve">ew Zealand </w:t>
      </w:r>
      <w:r w:rsidR="00D34AF0" w:rsidRPr="00FF4FE1">
        <w:rPr>
          <w:rFonts w:ascii="Arial" w:hAnsi="Arial" w:cs="Arial"/>
          <w:sz w:val="22"/>
          <w:szCs w:val="22"/>
        </w:rPr>
        <w:t>Customs Service</w:t>
      </w:r>
      <w:r w:rsidR="00FF4FE1" w:rsidRPr="00FF4FE1">
        <w:rPr>
          <w:rFonts w:ascii="Arial" w:hAnsi="Arial" w:cs="Arial"/>
          <w:sz w:val="22"/>
          <w:szCs w:val="22"/>
        </w:rPr>
        <w:t xml:space="preserve"> (Customs)</w:t>
      </w:r>
      <w:r w:rsidR="00D34AF0" w:rsidRPr="00FF4FE1">
        <w:rPr>
          <w:rFonts w:ascii="Arial" w:hAnsi="Arial" w:cs="Arial"/>
          <w:sz w:val="22"/>
          <w:szCs w:val="22"/>
        </w:rPr>
        <w:t xml:space="preserve">, the Ministry of Justice, </w:t>
      </w:r>
      <w:r w:rsidR="00FF4FE1" w:rsidRPr="00FF4FE1">
        <w:rPr>
          <w:rFonts w:ascii="Arial" w:hAnsi="Arial" w:cs="Arial"/>
          <w:sz w:val="22"/>
          <w:szCs w:val="22"/>
        </w:rPr>
        <w:t>t</w:t>
      </w:r>
      <w:r w:rsidR="00D34AF0" w:rsidRPr="00FF4FE1">
        <w:rPr>
          <w:rFonts w:ascii="Arial" w:hAnsi="Arial" w:cs="Arial"/>
          <w:sz w:val="22"/>
          <w:szCs w:val="22"/>
        </w:rPr>
        <w:t>he Institute of Environmental Science and Research</w:t>
      </w:r>
      <w:r w:rsidR="00EB5ED1">
        <w:rPr>
          <w:rFonts w:ascii="Arial" w:hAnsi="Arial" w:cs="Arial"/>
          <w:sz w:val="22"/>
          <w:szCs w:val="22"/>
        </w:rPr>
        <w:t xml:space="preserve"> (ESR)</w:t>
      </w:r>
      <w:r w:rsidR="00D34AF0" w:rsidRPr="00FF4FE1">
        <w:rPr>
          <w:rFonts w:ascii="Arial" w:hAnsi="Arial" w:cs="Arial"/>
          <w:sz w:val="22"/>
          <w:szCs w:val="22"/>
        </w:rPr>
        <w:t>, the New Zealand Drug Foundation, and Local Government New Zealand.</w:t>
      </w:r>
    </w:p>
    <w:p w:rsidR="00235BF5" w:rsidRPr="00FF4FE1" w:rsidRDefault="00235BF5" w:rsidP="00235BF5">
      <w:pPr>
        <w:pStyle w:val="Style1"/>
        <w:numPr>
          <w:ilvl w:val="0"/>
          <w:numId w:val="0"/>
        </w:numPr>
        <w:rPr>
          <w:rFonts w:ascii="Arial" w:hAnsi="Arial" w:cs="Arial"/>
          <w:sz w:val="22"/>
          <w:szCs w:val="22"/>
        </w:rPr>
      </w:pPr>
    </w:p>
    <w:p w:rsidR="00A918BB" w:rsidRDefault="00D623AF" w:rsidP="004D7893">
      <w:pPr>
        <w:pStyle w:val="Style1"/>
        <w:ind w:left="567" w:hanging="567"/>
        <w:rPr>
          <w:rFonts w:ascii="Arial" w:hAnsi="Arial" w:cs="Arial"/>
          <w:sz w:val="22"/>
          <w:szCs w:val="22"/>
        </w:rPr>
      </w:pPr>
      <w:r w:rsidRPr="00FF4FE1">
        <w:rPr>
          <w:rFonts w:ascii="Arial" w:hAnsi="Arial" w:cs="Arial"/>
          <w:sz w:val="22"/>
          <w:szCs w:val="22"/>
        </w:rPr>
        <w:t>Appendix</w:t>
      </w:r>
      <w:r w:rsidR="0074128A" w:rsidRPr="00FF4FE1">
        <w:rPr>
          <w:rFonts w:ascii="Arial" w:hAnsi="Arial" w:cs="Arial"/>
          <w:sz w:val="22"/>
          <w:szCs w:val="22"/>
        </w:rPr>
        <w:t xml:space="preserve"> </w:t>
      </w:r>
      <w:r w:rsidR="00FF4FE1">
        <w:rPr>
          <w:rFonts w:ascii="Arial" w:hAnsi="Arial" w:cs="Arial"/>
          <w:sz w:val="22"/>
          <w:szCs w:val="22"/>
        </w:rPr>
        <w:t xml:space="preserve">One </w:t>
      </w:r>
      <w:r w:rsidR="0074128A" w:rsidRPr="00FF4FE1">
        <w:rPr>
          <w:rFonts w:ascii="Arial" w:hAnsi="Arial" w:cs="Arial"/>
          <w:sz w:val="22"/>
          <w:szCs w:val="22"/>
        </w:rPr>
        <w:t xml:space="preserve">describes the </w:t>
      </w:r>
      <w:r w:rsidR="00C17EA3" w:rsidRPr="00FF4FE1">
        <w:rPr>
          <w:rFonts w:ascii="Arial" w:hAnsi="Arial" w:cs="Arial"/>
          <w:sz w:val="22"/>
          <w:szCs w:val="22"/>
        </w:rPr>
        <w:t>history</w:t>
      </w:r>
      <w:r w:rsidR="00F779A8" w:rsidRPr="00FF4FE1">
        <w:rPr>
          <w:rFonts w:ascii="Arial" w:hAnsi="Arial" w:cs="Arial"/>
          <w:sz w:val="22"/>
          <w:szCs w:val="22"/>
        </w:rPr>
        <w:t xml:space="preserve"> of the Act and psychoactive substances in New Zealand from the early 2000s.</w:t>
      </w:r>
    </w:p>
    <w:p w:rsidR="001F3ED9" w:rsidRDefault="001F3ED9" w:rsidP="001F3ED9">
      <w:pPr>
        <w:pStyle w:val="ListParagraph"/>
        <w:rPr>
          <w:rFonts w:ascii="Arial" w:hAnsi="Arial" w:cs="Arial"/>
          <w:sz w:val="22"/>
          <w:szCs w:val="22"/>
        </w:rPr>
      </w:pPr>
    </w:p>
    <w:p w:rsidR="001F3ED9" w:rsidRPr="00FF4FE1" w:rsidRDefault="001F3ED9" w:rsidP="004D7893">
      <w:pPr>
        <w:pStyle w:val="Style1"/>
        <w:ind w:left="567" w:hanging="567"/>
        <w:rPr>
          <w:rFonts w:ascii="Arial" w:hAnsi="Arial" w:cs="Arial"/>
          <w:sz w:val="22"/>
          <w:szCs w:val="22"/>
        </w:rPr>
      </w:pPr>
      <w:r>
        <w:rPr>
          <w:rFonts w:ascii="Arial" w:hAnsi="Arial" w:cs="Arial"/>
          <w:sz w:val="22"/>
          <w:szCs w:val="22"/>
        </w:rPr>
        <w:t>Figure One shows the process for classification of drugs under the Misuse of Drugs Act.</w:t>
      </w:r>
    </w:p>
    <w:p w:rsidR="0074128A" w:rsidRPr="0074128A" w:rsidRDefault="0074128A" w:rsidP="0074128A">
      <w:pPr>
        <w:pStyle w:val="Style1"/>
        <w:numPr>
          <w:ilvl w:val="0"/>
          <w:numId w:val="0"/>
        </w:numPr>
        <w:rPr>
          <w:rFonts w:ascii="Arial" w:hAnsi="Arial" w:cs="Arial"/>
          <w:sz w:val="22"/>
          <w:szCs w:val="22"/>
        </w:rPr>
      </w:pPr>
    </w:p>
    <w:p w:rsidR="00A918BB" w:rsidRPr="0074128A" w:rsidRDefault="00A918BB" w:rsidP="0074128A">
      <w:pPr>
        <w:spacing w:after="120"/>
        <w:rPr>
          <w:rFonts w:cs="Arial"/>
          <w:b/>
        </w:rPr>
      </w:pPr>
      <w:r w:rsidRPr="0074128A">
        <w:rPr>
          <w:rFonts w:cs="Arial"/>
          <w:b/>
        </w:rPr>
        <w:t xml:space="preserve">Overview of the </w:t>
      </w:r>
      <w:r w:rsidR="007D657F">
        <w:rPr>
          <w:rFonts w:cs="Arial"/>
          <w:b/>
        </w:rPr>
        <w:t xml:space="preserve">Psychoactive Substances </w:t>
      </w:r>
      <w:r w:rsidRPr="0074128A">
        <w:rPr>
          <w:rFonts w:cs="Arial"/>
          <w:b/>
        </w:rPr>
        <w:t xml:space="preserve">Act </w:t>
      </w:r>
    </w:p>
    <w:p w:rsidR="00A918BB" w:rsidRPr="0074128A" w:rsidRDefault="0096553E" w:rsidP="00B77BE6">
      <w:pPr>
        <w:pStyle w:val="Style1"/>
        <w:ind w:left="567" w:hanging="567"/>
        <w:rPr>
          <w:rFonts w:ascii="Arial" w:hAnsi="Arial" w:cs="Arial"/>
          <w:sz w:val="22"/>
          <w:szCs w:val="22"/>
        </w:rPr>
      </w:pPr>
      <w:r w:rsidRPr="0074128A">
        <w:rPr>
          <w:rFonts w:ascii="Arial" w:hAnsi="Arial" w:cs="Arial"/>
          <w:sz w:val="22"/>
          <w:szCs w:val="22"/>
        </w:rPr>
        <w:softHyphen/>
        <w:t xml:space="preserve">The </w:t>
      </w:r>
      <w:r w:rsidR="0005027C">
        <w:rPr>
          <w:rFonts w:ascii="Arial" w:hAnsi="Arial" w:cs="Arial"/>
          <w:sz w:val="22"/>
          <w:szCs w:val="22"/>
        </w:rPr>
        <w:t xml:space="preserve">Psychoactive Substances </w:t>
      </w:r>
      <w:r w:rsidRPr="0074128A">
        <w:rPr>
          <w:rFonts w:ascii="Arial" w:hAnsi="Arial" w:cs="Arial"/>
          <w:sz w:val="22"/>
          <w:szCs w:val="22"/>
        </w:rPr>
        <w:t>Act commenced in July 2013 and was amended in May 2014.</w:t>
      </w:r>
      <w:r w:rsidR="00EA673F">
        <w:rPr>
          <w:rFonts w:ascii="Arial" w:hAnsi="Arial" w:cs="Arial"/>
          <w:sz w:val="22"/>
          <w:szCs w:val="22"/>
        </w:rPr>
        <w:t xml:space="preserve"> </w:t>
      </w:r>
      <w:r w:rsidR="00A918BB" w:rsidRPr="0074128A">
        <w:rPr>
          <w:rFonts w:ascii="Arial" w:hAnsi="Arial" w:cs="Arial"/>
          <w:sz w:val="22"/>
          <w:szCs w:val="22"/>
        </w:rPr>
        <w:t>The Act makes products containing psychoactive substances, which are proven to have no more than a low risk of harm, available through a regulated market. The Psychoactive Substances Regulatory Authority is established by the Act to assess the level of risk, and approve pro</w:t>
      </w:r>
      <w:r w:rsidR="0005027C">
        <w:rPr>
          <w:rFonts w:ascii="Arial" w:hAnsi="Arial" w:cs="Arial"/>
          <w:sz w:val="22"/>
          <w:szCs w:val="22"/>
        </w:rPr>
        <w:t xml:space="preserve">ducts with a low risk of harm. </w:t>
      </w:r>
      <w:r w:rsidR="00A918BB" w:rsidRPr="0074128A">
        <w:rPr>
          <w:rFonts w:ascii="Arial" w:hAnsi="Arial" w:cs="Arial"/>
          <w:sz w:val="22"/>
          <w:szCs w:val="22"/>
        </w:rPr>
        <w:t xml:space="preserve">Psychoactive substances are illegal if they are not approved products. </w:t>
      </w:r>
    </w:p>
    <w:p w:rsidR="00F779A8" w:rsidRPr="0074128A" w:rsidRDefault="00F779A8" w:rsidP="00F779A8">
      <w:pPr>
        <w:pStyle w:val="Style1"/>
        <w:numPr>
          <w:ilvl w:val="0"/>
          <w:numId w:val="0"/>
        </w:numPr>
        <w:rPr>
          <w:rFonts w:ascii="Arial" w:hAnsi="Arial" w:cs="Arial"/>
          <w:sz w:val="22"/>
          <w:szCs w:val="22"/>
        </w:rPr>
      </w:pPr>
    </w:p>
    <w:p w:rsidR="00A918BB" w:rsidRPr="00290DE3" w:rsidRDefault="00A918BB" w:rsidP="0074128A">
      <w:pPr>
        <w:spacing w:after="120"/>
        <w:rPr>
          <w:rFonts w:cs="Arial"/>
          <w:b/>
        </w:rPr>
      </w:pPr>
      <w:r w:rsidRPr="00290DE3">
        <w:rPr>
          <w:rFonts w:cs="Arial"/>
          <w:b/>
        </w:rPr>
        <w:t xml:space="preserve">Regulation of psychoactive substances before commencement of the </w:t>
      </w:r>
      <w:r w:rsidR="00471DDC">
        <w:rPr>
          <w:rFonts w:cs="Arial"/>
          <w:b/>
        </w:rPr>
        <w:t xml:space="preserve">Psychoactive Substances </w:t>
      </w:r>
      <w:r w:rsidRPr="00290DE3">
        <w:rPr>
          <w:rFonts w:cs="Arial"/>
          <w:b/>
        </w:rPr>
        <w:t>Act</w:t>
      </w:r>
    </w:p>
    <w:p w:rsidR="0096553E" w:rsidRPr="00290DE3" w:rsidRDefault="0096553E" w:rsidP="00B77BE6">
      <w:pPr>
        <w:pStyle w:val="Style1"/>
        <w:ind w:left="567" w:hanging="567"/>
        <w:rPr>
          <w:rFonts w:ascii="Arial" w:hAnsi="Arial" w:cs="Arial"/>
          <w:sz w:val="22"/>
          <w:szCs w:val="22"/>
        </w:rPr>
      </w:pPr>
      <w:r w:rsidRPr="00290DE3">
        <w:rPr>
          <w:rFonts w:ascii="Arial" w:hAnsi="Arial" w:cs="Arial"/>
          <w:sz w:val="22"/>
          <w:szCs w:val="22"/>
        </w:rPr>
        <w:t xml:space="preserve">Before the psychoactive substances regime was established, some substances were regulated under the Misuse of Drugs Act </w:t>
      </w:r>
      <w:r w:rsidR="004E197A" w:rsidRPr="00290DE3">
        <w:rPr>
          <w:rFonts w:ascii="Arial" w:hAnsi="Arial" w:cs="Arial"/>
          <w:sz w:val="22"/>
          <w:szCs w:val="22"/>
        </w:rPr>
        <w:t xml:space="preserve">1975 </w:t>
      </w:r>
      <w:r w:rsidRPr="00290DE3">
        <w:rPr>
          <w:rFonts w:ascii="Arial" w:hAnsi="Arial" w:cs="Arial"/>
          <w:sz w:val="22"/>
          <w:szCs w:val="22"/>
        </w:rPr>
        <w:t>and others were not regulated at all.</w:t>
      </w:r>
    </w:p>
    <w:p w:rsidR="000D07CD" w:rsidRPr="00290DE3" w:rsidRDefault="000D07CD" w:rsidP="000D07CD">
      <w:pPr>
        <w:pStyle w:val="Style1"/>
        <w:numPr>
          <w:ilvl w:val="0"/>
          <w:numId w:val="0"/>
        </w:numPr>
        <w:ind w:left="567"/>
        <w:rPr>
          <w:rFonts w:ascii="Arial" w:hAnsi="Arial" w:cs="Arial"/>
          <w:sz w:val="22"/>
          <w:szCs w:val="22"/>
        </w:rPr>
      </w:pPr>
    </w:p>
    <w:p w:rsidR="000D07CD" w:rsidRPr="00290DE3" w:rsidRDefault="000D07CD" w:rsidP="00B77BE6">
      <w:pPr>
        <w:pStyle w:val="Style1"/>
        <w:ind w:left="567" w:hanging="567"/>
        <w:rPr>
          <w:rFonts w:ascii="Arial" w:hAnsi="Arial" w:cs="Arial"/>
          <w:sz w:val="22"/>
          <w:szCs w:val="22"/>
        </w:rPr>
      </w:pPr>
      <w:r w:rsidRPr="00290DE3">
        <w:rPr>
          <w:rFonts w:ascii="Arial" w:hAnsi="Arial" w:cs="Arial"/>
          <w:sz w:val="22"/>
          <w:szCs w:val="22"/>
        </w:rPr>
        <w:t>By 2013 there were between 200 and 300 unregulated psychoactive substances that existed in a grey area. They were not controlled drugs or medicines but there was increasing community concern about the safety of the</w:t>
      </w:r>
      <w:r w:rsidR="003A1726" w:rsidRPr="00290DE3">
        <w:rPr>
          <w:rFonts w:ascii="Arial" w:hAnsi="Arial" w:cs="Arial"/>
          <w:sz w:val="22"/>
          <w:szCs w:val="22"/>
        </w:rPr>
        <w:t>se</w:t>
      </w:r>
      <w:r w:rsidRPr="00290DE3">
        <w:rPr>
          <w:rFonts w:ascii="Arial" w:hAnsi="Arial" w:cs="Arial"/>
          <w:sz w:val="22"/>
          <w:szCs w:val="22"/>
        </w:rPr>
        <w:t xml:space="preserve"> products which were widely available.</w:t>
      </w:r>
    </w:p>
    <w:p w:rsidR="0096553E" w:rsidRPr="00290DE3" w:rsidRDefault="0096553E" w:rsidP="00B77BE6">
      <w:pPr>
        <w:pStyle w:val="Style1"/>
        <w:numPr>
          <w:ilvl w:val="0"/>
          <w:numId w:val="0"/>
        </w:numPr>
        <w:ind w:left="567" w:hanging="567"/>
        <w:rPr>
          <w:rFonts w:ascii="Arial" w:hAnsi="Arial" w:cs="Arial"/>
          <w:sz w:val="22"/>
          <w:szCs w:val="22"/>
        </w:rPr>
      </w:pPr>
    </w:p>
    <w:p w:rsidR="00A918BB" w:rsidRPr="00290DE3" w:rsidRDefault="00A918BB" w:rsidP="00B77BE6">
      <w:pPr>
        <w:pStyle w:val="Style1"/>
        <w:ind w:left="567" w:hanging="567"/>
        <w:rPr>
          <w:rFonts w:ascii="Arial" w:hAnsi="Arial" w:cs="Arial"/>
          <w:sz w:val="22"/>
          <w:szCs w:val="22"/>
        </w:rPr>
      </w:pPr>
      <w:r w:rsidRPr="00290DE3">
        <w:rPr>
          <w:rFonts w:ascii="Arial" w:hAnsi="Arial" w:cs="Arial"/>
          <w:sz w:val="22"/>
          <w:szCs w:val="22"/>
        </w:rPr>
        <w:t xml:space="preserve">The Misuse of Drugs Act regulates controlled drugs in New Zealand and establishes offences and penalties for possession, administering, selling and supplying, importing and exporting, producing and manufacturing of classified </w:t>
      </w:r>
      <w:r w:rsidR="00EF368D" w:rsidRPr="00290DE3">
        <w:rPr>
          <w:rFonts w:ascii="Arial" w:hAnsi="Arial" w:cs="Arial"/>
          <w:sz w:val="22"/>
          <w:szCs w:val="22"/>
        </w:rPr>
        <w:t>drugs</w:t>
      </w:r>
      <w:r w:rsidRPr="00290DE3">
        <w:rPr>
          <w:rFonts w:ascii="Arial" w:hAnsi="Arial" w:cs="Arial"/>
          <w:sz w:val="22"/>
          <w:szCs w:val="22"/>
        </w:rPr>
        <w:t>.</w:t>
      </w:r>
    </w:p>
    <w:p w:rsidR="00F779A8" w:rsidRPr="00290DE3" w:rsidRDefault="00F779A8" w:rsidP="00B77BE6">
      <w:pPr>
        <w:pStyle w:val="Style1"/>
        <w:numPr>
          <w:ilvl w:val="0"/>
          <w:numId w:val="0"/>
        </w:numPr>
        <w:ind w:left="567" w:hanging="567"/>
        <w:rPr>
          <w:rFonts w:ascii="Arial" w:hAnsi="Arial" w:cs="Arial"/>
          <w:i/>
          <w:sz w:val="22"/>
          <w:szCs w:val="22"/>
        </w:rPr>
      </w:pPr>
    </w:p>
    <w:p w:rsidR="000D07CD" w:rsidRPr="00290DE3" w:rsidRDefault="00A918BB" w:rsidP="000D07CD">
      <w:pPr>
        <w:pStyle w:val="Style1"/>
        <w:ind w:left="567" w:hanging="567"/>
        <w:rPr>
          <w:rFonts w:ascii="Arial" w:hAnsi="Arial" w:cs="Arial"/>
          <w:sz w:val="22"/>
          <w:szCs w:val="22"/>
        </w:rPr>
      </w:pPr>
      <w:r w:rsidRPr="00290DE3">
        <w:rPr>
          <w:rFonts w:ascii="Arial" w:hAnsi="Arial" w:cs="Arial"/>
          <w:sz w:val="22"/>
          <w:szCs w:val="22"/>
        </w:rPr>
        <w:t xml:space="preserve">The classification of a drug </w:t>
      </w:r>
      <w:r w:rsidR="004D778E">
        <w:rPr>
          <w:rFonts w:ascii="Arial" w:hAnsi="Arial" w:cs="Arial"/>
          <w:sz w:val="22"/>
          <w:szCs w:val="22"/>
        </w:rPr>
        <w:t xml:space="preserve">under the Misuse of Drugs Act </w:t>
      </w:r>
      <w:r w:rsidRPr="00290DE3">
        <w:rPr>
          <w:rFonts w:ascii="Arial" w:hAnsi="Arial" w:cs="Arial"/>
          <w:sz w:val="22"/>
          <w:szCs w:val="22"/>
        </w:rPr>
        <w:t xml:space="preserve">is determined by the risk of harm the drug poses to individuals or to society by its misuse. Drugs posing a very </w:t>
      </w:r>
      <w:r w:rsidRPr="00290DE3">
        <w:rPr>
          <w:rFonts w:ascii="Arial" w:hAnsi="Arial" w:cs="Arial"/>
          <w:sz w:val="22"/>
          <w:szCs w:val="22"/>
        </w:rPr>
        <w:lastRenderedPageBreak/>
        <w:t>high risk of harm are classified Class A, those posing a high risk of harm are classified Class B and those posing a moderate risk of harm are classified Class C. Generally,</w:t>
      </w:r>
      <w:r w:rsidR="0048486C">
        <w:rPr>
          <w:rFonts w:ascii="Arial" w:hAnsi="Arial" w:cs="Arial"/>
          <w:sz w:val="22"/>
          <w:szCs w:val="22"/>
        </w:rPr>
        <w:t xml:space="preserve"> before commencement of the Psychoactive Substances Act,</w:t>
      </w:r>
      <w:r w:rsidRPr="00290DE3">
        <w:rPr>
          <w:rFonts w:ascii="Arial" w:hAnsi="Arial" w:cs="Arial"/>
          <w:sz w:val="22"/>
          <w:szCs w:val="22"/>
        </w:rPr>
        <w:t xml:space="preserve"> if </w:t>
      </w:r>
      <w:r w:rsidR="0048486C">
        <w:rPr>
          <w:rFonts w:ascii="Arial" w:hAnsi="Arial" w:cs="Arial"/>
          <w:sz w:val="22"/>
          <w:szCs w:val="22"/>
        </w:rPr>
        <w:t>any substance</w:t>
      </w:r>
      <w:r w:rsidRPr="00290DE3">
        <w:rPr>
          <w:rFonts w:ascii="Arial" w:hAnsi="Arial" w:cs="Arial"/>
          <w:sz w:val="22"/>
          <w:szCs w:val="22"/>
        </w:rPr>
        <w:t xml:space="preserve"> </w:t>
      </w:r>
      <w:r w:rsidR="0048486C">
        <w:rPr>
          <w:rFonts w:ascii="Arial" w:hAnsi="Arial" w:cs="Arial"/>
          <w:sz w:val="22"/>
          <w:szCs w:val="22"/>
        </w:rPr>
        <w:t>was</w:t>
      </w:r>
      <w:r w:rsidRPr="00290DE3">
        <w:rPr>
          <w:rFonts w:ascii="Arial" w:hAnsi="Arial" w:cs="Arial"/>
          <w:sz w:val="22"/>
          <w:szCs w:val="22"/>
        </w:rPr>
        <w:t xml:space="preserve"> not classified</w:t>
      </w:r>
      <w:r w:rsidR="0048486C">
        <w:rPr>
          <w:rFonts w:ascii="Arial" w:hAnsi="Arial" w:cs="Arial"/>
          <w:sz w:val="22"/>
          <w:szCs w:val="22"/>
        </w:rPr>
        <w:t xml:space="preserve"> A, B or C under the Misuse of Drugs Act</w:t>
      </w:r>
      <w:r w:rsidRPr="00290DE3">
        <w:rPr>
          <w:rFonts w:ascii="Arial" w:hAnsi="Arial" w:cs="Arial"/>
          <w:sz w:val="22"/>
          <w:szCs w:val="22"/>
        </w:rPr>
        <w:t>, and not regulated by the Medicines Act</w:t>
      </w:r>
      <w:r w:rsidR="00305BA8" w:rsidRPr="00290DE3">
        <w:rPr>
          <w:rFonts w:ascii="Arial" w:hAnsi="Arial" w:cs="Arial"/>
          <w:sz w:val="22"/>
          <w:szCs w:val="22"/>
        </w:rPr>
        <w:t xml:space="preserve"> 1981</w:t>
      </w:r>
      <w:r w:rsidRPr="00290DE3">
        <w:rPr>
          <w:rFonts w:ascii="Arial" w:hAnsi="Arial" w:cs="Arial"/>
          <w:sz w:val="22"/>
          <w:szCs w:val="22"/>
        </w:rPr>
        <w:t xml:space="preserve">, it </w:t>
      </w:r>
      <w:r w:rsidR="0048486C">
        <w:rPr>
          <w:rFonts w:ascii="Arial" w:hAnsi="Arial" w:cs="Arial"/>
          <w:sz w:val="22"/>
          <w:szCs w:val="22"/>
        </w:rPr>
        <w:t>was</w:t>
      </w:r>
      <w:r w:rsidRPr="00290DE3">
        <w:rPr>
          <w:rFonts w:ascii="Arial" w:hAnsi="Arial" w:cs="Arial"/>
          <w:sz w:val="22"/>
          <w:szCs w:val="22"/>
        </w:rPr>
        <w:t xml:space="preserve"> legal to sell, supply and use.</w:t>
      </w:r>
      <w:r w:rsidR="000D07CD" w:rsidRPr="00290DE3">
        <w:rPr>
          <w:rFonts w:ascii="Arial" w:hAnsi="Arial" w:cs="Arial"/>
          <w:sz w:val="22"/>
          <w:szCs w:val="22"/>
        </w:rPr>
        <w:t xml:space="preserve"> </w:t>
      </w:r>
      <w:r w:rsidR="0048486C">
        <w:rPr>
          <w:rFonts w:ascii="Arial" w:hAnsi="Arial" w:cs="Arial"/>
          <w:sz w:val="22"/>
          <w:szCs w:val="22"/>
        </w:rPr>
        <w:t>After commencement of the Psychoactive Substances Act, all unapproved psychoactive substances became illegal.</w:t>
      </w:r>
    </w:p>
    <w:p w:rsidR="000D07CD" w:rsidRPr="00290DE3" w:rsidRDefault="000D07CD" w:rsidP="000D07CD">
      <w:pPr>
        <w:pStyle w:val="ListParagraph"/>
        <w:rPr>
          <w:rFonts w:ascii="Arial" w:hAnsi="Arial" w:cs="Arial"/>
          <w:sz w:val="22"/>
          <w:szCs w:val="22"/>
        </w:rPr>
      </w:pPr>
    </w:p>
    <w:p w:rsidR="00A918BB" w:rsidRPr="0074128A" w:rsidRDefault="00A918BB" w:rsidP="0074128A">
      <w:pPr>
        <w:spacing w:after="120"/>
        <w:rPr>
          <w:rFonts w:cs="Arial"/>
          <w:b/>
        </w:rPr>
      </w:pPr>
      <w:r w:rsidRPr="0074128A">
        <w:rPr>
          <w:rFonts w:cs="Arial"/>
          <w:b/>
        </w:rPr>
        <w:t xml:space="preserve">Evaluation of the </w:t>
      </w:r>
      <w:r w:rsidR="007D657F">
        <w:rPr>
          <w:rFonts w:cs="Arial"/>
          <w:b/>
        </w:rPr>
        <w:t xml:space="preserve">Psychoactive Substances </w:t>
      </w:r>
      <w:r w:rsidRPr="0074128A">
        <w:rPr>
          <w:rFonts w:cs="Arial"/>
          <w:b/>
        </w:rPr>
        <w:t>Act</w:t>
      </w:r>
    </w:p>
    <w:p w:rsidR="00BB0447" w:rsidRDefault="00B10CCD" w:rsidP="00DE0CB5">
      <w:pPr>
        <w:pStyle w:val="Style1"/>
        <w:ind w:left="567" w:hanging="567"/>
        <w:rPr>
          <w:rFonts w:ascii="Arial" w:hAnsi="Arial" w:cs="Arial"/>
          <w:sz w:val="22"/>
          <w:szCs w:val="22"/>
        </w:rPr>
      </w:pPr>
      <w:r w:rsidRPr="00DE586C">
        <w:rPr>
          <w:rFonts w:ascii="Arial" w:hAnsi="Arial" w:cs="Arial"/>
          <w:sz w:val="22"/>
          <w:szCs w:val="22"/>
        </w:rPr>
        <w:t>Prior to the 2013 commencement date, there was a visible market for products and use was comparatively openly discussed. After commencement,</w:t>
      </w:r>
      <w:r w:rsidR="004F100E">
        <w:rPr>
          <w:rFonts w:ascii="Arial" w:hAnsi="Arial" w:cs="Arial"/>
          <w:sz w:val="22"/>
          <w:szCs w:val="22"/>
        </w:rPr>
        <w:t xml:space="preserve"> seizure data </w:t>
      </w:r>
      <w:r w:rsidR="0087393D">
        <w:rPr>
          <w:rFonts w:ascii="Arial" w:hAnsi="Arial" w:cs="Arial"/>
          <w:sz w:val="22"/>
          <w:szCs w:val="22"/>
        </w:rPr>
        <w:t xml:space="preserve">(refer to table in paragraph 14) </w:t>
      </w:r>
      <w:r w:rsidR="004F100E">
        <w:rPr>
          <w:rFonts w:ascii="Arial" w:hAnsi="Arial" w:cs="Arial"/>
          <w:sz w:val="22"/>
          <w:szCs w:val="22"/>
        </w:rPr>
        <w:t>has shown that a</w:t>
      </w:r>
      <w:r w:rsidRPr="00DE586C">
        <w:rPr>
          <w:rFonts w:ascii="Arial" w:hAnsi="Arial" w:cs="Arial"/>
          <w:sz w:val="22"/>
          <w:szCs w:val="22"/>
        </w:rPr>
        <w:t xml:space="preserve"> strong market for unapproved, and therefore illicit, psychoactive products has developed. </w:t>
      </w:r>
    </w:p>
    <w:p w:rsidR="00BB0447" w:rsidRDefault="00BB0447" w:rsidP="00BB0447">
      <w:pPr>
        <w:pStyle w:val="Style1"/>
        <w:numPr>
          <w:ilvl w:val="0"/>
          <w:numId w:val="0"/>
        </w:numPr>
        <w:rPr>
          <w:rFonts w:ascii="Arial" w:hAnsi="Arial" w:cs="Arial"/>
          <w:sz w:val="22"/>
          <w:szCs w:val="22"/>
        </w:rPr>
      </w:pPr>
    </w:p>
    <w:p w:rsidR="00DE0CB5" w:rsidRPr="00DE586C" w:rsidRDefault="00B10CCD" w:rsidP="00DE0CB5">
      <w:pPr>
        <w:pStyle w:val="Style1"/>
        <w:ind w:left="567" w:hanging="567"/>
        <w:rPr>
          <w:rFonts w:ascii="Arial" w:hAnsi="Arial" w:cs="Arial"/>
          <w:sz w:val="22"/>
          <w:szCs w:val="22"/>
        </w:rPr>
      </w:pPr>
      <w:r w:rsidRPr="00DE586C">
        <w:rPr>
          <w:rFonts w:ascii="Arial" w:hAnsi="Arial" w:cs="Arial"/>
          <w:sz w:val="22"/>
          <w:szCs w:val="22"/>
        </w:rPr>
        <w:t>The market has effectively been driven underground, which in turn means there is very limited ability to monitor or manage risks to health of users, and other harm.</w:t>
      </w:r>
    </w:p>
    <w:p w:rsidR="00DE0CB5" w:rsidRPr="00DE586C" w:rsidRDefault="00DE0CB5" w:rsidP="00DE0CB5">
      <w:pPr>
        <w:pStyle w:val="Style1"/>
        <w:numPr>
          <w:ilvl w:val="0"/>
          <w:numId w:val="0"/>
        </w:numPr>
        <w:ind w:left="360"/>
        <w:rPr>
          <w:rFonts w:ascii="Arial" w:hAnsi="Arial" w:cs="Arial"/>
          <w:sz w:val="22"/>
          <w:szCs w:val="22"/>
        </w:rPr>
      </w:pPr>
    </w:p>
    <w:p w:rsidR="00B10CCD" w:rsidRPr="00DE586C" w:rsidRDefault="00B10CCD" w:rsidP="00DE0CB5">
      <w:pPr>
        <w:pStyle w:val="Style1"/>
        <w:ind w:left="567" w:hanging="567"/>
        <w:rPr>
          <w:rFonts w:ascii="Arial" w:hAnsi="Arial" w:cs="Arial"/>
          <w:sz w:val="22"/>
          <w:szCs w:val="22"/>
        </w:rPr>
      </w:pPr>
      <w:r w:rsidRPr="00DE586C">
        <w:rPr>
          <w:rFonts w:ascii="Arial" w:hAnsi="Arial" w:cs="Arial"/>
          <w:sz w:val="22"/>
          <w:szCs w:val="22"/>
        </w:rPr>
        <w:t>Anecdotal reports of harm are of considerable concern. The Coroner reports current investigations of 40 to 45 deaths provisionally related to psychoactive substances. Hospital emergency departments and ambulance services report increased presentations due to psychoactive substances (but reliable data is not available).</w:t>
      </w:r>
    </w:p>
    <w:p w:rsidR="00B10CCD" w:rsidRPr="00DE0CB5" w:rsidRDefault="00B10CCD" w:rsidP="00DE0CB5">
      <w:pPr>
        <w:pStyle w:val="Style1"/>
        <w:numPr>
          <w:ilvl w:val="0"/>
          <w:numId w:val="0"/>
        </w:numPr>
        <w:ind w:left="567"/>
        <w:rPr>
          <w:rFonts w:ascii="Arial" w:hAnsi="Arial" w:cs="Arial"/>
          <w:sz w:val="22"/>
          <w:szCs w:val="22"/>
        </w:rPr>
      </w:pPr>
    </w:p>
    <w:p w:rsidR="00A918BB" w:rsidRPr="0074128A" w:rsidRDefault="00DE0CB5" w:rsidP="0074128A">
      <w:pPr>
        <w:pStyle w:val="Style1"/>
        <w:ind w:left="567" w:hanging="567"/>
        <w:rPr>
          <w:rFonts w:ascii="Arial" w:hAnsi="Arial" w:cs="Arial"/>
          <w:sz w:val="22"/>
          <w:szCs w:val="22"/>
        </w:rPr>
      </w:pPr>
      <w:r>
        <w:rPr>
          <w:rFonts w:ascii="Arial" w:hAnsi="Arial" w:cs="Arial"/>
          <w:sz w:val="22"/>
          <w:szCs w:val="22"/>
        </w:rPr>
        <w:t xml:space="preserve">Data that is available </w:t>
      </w:r>
      <w:r w:rsidR="00B77BE6" w:rsidRPr="0074128A">
        <w:rPr>
          <w:rFonts w:ascii="Arial" w:hAnsi="Arial" w:cs="Arial"/>
          <w:sz w:val="22"/>
          <w:szCs w:val="22"/>
        </w:rPr>
        <w:t>show</w:t>
      </w:r>
      <w:r>
        <w:rPr>
          <w:rFonts w:ascii="Arial" w:hAnsi="Arial" w:cs="Arial"/>
          <w:sz w:val="22"/>
          <w:szCs w:val="22"/>
        </w:rPr>
        <w:t>s</w:t>
      </w:r>
      <w:r w:rsidR="00B77BE6" w:rsidRPr="0074128A">
        <w:rPr>
          <w:rFonts w:ascii="Arial" w:hAnsi="Arial" w:cs="Arial"/>
          <w:sz w:val="22"/>
          <w:szCs w:val="22"/>
        </w:rPr>
        <w:t xml:space="preserve"> that:</w:t>
      </w:r>
    </w:p>
    <w:p w:rsidR="00DE2C4B" w:rsidRPr="0074128A" w:rsidRDefault="00DE2C4B" w:rsidP="00DE2C4B">
      <w:pPr>
        <w:pStyle w:val="Style1"/>
        <w:numPr>
          <w:ilvl w:val="0"/>
          <w:numId w:val="0"/>
        </w:numPr>
        <w:rPr>
          <w:rFonts w:ascii="Arial" w:hAnsi="Arial" w:cs="Arial"/>
          <w:sz w:val="22"/>
          <w:szCs w:val="22"/>
        </w:rPr>
      </w:pPr>
    </w:p>
    <w:p w:rsidR="00A918BB" w:rsidRPr="0074128A" w:rsidRDefault="00B77BE6" w:rsidP="00EA673F">
      <w:pPr>
        <w:pStyle w:val="Style1"/>
        <w:numPr>
          <w:ilvl w:val="0"/>
          <w:numId w:val="32"/>
        </w:numPr>
        <w:ind w:left="1134" w:hanging="567"/>
        <w:rPr>
          <w:rFonts w:ascii="Arial" w:hAnsi="Arial" w:cs="Arial"/>
          <w:sz w:val="22"/>
          <w:szCs w:val="22"/>
        </w:rPr>
      </w:pPr>
      <w:r w:rsidRPr="0074128A">
        <w:rPr>
          <w:rFonts w:ascii="Arial" w:hAnsi="Arial" w:cs="Arial"/>
          <w:i/>
          <w:sz w:val="22"/>
          <w:szCs w:val="22"/>
        </w:rPr>
        <w:t>There are no approved products</w:t>
      </w:r>
      <w:r w:rsidRPr="0074128A">
        <w:rPr>
          <w:rFonts w:ascii="Arial" w:hAnsi="Arial" w:cs="Arial"/>
          <w:sz w:val="22"/>
          <w:szCs w:val="22"/>
        </w:rPr>
        <w:t>: n</w:t>
      </w:r>
      <w:r w:rsidR="00A918BB" w:rsidRPr="0074128A">
        <w:rPr>
          <w:rFonts w:ascii="Arial" w:hAnsi="Arial" w:cs="Arial"/>
          <w:sz w:val="22"/>
          <w:szCs w:val="22"/>
        </w:rPr>
        <w:t>o licence applications for retailing, manufacturing, or wholesaling products have been received by t</w:t>
      </w:r>
      <w:r w:rsidR="00A918BB" w:rsidRPr="0074128A">
        <w:rPr>
          <w:rFonts w:ascii="Arial" w:hAnsi="Arial" w:cs="Arial"/>
          <w:sz w:val="22"/>
          <w:szCs w:val="22"/>
        </w:rPr>
        <w:softHyphen/>
      </w:r>
      <w:r w:rsidR="00A918BB" w:rsidRPr="0074128A">
        <w:rPr>
          <w:rFonts w:ascii="Arial" w:hAnsi="Arial" w:cs="Arial"/>
          <w:sz w:val="22"/>
          <w:szCs w:val="22"/>
        </w:rPr>
        <w:softHyphen/>
      </w:r>
      <w:r w:rsidR="00A918BB" w:rsidRPr="0074128A">
        <w:rPr>
          <w:rFonts w:ascii="Arial" w:hAnsi="Arial" w:cs="Arial"/>
          <w:sz w:val="22"/>
          <w:szCs w:val="22"/>
        </w:rPr>
        <w:softHyphen/>
      </w:r>
      <w:r w:rsidR="00A918BB" w:rsidRPr="0074128A">
        <w:rPr>
          <w:rFonts w:ascii="Arial" w:hAnsi="Arial" w:cs="Arial"/>
          <w:sz w:val="22"/>
          <w:szCs w:val="22"/>
        </w:rPr>
        <w:softHyphen/>
      </w:r>
      <w:r w:rsidR="00A918BB" w:rsidRPr="0074128A">
        <w:rPr>
          <w:rFonts w:ascii="Arial" w:hAnsi="Arial" w:cs="Arial"/>
          <w:sz w:val="22"/>
          <w:szCs w:val="22"/>
        </w:rPr>
        <w:softHyphen/>
        <w:t>he Psychoactive Substances Regulatory Authority. Licences have been issued for research and import (for research purposes).</w:t>
      </w:r>
    </w:p>
    <w:p w:rsidR="00DE2C4B" w:rsidRPr="0074128A" w:rsidRDefault="00DE2C4B" w:rsidP="00DE2C4B">
      <w:pPr>
        <w:pStyle w:val="Style1"/>
        <w:numPr>
          <w:ilvl w:val="0"/>
          <w:numId w:val="0"/>
        </w:numPr>
        <w:rPr>
          <w:rFonts w:ascii="Arial" w:hAnsi="Arial" w:cs="Arial"/>
          <w:sz w:val="22"/>
          <w:szCs w:val="22"/>
        </w:rPr>
      </w:pPr>
    </w:p>
    <w:p w:rsidR="00A918BB" w:rsidRPr="0074128A" w:rsidRDefault="00B77BE6" w:rsidP="00EA673F">
      <w:pPr>
        <w:pStyle w:val="Style1"/>
        <w:numPr>
          <w:ilvl w:val="0"/>
          <w:numId w:val="32"/>
        </w:numPr>
        <w:ind w:left="1134" w:hanging="567"/>
        <w:rPr>
          <w:rFonts w:ascii="Arial" w:hAnsi="Arial" w:cs="Arial"/>
          <w:sz w:val="22"/>
          <w:szCs w:val="22"/>
        </w:rPr>
      </w:pPr>
      <w:r w:rsidRPr="0074128A">
        <w:rPr>
          <w:rFonts w:ascii="Arial" w:hAnsi="Arial" w:cs="Arial"/>
          <w:i/>
          <w:sz w:val="22"/>
          <w:szCs w:val="22"/>
        </w:rPr>
        <w:t>Convictions have increased</w:t>
      </w:r>
      <w:r w:rsidRPr="0074128A">
        <w:rPr>
          <w:rFonts w:ascii="Arial" w:hAnsi="Arial" w:cs="Arial"/>
          <w:sz w:val="22"/>
          <w:szCs w:val="22"/>
        </w:rPr>
        <w:t>: o</w:t>
      </w:r>
      <w:r w:rsidR="00A918BB" w:rsidRPr="0074128A">
        <w:rPr>
          <w:rFonts w:ascii="Arial" w:hAnsi="Arial" w:cs="Arial"/>
          <w:sz w:val="22"/>
          <w:szCs w:val="22"/>
        </w:rPr>
        <w:t>ffences under the Act include importing and manufacturing psychoactive substances, and possession, sale and supply of unapproved products. The number of people convicted of a psychoactive substance offence rose from seven in 2013 to 172 in 2017. One person was imprisoned in 2013, seven people in 2014, 26 people in 2015, 27 people in 2016 and 43 people in 2017.</w:t>
      </w:r>
    </w:p>
    <w:p w:rsidR="00A918BB" w:rsidRPr="0074128A" w:rsidRDefault="00A918BB" w:rsidP="00A918BB">
      <w:pPr>
        <w:pStyle w:val="Default"/>
        <w:ind w:left="360"/>
        <w:rPr>
          <w:rFonts w:ascii="Arial" w:hAnsi="Arial" w:cs="Arial"/>
          <w:sz w:val="22"/>
          <w:szCs w:val="22"/>
        </w:rPr>
      </w:pPr>
    </w:p>
    <w:p w:rsidR="00A918BB" w:rsidRPr="0074128A" w:rsidRDefault="00A918BB" w:rsidP="00EA673F">
      <w:pPr>
        <w:pStyle w:val="Style1"/>
        <w:numPr>
          <w:ilvl w:val="0"/>
          <w:numId w:val="0"/>
        </w:numPr>
        <w:ind w:left="1134"/>
        <w:rPr>
          <w:rFonts w:ascii="Arial" w:hAnsi="Arial" w:cs="Arial"/>
          <w:sz w:val="22"/>
          <w:szCs w:val="22"/>
        </w:rPr>
      </w:pPr>
      <w:r w:rsidRPr="0074128A">
        <w:rPr>
          <w:rFonts w:ascii="Arial" w:hAnsi="Arial" w:cs="Arial"/>
          <w:sz w:val="22"/>
          <w:szCs w:val="22"/>
        </w:rPr>
        <w:t xml:space="preserve">In 2017 49 Europeans were convicted of psychoactive offences, 99 Māori, 19 Pacific Peoples and five ‘other’. In line with other drug-related </w:t>
      </w:r>
      <w:r w:rsidRPr="004F100E">
        <w:rPr>
          <w:rFonts w:ascii="Arial" w:hAnsi="Arial" w:cs="Arial"/>
          <w:sz w:val="22"/>
          <w:szCs w:val="22"/>
        </w:rPr>
        <w:t xml:space="preserve">legislation, </w:t>
      </w:r>
      <w:r w:rsidR="00235BF5" w:rsidRPr="004F100E">
        <w:rPr>
          <w:rFonts w:ascii="Arial" w:hAnsi="Arial" w:cs="Arial"/>
          <w:sz w:val="22"/>
          <w:szCs w:val="22"/>
        </w:rPr>
        <w:t xml:space="preserve">Māori appear to be over-represented </w:t>
      </w:r>
      <w:r w:rsidRPr="004F100E">
        <w:rPr>
          <w:rFonts w:ascii="Arial" w:hAnsi="Arial" w:cs="Arial"/>
          <w:sz w:val="22"/>
          <w:szCs w:val="22"/>
        </w:rPr>
        <w:t xml:space="preserve">in the </w:t>
      </w:r>
      <w:r w:rsidR="004F100E" w:rsidRPr="004F100E">
        <w:rPr>
          <w:rFonts w:ascii="Arial" w:hAnsi="Arial" w:cs="Arial"/>
          <w:sz w:val="22"/>
          <w:szCs w:val="22"/>
        </w:rPr>
        <w:t xml:space="preserve">number of </w:t>
      </w:r>
      <w:r w:rsidRPr="004F100E">
        <w:rPr>
          <w:rFonts w:ascii="Arial" w:hAnsi="Arial" w:cs="Arial"/>
          <w:sz w:val="22"/>
          <w:szCs w:val="22"/>
        </w:rPr>
        <w:t xml:space="preserve">convictions under the </w:t>
      </w:r>
      <w:r w:rsidR="00471DDC">
        <w:rPr>
          <w:rFonts w:ascii="Arial" w:hAnsi="Arial" w:cs="Arial"/>
          <w:sz w:val="22"/>
          <w:szCs w:val="22"/>
        </w:rPr>
        <w:t xml:space="preserve">Psychoactive Substances </w:t>
      </w:r>
      <w:r w:rsidRPr="004F100E">
        <w:rPr>
          <w:rFonts w:ascii="Arial" w:hAnsi="Arial" w:cs="Arial"/>
          <w:sz w:val="22"/>
          <w:szCs w:val="22"/>
        </w:rPr>
        <w:t>Act.</w:t>
      </w:r>
      <w:r w:rsidRPr="0074128A">
        <w:rPr>
          <w:rFonts w:ascii="Arial" w:hAnsi="Arial" w:cs="Arial"/>
          <w:sz w:val="22"/>
          <w:szCs w:val="22"/>
        </w:rPr>
        <w:t xml:space="preserve"> </w:t>
      </w:r>
    </w:p>
    <w:p w:rsidR="00A918BB" w:rsidRPr="0074128A" w:rsidRDefault="00A918BB" w:rsidP="00A918BB">
      <w:pPr>
        <w:pStyle w:val="Default"/>
        <w:rPr>
          <w:rFonts w:ascii="Arial" w:hAnsi="Arial" w:cs="Arial"/>
          <w:b/>
          <w:i/>
          <w:sz w:val="22"/>
          <w:szCs w:val="22"/>
        </w:rPr>
      </w:pPr>
    </w:p>
    <w:p w:rsidR="007D657F" w:rsidRDefault="00A25421" w:rsidP="007D657F">
      <w:pPr>
        <w:pStyle w:val="Style1"/>
        <w:numPr>
          <w:ilvl w:val="0"/>
          <w:numId w:val="0"/>
        </w:numPr>
        <w:ind w:left="1134"/>
        <w:rPr>
          <w:rFonts w:ascii="Arial" w:hAnsi="Arial" w:cs="Arial"/>
          <w:sz w:val="22"/>
          <w:szCs w:val="22"/>
        </w:rPr>
      </w:pPr>
      <w:r w:rsidRPr="007D657F">
        <w:rPr>
          <w:rFonts w:ascii="Arial" w:hAnsi="Arial" w:cs="Arial"/>
          <w:i/>
          <w:sz w:val="22"/>
          <w:szCs w:val="22"/>
        </w:rPr>
        <w:t>Amount of seized products has increased</w:t>
      </w:r>
      <w:r w:rsidRPr="007D657F">
        <w:rPr>
          <w:rFonts w:ascii="Arial" w:hAnsi="Arial" w:cs="Arial"/>
          <w:sz w:val="22"/>
          <w:szCs w:val="22"/>
        </w:rPr>
        <w:t>: l</w:t>
      </w:r>
      <w:r w:rsidR="00A918BB" w:rsidRPr="007D657F">
        <w:rPr>
          <w:rFonts w:ascii="Arial" w:hAnsi="Arial" w:cs="Arial"/>
          <w:sz w:val="22"/>
          <w:szCs w:val="22"/>
        </w:rPr>
        <w:t xml:space="preserve">arge volumes of psychoactive substances have been seized at the border by the NZ Customs Service and domestically by NZ Police. They report an increase in seizures since 2013. The majority of these seizures have been synthetic cannabinoids and ‘synthetic cannabis’. </w:t>
      </w: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p w:rsidR="0028213A" w:rsidRDefault="0028213A" w:rsidP="007D657F">
      <w:pPr>
        <w:pStyle w:val="Style1"/>
        <w:numPr>
          <w:ilvl w:val="0"/>
          <w:numId w:val="0"/>
        </w:numPr>
        <w:ind w:left="1134"/>
        <w:rPr>
          <w:rFonts w:ascii="Arial" w:hAnsi="Arial" w:cs="Arial"/>
          <w:sz w:val="22"/>
          <w:szCs w:val="22"/>
        </w:rPr>
      </w:pPr>
    </w:p>
    <w:tbl>
      <w:tblPr>
        <w:tblW w:w="7832" w:type="dxa"/>
        <w:tblInd w:w="805" w:type="dxa"/>
        <w:tblCellMar>
          <w:left w:w="0" w:type="dxa"/>
          <w:right w:w="0" w:type="dxa"/>
        </w:tblCellMar>
        <w:tblLook w:val="04A0" w:firstRow="1" w:lastRow="0" w:firstColumn="1" w:lastColumn="0" w:noHBand="0" w:noVBand="1"/>
      </w:tblPr>
      <w:tblGrid>
        <w:gridCol w:w="222"/>
        <w:gridCol w:w="3364"/>
        <w:gridCol w:w="909"/>
        <w:gridCol w:w="909"/>
        <w:gridCol w:w="909"/>
        <w:gridCol w:w="1519"/>
      </w:tblGrid>
      <w:tr w:rsidR="00BB0447" w:rsidRPr="0087393D" w:rsidTr="007D657F">
        <w:trPr>
          <w:trHeight w:val="300"/>
        </w:trPr>
        <w:tc>
          <w:tcPr>
            <w:tcW w:w="6313" w:type="dxa"/>
            <w:gridSpan w:val="5"/>
            <w:tcBorders>
              <w:top w:val="single" w:sz="8" w:space="0" w:color="auto"/>
              <w:left w:val="single" w:sz="8" w:space="0" w:color="auto"/>
              <w:bottom w:val="nil"/>
              <w:right w:val="nil"/>
            </w:tcBorders>
            <w:noWrap/>
            <w:tcMar>
              <w:top w:w="0" w:type="dxa"/>
              <w:left w:w="108" w:type="dxa"/>
              <w:bottom w:w="0" w:type="dxa"/>
              <w:right w:w="108" w:type="dxa"/>
            </w:tcMar>
            <w:vAlign w:val="bottom"/>
          </w:tcPr>
          <w:p w:rsidR="00BB0447" w:rsidRPr="0087393D" w:rsidRDefault="00BB0447" w:rsidP="00FF4FE1">
            <w:pPr>
              <w:spacing w:after="0" w:line="240" w:lineRule="auto"/>
              <w:rPr>
                <w:rFonts w:ascii="Calibri" w:eastAsia="Times New Roman" w:hAnsi="Calibri" w:cs="Times New Roman"/>
                <w:b/>
                <w:bCs/>
                <w:color w:val="000000"/>
                <w:sz w:val="24"/>
                <w:szCs w:val="24"/>
                <w:lang w:eastAsia="en-NZ"/>
              </w:rPr>
            </w:pPr>
            <w:r w:rsidRPr="0087393D">
              <w:rPr>
                <w:rFonts w:ascii="Calibri" w:eastAsia="Times New Roman" w:hAnsi="Calibri" w:cs="Times New Roman"/>
                <w:b/>
                <w:bCs/>
                <w:color w:val="000000"/>
                <w:sz w:val="24"/>
                <w:szCs w:val="24"/>
                <w:lang w:eastAsia="en-NZ"/>
              </w:rPr>
              <w:t>Synthetic Cannabis &amp; Synthetic Cannabinoids combined</w:t>
            </w:r>
            <w:r w:rsidR="007D657F">
              <w:rPr>
                <w:rFonts w:ascii="Calibri" w:eastAsia="Times New Roman" w:hAnsi="Calibri" w:cs="Times New Roman"/>
                <w:b/>
                <w:bCs/>
                <w:color w:val="000000"/>
                <w:sz w:val="24"/>
                <w:szCs w:val="24"/>
                <w:lang w:eastAsia="en-NZ"/>
              </w:rPr>
              <w:t xml:space="preserve"> </w:t>
            </w:r>
          </w:p>
        </w:tc>
        <w:tc>
          <w:tcPr>
            <w:tcW w:w="151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Calibri" w:eastAsia="Times New Roman" w:hAnsi="Calibri" w:cs="Times New Roman"/>
                <w:b/>
                <w:bCs/>
                <w:color w:val="000000"/>
                <w:sz w:val="24"/>
                <w:szCs w:val="24"/>
                <w:lang w:eastAsia="en-NZ"/>
              </w:rPr>
            </w:pPr>
          </w:p>
        </w:tc>
      </w:tr>
      <w:tr w:rsidR="00BB0447" w:rsidRPr="0087393D" w:rsidTr="007D657F">
        <w:trPr>
          <w:trHeight w:val="300"/>
        </w:trPr>
        <w:tc>
          <w:tcPr>
            <w:tcW w:w="3586"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Calibri" w:eastAsia="Times New Roman" w:hAnsi="Calibri" w:cs="Times New Roman"/>
                <w:b/>
                <w:bCs/>
                <w:color w:val="000000"/>
                <w:lang w:eastAsia="en-NZ"/>
              </w:rPr>
            </w:pPr>
            <w:r w:rsidRPr="0087393D">
              <w:rPr>
                <w:rFonts w:ascii="Calibri" w:eastAsia="Times New Roman" w:hAnsi="Calibri" w:cs="Times New Roman"/>
                <w:b/>
                <w:bCs/>
                <w:color w:val="000000"/>
                <w:sz w:val="24"/>
                <w:szCs w:val="24"/>
                <w:lang w:eastAsia="en-NZ"/>
              </w:rPr>
              <w:t>Customs and Police: 2014 - 2017</w:t>
            </w:r>
            <w:r w:rsidR="00AD47AE">
              <w:rPr>
                <w:rStyle w:val="FootnoteReference"/>
                <w:rFonts w:ascii="Calibri" w:eastAsia="Times New Roman" w:hAnsi="Calibri" w:cs="Times New Roman"/>
                <w:b/>
                <w:bCs/>
                <w:color w:val="000000"/>
                <w:sz w:val="24"/>
                <w:szCs w:val="24"/>
                <w:lang w:eastAsia="en-NZ"/>
              </w:rPr>
              <w:footnoteReference w:id="1"/>
            </w:r>
          </w:p>
        </w:tc>
        <w:tc>
          <w:tcPr>
            <w:tcW w:w="909" w:type="dxa"/>
            <w:noWrap/>
            <w:tcMar>
              <w:top w:w="0" w:type="dxa"/>
              <w:left w:w="108" w:type="dxa"/>
              <w:bottom w:w="0" w:type="dxa"/>
              <w:right w:w="108" w:type="dxa"/>
            </w:tcMar>
            <w:vAlign w:val="bottom"/>
            <w:hideMark/>
          </w:tcPr>
          <w:p w:rsidR="00BB0447" w:rsidRPr="0087393D" w:rsidRDefault="00BB0447" w:rsidP="00FF4FE1">
            <w:pPr>
              <w:spacing w:after="0" w:line="240" w:lineRule="auto"/>
              <w:rPr>
                <w:rFonts w:ascii="Calibri" w:eastAsia="Times New Roman" w:hAnsi="Calibri" w:cs="Times New Roman"/>
                <w:b/>
                <w:bCs/>
                <w:color w:val="000000"/>
                <w:lang w:eastAsia="en-NZ"/>
              </w:rPr>
            </w:pPr>
          </w:p>
        </w:tc>
        <w:tc>
          <w:tcPr>
            <w:tcW w:w="909" w:type="dxa"/>
            <w:noWrap/>
            <w:tcMar>
              <w:top w:w="0" w:type="dxa"/>
              <w:left w:w="108" w:type="dxa"/>
              <w:bottom w:w="0" w:type="dxa"/>
              <w:right w:w="108" w:type="dxa"/>
            </w:tcMar>
            <w:vAlign w:val="bottom"/>
            <w:hideMark/>
          </w:tcPr>
          <w:p w:rsidR="00BB0447" w:rsidRPr="0087393D" w:rsidRDefault="00BB0447" w:rsidP="00FF4FE1">
            <w:pPr>
              <w:spacing w:after="0" w:line="240" w:lineRule="auto"/>
              <w:rPr>
                <w:rFonts w:ascii="Times New Roman" w:eastAsia="Times New Roman" w:hAnsi="Times New Roman" w:cs="Times New Roman"/>
                <w:sz w:val="20"/>
                <w:szCs w:val="20"/>
                <w:lang w:eastAsia="en-NZ"/>
              </w:rPr>
            </w:pPr>
          </w:p>
        </w:tc>
        <w:tc>
          <w:tcPr>
            <w:tcW w:w="909" w:type="dxa"/>
            <w:noWrap/>
            <w:tcMar>
              <w:top w:w="0" w:type="dxa"/>
              <w:left w:w="108" w:type="dxa"/>
              <w:bottom w:w="0" w:type="dxa"/>
              <w:right w:w="108" w:type="dxa"/>
            </w:tcMar>
            <w:vAlign w:val="bottom"/>
            <w:hideMark/>
          </w:tcPr>
          <w:p w:rsidR="00BB0447" w:rsidRPr="0087393D" w:rsidRDefault="00BB0447" w:rsidP="00FF4FE1">
            <w:pPr>
              <w:spacing w:after="0" w:line="240" w:lineRule="auto"/>
              <w:rPr>
                <w:rFonts w:ascii="Times New Roman" w:eastAsia="Times New Roman" w:hAnsi="Times New Roman" w:cs="Times New Roman"/>
                <w:sz w:val="20"/>
                <w:szCs w:val="20"/>
                <w:lang w:eastAsia="en-NZ"/>
              </w:rPr>
            </w:pPr>
          </w:p>
        </w:tc>
        <w:tc>
          <w:tcPr>
            <w:tcW w:w="1519" w:type="dxa"/>
            <w:tcBorders>
              <w:top w:val="nil"/>
              <w:left w:val="nil"/>
              <w:bottom w:val="nil"/>
              <w:right w:val="single" w:sz="8" w:space="0" w:color="auto"/>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Times New Roman" w:eastAsia="Times New Roman" w:hAnsi="Times New Roman" w:cs="Times New Roman"/>
                <w:sz w:val="20"/>
                <w:szCs w:val="20"/>
                <w:lang w:eastAsia="en-NZ"/>
              </w:rPr>
            </w:pPr>
          </w:p>
        </w:tc>
      </w:tr>
      <w:tr w:rsidR="00BB0447" w:rsidRPr="0087393D" w:rsidTr="007D657F">
        <w:trPr>
          <w:trHeight w:val="300"/>
        </w:trPr>
        <w:tc>
          <w:tcPr>
            <w:tcW w:w="222" w:type="dxa"/>
            <w:tcBorders>
              <w:top w:val="nil"/>
              <w:left w:val="single" w:sz="8" w:space="0" w:color="auto"/>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Times New Roman" w:eastAsia="Times New Roman" w:hAnsi="Times New Roman" w:cs="Times New Roman"/>
                <w:sz w:val="20"/>
                <w:szCs w:val="20"/>
                <w:lang w:eastAsia="en-NZ"/>
              </w:rPr>
            </w:pPr>
          </w:p>
        </w:tc>
        <w:tc>
          <w:tcPr>
            <w:tcW w:w="3364" w:type="dxa"/>
            <w:noWrap/>
            <w:tcMar>
              <w:top w:w="0" w:type="dxa"/>
              <w:left w:w="108" w:type="dxa"/>
              <w:bottom w:w="0" w:type="dxa"/>
              <w:right w:w="108" w:type="dxa"/>
            </w:tcMar>
            <w:vAlign w:val="bottom"/>
            <w:hideMark/>
          </w:tcPr>
          <w:p w:rsidR="00BB0447" w:rsidRPr="0087393D" w:rsidRDefault="00BB0447" w:rsidP="00FF4FE1">
            <w:pPr>
              <w:spacing w:after="0" w:line="240" w:lineRule="auto"/>
              <w:rPr>
                <w:rFonts w:ascii="Times New Roman" w:eastAsia="Times New Roman" w:hAnsi="Times New Roman" w:cs="Times New Roman"/>
                <w:sz w:val="20"/>
                <w:szCs w:val="20"/>
                <w:lang w:eastAsia="en-NZ"/>
              </w:rPr>
            </w:pPr>
          </w:p>
        </w:tc>
        <w:tc>
          <w:tcPr>
            <w:tcW w:w="909" w:type="dxa"/>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lang w:eastAsia="en-NZ"/>
              </w:rPr>
            </w:pPr>
            <w:r w:rsidRPr="0087393D">
              <w:rPr>
                <w:rFonts w:ascii="Calibri" w:eastAsia="Times New Roman" w:hAnsi="Calibri" w:cs="Times New Roman"/>
                <w:color w:val="000000"/>
                <w:sz w:val="24"/>
                <w:szCs w:val="24"/>
                <w:lang w:eastAsia="en-NZ"/>
              </w:rPr>
              <w:t>2014</w:t>
            </w:r>
          </w:p>
        </w:tc>
        <w:tc>
          <w:tcPr>
            <w:tcW w:w="909" w:type="dxa"/>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2015</w:t>
            </w:r>
          </w:p>
        </w:tc>
        <w:tc>
          <w:tcPr>
            <w:tcW w:w="909" w:type="dxa"/>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2016</w:t>
            </w:r>
          </w:p>
        </w:tc>
        <w:tc>
          <w:tcPr>
            <w:tcW w:w="1519" w:type="dxa"/>
            <w:tcBorders>
              <w:top w:val="nil"/>
              <w:left w:val="nil"/>
              <w:bottom w:val="nil"/>
              <w:right w:val="single" w:sz="8" w:space="0" w:color="auto"/>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2017</w:t>
            </w:r>
          </w:p>
        </w:tc>
      </w:tr>
      <w:tr w:rsidR="00BB0447" w:rsidRPr="0087393D" w:rsidTr="007D657F">
        <w:trPr>
          <w:trHeight w:val="300"/>
        </w:trPr>
        <w:tc>
          <w:tcPr>
            <w:tcW w:w="222" w:type="dxa"/>
            <w:tcBorders>
              <w:top w:val="nil"/>
              <w:left w:val="single" w:sz="8" w:space="0" w:color="auto"/>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Calibri" w:eastAsia="Times New Roman" w:hAnsi="Calibri" w:cs="Times New Roman"/>
                <w:color w:val="000000"/>
                <w:sz w:val="24"/>
                <w:szCs w:val="24"/>
                <w:lang w:eastAsia="en-NZ"/>
              </w:rPr>
            </w:pPr>
          </w:p>
        </w:tc>
        <w:tc>
          <w:tcPr>
            <w:tcW w:w="3364" w:type="dxa"/>
            <w:tcBorders>
              <w:top w:val="single" w:sz="8" w:space="0" w:color="auto"/>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Calibri" w:eastAsia="Times New Roman" w:hAnsi="Calibri" w:cs="Times New Roman"/>
                <w:color w:val="000000"/>
                <w:lang w:eastAsia="en-NZ"/>
              </w:rPr>
            </w:pPr>
            <w:r w:rsidRPr="0087393D">
              <w:rPr>
                <w:rFonts w:ascii="Calibri" w:eastAsia="Times New Roman" w:hAnsi="Calibri" w:cs="Times New Roman"/>
                <w:color w:val="000000"/>
                <w:sz w:val="24"/>
                <w:szCs w:val="24"/>
                <w:lang w:eastAsia="en-NZ"/>
              </w:rPr>
              <w:t>Seizure Weight (kg)</w:t>
            </w:r>
          </w:p>
        </w:tc>
        <w:tc>
          <w:tcPr>
            <w:tcW w:w="909" w:type="dxa"/>
            <w:tcBorders>
              <w:top w:val="single" w:sz="8" w:space="0" w:color="auto"/>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158</w:t>
            </w:r>
          </w:p>
        </w:tc>
        <w:tc>
          <w:tcPr>
            <w:tcW w:w="909" w:type="dxa"/>
            <w:tcBorders>
              <w:top w:val="single" w:sz="8" w:space="0" w:color="auto"/>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43</w:t>
            </w:r>
          </w:p>
        </w:tc>
        <w:tc>
          <w:tcPr>
            <w:tcW w:w="909" w:type="dxa"/>
            <w:tcBorders>
              <w:top w:val="single" w:sz="8" w:space="0" w:color="auto"/>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218</w:t>
            </w:r>
          </w:p>
        </w:tc>
        <w:tc>
          <w:tcPr>
            <w:tcW w:w="151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65</w:t>
            </w:r>
          </w:p>
        </w:tc>
      </w:tr>
      <w:tr w:rsidR="00BB0447" w:rsidRPr="0087393D" w:rsidTr="0028213A">
        <w:trPr>
          <w:trHeight w:val="300"/>
        </w:trPr>
        <w:tc>
          <w:tcPr>
            <w:tcW w:w="222" w:type="dxa"/>
            <w:tcBorders>
              <w:top w:val="nil"/>
              <w:left w:val="single" w:sz="8" w:space="0" w:color="auto"/>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Calibri" w:eastAsia="Times New Roman" w:hAnsi="Calibri" w:cs="Times New Roman"/>
                <w:color w:val="000000"/>
                <w:sz w:val="24"/>
                <w:szCs w:val="24"/>
                <w:lang w:eastAsia="en-NZ"/>
              </w:rPr>
            </w:pPr>
          </w:p>
        </w:tc>
        <w:tc>
          <w:tcPr>
            <w:tcW w:w="3364" w:type="dxa"/>
            <w:tcBorders>
              <w:top w:val="nil"/>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rPr>
                <w:rFonts w:ascii="Calibri" w:eastAsia="Times New Roman" w:hAnsi="Calibri" w:cs="Times New Roman"/>
                <w:color w:val="000000"/>
                <w:lang w:eastAsia="en-NZ"/>
              </w:rPr>
            </w:pPr>
            <w:r w:rsidRPr="0087393D">
              <w:rPr>
                <w:rFonts w:ascii="Calibri" w:eastAsia="Times New Roman" w:hAnsi="Calibri" w:cs="Times New Roman"/>
                <w:color w:val="000000"/>
                <w:sz w:val="24"/>
                <w:szCs w:val="24"/>
                <w:lang w:eastAsia="en-NZ"/>
              </w:rPr>
              <w:t>Seizure Frequency</w:t>
            </w:r>
          </w:p>
        </w:tc>
        <w:tc>
          <w:tcPr>
            <w:tcW w:w="909" w:type="dxa"/>
            <w:tcBorders>
              <w:top w:val="nil"/>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105</w:t>
            </w:r>
          </w:p>
        </w:tc>
        <w:tc>
          <w:tcPr>
            <w:tcW w:w="909" w:type="dxa"/>
            <w:tcBorders>
              <w:top w:val="nil"/>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206</w:t>
            </w:r>
          </w:p>
        </w:tc>
        <w:tc>
          <w:tcPr>
            <w:tcW w:w="909" w:type="dxa"/>
            <w:tcBorders>
              <w:top w:val="nil"/>
              <w:left w:val="nil"/>
              <w:bottom w:val="nil"/>
              <w:right w:val="nil"/>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350</w:t>
            </w:r>
          </w:p>
        </w:tc>
        <w:tc>
          <w:tcPr>
            <w:tcW w:w="1519" w:type="dxa"/>
            <w:tcBorders>
              <w:top w:val="nil"/>
              <w:left w:val="nil"/>
              <w:bottom w:val="nil"/>
              <w:right w:val="single" w:sz="8" w:space="0" w:color="auto"/>
            </w:tcBorders>
            <w:noWrap/>
            <w:tcMar>
              <w:top w:w="0" w:type="dxa"/>
              <w:left w:w="108" w:type="dxa"/>
              <w:bottom w:w="0" w:type="dxa"/>
              <w:right w:w="108" w:type="dxa"/>
            </w:tcMar>
            <w:vAlign w:val="bottom"/>
            <w:hideMark/>
          </w:tcPr>
          <w:p w:rsidR="00BB0447" w:rsidRPr="0087393D" w:rsidRDefault="00BB0447" w:rsidP="00FF4FE1">
            <w:pPr>
              <w:spacing w:after="0" w:line="240" w:lineRule="auto"/>
              <w:jc w:val="right"/>
              <w:rPr>
                <w:rFonts w:ascii="Calibri" w:eastAsia="Times New Roman" w:hAnsi="Calibri" w:cs="Times New Roman"/>
                <w:color w:val="000000"/>
                <w:sz w:val="24"/>
                <w:szCs w:val="24"/>
                <w:lang w:eastAsia="en-NZ"/>
              </w:rPr>
            </w:pPr>
            <w:r w:rsidRPr="0087393D">
              <w:rPr>
                <w:rFonts w:ascii="Calibri" w:eastAsia="Times New Roman" w:hAnsi="Calibri" w:cs="Times New Roman"/>
                <w:color w:val="000000"/>
                <w:sz w:val="24"/>
                <w:szCs w:val="24"/>
                <w:lang w:eastAsia="en-NZ"/>
              </w:rPr>
              <w:t>501</w:t>
            </w:r>
          </w:p>
        </w:tc>
      </w:tr>
      <w:tr w:rsidR="0028213A" w:rsidRPr="0087393D" w:rsidTr="00471DDC">
        <w:trPr>
          <w:trHeight w:val="300"/>
        </w:trPr>
        <w:tc>
          <w:tcPr>
            <w:tcW w:w="222" w:type="dxa"/>
            <w:tcBorders>
              <w:top w:val="nil"/>
              <w:left w:val="single" w:sz="8" w:space="0" w:color="auto"/>
              <w:bottom w:val="single" w:sz="8" w:space="0" w:color="auto"/>
              <w:right w:val="nil"/>
            </w:tcBorders>
            <w:noWrap/>
            <w:tcMar>
              <w:top w:w="0" w:type="dxa"/>
              <w:left w:w="108" w:type="dxa"/>
              <w:bottom w:w="0" w:type="dxa"/>
              <w:right w:w="108" w:type="dxa"/>
            </w:tcMar>
            <w:vAlign w:val="bottom"/>
          </w:tcPr>
          <w:p w:rsidR="0028213A" w:rsidRPr="0087393D" w:rsidRDefault="0028213A" w:rsidP="00FF4FE1">
            <w:pPr>
              <w:spacing w:after="0" w:line="240" w:lineRule="auto"/>
              <w:rPr>
                <w:rFonts w:ascii="Calibri" w:eastAsia="Times New Roman" w:hAnsi="Calibri" w:cs="Times New Roman"/>
                <w:color w:val="000000"/>
                <w:sz w:val="24"/>
                <w:szCs w:val="24"/>
                <w:lang w:eastAsia="en-NZ"/>
              </w:rPr>
            </w:pPr>
          </w:p>
        </w:tc>
        <w:tc>
          <w:tcPr>
            <w:tcW w:w="3364" w:type="dxa"/>
            <w:tcBorders>
              <w:top w:val="nil"/>
              <w:left w:val="nil"/>
              <w:bottom w:val="single" w:sz="8" w:space="0" w:color="auto"/>
              <w:right w:val="nil"/>
            </w:tcBorders>
            <w:noWrap/>
            <w:tcMar>
              <w:top w:w="0" w:type="dxa"/>
              <w:left w:w="108" w:type="dxa"/>
              <w:bottom w:w="0" w:type="dxa"/>
              <w:right w:w="108" w:type="dxa"/>
            </w:tcMar>
            <w:vAlign w:val="bottom"/>
          </w:tcPr>
          <w:p w:rsidR="0028213A" w:rsidRPr="0087393D" w:rsidRDefault="0028213A" w:rsidP="00FF4FE1">
            <w:pPr>
              <w:spacing w:after="0" w:line="240" w:lineRule="auto"/>
              <w:rPr>
                <w:rFonts w:ascii="Calibri" w:eastAsia="Times New Roman" w:hAnsi="Calibri" w:cs="Times New Roman"/>
                <w:color w:val="000000"/>
                <w:sz w:val="24"/>
                <w:szCs w:val="24"/>
                <w:lang w:eastAsia="en-NZ"/>
              </w:rPr>
            </w:pPr>
          </w:p>
        </w:tc>
        <w:tc>
          <w:tcPr>
            <w:tcW w:w="909" w:type="dxa"/>
            <w:tcBorders>
              <w:top w:val="nil"/>
              <w:left w:val="nil"/>
              <w:bottom w:val="single" w:sz="8" w:space="0" w:color="auto"/>
              <w:right w:val="nil"/>
            </w:tcBorders>
            <w:noWrap/>
            <w:tcMar>
              <w:top w:w="0" w:type="dxa"/>
              <w:left w:w="108" w:type="dxa"/>
              <w:bottom w:w="0" w:type="dxa"/>
              <w:right w:w="108" w:type="dxa"/>
            </w:tcMar>
            <w:vAlign w:val="bottom"/>
          </w:tcPr>
          <w:p w:rsidR="0028213A" w:rsidRPr="0087393D" w:rsidRDefault="0028213A" w:rsidP="00FF4FE1">
            <w:pPr>
              <w:spacing w:after="0" w:line="240" w:lineRule="auto"/>
              <w:jc w:val="right"/>
              <w:rPr>
                <w:rFonts w:ascii="Calibri" w:eastAsia="Times New Roman" w:hAnsi="Calibri" w:cs="Times New Roman"/>
                <w:color w:val="000000"/>
                <w:sz w:val="24"/>
                <w:szCs w:val="24"/>
                <w:lang w:eastAsia="en-NZ"/>
              </w:rPr>
            </w:pPr>
          </w:p>
        </w:tc>
        <w:tc>
          <w:tcPr>
            <w:tcW w:w="909" w:type="dxa"/>
            <w:tcBorders>
              <w:top w:val="nil"/>
              <w:left w:val="nil"/>
              <w:bottom w:val="single" w:sz="8" w:space="0" w:color="auto"/>
              <w:right w:val="nil"/>
            </w:tcBorders>
            <w:noWrap/>
            <w:tcMar>
              <w:top w:w="0" w:type="dxa"/>
              <w:left w:w="108" w:type="dxa"/>
              <w:bottom w:w="0" w:type="dxa"/>
              <w:right w:w="108" w:type="dxa"/>
            </w:tcMar>
            <w:vAlign w:val="bottom"/>
          </w:tcPr>
          <w:p w:rsidR="0028213A" w:rsidRPr="0087393D" w:rsidRDefault="0028213A" w:rsidP="00FF4FE1">
            <w:pPr>
              <w:spacing w:after="0" w:line="240" w:lineRule="auto"/>
              <w:jc w:val="right"/>
              <w:rPr>
                <w:rFonts w:ascii="Calibri" w:eastAsia="Times New Roman" w:hAnsi="Calibri" w:cs="Times New Roman"/>
                <w:color w:val="000000"/>
                <w:sz w:val="24"/>
                <w:szCs w:val="24"/>
                <w:lang w:eastAsia="en-NZ"/>
              </w:rPr>
            </w:pPr>
          </w:p>
        </w:tc>
        <w:tc>
          <w:tcPr>
            <w:tcW w:w="909" w:type="dxa"/>
            <w:tcBorders>
              <w:top w:val="nil"/>
              <w:left w:val="nil"/>
              <w:bottom w:val="single" w:sz="8" w:space="0" w:color="auto"/>
              <w:right w:val="nil"/>
            </w:tcBorders>
            <w:noWrap/>
            <w:tcMar>
              <w:top w:w="0" w:type="dxa"/>
              <w:left w:w="108" w:type="dxa"/>
              <w:bottom w:w="0" w:type="dxa"/>
              <w:right w:w="108" w:type="dxa"/>
            </w:tcMar>
            <w:vAlign w:val="bottom"/>
          </w:tcPr>
          <w:p w:rsidR="0028213A" w:rsidRPr="0087393D" w:rsidRDefault="0028213A" w:rsidP="00FF4FE1">
            <w:pPr>
              <w:spacing w:after="0" w:line="240" w:lineRule="auto"/>
              <w:jc w:val="right"/>
              <w:rPr>
                <w:rFonts w:ascii="Calibri" w:eastAsia="Times New Roman" w:hAnsi="Calibri" w:cs="Times New Roman"/>
                <w:color w:val="000000"/>
                <w:sz w:val="24"/>
                <w:szCs w:val="24"/>
                <w:lang w:eastAsia="en-NZ"/>
              </w:rPr>
            </w:pPr>
          </w:p>
        </w:tc>
        <w:tc>
          <w:tcPr>
            <w:tcW w:w="151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213A" w:rsidRPr="0087393D" w:rsidRDefault="0028213A" w:rsidP="00FF4FE1">
            <w:pPr>
              <w:spacing w:after="0" w:line="240" w:lineRule="auto"/>
              <w:jc w:val="right"/>
              <w:rPr>
                <w:rFonts w:ascii="Calibri" w:eastAsia="Times New Roman" w:hAnsi="Calibri" w:cs="Times New Roman"/>
                <w:color w:val="000000"/>
                <w:sz w:val="24"/>
                <w:szCs w:val="24"/>
                <w:lang w:eastAsia="en-NZ"/>
              </w:rPr>
            </w:pPr>
          </w:p>
        </w:tc>
      </w:tr>
    </w:tbl>
    <w:p w:rsidR="0028213A" w:rsidRDefault="0028213A" w:rsidP="0028213A">
      <w:pPr>
        <w:pStyle w:val="Style1"/>
        <w:numPr>
          <w:ilvl w:val="0"/>
          <w:numId w:val="0"/>
        </w:numPr>
        <w:ind w:left="1134"/>
        <w:rPr>
          <w:rFonts w:ascii="Arial" w:hAnsi="Arial" w:cs="Arial"/>
          <w:sz w:val="22"/>
          <w:szCs w:val="22"/>
        </w:rPr>
      </w:pPr>
    </w:p>
    <w:p w:rsidR="00574536" w:rsidRDefault="00574536" w:rsidP="0028213A">
      <w:pPr>
        <w:pStyle w:val="Style1"/>
        <w:numPr>
          <w:ilvl w:val="0"/>
          <w:numId w:val="0"/>
        </w:numPr>
        <w:ind w:left="1134"/>
        <w:rPr>
          <w:rFonts w:ascii="Arial" w:hAnsi="Arial" w:cs="Arial"/>
          <w:sz w:val="22"/>
          <w:szCs w:val="22"/>
        </w:rPr>
      </w:pPr>
    </w:p>
    <w:p w:rsidR="00A918BB" w:rsidRPr="0074128A" w:rsidRDefault="004F100E" w:rsidP="004F100E">
      <w:pPr>
        <w:pStyle w:val="Style1"/>
        <w:numPr>
          <w:ilvl w:val="0"/>
          <w:numId w:val="32"/>
        </w:numPr>
        <w:ind w:left="1134" w:hanging="567"/>
        <w:rPr>
          <w:rFonts w:ascii="Arial" w:hAnsi="Arial" w:cs="Arial"/>
          <w:sz w:val="22"/>
          <w:szCs w:val="22"/>
        </w:rPr>
      </w:pPr>
      <w:r>
        <w:rPr>
          <w:rFonts w:ascii="Arial" w:hAnsi="Arial" w:cs="Arial"/>
          <w:sz w:val="22"/>
          <w:szCs w:val="22"/>
        </w:rPr>
        <w:t>T</w:t>
      </w:r>
      <w:r w:rsidR="00A918BB" w:rsidRPr="0074128A">
        <w:rPr>
          <w:rFonts w:ascii="Arial" w:hAnsi="Arial" w:cs="Arial"/>
          <w:sz w:val="22"/>
          <w:szCs w:val="22"/>
        </w:rPr>
        <w:t xml:space="preserve">here has also been a significant increase in damiana leaf identified at the border. Damiana is a common plant material used as a base for synthetic cannabis. While it is subject to the normal plant material regulation at the border it is not regulated under the </w:t>
      </w:r>
      <w:r w:rsidR="00471DDC">
        <w:rPr>
          <w:rFonts w:ascii="Arial" w:hAnsi="Arial" w:cs="Arial"/>
          <w:sz w:val="22"/>
          <w:szCs w:val="22"/>
        </w:rPr>
        <w:t xml:space="preserve">Psychoactive Substances </w:t>
      </w:r>
      <w:r w:rsidR="00A918BB" w:rsidRPr="0074128A">
        <w:rPr>
          <w:rFonts w:ascii="Arial" w:hAnsi="Arial" w:cs="Arial"/>
          <w:sz w:val="22"/>
          <w:szCs w:val="22"/>
        </w:rPr>
        <w:t>Act or the Misuse of Drugs Act. The border activity suggests the illicit market for products remains strong.</w:t>
      </w:r>
    </w:p>
    <w:p w:rsidR="00DE2C4B" w:rsidRPr="0074128A" w:rsidRDefault="00DE2C4B" w:rsidP="00DE2C4B">
      <w:pPr>
        <w:pStyle w:val="Style1"/>
        <w:numPr>
          <w:ilvl w:val="0"/>
          <w:numId w:val="0"/>
        </w:numPr>
        <w:rPr>
          <w:rFonts w:ascii="Arial" w:hAnsi="Arial" w:cs="Arial"/>
          <w:sz w:val="22"/>
          <w:szCs w:val="22"/>
        </w:rPr>
      </w:pPr>
    </w:p>
    <w:p w:rsidR="00A918BB" w:rsidRDefault="00A25421" w:rsidP="00EA673F">
      <w:pPr>
        <w:pStyle w:val="Style1"/>
        <w:numPr>
          <w:ilvl w:val="0"/>
          <w:numId w:val="32"/>
        </w:numPr>
        <w:ind w:left="1134" w:hanging="567"/>
        <w:rPr>
          <w:rFonts w:ascii="Arial" w:hAnsi="Arial" w:cs="Arial"/>
          <w:sz w:val="22"/>
          <w:szCs w:val="22"/>
        </w:rPr>
      </w:pPr>
      <w:r w:rsidRPr="0074128A">
        <w:rPr>
          <w:rFonts w:ascii="Arial" w:hAnsi="Arial" w:cs="Arial"/>
          <w:i/>
          <w:sz w:val="22"/>
          <w:szCs w:val="22"/>
        </w:rPr>
        <w:t>Territorial authorities have policies in place</w:t>
      </w:r>
      <w:r w:rsidRPr="0074128A">
        <w:rPr>
          <w:rFonts w:ascii="Arial" w:hAnsi="Arial" w:cs="Arial"/>
          <w:sz w:val="22"/>
          <w:szCs w:val="22"/>
        </w:rPr>
        <w:t>: t</w:t>
      </w:r>
      <w:r w:rsidR="00A918BB" w:rsidRPr="0074128A">
        <w:rPr>
          <w:rFonts w:ascii="Arial" w:hAnsi="Arial" w:cs="Arial"/>
          <w:sz w:val="22"/>
          <w:szCs w:val="22"/>
        </w:rPr>
        <w:t xml:space="preserve">he </w:t>
      </w:r>
      <w:r w:rsidR="00471DDC">
        <w:rPr>
          <w:rFonts w:ascii="Arial" w:hAnsi="Arial" w:cs="Arial"/>
          <w:sz w:val="22"/>
          <w:szCs w:val="22"/>
        </w:rPr>
        <w:t xml:space="preserve">Psychoactive Substances </w:t>
      </w:r>
      <w:r w:rsidR="00A918BB" w:rsidRPr="0074128A">
        <w:rPr>
          <w:rFonts w:ascii="Arial" w:hAnsi="Arial" w:cs="Arial"/>
          <w:sz w:val="22"/>
          <w:szCs w:val="22"/>
        </w:rPr>
        <w:t xml:space="preserve">Act allows for territorial authorities to put in place a policy relating to the sale of approved products within its district. A Local Approved Products Policy may include policies on the location of premises where approved products may be sold in relation to broad areas within the district, by proximity to other premises, and/or by proximity to other premises or facilities (for example, kindergartens, schools, other community facilities). Local Government New Zealand reports that most territorial authorities have Local Approved Products Policies in place. </w:t>
      </w:r>
    </w:p>
    <w:p w:rsidR="00305BA8" w:rsidRDefault="00305BA8" w:rsidP="00305BA8">
      <w:pPr>
        <w:pStyle w:val="Style1"/>
        <w:numPr>
          <w:ilvl w:val="0"/>
          <w:numId w:val="0"/>
        </w:numPr>
        <w:ind w:left="1134"/>
        <w:rPr>
          <w:rFonts w:ascii="Arial" w:hAnsi="Arial" w:cs="Arial"/>
          <w:sz w:val="22"/>
          <w:szCs w:val="22"/>
        </w:rPr>
      </w:pPr>
    </w:p>
    <w:p w:rsidR="00A918BB" w:rsidRPr="0074128A" w:rsidRDefault="00A918BB" w:rsidP="0074128A">
      <w:pPr>
        <w:spacing w:after="120"/>
        <w:rPr>
          <w:rFonts w:cs="Arial"/>
          <w:b/>
        </w:rPr>
      </w:pPr>
      <w:r w:rsidRPr="0074128A">
        <w:rPr>
          <w:rFonts w:cs="Arial"/>
          <w:b/>
        </w:rPr>
        <w:t xml:space="preserve">The </w:t>
      </w:r>
      <w:r w:rsidR="00471DDC">
        <w:rPr>
          <w:rFonts w:cs="Arial"/>
          <w:b/>
        </w:rPr>
        <w:t xml:space="preserve">Psychoactive Substances </w:t>
      </w:r>
      <w:r w:rsidRPr="0074128A">
        <w:rPr>
          <w:rFonts w:cs="Arial"/>
          <w:b/>
        </w:rPr>
        <w:t>Act does not function as intended</w:t>
      </w:r>
    </w:p>
    <w:p w:rsidR="00A918BB" w:rsidRPr="00EC33FB" w:rsidRDefault="00A25421" w:rsidP="00EC33FB">
      <w:pPr>
        <w:pStyle w:val="Style1"/>
        <w:ind w:left="567" w:hanging="567"/>
        <w:rPr>
          <w:rFonts w:cs="Arial"/>
        </w:rPr>
      </w:pPr>
      <w:r w:rsidRPr="00EC33FB">
        <w:rPr>
          <w:rFonts w:cs="Arial"/>
        </w:rPr>
        <w:tab/>
      </w:r>
      <w:r w:rsidR="00A918BB" w:rsidRPr="00EC33FB">
        <w:rPr>
          <w:rFonts w:ascii="Arial" w:hAnsi="Arial" w:cs="Arial"/>
          <w:sz w:val="22"/>
          <w:szCs w:val="22"/>
        </w:rPr>
        <w:t xml:space="preserve">The following factors </w:t>
      </w:r>
      <w:r w:rsidR="0074128A" w:rsidRPr="00EC33FB">
        <w:rPr>
          <w:rFonts w:ascii="Arial" w:hAnsi="Arial" w:cs="Arial"/>
          <w:sz w:val="22"/>
          <w:szCs w:val="22"/>
        </w:rPr>
        <w:t xml:space="preserve">have </w:t>
      </w:r>
      <w:r w:rsidR="00A918BB" w:rsidRPr="00EC33FB">
        <w:rPr>
          <w:rFonts w:ascii="Arial" w:hAnsi="Arial" w:cs="Arial"/>
          <w:sz w:val="22"/>
          <w:szCs w:val="22"/>
        </w:rPr>
        <w:t>impacted on the implementation of the Act:</w:t>
      </w:r>
    </w:p>
    <w:p w:rsidR="00EC33FB" w:rsidRPr="00EC33FB" w:rsidRDefault="00EC33FB" w:rsidP="00EC33FB">
      <w:pPr>
        <w:pStyle w:val="Style1"/>
        <w:numPr>
          <w:ilvl w:val="0"/>
          <w:numId w:val="0"/>
        </w:numPr>
        <w:rPr>
          <w:rFonts w:cs="Arial"/>
        </w:rPr>
      </w:pPr>
    </w:p>
    <w:p w:rsidR="00A918BB" w:rsidRPr="0074128A" w:rsidRDefault="00A25421" w:rsidP="002C42C9">
      <w:pPr>
        <w:pStyle w:val="Style1"/>
        <w:numPr>
          <w:ilvl w:val="0"/>
          <w:numId w:val="31"/>
        </w:numPr>
        <w:ind w:left="1134" w:hanging="567"/>
        <w:rPr>
          <w:rFonts w:ascii="Arial" w:hAnsi="Arial" w:cs="Arial"/>
          <w:sz w:val="22"/>
          <w:szCs w:val="22"/>
        </w:rPr>
      </w:pPr>
      <w:r w:rsidRPr="0074128A">
        <w:rPr>
          <w:rFonts w:ascii="Arial" w:hAnsi="Arial" w:cs="Arial"/>
          <w:i/>
          <w:sz w:val="22"/>
          <w:szCs w:val="22"/>
        </w:rPr>
        <w:t>Animal testing</w:t>
      </w:r>
      <w:r w:rsidRPr="0074128A">
        <w:rPr>
          <w:rFonts w:ascii="Arial" w:hAnsi="Arial" w:cs="Arial"/>
          <w:sz w:val="22"/>
          <w:szCs w:val="22"/>
        </w:rPr>
        <w:t>: i</w:t>
      </w:r>
      <w:r w:rsidR="00A918BB" w:rsidRPr="0074128A">
        <w:rPr>
          <w:rFonts w:ascii="Arial" w:hAnsi="Arial" w:cs="Arial"/>
          <w:sz w:val="22"/>
          <w:szCs w:val="22"/>
        </w:rPr>
        <w:t>n mid-2014 a petition aimed at stopping psychoactive substances being tested on animals gained over 40,000 signatures. Subsequently the 2014 amendment to the Act included provisions that prohibited testing on animals being taken into account in assessing a product for approval.</w:t>
      </w:r>
    </w:p>
    <w:p w:rsidR="00A918BB" w:rsidRPr="0074128A" w:rsidRDefault="00A918BB" w:rsidP="00A918BB">
      <w:pPr>
        <w:pStyle w:val="Default"/>
        <w:rPr>
          <w:rFonts w:ascii="Arial" w:hAnsi="Arial" w:cs="Arial"/>
          <w:sz w:val="22"/>
          <w:szCs w:val="22"/>
        </w:rPr>
      </w:pPr>
      <w:r w:rsidRPr="0074128A">
        <w:rPr>
          <w:rFonts w:ascii="Arial" w:hAnsi="Arial" w:cs="Arial"/>
          <w:sz w:val="22"/>
          <w:szCs w:val="22"/>
        </w:rPr>
        <w:t xml:space="preserve"> </w:t>
      </w:r>
    </w:p>
    <w:p w:rsidR="00A918BB" w:rsidRPr="0074128A" w:rsidRDefault="00A918BB" w:rsidP="00A25421">
      <w:pPr>
        <w:pStyle w:val="Style1"/>
        <w:numPr>
          <w:ilvl w:val="0"/>
          <w:numId w:val="0"/>
        </w:numPr>
        <w:ind w:left="1134"/>
        <w:rPr>
          <w:rFonts w:ascii="Arial" w:hAnsi="Arial" w:cs="Arial"/>
          <w:sz w:val="22"/>
          <w:szCs w:val="22"/>
        </w:rPr>
      </w:pPr>
      <w:r w:rsidRPr="0074128A">
        <w:rPr>
          <w:rFonts w:ascii="Arial" w:hAnsi="Arial" w:cs="Arial"/>
          <w:sz w:val="22"/>
          <w:szCs w:val="22"/>
        </w:rPr>
        <w:t>The amendment of the Act in May 2014 provided</w:t>
      </w:r>
      <w:r w:rsidR="007623ED">
        <w:rPr>
          <w:rFonts w:ascii="Arial" w:hAnsi="Arial" w:cs="Arial"/>
          <w:sz w:val="22"/>
          <w:szCs w:val="22"/>
        </w:rPr>
        <w:t>,</w:t>
      </w:r>
      <w:r w:rsidRPr="0074128A">
        <w:rPr>
          <w:rFonts w:ascii="Arial" w:hAnsi="Arial" w:cs="Arial"/>
          <w:sz w:val="22"/>
          <w:szCs w:val="22"/>
        </w:rPr>
        <w:t xml:space="preserve"> in effect</w:t>
      </w:r>
      <w:r w:rsidR="007623ED">
        <w:rPr>
          <w:rFonts w:ascii="Arial" w:hAnsi="Arial" w:cs="Arial"/>
          <w:sz w:val="22"/>
          <w:szCs w:val="22"/>
        </w:rPr>
        <w:t>,</w:t>
      </w:r>
      <w:r w:rsidRPr="0074128A">
        <w:rPr>
          <w:rFonts w:ascii="Arial" w:hAnsi="Arial" w:cs="Arial"/>
          <w:sz w:val="22"/>
          <w:szCs w:val="22"/>
        </w:rPr>
        <w:t xml:space="preserve"> that the Psychoactive Substances </w:t>
      </w:r>
      <w:r w:rsidRPr="0087393D">
        <w:rPr>
          <w:rFonts w:ascii="Arial" w:hAnsi="Arial" w:cs="Arial"/>
          <w:sz w:val="22"/>
          <w:szCs w:val="22"/>
        </w:rPr>
        <w:t xml:space="preserve">Expert Advisory Committee can only consider the evidence from animal testing to ban a product, not to approve it. Therefore the regime created by the Act to approve and license psychoactive products cannot approve or license any product until an appropriate alternative to animal testing is available. </w:t>
      </w:r>
      <w:r w:rsidR="00BB0447" w:rsidRPr="0087393D">
        <w:rPr>
          <w:rFonts w:ascii="Arial" w:hAnsi="Arial" w:cs="Arial"/>
          <w:sz w:val="22"/>
          <w:szCs w:val="22"/>
        </w:rPr>
        <w:t>Alternatives being developed internationally include in vitro methods, using human cells and tissues, and advanced computer modelling techniques.</w:t>
      </w:r>
      <w:r w:rsidR="00BB0447">
        <w:rPr>
          <w:rFonts w:ascii="Arial" w:hAnsi="Arial" w:cs="Arial"/>
          <w:sz w:val="22"/>
          <w:szCs w:val="22"/>
        </w:rPr>
        <w:t xml:space="preserve"> </w:t>
      </w:r>
    </w:p>
    <w:p w:rsidR="00A918BB" w:rsidRPr="0074128A" w:rsidRDefault="00A918BB" w:rsidP="00A918BB">
      <w:pPr>
        <w:pStyle w:val="Default"/>
        <w:rPr>
          <w:rFonts w:ascii="Arial" w:hAnsi="Arial" w:cs="Arial"/>
          <w:sz w:val="22"/>
          <w:szCs w:val="22"/>
        </w:rPr>
      </w:pPr>
    </w:p>
    <w:p w:rsidR="00A918BB" w:rsidRPr="0074128A" w:rsidRDefault="00A918BB" w:rsidP="00A25421">
      <w:pPr>
        <w:pStyle w:val="Style1"/>
        <w:numPr>
          <w:ilvl w:val="0"/>
          <w:numId w:val="0"/>
        </w:numPr>
        <w:ind w:left="1134"/>
        <w:rPr>
          <w:rFonts w:ascii="Arial" w:hAnsi="Arial" w:cs="Arial"/>
          <w:sz w:val="22"/>
          <w:szCs w:val="22"/>
        </w:rPr>
      </w:pPr>
      <w:r w:rsidRPr="0074128A">
        <w:rPr>
          <w:rFonts w:ascii="Arial" w:hAnsi="Arial" w:cs="Arial"/>
          <w:sz w:val="22"/>
          <w:szCs w:val="22"/>
        </w:rPr>
        <w:t xml:space="preserve">The </w:t>
      </w:r>
      <w:r w:rsidR="00471DDC">
        <w:rPr>
          <w:rFonts w:ascii="Arial" w:hAnsi="Arial" w:cs="Arial"/>
          <w:sz w:val="22"/>
          <w:szCs w:val="22"/>
        </w:rPr>
        <w:t xml:space="preserve">Psychoactive Substances </w:t>
      </w:r>
      <w:r w:rsidRPr="0074128A">
        <w:rPr>
          <w:rFonts w:ascii="Arial" w:hAnsi="Arial" w:cs="Arial"/>
          <w:sz w:val="22"/>
          <w:szCs w:val="22"/>
        </w:rPr>
        <w:t xml:space="preserve">Act cannot work as intended unless the principle that animals must not be used in trials for the purposes of assessing whether a psychoactive product should be approved is removed. </w:t>
      </w:r>
    </w:p>
    <w:p w:rsidR="00A25421" w:rsidRPr="0074128A" w:rsidRDefault="00A25421" w:rsidP="00A25421">
      <w:pPr>
        <w:pStyle w:val="Style1"/>
        <w:numPr>
          <w:ilvl w:val="0"/>
          <w:numId w:val="0"/>
        </w:numPr>
        <w:ind w:left="1134"/>
        <w:rPr>
          <w:rFonts w:ascii="Arial" w:hAnsi="Arial" w:cs="Arial"/>
          <w:sz w:val="22"/>
          <w:szCs w:val="22"/>
        </w:rPr>
      </w:pPr>
    </w:p>
    <w:p w:rsidR="00A918BB" w:rsidRPr="0074128A" w:rsidRDefault="00A25421" w:rsidP="00DE0CB5">
      <w:pPr>
        <w:pStyle w:val="Style1"/>
        <w:numPr>
          <w:ilvl w:val="0"/>
          <w:numId w:val="31"/>
        </w:numPr>
        <w:ind w:left="1134" w:hanging="567"/>
        <w:rPr>
          <w:rFonts w:ascii="Arial" w:hAnsi="Arial" w:cs="Arial"/>
          <w:sz w:val="22"/>
          <w:szCs w:val="22"/>
        </w:rPr>
      </w:pPr>
      <w:r w:rsidRPr="0074128A">
        <w:rPr>
          <w:rFonts w:ascii="Arial" w:hAnsi="Arial" w:cs="Arial"/>
          <w:i/>
          <w:sz w:val="22"/>
          <w:szCs w:val="22"/>
        </w:rPr>
        <w:t>The environment has changed</w:t>
      </w:r>
      <w:r w:rsidRPr="0074128A">
        <w:rPr>
          <w:rFonts w:ascii="Arial" w:hAnsi="Arial" w:cs="Arial"/>
          <w:sz w:val="22"/>
          <w:szCs w:val="22"/>
        </w:rPr>
        <w:t>: t</w:t>
      </w:r>
      <w:r w:rsidR="00A918BB" w:rsidRPr="0074128A">
        <w:rPr>
          <w:rFonts w:ascii="Arial" w:hAnsi="Arial" w:cs="Arial"/>
          <w:sz w:val="22"/>
          <w:szCs w:val="22"/>
        </w:rPr>
        <w:t xml:space="preserve">he National Drug Intelligence Bureau believes that some unapproved products and synthetic cannabinoids currently available are even more risky and more prevalent than were available during the drafting and implementation of the legislation. </w:t>
      </w:r>
    </w:p>
    <w:p w:rsidR="00F779A8" w:rsidRPr="0074128A" w:rsidRDefault="00F779A8" w:rsidP="00DE0CB5">
      <w:pPr>
        <w:pStyle w:val="Default"/>
        <w:ind w:left="1134" w:hanging="567"/>
        <w:rPr>
          <w:rFonts w:ascii="Arial" w:hAnsi="Arial" w:cs="Arial"/>
          <w:b/>
          <w:i/>
          <w:sz w:val="22"/>
          <w:szCs w:val="22"/>
        </w:rPr>
      </w:pPr>
    </w:p>
    <w:p w:rsidR="00A918BB" w:rsidRDefault="00A25421" w:rsidP="00DE0CB5">
      <w:pPr>
        <w:pStyle w:val="Style1"/>
        <w:numPr>
          <w:ilvl w:val="0"/>
          <w:numId w:val="31"/>
        </w:numPr>
        <w:ind w:left="1134" w:hanging="567"/>
        <w:rPr>
          <w:rFonts w:ascii="Arial" w:hAnsi="Arial" w:cs="Arial"/>
          <w:sz w:val="22"/>
          <w:szCs w:val="22"/>
        </w:rPr>
      </w:pPr>
      <w:r w:rsidRPr="0074128A">
        <w:rPr>
          <w:rFonts w:ascii="Arial" w:hAnsi="Arial" w:cs="Arial"/>
          <w:i/>
          <w:sz w:val="22"/>
          <w:szCs w:val="22"/>
        </w:rPr>
        <w:lastRenderedPageBreak/>
        <w:t>Border control</w:t>
      </w:r>
      <w:r w:rsidRPr="0074128A">
        <w:rPr>
          <w:rFonts w:ascii="Arial" w:hAnsi="Arial" w:cs="Arial"/>
          <w:sz w:val="22"/>
          <w:szCs w:val="22"/>
        </w:rPr>
        <w:t>: this</w:t>
      </w:r>
      <w:r w:rsidR="00A918BB" w:rsidRPr="0074128A">
        <w:rPr>
          <w:rFonts w:ascii="Arial" w:hAnsi="Arial" w:cs="Arial"/>
          <w:sz w:val="22"/>
          <w:szCs w:val="22"/>
        </w:rPr>
        <w:t xml:space="preserve"> is challenging because of the large numbers of different substances encountered. NZ Police and NZ Customs Service both note an increasing need to be able to be more reactive both to volumes and to new substances constantly emerging. </w:t>
      </w:r>
    </w:p>
    <w:p w:rsidR="00DE0CB5" w:rsidRDefault="00DE0CB5" w:rsidP="00DE0CB5">
      <w:pPr>
        <w:pStyle w:val="Style1"/>
        <w:numPr>
          <w:ilvl w:val="0"/>
          <w:numId w:val="0"/>
        </w:numPr>
        <w:rPr>
          <w:rFonts w:ascii="Arial" w:hAnsi="Arial" w:cs="Arial"/>
          <w:sz w:val="22"/>
          <w:szCs w:val="22"/>
        </w:rPr>
      </w:pPr>
    </w:p>
    <w:p w:rsidR="00A25421" w:rsidRPr="0074128A" w:rsidRDefault="00A25421" w:rsidP="0074128A">
      <w:pPr>
        <w:spacing w:after="120"/>
        <w:rPr>
          <w:rFonts w:cs="Arial"/>
          <w:b/>
        </w:rPr>
      </w:pPr>
      <w:r w:rsidRPr="0074128A">
        <w:rPr>
          <w:rFonts w:cs="Arial"/>
          <w:b/>
        </w:rPr>
        <w:t>Areas</w:t>
      </w:r>
      <w:r w:rsidR="00D250BF" w:rsidRPr="0074128A">
        <w:rPr>
          <w:rFonts w:cs="Arial"/>
          <w:b/>
        </w:rPr>
        <w:t xml:space="preserve"> </w:t>
      </w:r>
      <w:r w:rsidRPr="0074128A">
        <w:rPr>
          <w:rFonts w:cs="Arial"/>
          <w:b/>
        </w:rPr>
        <w:t>of focus for further work</w:t>
      </w:r>
    </w:p>
    <w:p w:rsidR="00A918BB" w:rsidRPr="0074128A" w:rsidRDefault="00A25421" w:rsidP="0074128A">
      <w:pPr>
        <w:spacing w:after="120"/>
        <w:rPr>
          <w:rFonts w:cs="Arial"/>
          <w:i/>
        </w:rPr>
      </w:pPr>
      <w:r w:rsidRPr="0074128A">
        <w:rPr>
          <w:rFonts w:cs="Arial"/>
          <w:i/>
        </w:rPr>
        <w:t>Of</w:t>
      </w:r>
      <w:r w:rsidR="00A918BB" w:rsidRPr="0074128A">
        <w:rPr>
          <w:rFonts w:cs="Arial"/>
          <w:i/>
        </w:rPr>
        <w:t>fences</w:t>
      </w:r>
      <w:r w:rsidR="00EE7CFC">
        <w:rPr>
          <w:rFonts w:cs="Arial"/>
          <w:i/>
        </w:rPr>
        <w:t xml:space="preserve"> and</w:t>
      </w:r>
      <w:r w:rsidR="00A918BB" w:rsidRPr="0074128A">
        <w:rPr>
          <w:rFonts w:cs="Arial"/>
          <w:i/>
        </w:rPr>
        <w:t xml:space="preserve"> </w:t>
      </w:r>
      <w:r w:rsidR="00D250BF" w:rsidRPr="0074128A">
        <w:rPr>
          <w:rFonts w:cs="Arial"/>
          <w:i/>
        </w:rPr>
        <w:t>p</w:t>
      </w:r>
      <w:r w:rsidR="00A918BB" w:rsidRPr="0074128A">
        <w:rPr>
          <w:rFonts w:cs="Arial"/>
          <w:i/>
        </w:rPr>
        <w:t xml:space="preserve">enalties </w:t>
      </w:r>
    </w:p>
    <w:p w:rsidR="00A25421" w:rsidRPr="002C42C9" w:rsidRDefault="00D250BF" w:rsidP="00EC33FB">
      <w:pPr>
        <w:pStyle w:val="Style1"/>
        <w:ind w:left="567" w:hanging="567"/>
        <w:rPr>
          <w:rFonts w:ascii="Arial" w:hAnsi="Arial" w:cs="Arial"/>
          <w:sz w:val="22"/>
          <w:szCs w:val="22"/>
        </w:rPr>
      </w:pPr>
      <w:r w:rsidRPr="002C42C9">
        <w:rPr>
          <w:rFonts w:ascii="Arial" w:hAnsi="Arial" w:cs="Arial"/>
          <w:sz w:val="22"/>
          <w:szCs w:val="22"/>
        </w:rPr>
        <w:t xml:space="preserve">The </w:t>
      </w:r>
      <w:r w:rsidR="00574536">
        <w:rPr>
          <w:rFonts w:ascii="Arial" w:hAnsi="Arial" w:cs="Arial"/>
          <w:sz w:val="22"/>
          <w:szCs w:val="22"/>
        </w:rPr>
        <w:t>Psychoactive</w:t>
      </w:r>
      <w:r w:rsidR="00471DDC">
        <w:rPr>
          <w:rFonts w:ascii="Arial" w:hAnsi="Arial" w:cs="Arial"/>
          <w:sz w:val="22"/>
          <w:szCs w:val="22"/>
        </w:rPr>
        <w:t xml:space="preserve"> Substances </w:t>
      </w:r>
      <w:r w:rsidRPr="002C42C9">
        <w:rPr>
          <w:rFonts w:ascii="Arial" w:hAnsi="Arial" w:cs="Arial"/>
          <w:sz w:val="22"/>
          <w:szCs w:val="22"/>
        </w:rPr>
        <w:t xml:space="preserve">Act makes unapproved products illegal. The offences and penalties in the Psychoactive Substances Act are aimed at people operating outside of the regulation of substances that pose a low risk of harm. The offences and penalties may be out of step with the actual risk of harm posed, because </w:t>
      </w:r>
      <w:r w:rsidR="001C6114">
        <w:rPr>
          <w:rFonts w:ascii="Arial" w:hAnsi="Arial" w:cs="Arial"/>
          <w:sz w:val="22"/>
          <w:szCs w:val="22"/>
        </w:rPr>
        <w:t xml:space="preserve">more </w:t>
      </w:r>
      <w:r w:rsidRPr="002C42C9">
        <w:rPr>
          <w:rFonts w:ascii="Arial" w:hAnsi="Arial" w:cs="Arial"/>
          <w:sz w:val="22"/>
          <w:szCs w:val="22"/>
        </w:rPr>
        <w:t>risky substances were expected to be scheduled under the Misuse of Drugs Act.</w:t>
      </w:r>
    </w:p>
    <w:p w:rsidR="00A25421" w:rsidRPr="0074128A" w:rsidRDefault="00A25421" w:rsidP="00A25421">
      <w:pPr>
        <w:pStyle w:val="Style1"/>
        <w:numPr>
          <w:ilvl w:val="0"/>
          <w:numId w:val="0"/>
        </w:numPr>
        <w:ind w:left="567"/>
        <w:rPr>
          <w:rFonts w:ascii="Arial" w:hAnsi="Arial" w:cs="Arial"/>
          <w:sz w:val="22"/>
          <w:szCs w:val="22"/>
        </w:rPr>
      </w:pPr>
    </w:p>
    <w:p w:rsidR="00A918BB" w:rsidRPr="0074128A" w:rsidRDefault="004F100E" w:rsidP="00A25421">
      <w:pPr>
        <w:pStyle w:val="Style1"/>
        <w:ind w:left="567" w:hanging="567"/>
        <w:rPr>
          <w:rFonts w:ascii="Arial" w:hAnsi="Arial" w:cs="Arial"/>
          <w:sz w:val="22"/>
          <w:szCs w:val="22"/>
        </w:rPr>
      </w:pPr>
      <w:r>
        <w:rPr>
          <w:rFonts w:ascii="Arial" w:hAnsi="Arial" w:cs="Arial"/>
          <w:sz w:val="22"/>
          <w:szCs w:val="22"/>
        </w:rPr>
        <w:t xml:space="preserve">The </w:t>
      </w:r>
      <w:r w:rsidRPr="0074128A">
        <w:rPr>
          <w:rFonts w:ascii="Arial" w:hAnsi="Arial" w:cs="Arial"/>
          <w:sz w:val="22"/>
          <w:szCs w:val="22"/>
        </w:rPr>
        <w:t xml:space="preserve">Psychoactive Substances (Increasing Penalty for Supply and Distribution) Amendment Bill </w:t>
      </w:r>
      <w:r w:rsidR="00A918BB" w:rsidRPr="0074128A">
        <w:rPr>
          <w:rFonts w:ascii="Arial" w:hAnsi="Arial" w:cs="Arial"/>
          <w:sz w:val="22"/>
          <w:szCs w:val="22"/>
        </w:rPr>
        <w:t>is current</w:t>
      </w:r>
      <w:r w:rsidR="0083276B">
        <w:rPr>
          <w:rFonts w:ascii="Arial" w:hAnsi="Arial" w:cs="Arial"/>
          <w:sz w:val="22"/>
          <w:szCs w:val="22"/>
        </w:rPr>
        <w:t>ly before the Justice Committee. It aims to</w:t>
      </w:r>
      <w:r w:rsidR="00A918BB" w:rsidRPr="0074128A">
        <w:rPr>
          <w:rFonts w:ascii="Arial" w:hAnsi="Arial" w:cs="Arial"/>
          <w:sz w:val="22"/>
          <w:szCs w:val="22"/>
        </w:rPr>
        <w:t xml:space="preserve"> increas</w:t>
      </w:r>
      <w:r w:rsidR="0083276B">
        <w:rPr>
          <w:rFonts w:ascii="Arial" w:hAnsi="Arial" w:cs="Arial"/>
          <w:sz w:val="22"/>
          <w:szCs w:val="22"/>
        </w:rPr>
        <w:t>e</w:t>
      </w:r>
      <w:r w:rsidR="00A918BB" w:rsidRPr="0074128A">
        <w:rPr>
          <w:rFonts w:ascii="Arial" w:hAnsi="Arial" w:cs="Arial"/>
          <w:sz w:val="22"/>
          <w:szCs w:val="22"/>
        </w:rPr>
        <w:t xml:space="preserve"> the penalty for selling or supplying psychoactive substances that are not approved products. The Bill would align the penalties with those for an offence in the Misuse of Drugs Act for sale or supply of Class C controlled drugs</w:t>
      </w:r>
      <w:r w:rsidR="00EE7CFC">
        <w:rPr>
          <w:rFonts w:ascii="Arial" w:hAnsi="Arial" w:cs="Arial"/>
          <w:sz w:val="22"/>
          <w:szCs w:val="22"/>
        </w:rPr>
        <w:t xml:space="preserve"> even if they are a low risk of harm</w:t>
      </w:r>
      <w:r w:rsidR="00A918BB" w:rsidRPr="0074128A">
        <w:rPr>
          <w:rFonts w:ascii="Arial" w:hAnsi="Arial" w:cs="Arial"/>
          <w:sz w:val="22"/>
          <w:szCs w:val="22"/>
        </w:rPr>
        <w:t>.</w:t>
      </w:r>
    </w:p>
    <w:p w:rsidR="00A918BB" w:rsidRPr="0074128A" w:rsidRDefault="00A918BB" w:rsidP="00A918BB">
      <w:pPr>
        <w:spacing w:after="0" w:line="240" w:lineRule="auto"/>
        <w:rPr>
          <w:rFonts w:cs="Arial"/>
        </w:rPr>
      </w:pPr>
    </w:p>
    <w:p w:rsidR="00733DC0" w:rsidRDefault="00733DC0" w:rsidP="00F85EEA">
      <w:pPr>
        <w:pStyle w:val="Style1"/>
        <w:ind w:left="567" w:hanging="567"/>
        <w:rPr>
          <w:rFonts w:ascii="Arial" w:hAnsi="Arial" w:cs="Arial"/>
          <w:sz w:val="22"/>
          <w:szCs w:val="22"/>
        </w:rPr>
      </w:pPr>
      <w:r>
        <w:rPr>
          <w:rFonts w:ascii="Arial" w:hAnsi="Arial" w:cs="Arial"/>
          <w:sz w:val="22"/>
          <w:szCs w:val="22"/>
        </w:rPr>
        <w:t xml:space="preserve">Increased penalties do not necessarily produce a corresponding deterrent effect. The international and domestic evidence does not support the contention that increased penalties results in reduced incidences of offending. </w:t>
      </w:r>
    </w:p>
    <w:p w:rsidR="00733DC0" w:rsidRDefault="00733DC0" w:rsidP="00733DC0">
      <w:pPr>
        <w:pStyle w:val="ListParagraph"/>
        <w:rPr>
          <w:rFonts w:ascii="Arial" w:hAnsi="Arial" w:cs="Arial"/>
          <w:sz w:val="22"/>
          <w:szCs w:val="22"/>
        </w:rPr>
      </w:pPr>
    </w:p>
    <w:p w:rsidR="00733DC0" w:rsidRPr="00733DC0" w:rsidRDefault="004F100E" w:rsidP="00733DC0">
      <w:pPr>
        <w:pStyle w:val="Style1"/>
        <w:ind w:left="567" w:hanging="567"/>
        <w:rPr>
          <w:rFonts w:cs="Arial"/>
        </w:rPr>
      </w:pPr>
      <w:r w:rsidRPr="0087393D">
        <w:rPr>
          <w:rFonts w:ascii="Arial" w:hAnsi="Arial" w:cs="Arial"/>
          <w:sz w:val="22"/>
          <w:szCs w:val="22"/>
        </w:rPr>
        <w:t>Customs</w:t>
      </w:r>
      <w:r w:rsidR="00DE57A6" w:rsidRPr="0087393D">
        <w:rPr>
          <w:rFonts w:ascii="Arial" w:hAnsi="Arial" w:cs="Arial"/>
          <w:sz w:val="22"/>
          <w:szCs w:val="22"/>
        </w:rPr>
        <w:t xml:space="preserve"> is generally in favour of increasing penalties in line with the </w:t>
      </w:r>
      <w:r w:rsidR="001C6114" w:rsidRPr="0087393D">
        <w:rPr>
          <w:rFonts w:ascii="Arial" w:hAnsi="Arial" w:cs="Arial"/>
          <w:sz w:val="22"/>
          <w:szCs w:val="22"/>
        </w:rPr>
        <w:t>risk of harm as</w:t>
      </w:r>
      <w:r w:rsidR="00733DC0">
        <w:rPr>
          <w:rFonts w:ascii="Arial" w:hAnsi="Arial" w:cs="Arial"/>
          <w:sz w:val="22"/>
          <w:szCs w:val="22"/>
        </w:rPr>
        <w:t xml:space="preserve"> is provided for </w:t>
      </w:r>
      <w:r w:rsidR="001C6114" w:rsidRPr="0087393D">
        <w:rPr>
          <w:rFonts w:ascii="Arial" w:hAnsi="Arial" w:cs="Arial"/>
          <w:sz w:val="22"/>
          <w:szCs w:val="22"/>
        </w:rPr>
        <w:t xml:space="preserve">in the </w:t>
      </w:r>
      <w:r w:rsidR="00DE57A6" w:rsidRPr="0087393D">
        <w:rPr>
          <w:rFonts w:ascii="Arial" w:hAnsi="Arial" w:cs="Arial"/>
          <w:sz w:val="22"/>
          <w:szCs w:val="22"/>
        </w:rPr>
        <w:t>Misuse of Drugs Act.</w:t>
      </w:r>
      <w:r w:rsidR="001C6114" w:rsidRPr="0087393D">
        <w:rPr>
          <w:rFonts w:ascii="Arial" w:hAnsi="Arial" w:cs="Arial"/>
          <w:sz w:val="22"/>
          <w:szCs w:val="22"/>
        </w:rPr>
        <w:t xml:space="preserve"> </w:t>
      </w:r>
      <w:r w:rsidR="004F100D" w:rsidRPr="0087393D">
        <w:rPr>
          <w:rFonts w:ascii="Arial" w:hAnsi="Arial" w:cs="Arial"/>
          <w:sz w:val="22"/>
          <w:szCs w:val="22"/>
        </w:rPr>
        <w:t xml:space="preserve">Police </w:t>
      </w:r>
      <w:r w:rsidR="0087393D" w:rsidRPr="0087393D">
        <w:rPr>
          <w:rFonts w:ascii="Arial" w:hAnsi="Arial" w:cs="Arial"/>
          <w:sz w:val="22"/>
          <w:szCs w:val="22"/>
        </w:rPr>
        <w:t xml:space="preserve">support the </w:t>
      </w:r>
      <w:r w:rsidR="00EE7CFC">
        <w:rPr>
          <w:rFonts w:ascii="Arial" w:hAnsi="Arial" w:cs="Arial"/>
          <w:sz w:val="22"/>
          <w:szCs w:val="22"/>
        </w:rPr>
        <w:t xml:space="preserve">Psychoactive Substances </w:t>
      </w:r>
      <w:r w:rsidR="0087393D" w:rsidRPr="0087393D">
        <w:rPr>
          <w:rFonts w:ascii="Arial" w:hAnsi="Arial" w:cs="Arial"/>
          <w:sz w:val="22"/>
          <w:szCs w:val="22"/>
        </w:rPr>
        <w:t>Act continuing to</w:t>
      </w:r>
      <w:r w:rsidR="004F100D" w:rsidRPr="0087393D">
        <w:rPr>
          <w:rFonts w:ascii="Arial" w:hAnsi="Arial" w:cs="Arial"/>
          <w:sz w:val="22"/>
          <w:szCs w:val="22"/>
        </w:rPr>
        <w:t xml:space="preserve"> manage low harm substances, and that the penalties and enforcement powers for low harm substances should not exceed what is currently stipulated in the</w:t>
      </w:r>
      <w:r w:rsidR="00471DDC">
        <w:rPr>
          <w:rFonts w:ascii="Arial" w:hAnsi="Arial" w:cs="Arial"/>
          <w:sz w:val="22"/>
          <w:szCs w:val="22"/>
        </w:rPr>
        <w:t xml:space="preserve"> Psychoactive Substances</w:t>
      </w:r>
      <w:r w:rsidR="00733DC0">
        <w:rPr>
          <w:rFonts w:ascii="Arial" w:hAnsi="Arial" w:cs="Arial"/>
          <w:sz w:val="22"/>
          <w:szCs w:val="22"/>
        </w:rPr>
        <w:t xml:space="preserve"> Act. </w:t>
      </w:r>
      <w:r w:rsidR="00733DC0">
        <w:rPr>
          <w:rFonts w:cs="Arial"/>
        </w:rPr>
        <w:t xml:space="preserve"> </w:t>
      </w:r>
    </w:p>
    <w:p w:rsidR="007424AA" w:rsidRPr="0087393D" w:rsidRDefault="007424AA" w:rsidP="00B94240">
      <w:pPr>
        <w:pStyle w:val="Style1"/>
        <w:numPr>
          <w:ilvl w:val="0"/>
          <w:numId w:val="0"/>
        </w:numPr>
        <w:rPr>
          <w:rFonts w:cs="Arial"/>
        </w:rPr>
      </w:pPr>
    </w:p>
    <w:p w:rsidR="00EE7CFC" w:rsidRPr="00EE7CFC" w:rsidRDefault="00EE7CFC" w:rsidP="00EE7CFC">
      <w:pPr>
        <w:spacing w:after="120"/>
        <w:rPr>
          <w:rFonts w:cs="Arial"/>
          <w:i/>
        </w:rPr>
      </w:pPr>
      <w:r w:rsidRPr="00EE7CFC">
        <w:rPr>
          <w:rFonts w:cs="Arial"/>
          <w:i/>
        </w:rPr>
        <w:t>The Misuse of Drugs Act classification system</w:t>
      </w:r>
    </w:p>
    <w:p w:rsidR="003A1726" w:rsidRPr="00290DE3" w:rsidRDefault="003A1726" w:rsidP="003A1726">
      <w:pPr>
        <w:pStyle w:val="Style1"/>
        <w:ind w:left="567" w:hanging="567"/>
        <w:rPr>
          <w:rFonts w:ascii="Arial" w:hAnsi="Arial" w:cs="Arial"/>
          <w:sz w:val="22"/>
          <w:szCs w:val="22"/>
        </w:rPr>
      </w:pPr>
      <w:r w:rsidRPr="00290DE3">
        <w:rPr>
          <w:rFonts w:ascii="Arial" w:hAnsi="Arial" w:cs="Arial"/>
          <w:sz w:val="22"/>
          <w:szCs w:val="22"/>
        </w:rPr>
        <w:t xml:space="preserve">The classification system cannot keep up with the volume of new psychoactive substances being imported and used by New Zealanders beginning in the early 2000s, nor can it keep up with the ease and speed with which drug composition can be altered. </w:t>
      </w:r>
    </w:p>
    <w:p w:rsidR="008220A5" w:rsidRPr="00290DE3" w:rsidRDefault="008220A5" w:rsidP="00B94240">
      <w:pPr>
        <w:pStyle w:val="Style1"/>
        <w:numPr>
          <w:ilvl w:val="0"/>
          <w:numId w:val="0"/>
        </w:numPr>
        <w:ind w:left="567"/>
        <w:rPr>
          <w:rFonts w:ascii="Arial" w:hAnsi="Arial" w:cs="Arial"/>
          <w:sz w:val="22"/>
          <w:szCs w:val="22"/>
        </w:rPr>
      </w:pPr>
    </w:p>
    <w:p w:rsidR="003A1726" w:rsidRPr="00290DE3" w:rsidRDefault="003A1726" w:rsidP="003A1726">
      <w:pPr>
        <w:pStyle w:val="Style1"/>
        <w:ind w:left="567" w:hanging="567"/>
        <w:rPr>
          <w:rFonts w:ascii="Arial" w:hAnsi="Arial" w:cs="Arial"/>
          <w:sz w:val="22"/>
          <w:szCs w:val="22"/>
        </w:rPr>
      </w:pPr>
      <w:r w:rsidRPr="00290DE3">
        <w:rPr>
          <w:rFonts w:ascii="Arial" w:hAnsi="Arial" w:cs="Arial"/>
          <w:sz w:val="22"/>
          <w:szCs w:val="22"/>
        </w:rPr>
        <w:t>The process of classifying a drug has taken up to two years</w:t>
      </w:r>
      <w:r w:rsidR="008220A5" w:rsidRPr="00290DE3">
        <w:rPr>
          <w:rFonts w:ascii="Arial" w:hAnsi="Arial" w:cs="Arial"/>
          <w:sz w:val="22"/>
          <w:szCs w:val="22"/>
        </w:rPr>
        <w:t xml:space="preserve"> from the time</w:t>
      </w:r>
      <w:r w:rsidR="0005027C">
        <w:rPr>
          <w:rFonts w:ascii="Arial" w:hAnsi="Arial" w:cs="Arial"/>
          <w:sz w:val="22"/>
          <w:szCs w:val="22"/>
        </w:rPr>
        <w:t xml:space="preserve"> </w:t>
      </w:r>
      <w:r w:rsidR="008220A5" w:rsidRPr="00290DE3">
        <w:rPr>
          <w:rFonts w:ascii="Arial" w:hAnsi="Arial" w:cs="Arial"/>
          <w:sz w:val="22"/>
          <w:szCs w:val="22"/>
        </w:rPr>
        <w:t>the Expert Advisory Committee on Drugs mak</w:t>
      </w:r>
      <w:r w:rsidR="00090DF9">
        <w:rPr>
          <w:rFonts w:ascii="Arial" w:hAnsi="Arial" w:cs="Arial"/>
          <w:sz w:val="22"/>
          <w:szCs w:val="22"/>
        </w:rPr>
        <w:t>es</w:t>
      </w:r>
      <w:r w:rsidR="008220A5" w:rsidRPr="00290DE3">
        <w:rPr>
          <w:rFonts w:ascii="Arial" w:hAnsi="Arial" w:cs="Arial"/>
          <w:sz w:val="22"/>
          <w:szCs w:val="22"/>
        </w:rPr>
        <w:t xml:space="preserve"> a recommendation</w:t>
      </w:r>
      <w:r w:rsidRPr="00290DE3">
        <w:rPr>
          <w:rFonts w:ascii="Arial" w:hAnsi="Arial" w:cs="Arial"/>
          <w:sz w:val="22"/>
          <w:szCs w:val="22"/>
        </w:rPr>
        <w:t xml:space="preserve">. </w:t>
      </w:r>
      <w:r w:rsidR="00090DF9">
        <w:rPr>
          <w:rFonts w:ascii="Arial" w:hAnsi="Arial" w:cs="Arial"/>
          <w:sz w:val="22"/>
          <w:szCs w:val="22"/>
        </w:rPr>
        <w:t>Classification under the Misuse of Drugs Act is achieved via a</w:t>
      </w:r>
      <w:r w:rsidRPr="00290DE3">
        <w:rPr>
          <w:rFonts w:ascii="Arial" w:hAnsi="Arial" w:cs="Arial"/>
          <w:sz w:val="22"/>
          <w:szCs w:val="22"/>
        </w:rPr>
        <w:t xml:space="preserve">n Order in Council. The Health Committee considers the Order </w:t>
      </w:r>
      <w:r w:rsidR="008220A5" w:rsidRPr="00290DE3">
        <w:rPr>
          <w:rFonts w:ascii="Arial" w:hAnsi="Arial" w:cs="Arial"/>
          <w:sz w:val="22"/>
          <w:szCs w:val="22"/>
        </w:rPr>
        <w:t xml:space="preserve">for up to 28 days, </w:t>
      </w:r>
      <w:r w:rsidRPr="00290DE3">
        <w:rPr>
          <w:rFonts w:ascii="Arial" w:hAnsi="Arial" w:cs="Arial"/>
          <w:sz w:val="22"/>
          <w:szCs w:val="22"/>
        </w:rPr>
        <w:t xml:space="preserve">and following its report back, the House approves the Order in Council and a commencement order is made. There are some options for streamlining the process, for example reconsidering the way in which Cabinet considers the Order in Council and the commencement order. More detail of this process is provided in a flow chart </w:t>
      </w:r>
      <w:r w:rsidR="00B4587C">
        <w:rPr>
          <w:rFonts w:ascii="Arial" w:hAnsi="Arial" w:cs="Arial"/>
          <w:sz w:val="22"/>
          <w:szCs w:val="22"/>
        </w:rPr>
        <w:t>attached.</w:t>
      </w:r>
      <w:r w:rsidRPr="00290DE3">
        <w:rPr>
          <w:rFonts w:ascii="Arial" w:hAnsi="Arial" w:cs="Arial"/>
          <w:sz w:val="22"/>
          <w:szCs w:val="22"/>
        </w:rPr>
        <w:t xml:space="preserve"> </w:t>
      </w:r>
    </w:p>
    <w:p w:rsidR="003A1726" w:rsidRPr="00290DE3" w:rsidRDefault="003A1726" w:rsidP="00B94240">
      <w:pPr>
        <w:pStyle w:val="Style1"/>
        <w:numPr>
          <w:ilvl w:val="0"/>
          <w:numId w:val="0"/>
        </w:numPr>
        <w:ind w:left="567"/>
        <w:rPr>
          <w:rFonts w:ascii="Arial" w:hAnsi="Arial" w:cs="Arial"/>
          <w:sz w:val="22"/>
          <w:szCs w:val="22"/>
        </w:rPr>
      </w:pPr>
    </w:p>
    <w:p w:rsidR="003A1726" w:rsidRDefault="003A1726" w:rsidP="003A1726">
      <w:pPr>
        <w:pStyle w:val="Style1"/>
        <w:ind w:left="567" w:hanging="567"/>
        <w:rPr>
          <w:rFonts w:ascii="Arial" w:hAnsi="Arial" w:cs="Arial"/>
          <w:sz w:val="22"/>
          <w:szCs w:val="22"/>
        </w:rPr>
      </w:pPr>
      <w:r w:rsidRPr="00290DE3">
        <w:rPr>
          <w:rFonts w:ascii="Arial" w:hAnsi="Arial" w:cs="Arial"/>
          <w:sz w:val="22"/>
          <w:szCs w:val="22"/>
        </w:rPr>
        <w:t xml:space="preserve">Alternatively, a Bill to amend the </w:t>
      </w:r>
      <w:r w:rsidR="00EE7CFC">
        <w:rPr>
          <w:rFonts w:ascii="Arial" w:hAnsi="Arial" w:cs="Arial"/>
          <w:sz w:val="22"/>
          <w:szCs w:val="22"/>
        </w:rPr>
        <w:t xml:space="preserve">Misuse of Drugs </w:t>
      </w:r>
      <w:r w:rsidRPr="00290DE3">
        <w:rPr>
          <w:rFonts w:ascii="Arial" w:hAnsi="Arial" w:cs="Arial"/>
          <w:sz w:val="22"/>
          <w:szCs w:val="22"/>
        </w:rPr>
        <w:t xml:space="preserve">Act </w:t>
      </w:r>
      <w:r w:rsidR="008220A5" w:rsidRPr="00290DE3">
        <w:rPr>
          <w:rFonts w:ascii="Arial" w:hAnsi="Arial" w:cs="Arial"/>
          <w:sz w:val="22"/>
          <w:szCs w:val="22"/>
        </w:rPr>
        <w:t>could</w:t>
      </w:r>
      <w:r w:rsidRPr="00290DE3">
        <w:rPr>
          <w:rFonts w:ascii="Arial" w:hAnsi="Arial" w:cs="Arial"/>
          <w:sz w:val="22"/>
          <w:szCs w:val="22"/>
        </w:rPr>
        <w:t xml:space="preserve"> be used to classify substances, amending the </w:t>
      </w:r>
      <w:r w:rsidR="008220A5" w:rsidRPr="00290DE3">
        <w:rPr>
          <w:rFonts w:ascii="Arial" w:hAnsi="Arial" w:cs="Arial"/>
          <w:sz w:val="22"/>
          <w:szCs w:val="22"/>
        </w:rPr>
        <w:t xml:space="preserve">drug </w:t>
      </w:r>
      <w:r w:rsidRPr="00290DE3">
        <w:rPr>
          <w:rFonts w:ascii="Arial" w:hAnsi="Arial" w:cs="Arial"/>
          <w:sz w:val="22"/>
          <w:szCs w:val="22"/>
        </w:rPr>
        <w:t xml:space="preserve">classification schedules </w:t>
      </w:r>
      <w:r w:rsidR="008220A5" w:rsidRPr="00290DE3">
        <w:rPr>
          <w:rFonts w:ascii="Arial" w:hAnsi="Arial" w:cs="Arial"/>
          <w:sz w:val="22"/>
          <w:szCs w:val="22"/>
        </w:rPr>
        <w:t>of</w:t>
      </w:r>
      <w:r w:rsidR="00EE7CFC">
        <w:rPr>
          <w:rFonts w:ascii="Arial" w:hAnsi="Arial" w:cs="Arial"/>
          <w:sz w:val="22"/>
          <w:szCs w:val="22"/>
        </w:rPr>
        <w:t xml:space="preserve"> that </w:t>
      </w:r>
      <w:r w:rsidRPr="00290DE3">
        <w:rPr>
          <w:rFonts w:ascii="Arial" w:hAnsi="Arial" w:cs="Arial"/>
          <w:sz w:val="22"/>
          <w:szCs w:val="22"/>
        </w:rPr>
        <w:t xml:space="preserve">Act. </w:t>
      </w:r>
      <w:r w:rsidR="008220A5" w:rsidRPr="00290DE3">
        <w:rPr>
          <w:rFonts w:ascii="Arial" w:hAnsi="Arial" w:cs="Arial"/>
          <w:sz w:val="22"/>
          <w:szCs w:val="22"/>
        </w:rPr>
        <w:t xml:space="preserve">In normal circumstances, this is unlikely to </w:t>
      </w:r>
      <w:r w:rsidRPr="00290DE3">
        <w:rPr>
          <w:rFonts w:ascii="Arial" w:hAnsi="Arial" w:cs="Arial"/>
          <w:sz w:val="22"/>
          <w:szCs w:val="22"/>
        </w:rPr>
        <w:t xml:space="preserve">be any more efficient. </w:t>
      </w:r>
    </w:p>
    <w:p w:rsidR="00B4587C" w:rsidRDefault="00B4587C" w:rsidP="00B4587C">
      <w:pPr>
        <w:pStyle w:val="ListParagraph"/>
        <w:rPr>
          <w:rFonts w:ascii="Arial" w:hAnsi="Arial" w:cs="Arial"/>
          <w:sz w:val="22"/>
          <w:szCs w:val="22"/>
        </w:rPr>
      </w:pPr>
    </w:p>
    <w:p w:rsidR="00B4587C" w:rsidRPr="00B4587C" w:rsidRDefault="00B4587C" w:rsidP="00B4587C">
      <w:pPr>
        <w:spacing w:after="120"/>
        <w:rPr>
          <w:rFonts w:cs="Arial"/>
          <w:i/>
        </w:rPr>
      </w:pPr>
      <w:r w:rsidRPr="00B4587C">
        <w:rPr>
          <w:rFonts w:cs="Arial"/>
          <w:i/>
        </w:rPr>
        <w:t>Enforcement</w:t>
      </w:r>
    </w:p>
    <w:p w:rsidR="003A1726" w:rsidRPr="00290DE3" w:rsidRDefault="003A1726" w:rsidP="003A1726">
      <w:pPr>
        <w:pStyle w:val="Style1"/>
        <w:ind w:left="567" w:hanging="567"/>
        <w:rPr>
          <w:rFonts w:ascii="Arial" w:hAnsi="Arial" w:cs="Arial"/>
          <w:sz w:val="22"/>
          <w:szCs w:val="22"/>
        </w:rPr>
      </w:pPr>
      <w:r w:rsidRPr="00290DE3">
        <w:rPr>
          <w:rFonts w:ascii="Arial" w:hAnsi="Arial" w:cs="Arial"/>
          <w:sz w:val="22"/>
          <w:szCs w:val="22"/>
        </w:rPr>
        <w:t xml:space="preserve">Classifying substances </w:t>
      </w:r>
      <w:r w:rsidR="00B4587C">
        <w:rPr>
          <w:rFonts w:ascii="Arial" w:hAnsi="Arial" w:cs="Arial"/>
          <w:sz w:val="22"/>
          <w:szCs w:val="22"/>
        </w:rPr>
        <w:t xml:space="preserve">under the Misuse of Drugs Act </w:t>
      </w:r>
      <w:r w:rsidRPr="00290DE3">
        <w:rPr>
          <w:rFonts w:ascii="Arial" w:hAnsi="Arial" w:cs="Arial"/>
          <w:sz w:val="22"/>
          <w:szCs w:val="22"/>
        </w:rPr>
        <w:t xml:space="preserve">provides greater opportunities for enforcement activities than are available under the Psychoactive Substances Act. </w:t>
      </w:r>
      <w:r w:rsidRPr="00290DE3">
        <w:rPr>
          <w:rFonts w:ascii="Arial" w:hAnsi="Arial" w:cs="Arial"/>
          <w:sz w:val="22"/>
          <w:szCs w:val="22"/>
        </w:rPr>
        <w:lastRenderedPageBreak/>
        <w:t xml:space="preserve">For example, for Class A drugs, Police and NZ Customs Service are able to undertake search and surveillance activity that is not possible for drugs that are not classified under the Misuse of Drugs Act. Warrantless search of places, vehicles and people, and limited use of a surveillance device without a warrant is allowed under certain circumstances under the Search and Surveillance Act 2012 for Class A controlled drugs. </w:t>
      </w:r>
    </w:p>
    <w:p w:rsidR="003A1726" w:rsidRPr="00290DE3" w:rsidRDefault="003A1726" w:rsidP="00B94240">
      <w:pPr>
        <w:pStyle w:val="ListParagraph"/>
        <w:rPr>
          <w:rFonts w:ascii="Arial" w:hAnsi="Arial" w:cs="Arial"/>
          <w:sz w:val="22"/>
          <w:szCs w:val="22"/>
        </w:rPr>
      </w:pPr>
    </w:p>
    <w:p w:rsidR="003A1726" w:rsidRPr="00290DE3" w:rsidRDefault="003A1726" w:rsidP="003A1726">
      <w:pPr>
        <w:pStyle w:val="Style1"/>
        <w:ind w:left="567" w:hanging="567"/>
        <w:rPr>
          <w:rFonts w:ascii="Arial" w:hAnsi="Arial" w:cs="Arial"/>
          <w:sz w:val="22"/>
          <w:szCs w:val="22"/>
        </w:rPr>
      </w:pPr>
      <w:r w:rsidRPr="00290DE3">
        <w:rPr>
          <w:rFonts w:ascii="Arial" w:hAnsi="Arial" w:cs="Arial"/>
          <w:sz w:val="22"/>
          <w:szCs w:val="22"/>
        </w:rPr>
        <w:t>The Psychoactive Substances Act contains no provision that facilitates domestic controlled deliveries</w:t>
      </w:r>
      <w:r w:rsidR="007424AA" w:rsidRPr="00290DE3">
        <w:rPr>
          <w:rFonts w:ascii="Arial" w:hAnsi="Arial" w:cs="Arial"/>
          <w:sz w:val="22"/>
          <w:szCs w:val="22"/>
        </w:rPr>
        <w:t>. A controlled delivery occurs when a delivery of illicit drugs is detected, but is continued under the surveillance of enforcement officers, allowing drugs to be tracked through the supply chain and overcome measures that smugglers use to frustrate normal enforcement methods. Enforcement officers are more likely to be able to identify the organisers of criminal activity through a controlled delivery.</w:t>
      </w:r>
    </w:p>
    <w:p w:rsidR="007424AA" w:rsidRPr="00290DE3" w:rsidRDefault="007424AA" w:rsidP="00B94240">
      <w:pPr>
        <w:pStyle w:val="ListParagraph"/>
        <w:rPr>
          <w:rFonts w:ascii="Arial" w:hAnsi="Arial" w:cs="Arial"/>
          <w:sz w:val="22"/>
          <w:szCs w:val="22"/>
        </w:rPr>
      </w:pPr>
    </w:p>
    <w:p w:rsidR="003A1726" w:rsidRDefault="007424AA" w:rsidP="001960D1">
      <w:pPr>
        <w:pStyle w:val="Style1"/>
        <w:ind w:left="567" w:hanging="567"/>
        <w:rPr>
          <w:rFonts w:ascii="Arial" w:hAnsi="Arial" w:cs="Arial"/>
          <w:sz w:val="22"/>
          <w:szCs w:val="22"/>
        </w:rPr>
      </w:pPr>
      <w:r w:rsidRPr="00290DE3">
        <w:rPr>
          <w:rFonts w:ascii="Arial" w:hAnsi="Arial" w:cs="Arial"/>
          <w:sz w:val="22"/>
          <w:szCs w:val="22"/>
        </w:rPr>
        <w:t xml:space="preserve">The Psychoactive Substances Act </w:t>
      </w:r>
      <w:r w:rsidR="00B4587C">
        <w:rPr>
          <w:rFonts w:ascii="Arial" w:hAnsi="Arial" w:cs="Arial"/>
          <w:sz w:val="22"/>
          <w:szCs w:val="22"/>
        </w:rPr>
        <w:t>has</w:t>
      </w:r>
      <w:r w:rsidRPr="00290DE3">
        <w:rPr>
          <w:rFonts w:ascii="Arial" w:hAnsi="Arial" w:cs="Arial"/>
          <w:sz w:val="22"/>
          <w:szCs w:val="22"/>
        </w:rPr>
        <w:t xml:space="preserve"> no provision that facilitates protections that would enable the deployment of undercover officers against importers, manufacturers and suppliers. Both controlled delivery and such protection</w:t>
      </w:r>
      <w:r w:rsidR="00B4587C">
        <w:rPr>
          <w:rFonts w:ascii="Arial" w:hAnsi="Arial" w:cs="Arial"/>
          <w:sz w:val="22"/>
          <w:szCs w:val="22"/>
        </w:rPr>
        <w:t>s</w:t>
      </w:r>
      <w:r w:rsidRPr="00290DE3">
        <w:rPr>
          <w:rFonts w:ascii="Arial" w:hAnsi="Arial" w:cs="Arial"/>
          <w:sz w:val="22"/>
          <w:szCs w:val="22"/>
        </w:rPr>
        <w:t xml:space="preserve"> are available for classified drugs in the Misuse of Drugs Act.</w:t>
      </w:r>
      <w:r w:rsidR="001960D1" w:rsidRPr="00290DE3">
        <w:rPr>
          <w:rFonts w:ascii="Arial" w:hAnsi="Arial" w:cs="Arial"/>
          <w:sz w:val="22"/>
          <w:szCs w:val="22"/>
        </w:rPr>
        <w:t xml:space="preserve"> </w:t>
      </w:r>
      <w:r w:rsidR="003A1726" w:rsidRPr="00290DE3">
        <w:rPr>
          <w:rFonts w:ascii="Arial" w:hAnsi="Arial" w:cs="Arial"/>
          <w:sz w:val="22"/>
          <w:szCs w:val="22"/>
        </w:rPr>
        <w:t>This help</w:t>
      </w:r>
      <w:r w:rsidR="00090DF9">
        <w:rPr>
          <w:rFonts w:ascii="Arial" w:hAnsi="Arial" w:cs="Arial"/>
          <w:sz w:val="22"/>
          <w:szCs w:val="22"/>
        </w:rPr>
        <w:t>s</w:t>
      </w:r>
      <w:r w:rsidR="003A1726" w:rsidRPr="00290DE3">
        <w:rPr>
          <w:rFonts w:ascii="Arial" w:hAnsi="Arial" w:cs="Arial"/>
          <w:sz w:val="22"/>
          <w:szCs w:val="22"/>
        </w:rPr>
        <w:t xml:space="preserve"> to disrupt the supply chain for these drugs, which may affect </w:t>
      </w:r>
      <w:r w:rsidR="001960D1" w:rsidRPr="00290DE3">
        <w:rPr>
          <w:rFonts w:ascii="Arial" w:hAnsi="Arial" w:cs="Arial"/>
          <w:sz w:val="22"/>
          <w:szCs w:val="22"/>
        </w:rPr>
        <w:t xml:space="preserve">the </w:t>
      </w:r>
      <w:r w:rsidR="003A1726" w:rsidRPr="00290DE3">
        <w:rPr>
          <w:rFonts w:ascii="Arial" w:hAnsi="Arial" w:cs="Arial"/>
          <w:sz w:val="22"/>
          <w:szCs w:val="22"/>
        </w:rPr>
        <w:t>price and availability and contribute to reduced harm.</w:t>
      </w:r>
    </w:p>
    <w:p w:rsidR="006B736D" w:rsidRDefault="006B736D" w:rsidP="006B736D">
      <w:pPr>
        <w:pStyle w:val="ListParagraph"/>
        <w:rPr>
          <w:rFonts w:ascii="Arial" w:hAnsi="Arial" w:cs="Arial"/>
          <w:sz w:val="22"/>
          <w:szCs w:val="22"/>
        </w:rPr>
      </w:pPr>
    </w:p>
    <w:p w:rsidR="006B736D" w:rsidRPr="006B736D" w:rsidRDefault="006B736D" w:rsidP="006B736D">
      <w:pPr>
        <w:pStyle w:val="Style1"/>
        <w:ind w:left="567" w:hanging="567"/>
        <w:rPr>
          <w:rFonts w:ascii="Arial" w:hAnsi="Arial" w:cs="Arial"/>
          <w:sz w:val="22"/>
          <w:szCs w:val="22"/>
        </w:rPr>
      </w:pPr>
      <w:r w:rsidRPr="00290DE3">
        <w:rPr>
          <w:rFonts w:ascii="Arial" w:hAnsi="Arial" w:cs="Arial"/>
          <w:sz w:val="22"/>
          <w:szCs w:val="22"/>
        </w:rPr>
        <w:t xml:space="preserve">There may also be opportunities for reconsidering priorities for enforcement activity, including the targeting of particular </w:t>
      </w:r>
      <w:r>
        <w:rPr>
          <w:rFonts w:ascii="Arial" w:hAnsi="Arial" w:cs="Arial"/>
          <w:sz w:val="22"/>
          <w:szCs w:val="22"/>
        </w:rPr>
        <w:t>substances</w:t>
      </w:r>
      <w:r w:rsidRPr="00290DE3">
        <w:rPr>
          <w:rFonts w:ascii="Arial" w:hAnsi="Arial" w:cs="Arial"/>
          <w:sz w:val="22"/>
          <w:szCs w:val="22"/>
        </w:rPr>
        <w:t>, and prioritising prevention measures for psychoactive substances that are carried out by Police and Customs.</w:t>
      </w:r>
    </w:p>
    <w:p w:rsidR="00B4587C" w:rsidRDefault="00B4587C" w:rsidP="00B4587C">
      <w:pPr>
        <w:pStyle w:val="ListParagraph"/>
        <w:rPr>
          <w:rFonts w:ascii="Arial" w:hAnsi="Arial" w:cs="Arial"/>
          <w:sz w:val="22"/>
          <w:szCs w:val="22"/>
        </w:rPr>
      </w:pPr>
    </w:p>
    <w:p w:rsidR="00B4587C" w:rsidRPr="00B4587C" w:rsidRDefault="00B4587C" w:rsidP="00B4587C">
      <w:pPr>
        <w:spacing w:after="120"/>
        <w:rPr>
          <w:rFonts w:cs="Arial"/>
          <w:i/>
        </w:rPr>
      </w:pPr>
      <w:r w:rsidRPr="00B4587C">
        <w:rPr>
          <w:rFonts w:cs="Arial"/>
          <w:i/>
        </w:rPr>
        <w:t>The wider context</w:t>
      </w:r>
    </w:p>
    <w:p w:rsidR="00A918BB" w:rsidRPr="0074128A" w:rsidRDefault="00A918BB" w:rsidP="00F85EEA">
      <w:pPr>
        <w:pStyle w:val="Style1"/>
        <w:ind w:left="567" w:hanging="567"/>
        <w:rPr>
          <w:rFonts w:ascii="Arial" w:hAnsi="Arial" w:cs="Arial"/>
          <w:sz w:val="22"/>
          <w:szCs w:val="22"/>
        </w:rPr>
      </w:pPr>
      <w:r w:rsidRPr="0074128A">
        <w:rPr>
          <w:rFonts w:ascii="Arial" w:hAnsi="Arial" w:cs="Arial"/>
          <w:sz w:val="22"/>
          <w:szCs w:val="22"/>
        </w:rPr>
        <w:t>Government intends to hold a referendum about cannabis law reform at or before the next election. The referendum is in the early planning stages. The result of the referendum potentially influences changes to offences and penalties for cannabis related offences. If that was the case, it would be reasonable to expect that offences and penalties for other drugs and psychoactive substances should also be considered.</w:t>
      </w:r>
    </w:p>
    <w:p w:rsidR="00A918BB" w:rsidRPr="0074128A" w:rsidRDefault="00A918BB" w:rsidP="00F85EEA">
      <w:pPr>
        <w:spacing w:after="0" w:line="240" w:lineRule="auto"/>
        <w:ind w:left="567" w:hanging="567"/>
        <w:rPr>
          <w:rFonts w:cs="Arial"/>
        </w:rPr>
      </w:pPr>
    </w:p>
    <w:p w:rsidR="00A918BB" w:rsidRPr="0074128A" w:rsidRDefault="00A918BB" w:rsidP="00F85EEA">
      <w:pPr>
        <w:pStyle w:val="Style1"/>
        <w:ind w:left="567" w:hanging="567"/>
        <w:rPr>
          <w:rFonts w:ascii="Arial" w:hAnsi="Arial" w:cs="Arial"/>
          <w:sz w:val="22"/>
          <w:szCs w:val="22"/>
        </w:rPr>
      </w:pPr>
      <w:r w:rsidRPr="0074128A">
        <w:rPr>
          <w:rFonts w:ascii="Arial" w:hAnsi="Arial" w:cs="Arial"/>
          <w:sz w:val="22"/>
          <w:szCs w:val="22"/>
        </w:rPr>
        <w:t>Government has also recently announced the establishment of a specialist advisory group, the Safe and Effective Justice Programme Advisory Group – Te Uepū Hāpai i te Ora, to work alongside Justice Sector agencies on a scope for effective criminal justice reform. Offences and penalties are likely to be addressed in this forum.</w:t>
      </w:r>
    </w:p>
    <w:p w:rsidR="00A918BB" w:rsidRPr="0074128A" w:rsidRDefault="00A918BB" w:rsidP="00A918BB">
      <w:pPr>
        <w:spacing w:after="0" w:line="240" w:lineRule="auto"/>
        <w:rPr>
          <w:rFonts w:cs="Arial"/>
        </w:rPr>
      </w:pPr>
    </w:p>
    <w:p w:rsidR="00A918BB" w:rsidRPr="0074128A" w:rsidRDefault="001C6114" w:rsidP="00F85EEA">
      <w:pPr>
        <w:pStyle w:val="Style1"/>
        <w:ind w:left="567" w:hanging="567"/>
        <w:rPr>
          <w:rFonts w:ascii="Arial" w:hAnsi="Arial" w:cs="Arial"/>
          <w:sz w:val="22"/>
          <w:szCs w:val="22"/>
        </w:rPr>
      </w:pPr>
      <w:r>
        <w:rPr>
          <w:rFonts w:ascii="Arial" w:hAnsi="Arial" w:cs="Arial"/>
          <w:sz w:val="22"/>
          <w:szCs w:val="22"/>
        </w:rPr>
        <w:t xml:space="preserve">The Ministry of Health, Customs, and Police are all </w:t>
      </w:r>
      <w:r w:rsidRPr="0074128A">
        <w:rPr>
          <w:rFonts w:ascii="Arial" w:hAnsi="Arial" w:cs="Arial"/>
          <w:sz w:val="22"/>
          <w:szCs w:val="22"/>
        </w:rPr>
        <w:t xml:space="preserve">generally </w:t>
      </w:r>
      <w:r>
        <w:rPr>
          <w:rFonts w:ascii="Arial" w:hAnsi="Arial" w:cs="Arial"/>
          <w:sz w:val="22"/>
          <w:szCs w:val="22"/>
        </w:rPr>
        <w:t>supportive</w:t>
      </w:r>
      <w:r w:rsidRPr="0074128A">
        <w:rPr>
          <w:rFonts w:ascii="Arial" w:hAnsi="Arial" w:cs="Arial"/>
          <w:sz w:val="22"/>
          <w:szCs w:val="22"/>
        </w:rPr>
        <w:t xml:space="preserve"> of penalties</w:t>
      </w:r>
      <w:r>
        <w:rPr>
          <w:rFonts w:ascii="Arial" w:hAnsi="Arial" w:cs="Arial"/>
          <w:sz w:val="22"/>
          <w:szCs w:val="22"/>
        </w:rPr>
        <w:t xml:space="preserve"> that are </w:t>
      </w:r>
      <w:r w:rsidRPr="0074128A">
        <w:rPr>
          <w:rFonts w:ascii="Arial" w:hAnsi="Arial" w:cs="Arial"/>
          <w:sz w:val="22"/>
          <w:szCs w:val="22"/>
        </w:rPr>
        <w:t>in l</w:t>
      </w:r>
      <w:r>
        <w:rPr>
          <w:rFonts w:ascii="Arial" w:hAnsi="Arial" w:cs="Arial"/>
          <w:sz w:val="22"/>
          <w:szCs w:val="22"/>
        </w:rPr>
        <w:t xml:space="preserve">ine with the risk of harm posed by psychoactive substances. </w:t>
      </w:r>
      <w:r w:rsidR="00A918BB" w:rsidRPr="0074128A">
        <w:rPr>
          <w:rFonts w:ascii="Arial" w:hAnsi="Arial" w:cs="Arial"/>
          <w:sz w:val="22"/>
          <w:szCs w:val="22"/>
        </w:rPr>
        <w:t>There are also opportunities to better align offences and penalties in the Misuse of Drugs Act and other related legislation (such as the Medicines Act, Land Transport Act 1998 and others) to Government priorities. Consideration of offences and penalties, and the way in which New Zealand addresses drug use can make significant contributions to priorities such as equity, child poverty, a reduced prison population, a more humane justice system, and the intention to consider drug use more as a health issue.</w:t>
      </w:r>
    </w:p>
    <w:p w:rsidR="00A918BB" w:rsidRPr="0074128A" w:rsidRDefault="00A918BB" w:rsidP="00F85EEA">
      <w:pPr>
        <w:pStyle w:val="Style1"/>
        <w:numPr>
          <w:ilvl w:val="0"/>
          <w:numId w:val="0"/>
        </w:numPr>
        <w:ind w:left="567" w:hanging="567"/>
        <w:rPr>
          <w:rFonts w:ascii="Arial" w:hAnsi="Arial" w:cs="Arial"/>
          <w:sz w:val="22"/>
          <w:szCs w:val="22"/>
        </w:rPr>
      </w:pPr>
    </w:p>
    <w:p w:rsidR="00F85EEA" w:rsidRPr="0074128A" w:rsidRDefault="0087393D" w:rsidP="00F85EEA">
      <w:pPr>
        <w:pStyle w:val="Style1"/>
        <w:ind w:left="567" w:hanging="567"/>
        <w:rPr>
          <w:rFonts w:ascii="Arial" w:hAnsi="Arial" w:cs="Arial"/>
          <w:sz w:val="22"/>
          <w:szCs w:val="22"/>
          <w:lang w:val="en"/>
        </w:rPr>
      </w:pPr>
      <w:r>
        <w:rPr>
          <w:rFonts w:ascii="Arial" w:hAnsi="Arial" w:cs="Arial"/>
          <w:sz w:val="22"/>
          <w:szCs w:val="22"/>
        </w:rPr>
        <w:t xml:space="preserve">The Ministry of </w:t>
      </w:r>
      <w:r w:rsidR="009431F3">
        <w:rPr>
          <w:rFonts w:ascii="Arial" w:hAnsi="Arial" w:cs="Arial"/>
          <w:sz w:val="22"/>
          <w:szCs w:val="22"/>
        </w:rPr>
        <w:t>Health, Police and Customs agree that t</w:t>
      </w:r>
      <w:r w:rsidR="00F85EEA" w:rsidRPr="0074128A">
        <w:rPr>
          <w:rFonts w:ascii="Arial" w:hAnsi="Arial" w:cs="Arial"/>
          <w:sz w:val="22"/>
          <w:szCs w:val="22"/>
        </w:rPr>
        <w:t xml:space="preserve">he offences and penalties provisions in the </w:t>
      </w:r>
      <w:r w:rsidR="00574536">
        <w:rPr>
          <w:rFonts w:ascii="Arial" w:hAnsi="Arial" w:cs="Arial"/>
          <w:sz w:val="22"/>
          <w:szCs w:val="22"/>
        </w:rPr>
        <w:t xml:space="preserve">Psychoactive Substances </w:t>
      </w:r>
      <w:r w:rsidR="00F85EEA" w:rsidRPr="0074128A">
        <w:rPr>
          <w:rFonts w:ascii="Arial" w:hAnsi="Arial" w:cs="Arial"/>
          <w:sz w:val="22"/>
          <w:szCs w:val="22"/>
        </w:rPr>
        <w:t>Act could be considered as part of a wider legislative reform work programme that aligns with broader Government priorities.</w:t>
      </w:r>
    </w:p>
    <w:p w:rsidR="0074128A" w:rsidRPr="0074128A" w:rsidRDefault="0074128A" w:rsidP="0074128A">
      <w:pPr>
        <w:pStyle w:val="Style1"/>
        <w:numPr>
          <w:ilvl w:val="0"/>
          <w:numId w:val="0"/>
        </w:numPr>
        <w:rPr>
          <w:rFonts w:ascii="Arial" w:hAnsi="Arial" w:cs="Arial"/>
          <w:sz w:val="22"/>
          <w:szCs w:val="22"/>
          <w:lang w:val="en"/>
        </w:rPr>
      </w:pPr>
    </w:p>
    <w:p w:rsidR="00A06232" w:rsidRDefault="00A06232" w:rsidP="0074128A">
      <w:pPr>
        <w:spacing w:after="120"/>
        <w:rPr>
          <w:rFonts w:cs="Arial"/>
          <w:i/>
        </w:rPr>
      </w:pPr>
    </w:p>
    <w:p w:rsidR="00574536" w:rsidRDefault="00574536" w:rsidP="0074128A">
      <w:pPr>
        <w:spacing w:after="120"/>
        <w:rPr>
          <w:rFonts w:cs="Arial"/>
          <w:i/>
        </w:rPr>
      </w:pPr>
    </w:p>
    <w:p w:rsidR="00574536" w:rsidRDefault="00574536" w:rsidP="0074128A">
      <w:pPr>
        <w:spacing w:after="120"/>
        <w:rPr>
          <w:rFonts w:cs="Arial"/>
          <w:i/>
        </w:rPr>
      </w:pPr>
    </w:p>
    <w:p w:rsidR="00A918BB" w:rsidRPr="0074128A" w:rsidRDefault="00A918BB" w:rsidP="0074128A">
      <w:pPr>
        <w:spacing w:after="120"/>
        <w:rPr>
          <w:rFonts w:cs="Arial"/>
          <w:i/>
        </w:rPr>
      </w:pPr>
      <w:r w:rsidRPr="0074128A">
        <w:rPr>
          <w:rFonts w:cs="Arial"/>
          <w:i/>
        </w:rPr>
        <w:lastRenderedPageBreak/>
        <w:t>Technical issues</w:t>
      </w:r>
    </w:p>
    <w:p w:rsidR="00AD47AE" w:rsidRDefault="00A918BB" w:rsidP="004D778E">
      <w:pPr>
        <w:pStyle w:val="Style1"/>
        <w:numPr>
          <w:ilvl w:val="0"/>
          <w:numId w:val="0"/>
        </w:numPr>
        <w:rPr>
          <w:rFonts w:ascii="Arial" w:hAnsi="Arial" w:cs="Arial"/>
          <w:sz w:val="22"/>
          <w:szCs w:val="22"/>
        </w:rPr>
      </w:pPr>
      <w:r w:rsidRPr="008633D2">
        <w:rPr>
          <w:rFonts w:ascii="Arial" w:hAnsi="Arial" w:cs="Arial"/>
          <w:sz w:val="22"/>
          <w:szCs w:val="22"/>
        </w:rPr>
        <w:t>Working groups of officials have identified numerous small but important issues with the wording of the Act, and some omissions. It is recommended that changes to this Act should only be undertaken in context of a work programme including reference to other relevant legislation and Government priorities.</w:t>
      </w:r>
    </w:p>
    <w:p w:rsidR="00574536" w:rsidRDefault="00574536" w:rsidP="004D778E">
      <w:pPr>
        <w:pStyle w:val="Style1"/>
        <w:numPr>
          <w:ilvl w:val="0"/>
          <w:numId w:val="0"/>
        </w:numPr>
        <w:rPr>
          <w:rFonts w:ascii="Arial" w:hAnsi="Arial" w:cs="Arial"/>
          <w:sz w:val="22"/>
          <w:szCs w:val="22"/>
        </w:rPr>
      </w:pPr>
    </w:p>
    <w:p w:rsidR="00574536" w:rsidRPr="008633D2" w:rsidRDefault="00574536" w:rsidP="004D778E">
      <w:pPr>
        <w:pStyle w:val="Style1"/>
        <w:numPr>
          <w:ilvl w:val="0"/>
          <w:numId w:val="0"/>
        </w:numPr>
        <w:rPr>
          <w:rFonts w:ascii="Arial" w:hAnsi="Arial" w:cs="Arial"/>
          <w:sz w:val="22"/>
          <w:szCs w:val="22"/>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495"/>
      </w:tblGrid>
      <w:tr w:rsidR="00DE0CB5" w:rsidTr="008633D2">
        <w:trPr>
          <w:trHeight w:val="4668"/>
        </w:trPr>
        <w:tc>
          <w:tcPr>
            <w:tcW w:w="9495" w:type="dxa"/>
            <w:shd w:val="clear" w:color="auto" w:fill="F2F2F2" w:themeFill="background1" w:themeFillShade="F2"/>
          </w:tcPr>
          <w:p w:rsidR="00DE0CB5" w:rsidRPr="0074128A" w:rsidRDefault="00DE0CB5" w:rsidP="00F411BC">
            <w:pPr>
              <w:spacing w:after="120"/>
              <w:ind w:left="-108"/>
              <w:rPr>
                <w:rFonts w:cs="Arial"/>
                <w:b/>
              </w:rPr>
            </w:pPr>
            <w:r>
              <w:rPr>
                <w:rFonts w:cs="Arial"/>
                <w:b/>
              </w:rPr>
              <w:t xml:space="preserve"> </w:t>
            </w:r>
            <w:r w:rsidRPr="0074128A">
              <w:rPr>
                <w:rFonts w:cs="Arial"/>
                <w:b/>
              </w:rPr>
              <w:t>In summary</w:t>
            </w:r>
          </w:p>
          <w:p w:rsidR="00DE0CB5" w:rsidRDefault="00DE0CB5" w:rsidP="00DE0CB5">
            <w:pPr>
              <w:pStyle w:val="Style1"/>
              <w:numPr>
                <w:ilvl w:val="0"/>
                <w:numId w:val="0"/>
              </w:numPr>
              <w:ind w:left="459"/>
              <w:rPr>
                <w:rFonts w:ascii="Arial" w:hAnsi="Arial" w:cs="Arial"/>
                <w:sz w:val="22"/>
                <w:szCs w:val="22"/>
              </w:rPr>
            </w:pPr>
            <w:r w:rsidRPr="0074128A">
              <w:rPr>
                <w:rFonts w:ascii="Arial" w:hAnsi="Arial" w:cs="Arial"/>
                <w:sz w:val="22"/>
                <w:szCs w:val="22"/>
              </w:rPr>
              <w:t xml:space="preserve">The </w:t>
            </w:r>
            <w:r w:rsidR="00F45B59">
              <w:rPr>
                <w:rFonts w:ascii="Arial" w:hAnsi="Arial" w:cs="Arial"/>
                <w:sz w:val="22"/>
                <w:szCs w:val="22"/>
              </w:rPr>
              <w:t xml:space="preserve">Psychoactive Substances </w:t>
            </w:r>
            <w:r w:rsidRPr="0074128A">
              <w:rPr>
                <w:rFonts w:ascii="Arial" w:hAnsi="Arial" w:cs="Arial"/>
                <w:sz w:val="22"/>
                <w:szCs w:val="22"/>
              </w:rPr>
              <w:t>Act has not achieved its purpose of protecting health and minimising harm because:</w:t>
            </w:r>
          </w:p>
          <w:p w:rsidR="00DE0CB5" w:rsidRPr="0074128A" w:rsidRDefault="00DE0CB5" w:rsidP="00DE0CB5">
            <w:pPr>
              <w:pStyle w:val="Style1"/>
              <w:numPr>
                <w:ilvl w:val="0"/>
                <w:numId w:val="0"/>
              </w:numPr>
              <w:ind w:left="1077"/>
              <w:rPr>
                <w:rFonts w:ascii="Arial" w:hAnsi="Arial" w:cs="Arial"/>
                <w:sz w:val="22"/>
                <w:szCs w:val="22"/>
              </w:rPr>
            </w:pPr>
          </w:p>
          <w:p w:rsidR="00DE0CB5" w:rsidRDefault="00DE0CB5" w:rsidP="00DE0CB5">
            <w:pPr>
              <w:pStyle w:val="ListParagraph"/>
              <w:numPr>
                <w:ilvl w:val="0"/>
                <w:numId w:val="30"/>
              </w:numPr>
              <w:ind w:left="1026" w:hanging="425"/>
              <w:rPr>
                <w:rFonts w:ascii="Arial" w:hAnsi="Arial" w:cs="Arial"/>
                <w:sz w:val="22"/>
                <w:szCs w:val="22"/>
              </w:rPr>
            </w:pPr>
            <w:r w:rsidRPr="0074128A">
              <w:rPr>
                <w:rFonts w:ascii="Arial" w:hAnsi="Arial" w:cs="Arial"/>
                <w:sz w:val="22"/>
                <w:szCs w:val="22"/>
              </w:rPr>
              <w:t>it has not enabled the availability of low risk psychoactive substances through a regulated market. This is primarily because animal testing provisions limit the ability to prove that products are low risk, and can therefore be approved</w:t>
            </w:r>
          </w:p>
          <w:p w:rsidR="00DE0CB5" w:rsidRPr="0074128A" w:rsidRDefault="00DE0CB5" w:rsidP="00DE0CB5">
            <w:pPr>
              <w:pStyle w:val="ListParagraph"/>
              <w:ind w:left="1026" w:hanging="425"/>
              <w:rPr>
                <w:rFonts w:ascii="Arial" w:hAnsi="Arial" w:cs="Arial"/>
                <w:sz w:val="22"/>
                <w:szCs w:val="22"/>
              </w:rPr>
            </w:pPr>
          </w:p>
          <w:p w:rsidR="00DE0CB5" w:rsidRPr="0074128A" w:rsidRDefault="00DE0CB5" w:rsidP="00DE0CB5">
            <w:pPr>
              <w:pStyle w:val="ListParagraph"/>
              <w:numPr>
                <w:ilvl w:val="0"/>
                <w:numId w:val="30"/>
              </w:numPr>
              <w:ind w:left="1026" w:hanging="425"/>
              <w:rPr>
                <w:rFonts w:ascii="Arial" w:hAnsi="Arial" w:cs="Arial"/>
                <w:sz w:val="22"/>
                <w:szCs w:val="22"/>
              </w:rPr>
            </w:pPr>
            <w:r w:rsidRPr="0074128A">
              <w:rPr>
                <w:rFonts w:ascii="Arial" w:hAnsi="Arial" w:cs="Arial"/>
                <w:sz w:val="22"/>
                <w:szCs w:val="22"/>
              </w:rPr>
              <w:t>the continued supply and use of unregulated products has arguably made monitoring and management of associated risks more difficult</w:t>
            </w:r>
          </w:p>
          <w:p w:rsidR="00DE0CB5" w:rsidRDefault="00DE0CB5" w:rsidP="00DE0CB5">
            <w:pPr>
              <w:pStyle w:val="ListParagraph"/>
              <w:ind w:left="1026" w:hanging="425"/>
              <w:rPr>
                <w:rFonts w:ascii="Arial" w:hAnsi="Arial" w:cs="Arial"/>
                <w:sz w:val="22"/>
                <w:szCs w:val="22"/>
              </w:rPr>
            </w:pPr>
          </w:p>
          <w:p w:rsidR="00DE0CB5" w:rsidRPr="0074128A" w:rsidRDefault="00DE0CB5" w:rsidP="00DE0CB5">
            <w:pPr>
              <w:pStyle w:val="ListParagraph"/>
              <w:numPr>
                <w:ilvl w:val="0"/>
                <w:numId w:val="30"/>
              </w:numPr>
              <w:ind w:left="1026" w:hanging="425"/>
              <w:rPr>
                <w:rFonts w:ascii="Arial" w:hAnsi="Arial" w:cs="Arial"/>
                <w:sz w:val="22"/>
                <w:szCs w:val="22"/>
              </w:rPr>
            </w:pPr>
            <w:r w:rsidRPr="0074128A">
              <w:rPr>
                <w:rFonts w:ascii="Arial" w:hAnsi="Arial" w:cs="Arial"/>
                <w:sz w:val="22"/>
                <w:szCs w:val="22"/>
              </w:rPr>
              <w:t>offences and penalties may be disproportionate to the harm posed by the increasing availability of high-risk products</w:t>
            </w:r>
            <w:r>
              <w:rPr>
                <w:rFonts w:ascii="Arial" w:hAnsi="Arial" w:cs="Arial"/>
                <w:sz w:val="22"/>
                <w:szCs w:val="22"/>
              </w:rPr>
              <w:t>.</w:t>
            </w:r>
          </w:p>
          <w:p w:rsidR="00DE0CB5" w:rsidRPr="0074128A" w:rsidRDefault="00DE0CB5" w:rsidP="00DE0CB5">
            <w:pPr>
              <w:pStyle w:val="ListParagraph"/>
              <w:ind w:left="1230"/>
              <w:rPr>
                <w:rFonts w:ascii="Arial" w:hAnsi="Arial" w:cs="Arial"/>
                <w:sz w:val="22"/>
                <w:szCs w:val="22"/>
              </w:rPr>
            </w:pPr>
          </w:p>
          <w:p w:rsidR="00DE0CB5" w:rsidRDefault="00DE0CB5" w:rsidP="00F45B59">
            <w:pPr>
              <w:pStyle w:val="Style1"/>
              <w:numPr>
                <w:ilvl w:val="0"/>
                <w:numId w:val="0"/>
              </w:numPr>
              <w:ind w:left="601"/>
              <w:rPr>
                <w:rFonts w:ascii="Arial" w:hAnsi="Arial" w:cs="Arial"/>
                <w:sz w:val="22"/>
                <w:szCs w:val="22"/>
              </w:rPr>
            </w:pPr>
            <w:r w:rsidRPr="0074128A">
              <w:rPr>
                <w:rFonts w:ascii="Arial" w:hAnsi="Arial" w:cs="Arial"/>
                <w:sz w:val="22"/>
                <w:szCs w:val="22"/>
              </w:rPr>
              <w:t xml:space="preserve">Amending the </w:t>
            </w:r>
            <w:r w:rsidR="00F411BC">
              <w:rPr>
                <w:rFonts w:ascii="Arial" w:hAnsi="Arial" w:cs="Arial"/>
                <w:sz w:val="22"/>
                <w:szCs w:val="22"/>
              </w:rPr>
              <w:t xml:space="preserve">Psychoactive Substances </w:t>
            </w:r>
            <w:r w:rsidRPr="0074128A">
              <w:rPr>
                <w:rFonts w:ascii="Arial" w:hAnsi="Arial" w:cs="Arial"/>
                <w:sz w:val="22"/>
                <w:szCs w:val="22"/>
              </w:rPr>
              <w:t xml:space="preserve">Act would better enable it to meet its intended purpose.  However, any changes to </w:t>
            </w:r>
            <w:r w:rsidR="00F411BC">
              <w:rPr>
                <w:rFonts w:ascii="Arial" w:hAnsi="Arial" w:cs="Arial"/>
                <w:sz w:val="22"/>
                <w:szCs w:val="22"/>
              </w:rPr>
              <w:t>its</w:t>
            </w:r>
            <w:r w:rsidRPr="0074128A">
              <w:rPr>
                <w:rFonts w:ascii="Arial" w:hAnsi="Arial" w:cs="Arial"/>
                <w:sz w:val="22"/>
                <w:szCs w:val="22"/>
              </w:rPr>
              <w:t xml:space="preserve"> provisions and associated Regulations should be considered as part of a wider drug le</w:t>
            </w:r>
            <w:r w:rsidR="00F411BC">
              <w:rPr>
                <w:rFonts w:ascii="Arial" w:hAnsi="Arial" w:cs="Arial"/>
                <w:sz w:val="22"/>
                <w:szCs w:val="22"/>
              </w:rPr>
              <w:t>gislation reform work programme</w:t>
            </w:r>
            <w:r w:rsidR="0007078B">
              <w:rPr>
                <w:rFonts w:ascii="Arial" w:hAnsi="Arial" w:cs="Arial"/>
                <w:sz w:val="22"/>
                <w:szCs w:val="22"/>
              </w:rPr>
              <w:t xml:space="preserve"> </w:t>
            </w:r>
            <w:r w:rsidRPr="0074128A">
              <w:rPr>
                <w:rFonts w:ascii="Arial" w:hAnsi="Arial" w:cs="Arial"/>
                <w:sz w:val="22"/>
                <w:szCs w:val="22"/>
              </w:rPr>
              <w:t>that aligns with broader Government priorities.</w:t>
            </w:r>
          </w:p>
          <w:p w:rsidR="00F411BC" w:rsidRPr="008633D2" w:rsidRDefault="00F411BC" w:rsidP="00F45B59">
            <w:pPr>
              <w:pStyle w:val="Style1"/>
              <w:numPr>
                <w:ilvl w:val="0"/>
                <w:numId w:val="0"/>
              </w:numPr>
              <w:ind w:left="601"/>
              <w:rPr>
                <w:rFonts w:ascii="Arial" w:hAnsi="Arial" w:cs="Arial"/>
                <w:sz w:val="22"/>
                <w:szCs w:val="22"/>
                <w:lang w:val="en"/>
              </w:rPr>
            </w:pPr>
          </w:p>
        </w:tc>
      </w:tr>
    </w:tbl>
    <w:p w:rsidR="004C6BD6" w:rsidRPr="0074128A" w:rsidRDefault="004C6BD6">
      <w:pPr>
        <w:rPr>
          <w:rFonts w:cs="Arial"/>
          <w:b/>
        </w:rPr>
      </w:pPr>
    </w:p>
    <w:p w:rsidR="005C7810" w:rsidRPr="003E51E6" w:rsidRDefault="005C7810" w:rsidP="00800D7B">
      <w:pPr>
        <w:rPr>
          <w:rFonts w:cs="Arial"/>
        </w:rPr>
      </w:pPr>
    </w:p>
    <w:p w:rsidR="005C7810" w:rsidRDefault="005C7810" w:rsidP="00800D7B">
      <w:pPr>
        <w:rPr>
          <w:rFonts w:cs="Arial"/>
        </w:rPr>
      </w:pPr>
    </w:p>
    <w:p w:rsidR="00EA4A07" w:rsidRDefault="00EA4A07" w:rsidP="00800D7B">
      <w:pPr>
        <w:rPr>
          <w:rFonts w:cs="Arial"/>
        </w:rPr>
        <w:sectPr w:rsidR="00EA4A07" w:rsidSect="003F19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rsidR="00EA4A07" w:rsidRPr="00170678" w:rsidRDefault="00EA4A07" w:rsidP="00800D7B">
      <w:pPr>
        <w:rPr>
          <w:rFonts w:cs="Arial"/>
          <w:b/>
        </w:rPr>
      </w:pPr>
      <w:r w:rsidRPr="00170678">
        <w:rPr>
          <w:rFonts w:cs="Arial"/>
          <w:b/>
        </w:rPr>
        <w:lastRenderedPageBreak/>
        <w:t>Appendix One</w:t>
      </w:r>
      <w:r w:rsidRPr="00170678">
        <w:rPr>
          <w:rFonts w:cs="Arial"/>
          <w:b/>
        </w:rPr>
        <w:tab/>
      </w:r>
      <w:r w:rsidRPr="00170678">
        <w:rPr>
          <w:rFonts w:cs="Arial"/>
          <w:b/>
        </w:rPr>
        <w:tab/>
        <w:t>A history of the Psychoactive Substances Act and the environment.</w:t>
      </w:r>
    </w:p>
    <w:p w:rsidR="00EA4A07" w:rsidRDefault="00EA4A07">
      <w:pPr>
        <w:rPr>
          <w:rFonts w:cs="Arial"/>
        </w:rPr>
      </w:pPr>
    </w:p>
    <w:tbl>
      <w:tblPr>
        <w:tblStyle w:val="TableGrid"/>
        <w:tblW w:w="0" w:type="auto"/>
        <w:tblLook w:val="04A0" w:firstRow="1" w:lastRow="0" w:firstColumn="1" w:lastColumn="0" w:noHBand="0" w:noVBand="1"/>
      </w:tblPr>
      <w:tblGrid>
        <w:gridCol w:w="1413"/>
        <w:gridCol w:w="5386"/>
        <w:gridCol w:w="6237"/>
      </w:tblGrid>
      <w:tr w:rsidR="00EA4A07" w:rsidRPr="002A0016" w:rsidTr="00EA4A07">
        <w:tc>
          <w:tcPr>
            <w:tcW w:w="1413" w:type="dxa"/>
          </w:tcPr>
          <w:p w:rsidR="00EA4A07" w:rsidRPr="002A0016" w:rsidRDefault="00EA4A07" w:rsidP="00EA4A07">
            <w:pPr>
              <w:rPr>
                <w:rFonts w:cs="Arial"/>
                <w:b/>
                <w:sz w:val="20"/>
                <w:szCs w:val="20"/>
              </w:rPr>
            </w:pPr>
            <w:r>
              <w:rPr>
                <w:rFonts w:cs="Arial"/>
                <w:b/>
                <w:sz w:val="20"/>
                <w:szCs w:val="20"/>
              </w:rPr>
              <w:t>Timing</w:t>
            </w:r>
          </w:p>
        </w:tc>
        <w:tc>
          <w:tcPr>
            <w:tcW w:w="5386" w:type="dxa"/>
          </w:tcPr>
          <w:p w:rsidR="00EA4A07" w:rsidRPr="002A0016" w:rsidRDefault="00EA4A07" w:rsidP="00EA4A07">
            <w:pPr>
              <w:rPr>
                <w:rFonts w:cs="Arial"/>
                <w:b/>
                <w:sz w:val="20"/>
                <w:szCs w:val="20"/>
              </w:rPr>
            </w:pPr>
            <w:r>
              <w:rPr>
                <w:rFonts w:cs="Arial"/>
                <w:b/>
                <w:sz w:val="20"/>
                <w:szCs w:val="20"/>
              </w:rPr>
              <w:t>Legislative changes</w:t>
            </w:r>
          </w:p>
        </w:tc>
        <w:tc>
          <w:tcPr>
            <w:tcW w:w="6237" w:type="dxa"/>
          </w:tcPr>
          <w:p w:rsidR="00EA4A07" w:rsidRPr="00364FC9" w:rsidRDefault="00EA4A07" w:rsidP="00EA4A07">
            <w:pPr>
              <w:rPr>
                <w:rFonts w:cs="Arial"/>
                <w:b/>
                <w:sz w:val="20"/>
                <w:szCs w:val="20"/>
                <w:highlight w:val="yellow"/>
              </w:rPr>
            </w:pPr>
            <w:r w:rsidRPr="006050DB">
              <w:rPr>
                <w:rFonts w:cs="Arial"/>
                <w:b/>
                <w:sz w:val="20"/>
                <w:szCs w:val="20"/>
              </w:rPr>
              <w:t>The environment</w:t>
            </w:r>
          </w:p>
        </w:tc>
      </w:tr>
      <w:tr w:rsidR="00EA4A07" w:rsidRPr="002A0016" w:rsidTr="00EA4A07">
        <w:tc>
          <w:tcPr>
            <w:tcW w:w="1413" w:type="dxa"/>
          </w:tcPr>
          <w:p w:rsidR="00EA4A07" w:rsidRPr="002A0016" w:rsidRDefault="00EA4A07" w:rsidP="00EA4A07">
            <w:pPr>
              <w:rPr>
                <w:rFonts w:cs="Arial"/>
                <w:b/>
                <w:sz w:val="20"/>
                <w:szCs w:val="20"/>
              </w:rPr>
            </w:pPr>
            <w:r w:rsidRPr="002A0016">
              <w:rPr>
                <w:rFonts w:cs="Arial"/>
                <w:b/>
                <w:sz w:val="20"/>
                <w:szCs w:val="20"/>
              </w:rPr>
              <w:t>Early 2000s</w:t>
            </w:r>
          </w:p>
        </w:tc>
        <w:tc>
          <w:tcPr>
            <w:tcW w:w="5386" w:type="dxa"/>
          </w:tcPr>
          <w:p w:rsidR="00EA4A07"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New Zealand experienced a rise in the availability and use of unregulated psychoactive substances (in products</w:t>
            </w:r>
            <w:r>
              <w:rPr>
                <w:rFonts w:eastAsia="Times New Roman" w:cs="Arial"/>
                <w:color w:val="000000"/>
                <w:sz w:val="20"/>
                <w:szCs w:val="20"/>
                <w:lang w:val="en" w:eastAsia="en-NZ"/>
              </w:rPr>
              <w:t xml:space="preserve"> known</w:t>
            </w:r>
            <w:r w:rsidRPr="002A0016">
              <w:rPr>
                <w:rFonts w:eastAsia="Times New Roman" w:cs="Arial"/>
                <w:color w:val="000000"/>
                <w:sz w:val="20"/>
                <w:szCs w:val="20"/>
                <w:lang w:val="en" w:eastAsia="en-NZ"/>
              </w:rPr>
              <w:t xml:space="preserve"> as party pills, herbal highs, energy pills, synthetic cannabis)</w:t>
            </w:r>
            <w:r w:rsidR="007623ED">
              <w:rPr>
                <w:rFonts w:eastAsia="Times New Roman" w:cs="Arial"/>
                <w:color w:val="000000"/>
                <w:sz w:val="20"/>
                <w:szCs w:val="20"/>
                <w:lang w:val="en" w:eastAsia="en-NZ"/>
              </w:rPr>
              <w:t>.</w:t>
            </w:r>
            <w:r>
              <w:rPr>
                <w:rStyle w:val="FootnoteReference"/>
                <w:rFonts w:eastAsia="Times New Roman" w:cs="Arial"/>
                <w:color w:val="000000"/>
                <w:sz w:val="20"/>
                <w:szCs w:val="20"/>
                <w:lang w:val="en" w:eastAsia="en-NZ"/>
              </w:rPr>
              <w:footnoteReference w:id="2"/>
            </w:r>
          </w:p>
          <w:p w:rsidR="00EA4A07" w:rsidRPr="002A0016" w:rsidRDefault="00EA4A07" w:rsidP="00EA4A07">
            <w:pPr>
              <w:rPr>
                <w:rFonts w:cs="Arial"/>
                <w:b/>
                <w:sz w:val="20"/>
                <w:szCs w:val="20"/>
              </w:rPr>
            </w:pPr>
          </w:p>
        </w:tc>
        <w:tc>
          <w:tcPr>
            <w:tcW w:w="6237" w:type="dxa"/>
          </w:tcPr>
          <w:p w:rsidR="00EA4A07" w:rsidRDefault="00EA4A07" w:rsidP="00EA4A07">
            <w:pPr>
              <w:rPr>
                <w:rFonts w:eastAsia="Times New Roman" w:cs="Arial"/>
                <w:color w:val="000000"/>
                <w:sz w:val="20"/>
                <w:szCs w:val="20"/>
                <w:lang w:val="en" w:eastAsia="en-NZ"/>
              </w:rPr>
            </w:pPr>
            <w:r w:rsidRPr="00054CC6">
              <w:rPr>
                <w:rFonts w:eastAsia="Times New Roman" w:cs="Arial"/>
                <w:color w:val="000000"/>
                <w:sz w:val="20"/>
                <w:szCs w:val="20"/>
                <w:lang w:val="en" w:eastAsia="en-NZ"/>
              </w:rPr>
              <w:t>In the early 20</w:t>
            </w:r>
            <w:r w:rsidR="00F779A8">
              <w:rPr>
                <w:rFonts w:eastAsia="Times New Roman" w:cs="Arial"/>
                <w:color w:val="000000"/>
                <w:sz w:val="20"/>
                <w:szCs w:val="20"/>
                <w:lang w:val="en" w:eastAsia="en-NZ"/>
              </w:rPr>
              <w:t>0</w:t>
            </w:r>
            <w:r w:rsidRPr="00054CC6">
              <w:rPr>
                <w:rFonts w:eastAsia="Times New Roman" w:cs="Arial"/>
                <w:color w:val="000000"/>
                <w:sz w:val="20"/>
                <w:szCs w:val="20"/>
                <w:lang w:val="en" w:eastAsia="en-NZ"/>
              </w:rPr>
              <w:t>0s new kinds of recreational drugs arrived in NZ.</w:t>
            </w:r>
            <w:r>
              <w:rPr>
                <w:rFonts w:eastAsia="Times New Roman" w:cs="Arial"/>
                <w:color w:val="000000"/>
                <w:sz w:val="20"/>
                <w:szCs w:val="20"/>
                <w:lang w:val="en" w:eastAsia="en-NZ"/>
              </w:rPr>
              <w:t xml:space="preserve"> Party pills, designer drugs, and legal highs containing no illegal ingredients were sold in dairies and bottle stores. There were increasing reports of side effects including aggression, psychosis, and seizures. </w:t>
            </w:r>
          </w:p>
          <w:p w:rsidR="00EA4A07" w:rsidRDefault="00EA4A07" w:rsidP="00EA4A07">
            <w:pPr>
              <w:rPr>
                <w:rFonts w:eastAsia="Times New Roman" w:cs="Arial"/>
                <w:color w:val="000000"/>
                <w:sz w:val="20"/>
                <w:szCs w:val="20"/>
                <w:lang w:val="en" w:eastAsia="en-NZ"/>
              </w:rPr>
            </w:pPr>
          </w:p>
          <w:p w:rsidR="00EA4A07" w:rsidRPr="00054CC6" w:rsidRDefault="007623ED" w:rsidP="007623ED">
            <w:pPr>
              <w:rPr>
                <w:rFonts w:eastAsia="Times New Roman" w:cs="Arial"/>
                <w:color w:val="000000"/>
                <w:sz w:val="20"/>
                <w:szCs w:val="20"/>
                <w:lang w:val="en" w:eastAsia="en-NZ"/>
              </w:rPr>
            </w:pPr>
            <w:r>
              <w:rPr>
                <w:rFonts w:eastAsia="Times New Roman" w:cs="Arial"/>
                <w:color w:val="000000"/>
                <w:sz w:val="20"/>
                <w:szCs w:val="20"/>
                <w:lang w:val="en" w:eastAsia="en-NZ"/>
              </w:rPr>
              <w:t>The p</w:t>
            </w:r>
            <w:r w:rsidR="00EA4A07">
              <w:rPr>
                <w:rFonts w:eastAsia="Times New Roman" w:cs="Arial"/>
                <w:color w:val="000000"/>
                <w:sz w:val="20"/>
                <w:szCs w:val="20"/>
                <w:lang w:val="en" w:eastAsia="en-NZ"/>
              </w:rPr>
              <w:t>rocess for controlling psychoactive substances was onerous and unsuited to the rapid growth of novel synthetic substances.</w:t>
            </w:r>
          </w:p>
        </w:tc>
      </w:tr>
      <w:tr w:rsidR="00EA4A07" w:rsidRPr="002A0016" w:rsidTr="00EA4A07">
        <w:tc>
          <w:tcPr>
            <w:tcW w:w="1413" w:type="dxa"/>
          </w:tcPr>
          <w:p w:rsidR="00EA4A07" w:rsidRPr="002A0016" w:rsidRDefault="00EA4A07" w:rsidP="00EA4A07">
            <w:pPr>
              <w:rPr>
                <w:rFonts w:cs="Arial"/>
                <w:b/>
                <w:sz w:val="20"/>
                <w:szCs w:val="20"/>
              </w:rPr>
            </w:pPr>
            <w:r w:rsidRPr="002A0016">
              <w:rPr>
                <w:rFonts w:cs="Arial"/>
                <w:b/>
                <w:sz w:val="20"/>
                <w:szCs w:val="20"/>
              </w:rPr>
              <w:t>2011</w:t>
            </w:r>
          </w:p>
        </w:tc>
        <w:tc>
          <w:tcPr>
            <w:tcW w:w="5386" w:type="dxa"/>
          </w:tcPr>
          <w:p w:rsidR="00EA4A07"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The Law Commission released its report</w:t>
            </w:r>
            <w:r>
              <w:rPr>
                <w:rFonts w:eastAsia="Times New Roman" w:cs="Arial"/>
                <w:color w:val="000000"/>
                <w:sz w:val="20"/>
                <w:szCs w:val="20"/>
                <w:lang w:val="en" w:eastAsia="en-NZ"/>
              </w:rPr>
              <w:t xml:space="preserve"> reviewing the Misuse of Drugs Act 1975, including</w:t>
            </w:r>
            <w:r w:rsidRPr="002A0016">
              <w:rPr>
                <w:rFonts w:eastAsia="Times New Roman" w:cs="Arial"/>
                <w:color w:val="000000"/>
                <w:sz w:val="20"/>
                <w:szCs w:val="20"/>
                <w:lang w:val="en" w:eastAsia="en-NZ"/>
              </w:rPr>
              <w:t xml:space="preserve"> r</w:t>
            </w:r>
            <w:r>
              <w:rPr>
                <w:rFonts w:eastAsia="Times New Roman" w:cs="Arial"/>
                <w:color w:val="000000"/>
                <w:sz w:val="20"/>
                <w:szCs w:val="20"/>
                <w:lang w:val="en" w:eastAsia="en-NZ"/>
              </w:rPr>
              <w:t>ecommendations for a new regime for psychoactive substances.</w:t>
            </w:r>
          </w:p>
          <w:p w:rsidR="00EA4A07" w:rsidRDefault="00EA4A07" w:rsidP="00EA4A07">
            <w:pPr>
              <w:rPr>
                <w:rFonts w:eastAsia="Times New Roman" w:cs="Arial"/>
                <w:color w:val="000000"/>
                <w:sz w:val="20"/>
                <w:szCs w:val="20"/>
                <w:lang w:val="en" w:eastAsia="en-NZ"/>
              </w:rPr>
            </w:pPr>
          </w:p>
          <w:p w:rsidR="00EA4A07"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 xml:space="preserve">A 2011 amendment to the Misuse of Drugs Act allowed for temporary class drug notices (TCDN) providing a mechanism for prohibiting import, manufacture, sale and supply of substances listed by a notice in the Gazette. </w:t>
            </w:r>
          </w:p>
          <w:p w:rsidR="00EA4A07" w:rsidRDefault="00EA4A07" w:rsidP="00EA4A07">
            <w:pPr>
              <w:rPr>
                <w:rFonts w:eastAsia="Times New Roman" w:cs="Arial"/>
                <w:color w:val="000000"/>
                <w:sz w:val="20"/>
                <w:szCs w:val="20"/>
                <w:lang w:val="en" w:eastAsia="en-NZ"/>
              </w:rPr>
            </w:pPr>
          </w:p>
          <w:p w:rsidR="00EA4A07" w:rsidRPr="002A0016"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Newly identified substances could be placed under a TCDN providing emergency restrictions as an interim measure while substances were assessed by an expert committee and a decision made about appropriate scheduling as a controlled drug or a restricted substance.</w:t>
            </w:r>
          </w:p>
        </w:tc>
        <w:tc>
          <w:tcPr>
            <w:tcW w:w="6237" w:type="dxa"/>
          </w:tcPr>
          <w:p w:rsidR="00EA4A07"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From 2011 analysis of large seizures of powders at the NZ border showed the presence of synthetic cannabinoids.</w:t>
            </w:r>
          </w:p>
          <w:p w:rsidR="00EA4A07"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 xml:space="preserve"> </w:t>
            </w:r>
          </w:p>
          <w:p w:rsidR="00EA4A07"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22 compounds were the subject of TCDNs from August 2011 to July 2013.</w:t>
            </w:r>
          </w:p>
          <w:p w:rsidR="00EA4A07" w:rsidRDefault="00EA4A07" w:rsidP="00EA4A07">
            <w:pPr>
              <w:rPr>
                <w:rFonts w:eastAsia="Times New Roman" w:cs="Arial"/>
                <w:color w:val="000000"/>
                <w:sz w:val="20"/>
                <w:szCs w:val="20"/>
                <w:lang w:val="en" w:eastAsia="en-NZ"/>
              </w:rPr>
            </w:pPr>
          </w:p>
          <w:p w:rsidR="00EA4A07"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 xml:space="preserve">TCDNs provided an emergency solution where there were </w:t>
            </w:r>
            <w:r w:rsidR="007623ED">
              <w:rPr>
                <w:rFonts w:eastAsia="Times New Roman" w:cs="Arial"/>
                <w:color w:val="000000"/>
                <w:sz w:val="20"/>
                <w:szCs w:val="20"/>
                <w:lang w:val="en" w:eastAsia="en-NZ"/>
              </w:rPr>
              <w:t xml:space="preserve">suspected </w:t>
            </w:r>
            <w:r>
              <w:rPr>
                <w:rFonts w:eastAsia="Times New Roman" w:cs="Arial"/>
                <w:color w:val="000000"/>
                <w:sz w:val="20"/>
                <w:szCs w:val="20"/>
                <w:lang w:val="en" w:eastAsia="en-NZ"/>
              </w:rPr>
              <w:t>safety issues but were not an evidence-based approach to drug control. They reduced, but did not eradicate the issues of being able to act quickly to regulate substances.</w:t>
            </w:r>
          </w:p>
          <w:p w:rsidR="00EA4A07" w:rsidRDefault="00EA4A07" w:rsidP="00EA4A07">
            <w:pPr>
              <w:rPr>
                <w:rFonts w:eastAsia="Times New Roman" w:cs="Arial"/>
                <w:color w:val="000000"/>
                <w:sz w:val="20"/>
                <w:szCs w:val="20"/>
                <w:lang w:val="en" w:eastAsia="en-NZ"/>
              </w:rPr>
            </w:pPr>
          </w:p>
          <w:p w:rsidR="00EA4A07" w:rsidRPr="002A0016" w:rsidRDefault="00EA4A07" w:rsidP="00EA4A07">
            <w:pPr>
              <w:rPr>
                <w:rFonts w:eastAsia="Times New Roman" w:cs="Arial"/>
                <w:color w:val="000000"/>
                <w:sz w:val="20"/>
                <w:szCs w:val="20"/>
                <w:lang w:val="en" w:eastAsia="en-NZ"/>
              </w:rPr>
            </w:pPr>
          </w:p>
        </w:tc>
      </w:tr>
      <w:tr w:rsidR="00EA4A07" w:rsidRPr="002A0016" w:rsidTr="00EA4A07">
        <w:tc>
          <w:tcPr>
            <w:tcW w:w="1413" w:type="dxa"/>
          </w:tcPr>
          <w:p w:rsidR="00EA4A07" w:rsidRPr="002A0016" w:rsidRDefault="00EA4A07" w:rsidP="00EA4A07">
            <w:pPr>
              <w:rPr>
                <w:rFonts w:cs="Arial"/>
                <w:b/>
                <w:sz w:val="20"/>
                <w:szCs w:val="20"/>
              </w:rPr>
            </w:pPr>
            <w:r w:rsidRPr="002A0016">
              <w:rPr>
                <w:rFonts w:cs="Arial"/>
                <w:b/>
                <w:sz w:val="20"/>
                <w:szCs w:val="20"/>
              </w:rPr>
              <w:t>2013</w:t>
            </w:r>
          </w:p>
        </w:tc>
        <w:tc>
          <w:tcPr>
            <w:tcW w:w="5386" w:type="dxa"/>
          </w:tcPr>
          <w:p w:rsidR="00EA4A07"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The Associate M</w:t>
            </w:r>
            <w:r>
              <w:rPr>
                <w:rFonts w:eastAsia="Times New Roman" w:cs="Arial"/>
                <w:color w:val="000000"/>
                <w:sz w:val="20"/>
                <w:szCs w:val="20"/>
                <w:lang w:val="en" w:eastAsia="en-NZ"/>
              </w:rPr>
              <w:t>inister of Health introduced a B</w:t>
            </w:r>
            <w:r w:rsidRPr="002A0016">
              <w:rPr>
                <w:rFonts w:eastAsia="Times New Roman" w:cs="Arial"/>
                <w:color w:val="000000"/>
                <w:sz w:val="20"/>
                <w:szCs w:val="20"/>
                <w:lang w:val="en" w:eastAsia="en-NZ"/>
              </w:rPr>
              <w:t>ill to regulate the sale, importation and manufacture of psychoactive substances</w:t>
            </w:r>
            <w:r w:rsidR="007623ED">
              <w:rPr>
                <w:rFonts w:eastAsia="Times New Roman" w:cs="Arial"/>
                <w:color w:val="000000"/>
                <w:sz w:val="20"/>
                <w:szCs w:val="20"/>
                <w:lang w:val="en" w:eastAsia="en-NZ"/>
              </w:rPr>
              <w:t>.</w:t>
            </w:r>
          </w:p>
          <w:p w:rsidR="00EA4A07" w:rsidRPr="002A0016" w:rsidRDefault="00EA4A07" w:rsidP="00EA4A07">
            <w:pPr>
              <w:rPr>
                <w:rFonts w:eastAsia="Times New Roman" w:cs="Arial"/>
                <w:color w:val="000000"/>
                <w:sz w:val="20"/>
                <w:szCs w:val="20"/>
                <w:lang w:val="en" w:eastAsia="en-NZ"/>
              </w:rPr>
            </w:pPr>
          </w:p>
        </w:tc>
        <w:tc>
          <w:tcPr>
            <w:tcW w:w="6237" w:type="dxa"/>
          </w:tcPr>
          <w:p w:rsidR="00EA4A07" w:rsidRPr="002A0016" w:rsidRDefault="00EA4A07" w:rsidP="007623ED">
            <w:pPr>
              <w:rPr>
                <w:rFonts w:eastAsia="Times New Roman" w:cs="Arial"/>
                <w:color w:val="000000"/>
                <w:sz w:val="20"/>
                <w:szCs w:val="20"/>
                <w:lang w:val="en" w:eastAsia="en-NZ"/>
              </w:rPr>
            </w:pPr>
            <w:r>
              <w:rPr>
                <w:rFonts w:eastAsia="Times New Roman" w:cs="Arial"/>
                <w:color w:val="000000"/>
                <w:sz w:val="20"/>
                <w:szCs w:val="20"/>
                <w:lang w:val="en" w:eastAsia="en-NZ"/>
              </w:rPr>
              <w:t>The Act put the onus of proof that products were a low risk of harm onto the manufacturer/importer/distributor rather than requiring regulators to prove they were not safe. So instead of being legal until proven to be unsafe, the Act meant a product must be proven safe before it could be legally sold.</w:t>
            </w:r>
          </w:p>
        </w:tc>
      </w:tr>
      <w:tr w:rsidR="00EA4A07" w:rsidRPr="002A0016" w:rsidTr="00EA4A07">
        <w:tc>
          <w:tcPr>
            <w:tcW w:w="1413" w:type="dxa"/>
          </w:tcPr>
          <w:p w:rsidR="00EA4A07" w:rsidRPr="002A0016" w:rsidRDefault="00EA4A07" w:rsidP="00EA4A07">
            <w:pPr>
              <w:rPr>
                <w:rFonts w:cs="Arial"/>
                <w:b/>
                <w:sz w:val="20"/>
                <w:szCs w:val="20"/>
              </w:rPr>
            </w:pPr>
            <w:r w:rsidRPr="002A0016">
              <w:rPr>
                <w:rFonts w:cs="Arial"/>
                <w:b/>
                <w:sz w:val="20"/>
                <w:szCs w:val="20"/>
              </w:rPr>
              <w:t>18 July 2013</w:t>
            </w:r>
          </w:p>
        </w:tc>
        <w:tc>
          <w:tcPr>
            <w:tcW w:w="5386" w:type="dxa"/>
          </w:tcPr>
          <w:p w:rsidR="00EA4A07"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 xml:space="preserve">The Psychoactive Substances Act </w:t>
            </w:r>
            <w:r w:rsidR="007623ED">
              <w:rPr>
                <w:rFonts w:eastAsia="Times New Roman" w:cs="Arial"/>
                <w:color w:val="000000"/>
                <w:sz w:val="20"/>
                <w:szCs w:val="20"/>
                <w:lang w:val="en" w:eastAsia="en-NZ"/>
              </w:rPr>
              <w:t xml:space="preserve">2013 came into force </w:t>
            </w:r>
            <w:r>
              <w:rPr>
                <w:rFonts w:eastAsia="Times New Roman" w:cs="Arial"/>
                <w:color w:val="000000"/>
                <w:sz w:val="20"/>
                <w:szCs w:val="20"/>
                <w:lang w:val="en" w:eastAsia="en-NZ"/>
              </w:rPr>
              <w:t xml:space="preserve">to regulate the availability of psychoactive substances in New Zealand to protect the health of, and minimise harm to, individuals who use psychoactive substances. The Act </w:t>
            </w:r>
            <w:r>
              <w:rPr>
                <w:rFonts w:eastAsia="Times New Roman" w:cs="Arial"/>
                <w:color w:val="000000"/>
                <w:sz w:val="20"/>
                <w:szCs w:val="20"/>
                <w:lang w:val="en" w:eastAsia="en-NZ"/>
              </w:rPr>
              <w:lastRenderedPageBreak/>
              <w:t>establishes the Psychoactive Substances Regulatory Authority</w:t>
            </w:r>
            <w:r w:rsidR="007623ED">
              <w:rPr>
                <w:rFonts w:eastAsia="Times New Roman" w:cs="Arial"/>
                <w:color w:val="000000"/>
                <w:sz w:val="20"/>
                <w:szCs w:val="20"/>
                <w:lang w:val="en" w:eastAsia="en-NZ"/>
              </w:rPr>
              <w:t>.</w:t>
            </w:r>
          </w:p>
          <w:p w:rsidR="00EA4A07" w:rsidRPr="002A0016" w:rsidRDefault="00EA4A07" w:rsidP="00EA4A07">
            <w:pPr>
              <w:rPr>
                <w:rFonts w:eastAsia="Times New Roman" w:cs="Arial"/>
                <w:color w:val="000000"/>
                <w:sz w:val="20"/>
                <w:szCs w:val="20"/>
                <w:lang w:val="en" w:eastAsia="en-NZ"/>
              </w:rPr>
            </w:pPr>
          </w:p>
        </w:tc>
        <w:tc>
          <w:tcPr>
            <w:tcW w:w="6237" w:type="dxa"/>
          </w:tcPr>
          <w:p w:rsidR="00EA4A07" w:rsidRPr="002A0016"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lastRenderedPageBreak/>
              <w:t>Products, including those with synthetic cannabinoids</w:t>
            </w:r>
            <w:r w:rsidR="007623ED">
              <w:rPr>
                <w:rFonts w:eastAsia="Times New Roman" w:cs="Arial"/>
                <w:color w:val="000000"/>
                <w:sz w:val="20"/>
                <w:szCs w:val="20"/>
                <w:lang w:val="en" w:eastAsia="en-NZ"/>
              </w:rPr>
              <w:t>,</w:t>
            </w:r>
            <w:r>
              <w:rPr>
                <w:rFonts w:eastAsia="Times New Roman" w:cs="Arial"/>
                <w:color w:val="000000"/>
                <w:sz w:val="20"/>
                <w:szCs w:val="20"/>
                <w:lang w:val="en" w:eastAsia="en-NZ"/>
              </w:rPr>
              <w:t xml:space="preserve"> became banned because they had not been proven to be low risk, pushing them into the black market. </w:t>
            </w:r>
          </w:p>
        </w:tc>
      </w:tr>
      <w:tr w:rsidR="00EA4A07" w:rsidRPr="002A0016" w:rsidTr="00EA4A07">
        <w:tc>
          <w:tcPr>
            <w:tcW w:w="1413" w:type="dxa"/>
          </w:tcPr>
          <w:p w:rsidR="00EA4A07" w:rsidRPr="002A0016" w:rsidRDefault="00EA4A07" w:rsidP="00EA4A07">
            <w:pPr>
              <w:rPr>
                <w:rFonts w:cs="Arial"/>
                <w:b/>
                <w:sz w:val="20"/>
                <w:szCs w:val="20"/>
              </w:rPr>
            </w:pPr>
            <w:r w:rsidRPr="002A0016">
              <w:rPr>
                <w:rFonts w:eastAsia="Times New Roman" w:cs="Arial"/>
                <w:b/>
                <w:bCs/>
                <w:color w:val="000000"/>
                <w:sz w:val="20"/>
                <w:szCs w:val="20"/>
                <w:lang w:val="en" w:eastAsia="en-NZ"/>
              </w:rPr>
              <w:t>July 2013 – May 2014</w:t>
            </w:r>
          </w:p>
        </w:tc>
        <w:tc>
          <w:tcPr>
            <w:tcW w:w="5386" w:type="dxa"/>
          </w:tcPr>
          <w:p w:rsidR="00EA4A07" w:rsidRPr="002A0016"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Interim regime</w:t>
            </w:r>
            <w:r>
              <w:rPr>
                <w:rFonts w:eastAsia="Times New Roman" w:cs="Arial"/>
                <w:color w:val="000000"/>
                <w:sz w:val="20"/>
                <w:szCs w:val="20"/>
                <w:lang w:val="en" w:eastAsia="en-NZ"/>
              </w:rPr>
              <w:t xml:space="preserve"> under the Act was in place. S</w:t>
            </w:r>
            <w:r w:rsidRPr="002A0016">
              <w:rPr>
                <w:rFonts w:eastAsia="Times New Roman" w:cs="Arial"/>
                <w:color w:val="000000"/>
                <w:sz w:val="20"/>
                <w:szCs w:val="20"/>
                <w:lang w:val="en" w:eastAsia="en-NZ"/>
              </w:rPr>
              <w:t>ome products were granted interim approvals and some manufacturers, importers, wholesalers and retailer</w:t>
            </w:r>
            <w:r>
              <w:rPr>
                <w:rFonts w:eastAsia="Times New Roman" w:cs="Arial"/>
                <w:color w:val="000000"/>
                <w:sz w:val="20"/>
                <w:szCs w:val="20"/>
                <w:lang w:val="en" w:eastAsia="en-NZ"/>
              </w:rPr>
              <w:t>s were granted interim licenses</w:t>
            </w:r>
            <w:r w:rsidR="007623ED">
              <w:rPr>
                <w:rFonts w:eastAsia="Times New Roman" w:cs="Arial"/>
                <w:color w:val="000000"/>
                <w:sz w:val="20"/>
                <w:szCs w:val="20"/>
                <w:lang w:val="en" w:eastAsia="en-NZ"/>
              </w:rPr>
              <w:t>.</w:t>
            </w:r>
          </w:p>
          <w:p w:rsidR="00EA4A07" w:rsidRPr="002A0016" w:rsidRDefault="00EA4A07" w:rsidP="00EA4A07">
            <w:pPr>
              <w:rPr>
                <w:rFonts w:eastAsia="Times New Roman" w:cs="Arial"/>
                <w:color w:val="000000"/>
                <w:sz w:val="20"/>
                <w:szCs w:val="20"/>
                <w:lang w:val="en" w:eastAsia="en-NZ"/>
              </w:rPr>
            </w:pPr>
          </w:p>
        </w:tc>
        <w:tc>
          <w:tcPr>
            <w:tcW w:w="6237" w:type="dxa"/>
          </w:tcPr>
          <w:p w:rsidR="00EA4A07" w:rsidRDefault="007623ED" w:rsidP="00EA4A07">
            <w:pPr>
              <w:rPr>
                <w:rFonts w:eastAsia="Times New Roman" w:cs="Arial"/>
                <w:color w:val="000000"/>
                <w:sz w:val="20"/>
                <w:szCs w:val="20"/>
                <w:lang w:val="en" w:eastAsia="en-NZ"/>
              </w:rPr>
            </w:pPr>
            <w:r>
              <w:rPr>
                <w:rFonts w:eastAsia="Times New Roman" w:cs="Arial"/>
                <w:color w:val="000000"/>
                <w:sz w:val="20"/>
                <w:szCs w:val="20"/>
                <w:lang w:val="en" w:eastAsia="en-NZ"/>
              </w:rPr>
              <w:t>A number of products</w:t>
            </w:r>
            <w:r w:rsidR="00EA4A07">
              <w:rPr>
                <w:rFonts w:eastAsia="Times New Roman" w:cs="Arial"/>
                <w:color w:val="000000"/>
                <w:sz w:val="20"/>
                <w:szCs w:val="20"/>
                <w:lang w:val="en" w:eastAsia="en-NZ"/>
              </w:rPr>
              <w:t xml:space="preserve"> were given interim licensing which meant they could be legally sold. Community concern about safety of these products continued, with a lot of media attention.</w:t>
            </w:r>
          </w:p>
          <w:p w:rsidR="00EA4A07" w:rsidRDefault="00EA4A07" w:rsidP="00EA4A07">
            <w:pPr>
              <w:rPr>
                <w:rFonts w:eastAsia="Times New Roman" w:cs="Arial"/>
                <w:color w:val="000000"/>
                <w:sz w:val="20"/>
                <w:szCs w:val="20"/>
                <w:lang w:val="en" w:eastAsia="en-NZ"/>
              </w:rPr>
            </w:pPr>
          </w:p>
          <w:p w:rsidR="00EA4A07" w:rsidRPr="002A0016"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During the interim period there was widespread concern about animal testing, with street marches, petitions and comment on social media.</w:t>
            </w:r>
          </w:p>
        </w:tc>
      </w:tr>
      <w:tr w:rsidR="00EA4A07" w:rsidRPr="002A0016" w:rsidTr="00EA4A07">
        <w:tc>
          <w:tcPr>
            <w:tcW w:w="1413" w:type="dxa"/>
          </w:tcPr>
          <w:p w:rsidR="00EA4A07" w:rsidRPr="002A0016" w:rsidRDefault="00EA4A07" w:rsidP="00EA4A07">
            <w:pPr>
              <w:rPr>
                <w:rFonts w:eastAsia="Times New Roman" w:cs="Arial"/>
                <w:b/>
                <w:bCs/>
                <w:color w:val="000000"/>
                <w:sz w:val="20"/>
                <w:szCs w:val="20"/>
                <w:lang w:val="en" w:eastAsia="en-NZ"/>
              </w:rPr>
            </w:pPr>
            <w:r w:rsidRPr="002A0016">
              <w:rPr>
                <w:rFonts w:eastAsia="Times New Roman" w:cs="Arial"/>
                <w:b/>
                <w:bCs/>
                <w:color w:val="000000"/>
                <w:sz w:val="20"/>
                <w:szCs w:val="20"/>
                <w:lang w:val="en" w:eastAsia="en-NZ"/>
              </w:rPr>
              <w:t>8 May 2014:</w:t>
            </w:r>
          </w:p>
        </w:tc>
        <w:tc>
          <w:tcPr>
            <w:tcW w:w="5386" w:type="dxa"/>
          </w:tcPr>
          <w:p w:rsidR="00EA4A07" w:rsidRPr="002A0016"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The Psychoactive Substances Amendment Act 2014 was passed:</w:t>
            </w:r>
          </w:p>
          <w:p w:rsidR="00EA4A07" w:rsidRPr="00170678" w:rsidRDefault="00EA4A07" w:rsidP="00EA4A07">
            <w:pPr>
              <w:pStyle w:val="ListParagraph"/>
              <w:numPr>
                <w:ilvl w:val="0"/>
                <w:numId w:val="27"/>
              </w:numPr>
              <w:rPr>
                <w:rFonts w:ascii="Arial" w:hAnsi="Arial" w:cs="Arial"/>
                <w:color w:val="000000"/>
                <w:sz w:val="20"/>
                <w:szCs w:val="20"/>
                <w:lang w:val="en" w:eastAsia="en-NZ"/>
              </w:rPr>
            </w:pPr>
            <w:r w:rsidRPr="00170678">
              <w:rPr>
                <w:rFonts w:ascii="Arial" w:hAnsi="Arial" w:cs="Arial"/>
                <w:color w:val="000000"/>
                <w:sz w:val="20"/>
                <w:szCs w:val="20"/>
                <w:lang w:val="en" w:eastAsia="en-NZ"/>
              </w:rPr>
              <w:t>removed all interim approvals and licences from the New Zealand market (resulting in a recall of all products)</w:t>
            </w:r>
          </w:p>
          <w:p w:rsidR="00EA4A07" w:rsidRPr="00170678" w:rsidRDefault="00EA4A07" w:rsidP="00EA4A07">
            <w:pPr>
              <w:pStyle w:val="ListParagraph"/>
              <w:numPr>
                <w:ilvl w:val="0"/>
                <w:numId w:val="27"/>
              </w:numPr>
              <w:rPr>
                <w:rFonts w:ascii="Arial" w:hAnsi="Arial" w:cs="Arial"/>
                <w:color w:val="000000"/>
                <w:sz w:val="20"/>
                <w:szCs w:val="20"/>
                <w:lang w:val="en" w:eastAsia="en-NZ"/>
              </w:rPr>
            </w:pPr>
            <w:r w:rsidRPr="00170678">
              <w:rPr>
                <w:rFonts w:ascii="Arial" w:hAnsi="Arial" w:cs="Arial"/>
                <w:color w:val="000000"/>
                <w:sz w:val="20"/>
                <w:szCs w:val="20"/>
                <w:lang w:val="en" w:eastAsia="en-NZ"/>
              </w:rPr>
              <w:t>prohibited the consideration of animal testing by the Expert Advisory Committee when assessing if products are of low risk and therefore able to be approved</w:t>
            </w:r>
          </w:p>
          <w:p w:rsidR="00EA4A07" w:rsidRPr="00170678" w:rsidRDefault="00EA4A07" w:rsidP="00EA4A07">
            <w:pPr>
              <w:pStyle w:val="ListParagraph"/>
              <w:numPr>
                <w:ilvl w:val="0"/>
                <w:numId w:val="27"/>
              </w:numPr>
              <w:rPr>
                <w:rFonts w:ascii="Arial" w:hAnsi="Arial" w:cs="Arial"/>
                <w:color w:val="000000"/>
                <w:sz w:val="20"/>
                <w:szCs w:val="20"/>
                <w:lang w:val="en" w:eastAsia="en-NZ"/>
              </w:rPr>
            </w:pPr>
            <w:r w:rsidRPr="00170678">
              <w:rPr>
                <w:rFonts w:ascii="Arial" w:hAnsi="Arial" w:cs="Arial"/>
                <w:color w:val="000000"/>
                <w:sz w:val="20"/>
                <w:szCs w:val="20"/>
                <w:lang w:val="en" w:eastAsia="en-NZ"/>
              </w:rPr>
              <w:t>introduced a moratorium on processing any product approval applications or licensing applications until regulations came into force</w:t>
            </w:r>
            <w:r w:rsidR="007623ED">
              <w:rPr>
                <w:rFonts w:ascii="Arial" w:hAnsi="Arial" w:cs="Arial"/>
                <w:color w:val="000000"/>
                <w:sz w:val="20"/>
                <w:szCs w:val="20"/>
                <w:lang w:val="en" w:eastAsia="en-NZ"/>
              </w:rPr>
              <w:t>.</w:t>
            </w:r>
          </w:p>
          <w:p w:rsidR="00EA4A07" w:rsidRPr="002A0016" w:rsidRDefault="00EA4A07" w:rsidP="00EA4A07">
            <w:pPr>
              <w:numPr>
                <w:ilvl w:val="0"/>
                <w:numId w:val="26"/>
              </w:numPr>
              <w:ind w:left="0"/>
              <w:rPr>
                <w:rFonts w:eastAsia="Times New Roman" w:cs="Arial"/>
                <w:color w:val="000000"/>
                <w:sz w:val="20"/>
                <w:szCs w:val="20"/>
                <w:lang w:val="en" w:eastAsia="en-NZ"/>
              </w:rPr>
            </w:pPr>
          </w:p>
        </w:tc>
        <w:tc>
          <w:tcPr>
            <w:tcW w:w="6237" w:type="dxa"/>
          </w:tcPr>
          <w:p w:rsidR="00EA4A07" w:rsidRPr="002A0016"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Regulations were expected to be in place by the end of 2014, allowing the full regulatory regime to come into effect.</w:t>
            </w:r>
          </w:p>
        </w:tc>
      </w:tr>
      <w:tr w:rsidR="00EA4A07" w:rsidRPr="002A0016" w:rsidTr="00EA4A07">
        <w:tc>
          <w:tcPr>
            <w:tcW w:w="1413" w:type="dxa"/>
          </w:tcPr>
          <w:p w:rsidR="00EA4A07" w:rsidRPr="002A0016" w:rsidRDefault="00EA4A07" w:rsidP="00EA4A07">
            <w:pPr>
              <w:rPr>
                <w:rFonts w:eastAsia="Times New Roman" w:cs="Arial"/>
                <w:b/>
                <w:bCs/>
                <w:color w:val="000000"/>
                <w:sz w:val="20"/>
                <w:szCs w:val="20"/>
                <w:lang w:val="en" w:eastAsia="en-NZ"/>
              </w:rPr>
            </w:pPr>
            <w:r w:rsidRPr="002A0016">
              <w:rPr>
                <w:rFonts w:eastAsia="Times New Roman" w:cs="Arial"/>
                <w:b/>
                <w:bCs/>
                <w:color w:val="000000"/>
                <w:sz w:val="20"/>
                <w:szCs w:val="20"/>
                <w:lang w:val="en" w:eastAsia="en-NZ"/>
              </w:rPr>
              <w:t>3 November 2014</w:t>
            </w:r>
          </w:p>
        </w:tc>
        <w:tc>
          <w:tcPr>
            <w:tcW w:w="5386" w:type="dxa"/>
          </w:tcPr>
          <w:p w:rsidR="00EA4A07"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Regulations</w:t>
            </w:r>
            <w:r>
              <w:rPr>
                <w:rFonts w:eastAsia="Times New Roman" w:cs="Arial"/>
                <w:color w:val="000000"/>
                <w:sz w:val="20"/>
                <w:szCs w:val="20"/>
                <w:lang w:val="en" w:eastAsia="en-NZ"/>
              </w:rPr>
              <w:t xml:space="preserve"> came into force,</w:t>
            </w:r>
            <w:r w:rsidRPr="002A0016">
              <w:rPr>
                <w:rFonts w:eastAsia="Times New Roman" w:cs="Arial"/>
                <w:color w:val="000000"/>
                <w:sz w:val="20"/>
                <w:szCs w:val="20"/>
                <w:lang w:val="en" w:eastAsia="en-NZ"/>
              </w:rPr>
              <w:t xml:space="preserve"> providing for product approval applications and licensing applications for importing, research and</w:t>
            </w:r>
            <w:r>
              <w:rPr>
                <w:rFonts w:eastAsia="Times New Roman" w:cs="Arial"/>
                <w:color w:val="000000"/>
                <w:sz w:val="20"/>
                <w:szCs w:val="20"/>
                <w:lang w:val="en" w:eastAsia="en-NZ"/>
              </w:rPr>
              <w:t xml:space="preserve"> manufacturing</w:t>
            </w:r>
            <w:r w:rsidR="007623ED">
              <w:rPr>
                <w:rFonts w:eastAsia="Times New Roman" w:cs="Arial"/>
                <w:color w:val="000000"/>
                <w:sz w:val="20"/>
                <w:szCs w:val="20"/>
                <w:lang w:val="en" w:eastAsia="en-NZ"/>
              </w:rPr>
              <w:t>.</w:t>
            </w:r>
          </w:p>
          <w:p w:rsidR="00EA4A07" w:rsidRPr="002A0016" w:rsidRDefault="00EA4A07" w:rsidP="00EA4A07">
            <w:pPr>
              <w:rPr>
                <w:rFonts w:eastAsia="Times New Roman" w:cs="Arial"/>
                <w:color w:val="000000"/>
                <w:sz w:val="20"/>
                <w:szCs w:val="20"/>
                <w:lang w:val="en" w:eastAsia="en-NZ"/>
              </w:rPr>
            </w:pPr>
          </w:p>
        </w:tc>
        <w:tc>
          <w:tcPr>
            <w:tcW w:w="6237" w:type="dxa"/>
          </w:tcPr>
          <w:p w:rsidR="00EA4A07" w:rsidRPr="002A0016" w:rsidRDefault="00EA4A07" w:rsidP="00EA4A07">
            <w:pPr>
              <w:rPr>
                <w:rFonts w:eastAsia="Times New Roman" w:cs="Arial"/>
                <w:color w:val="000000"/>
                <w:sz w:val="20"/>
                <w:szCs w:val="20"/>
                <w:lang w:val="en" w:eastAsia="en-NZ"/>
              </w:rPr>
            </w:pPr>
            <w:r>
              <w:rPr>
                <w:rFonts w:eastAsia="Times New Roman" w:cs="Arial"/>
                <w:color w:val="000000"/>
                <w:sz w:val="20"/>
                <w:szCs w:val="20"/>
                <w:lang w:val="en" w:eastAsia="en-NZ"/>
              </w:rPr>
              <w:t>Researchers note</w:t>
            </w:r>
            <w:r w:rsidR="007623ED">
              <w:rPr>
                <w:rFonts w:eastAsia="Times New Roman" w:cs="Arial"/>
                <w:color w:val="000000"/>
                <w:sz w:val="20"/>
                <w:szCs w:val="20"/>
                <w:lang w:val="en" w:eastAsia="en-NZ"/>
              </w:rPr>
              <w:t>d</w:t>
            </w:r>
            <w:r>
              <w:rPr>
                <w:rFonts w:eastAsia="Times New Roman" w:cs="Arial"/>
                <w:color w:val="000000"/>
                <w:sz w:val="20"/>
                <w:szCs w:val="20"/>
                <w:lang w:val="en" w:eastAsia="en-NZ"/>
              </w:rPr>
              <w:t xml:space="preserve"> a decrease in the incidence of medical emergencies related to synthetic cannabinoid use.</w:t>
            </w:r>
          </w:p>
        </w:tc>
      </w:tr>
      <w:tr w:rsidR="00EA4A07" w:rsidRPr="002A0016" w:rsidTr="00EA4A07">
        <w:tc>
          <w:tcPr>
            <w:tcW w:w="1413" w:type="dxa"/>
          </w:tcPr>
          <w:p w:rsidR="00EA4A07" w:rsidRPr="002A0016" w:rsidRDefault="00EA4A07" w:rsidP="00EA4A07">
            <w:pPr>
              <w:rPr>
                <w:rFonts w:eastAsia="Times New Roman" w:cs="Arial"/>
                <w:b/>
                <w:bCs/>
                <w:color w:val="000000"/>
                <w:sz w:val="20"/>
                <w:szCs w:val="20"/>
                <w:lang w:val="en" w:eastAsia="en-NZ"/>
              </w:rPr>
            </w:pPr>
            <w:r w:rsidRPr="002A0016">
              <w:rPr>
                <w:rFonts w:eastAsia="Times New Roman" w:cs="Arial"/>
                <w:b/>
                <w:bCs/>
                <w:color w:val="000000"/>
                <w:sz w:val="20"/>
                <w:szCs w:val="20"/>
                <w:lang w:val="en" w:eastAsia="en-NZ"/>
              </w:rPr>
              <w:t>21 April 2016:</w:t>
            </w:r>
          </w:p>
        </w:tc>
        <w:tc>
          <w:tcPr>
            <w:tcW w:w="5386" w:type="dxa"/>
          </w:tcPr>
          <w:p w:rsidR="00EA4A07" w:rsidRDefault="00EA4A07" w:rsidP="00EA4A07">
            <w:pPr>
              <w:rPr>
                <w:rFonts w:eastAsia="Times New Roman" w:cs="Arial"/>
                <w:color w:val="000000"/>
                <w:sz w:val="20"/>
                <w:szCs w:val="20"/>
                <w:lang w:val="en" w:eastAsia="en-NZ"/>
              </w:rPr>
            </w:pPr>
            <w:r w:rsidRPr="002A0016">
              <w:rPr>
                <w:rFonts w:eastAsia="Times New Roman" w:cs="Arial"/>
                <w:color w:val="000000"/>
                <w:sz w:val="20"/>
                <w:szCs w:val="20"/>
                <w:lang w:val="en" w:eastAsia="en-NZ"/>
              </w:rPr>
              <w:t xml:space="preserve">Regulations came into </w:t>
            </w:r>
            <w:r>
              <w:rPr>
                <w:rFonts w:eastAsia="Times New Roman" w:cs="Arial"/>
                <w:color w:val="000000"/>
                <w:sz w:val="20"/>
                <w:szCs w:val="20"/>
                <w:lang w:val="en" w:eastAsia="en-NZ"/>
              </w:rPr>
              <w:t>force allowing for</w:t>
            </w:r>
            <w:r w:rsidRPr="002A0016">
              <w:rPr>
                <w:rFonts w:eastAsia="Times New Roman" w:cs="Arial"/>
                <w:color w:val="000000"/>
                <w:sz w:val="20"/>
                <w:szCs w:val="20"/>
                <w:lang w:val="en" w:eastAsia="en-NZ"/>
              </w:rPr>
              <w:t xml:space="preserve"> applications </w:t>
            </w:r>
            <w:r>
              <w:rPr>
                <w:rFonts w:eastAsia="Times New Roman" w:cs="Arial"/>
                <w:color w:val="000000"/>
                <w:sz w:val="20"/>
                <w:szCs w:val="20"/>
                <w:lang w:val="en" w:eastAsia="en-NZ"/>
              </w:rPr>
              <w:t xml:space="preserve">by retailers and wholesalers </w:t>
            </w:r>
            <w:r w:rsidRPr="002A0016">
              <w:rPr>
                <w:rFonts w:eastAsia="Times New Roman" w:cs="Arial"/>
                <w:color w:val="000000"/>
                <w:sz w:val="20"/>
                <w:szCs w:val="20"/>
                <w:lang w:val="en" w:eastAsia="en-NZ"/>
              </w:rPr>
              <w:t>for licenses to sell approved products</w:t>
            </w:r>
            <w:r w:rsidR="007623ED">
              <w:rPr>
                <w:rFonts w:eastAsia="Times New Roman" w:cs="Arial"/>
                <w:color w:val="000000"/>
                <w:sz w:val="20"/>
                <w:szCs w:val="20"/>
                <w:lang w:val="en" w:eastAsia="en-NZ"/>
              </w:rPr>
              <w:t>.</w:t>
            </w:r>
            <w:r w:rsidRPr="002A0016">
              <w:rPr>
                <w:rFonts w:eastAsia="Times New Roman" w:cs="Arial"/>
                <w:color w:val="000000"/>
                <w:sz w:val="20"/>
                <w:szCs w:val="20"/>
                <w:lang w:val="en" w:eastAsia="en-NZ"/>
              </w:rPr>
              <w:t xml:space="preserve"> </w:t>
            </w:r>
          </w:p>
          <w:p w:rsidR="00EA4A07" w:rsidRPr="002A0016" w:rsidRDefault="00EA4A07" w:rsidP="00EA4A07">
            <w:pPr>
              <w:rPr>
                <w:rFonts w:eastAsia="Times New Roman" w:cs="Arial"/>
                <w:color w:val="000000"/>
                <w:sz w:val="20"/>
                <w:szCs w:val="20"/>
                <w:lang w:val="en" w:eastAsia="en-NZ"/>
              </w:rPr>
            </w:pPr>
          </w:p>
        </w:tc>
        <w:tc>
          <w:tcPr>
            <w:tcW w:w="6237" w:type="dxa"/>
          </w:tcPr>
          <w:p w:rsidR="00EA4A07" w:rsidRPr="002A0016" w:rsidRDefault="00EA4A07" w:rsidP="00EA4A07">
            <w:pPr>
              <w:pStyle w:val="Default"/>
              <w:rPr>
                <w:rFonts w:eastAsia="Times New Roman" w:cs="Arial"/>
                <w:sz w:val="20"/>
                <w:szCs w:val="20"/>
                <w:lang w:val="en" w:eastAsia="en-NZ"/>
              </w:rPr>
            </w:pPr>
          </w:p>
        </w:tc>
      </w:tr>
      <w:tr w:rsidR="00EA4A07" w:rsidRPr="002A0016" w:rsidTr="00EA4A07">
        <w:tc>
          <w:tcPr>
            <w:tcW w:w="1413" w:type="dxa"/>
          </w:tcPr>
          <w:p w:rsidR="00EA4A07" w:rsidRPr="002A0016" w:rsidRDefault="00EA4A07" w:rsidP="00EA4A07">
            <w:pPr>
              <w:rPr>
                <w:rFonts w:eastAsia="Times New Roman" w:cs="Arial"/>
                <w:b/>
                <w:bCs/>
                <w:color w:val="000000"/>
                <w:sz w:val="20"/>
                <w:szCs w:val="20"/>
                <w:lang w:val="en" w:eastAsia="en-NZ"/>
              </w:rPr>
            </w:pPr>
            <w:r>
              <w:rPr>
                <w:rFonts w:eastAsia="Times New Roman" w:cs="Arial"/>
                <w:b/>
                <w:bCs/>
                <w:color w:val="000000"/>
                <w:sz w:val="20"/>
                <w:szCs w:val="20"/>
                <w:lang w:val="en" w:eastAsia="en-NZ"/>
              </w:rPr>
              <w:t>2016/2017</w:t>
            </w:r>
          </w:p>
        </w:tc>
        <w:tc>
          <w:tcPr>
            <w:tcW w:w="5386" w:type="dxa"/>
          </w:tcPr>
          <w:p w:rsidR="00EA4A07" w:rsidRPr="002A0016" w:rsidRDefault="00EA4A07" w:rsidP="00EA4A07">
            <w:pPr>
              <w:rPr>
                <w:rFonts w:eastAsia="Times New Roman" w:cs="Arial"/>
                <w:color w:val="000000"/>
                <w:sz w:val="20"/>
                <w:szCs w:val="20"/>
                <w:lang w:val="en" w:eastAsia="en-NZ"/>
              </w:rPr>
            </w:pPr>
          </w:p>
        </w:tc>
        <w:tc>
          <w:tcPr>
            <w:tcW w:w="6237" w:type="dxa"/>
          </w:tcPr>
          <w:p w:rsidR="00EA4A07" w:rsidRPr="00287B56" w:rsidRDefault="00EA4A07" w:rsidP="00EA4A07">
            <w:pPr>
              <w:pStyle w:val="Default"/>
              <w:rPr>
                <w:rFonts w:ascii="Arial" w:hAnsi="Arial" w:cs="Arial"/>
                <w:sz w:val="20"/>
                <w:szCs w:val="20"/>
              </w:rPr>
            </w:pPr>
            <w:r w:rsidRPr="001A710F">
              <w:rPr>
                <w:rFonts w:ascii="Arial" w:hAnsi="Arial" w:cs="Arial"/>
                <w:sz w:val="20"/>
                <w:szCs w:val="20"/>
              </w:rPr>
              <w:t xml:space="preserve">Four deaths have been linked to </w:t>
            </w:r>
            <w:r w:rsidR="00BF6922">
              <w:rPr>
                <w:rFonts w:ascii="Arial" w:hAnsi="Arial" w:cs="Arial"/>
                <w:sz w:val="20"/>
                <w:szCs w:val="20"/>
              </w:rPr>
              <w:t>specific</w:t>
            </w:r>
            <w:r w:rsidRPr="001A710F">
              <w:rPr>
                <w:rFonts w:ascii="Arial" w:hAnsi="Arial" w:cs="Arial"/>
                <w:sz w:val="20"/>
                <w:szCs w:val="20"/>
              </w:rPr>
              <w:t xml:space="preserve"> sy</w:t>
            </w:r>
            <w:r>
              <w:rPr>
                <w:rFonts w:ascii="Arial" w:hAnsi="Arial" w:cs="Arial"/>
                <w:sz w:val="20"/>
                <w:szCs w:val="20"/>
              </w:rPr>
              <w:t>nthetic cannabinoids. They are expected to be the subject of recommendations for classification as controlled drugs made by the Expert Advisory Committee on Drugs.</w:t>
            </w:r>
          </w:p>
          <w:p w:rsidR="00EA4A07" w:rsidRDefault="00EA4A07" w:rsidP="00EA4A07">
            <w:pPr>
              <w:pStyle w:val="Default"/>
              <w:rPr>
                <w:rFonts w:ascii="Arial" w:eastAsia="Times New Roman" w:hAnsi="Arial" w:cs="Arial"/>
                <w:sz w:val="20"/>
                <w:szCs w:val="20"/>
                <w:lang w:val="en" w:eastAsia="en-NZ"/>
              </w:rPr>
            </w:pPr>
          </w:p>
          <w:p w:rsidR="00EA4A07" w:rsidRDefault="00EA4A07" w:rsidP="00EA4A07">
            <w:pPr>
              <w:pStyle w:val="Default"/>
              <w:rPr>
                <w:rFonts w:ascii="Arial" w:eastAsia="Times New Roman" w:hAnsi="Arial" w:cs="Arial"/>
                <w:sz w:val="20"/>
                <w:szCs w:val="20"/>
                <w:lang w:val="en" w:eastAsia="en-NZ"/>
              </w:rPr>
            </w:pPr>
            <w:r>
              <w:rPr>
                <w:rFonts w:ascii="Arial" w:eastAsia="Times New Roman" w:hAnsi="Arial" w:cs="Arial"/>
                <w:sz w:val="20"/>
                <w:szCs w:val="20"/>
                <w:lang w:val="en" w:eastAsia="en-NZ"/>
              </w:rPr>
              <w:t xml:space="preserve">In the first 6 months of 2017, approximately 6 kg of of synthetic cannabinoid powder was seized at the border over 25 different </w:t>
            </w:r>
            <w:r>
              <w:rPr>
                <w:rFonts w:ascii="Arial" w:eastAsia="Times New Roman" w:hAnsi="Arial" w:cs="Arial"/>
                <w:sz w:val="20"/>
                <w:szCs w:val="20"/>
                <w:lang w:val="en" w:eastAsia="en-NZ"/>
              </w:rPr>
              <w:lastRenderedPageBreak/>
              <w:t>incidents. This would make approximately 120</w:t>
            </w:r>
            <w:r w:rsidR="00AD214C">
              <w:rPr>
                <w:rFonts w:ascii="Arial" w:eastAsia="Times New Roman" w:hAnsi="Arial" w:cs="Arial"/>
                <w:sz w:val="20"/>
                <w:szCs w:val="20"/>
                <w:lang w:val="en" w:eastAsia="en-NZ"/>
              </w:rPr>
              <w:t xml:space="preserve"> kg of </w:t>
            </w:r>
            <w:r>
              <w:rPr>
                <w:rFonts w:ascii="Arial" w:eastAsia="Times New Roman" w:hAnsi="Arial" w:cs="Arial"/>
                <w:sz w:val="20"/>
                <w:szCs w:val="20"/>
                <w:lang w:val="en" w:eastAsia="en-NZ"/>
              </w:rPr>
              <w:t xml:space="preserve">synthetic cannabis, </w:t>
            </w:r>
            <w:r w:rsidR="00291CE2">
              <w:rPr>
                <w:rFonts w:ascii="Arial" w:eastAsia="Times New Roman" w:hAnsi="Arial" w:cs="Arial"/>
                <w:sz w:val="20"/>
                <w:szCs w:val="20"/>
                <w:lang w:val="en" w:eastAsia="en-NZ"/>
              </w:rPr>
              <w:t xml:space="preserve">equating to </w:t>
            </w:r>
            <w:r>
              <w:rPr>
                <w:rFonts w:ascii="Arial" w:eastAsia="Times New Roman" w:hAnsi="Arial" w:cs="Arial"/>
                <w:sz w:val="20"/>
                <w:szCs w:val="20"/>
                <w:lang w:val="en" w:eastAsia="en-NZ"/>
              </w:rPr>
              <w:t xml:space="preserve">approximately 40,000 3g bags. </w:t>
            </w:r>
          </w:p>
          <w:p w:rsidR="00EA4A07" w:rsidRDefault="00EA4A07" w:rsidP="00EA4A07">
            <w:pPr>
              <w:pStyle w:val="Default"/>
              <w:rPr>
                <w:rFonts w:ascii="Arial" w:eastAsia="Times New Roman" w:hAnsi="Arial" w:cs="Arial"/>
                <w:sz w:val="20"/>
                <w:szCs w:val="20"/>
                <w:lang w:val="en" w:eastAsia="en-NZ"/>
              </w:rPr>
            </w:pPr>
            <w:r>
              <w:rPr>
                <w:rFonts w:ascii="Arial" w:eastAsia="Times New Roman" w:hAnsi="Arial" w:cs="Arial"/>
                <w:sz w:val="20"/>
                <w:szCs w:val="20"/>
                <w:lang w:val="en" w:eastAsia="en-NZ"/>
              </w:rPr>
              <w:t>Over 300</w:t>
            </w:r>
            <w:r w:rsidR="00AD214C">
              <w:rPr>
                <w:rFonts w:ascii="Arial" w:eastAsia="Times New Roman" w:hAnsi="Arial" w:cs="Arial"/>
                <w:sz w:val="20"/>
                <w:szCs w:val="20"/>
                <w:lang w:val="en" w:eastAsia="en-NZ"/>
              </w:rPr>
              <w:t xml:space="preserve"> </w:t>
            </w:r>
            <w:r>
              <w:rPr>
                <w:rFonts w:ascii="Arial" w:eastAsia="Times New Roman" w:hAnsi="Arial" w:cs="Arial"/>
                <w:sz w:val="20"/>
                <w:szCs w:val="20"/>
                <w:lang w:val="en" w:eastAsia="en-NZ"/>
              </w:rPr>
              <w:t>kg of damiana was imported to multiple entities in NZ in the first 6 months of 2017. It</w:t>
            </w:r>
            <w:r w:rsidR="00AD214C">
              <w:rPr>
                <w:rFonts w:ascii="Arial" w:eastAsia="Times New Roman" w:hAnsi="Arial" w:cs="Arial"/>
                <w:sz w:val="20"/>
                <w:szCs w:val="20"/>
                <w:lang w:val="en" w:eastAsia="en-NZ"/>
              </w:rPr>
              <w:t xml:space="preserve"> is used in the manufacture of synthetic cannabis</w:t>
            </w:r>
            <w:r>
              <w:rPr>
                <w:rFonts w:ascii="Arial" w:eastAsia="Times New Roman" w:hAnsi="Arial" w:cs="Arial"/>
                <w:sz w:val="20"/>
                <w:szCs w:val="20"/>
                <w:lang w:val="en" w:eastAsia="en-NZ"/>
              </w:rPr>
              <w:t>.</w:t>
            </w:r>
          </w:p>
          <w:p w:rsidR="00EA4A07" w:rsidRPr="002A0016" w:rsidRDefault="00EA4A07" w:rsidP="00EA4A07">
            <w:pPr>
              <w:pStyle w:val="Default"/>
              <w:rPr>
                <w:rFonts w:eastAsia="Times New Roman" w:cs="Arial"/>
                <w:sz w:val="20"/>
                <w:szCs w:val="20"/>
                <w:lang w:val="en" w:eastAsia="en-NZ"/>
              </w:rPr>
            </w:pPr>
            <w:r>
              <w:rPr>
                <w:rFonts w:ascii="Arial" w:eastAsia="Times New Roman" w:hAnsi="Arial" w:cs="Arial"/>
                <w:sz w:val="20"/>
                <w:szCs w:val="20"/>
                <w:lang w:val="en" w:eastAsia="en-NZ"/>
              </w:rPr>
              <w:t>Damiana is not a prohibited substance in NZ.</w:t>
            </w:r>
          </w:p>
        </w:tc>
      </w:tr>
      <w:tr w:rsidR="00EA4A07" w:rsidRPr="002A0016" w:rsidTr="00EA4A07">
        <w:tc>
          <w:tcPr>
            <w:tcW w:w="1413" w:type="dxa"/>
          </w:tcPr>
          <w:p w:rsidR="00EA4A07" w:rsidRDefault="00EA4A07" w:rsidP="00EA4A07">
            <w:pPr>
              <w:rPr>
                <w:rFonts w:eastAsia="Times New Roman" w:cs="Arial"/>
                <w:b/>
                <w:bCs/>
                <w:color w:val="000000"/>
                <w:sz w:val="20"/>
                <w:szCs w:val="20"/>
                <w:lang w:val="en" w:eastAsia="en-NZ"/>
              </w:rPr>
            </w:pPr>
            <w:r>
              <w:rPr>
                <w:rFonts w:eastAsia="Times New Roman" w:cs="Arial"/>
                <w:b/>
                <w:bCs/>
                <w:color w:val="000000"/>
                <w:sz w:val="20"/>
                <w:szCs w:val="20"/>
                <w:lang w:val="en" w:eastAsia="en-NZ"/>
              </w:rPr>
              <w:lastRenderedPageBreak/>
              <w:t>2018</w:t>
            </w:r>
          </w:p>
        </w:tc>
        <w:tc>
          <w:tcPr>
            <w:tcW w:w="5386" w:type="dxa"/>
          </w:tcPr>
          <w:p w:rsidR="00EA4A07" w:rsidRPr="009227BB" w:rsidRDefault="00EA4A07" w:rsidP="00EA4A07">
            <w:pPr>
              <w:rPr>
                <w:rFonts w:eastAsia="Times New Roman" w:cs="Arial"/>
                <w:color w:val="000000"/>
                <w:sz w:val="20"/>
                <w:szCs w:val="20"/>
                <w:lang w:val="en" w:eastAsia="en-NZ"/>
              </w:rPr>
            </w:pPr>
            <w:r w:rsidRPr="009227BB">
              <w:rPr>
                <w:rFonts w:cs="Arial"/>
                <w:sz w:val="20"/>
                <w:szCs w:val="20"/>
                <w:lang w:val="en"/>
              </w:rPr>
              <w:t>The Psychoactive Substances (Increasing Penalty for Supply and Distribution) Amendment Bill</w:t>
            </w:r>
            <w:r w:rsidR="00AD214C">
              <w:rPr>
                <w:rFonts w:cs="Arial"/>
                <w:sz w:val="20"/>
                <w:szCs w:val="20"/>
                <w:lang w:val="en"/>
              </w:rPr>
              <w:t xml:space="preserve"> introduced</w:t>
            </w:r>
          </w:p>
        </w:tc>
        <w:tc>
          <w:tcPr>
            <w:tcW w:w="6237" w:type="dxa"/>
          </w:tcPr>
          <w:p w:rsidR="00EA4A07" w:rsidRPr="009227BB" w:rsidRDefault="00EA4A07" w:rsidP="00EA4A07">
            <w:pPr>
              <w:pStyle w:val="Default"/>
              <w:rPr>
                <w:rFonts w:ascii="Arial" w:hAnsi="Arial" w:cs="Arial"/>
                <w:sz w:val="20"/>
                <w:szCs w:val="20"/>
              </w:rPr>
            </w:pPr>
            <w:r w:rsidRPr="009227BB">
              <w:rPr>
                <w:rFonts w:ascii="Arial" w:hAnsi="Arial" w:cs="Arial"/>
                <w:sz w:val="20"/>
                <w:szCs w:val="20"/>
              </w:rPr>
              <w:t xml:space="preserve">Member’s Bill drawn from ballot, passed first reading and referred to </w:t>
            </w:r>
            <w:r w:rsidR="00BF6922">
              <w:rPr>
                <w:rFonts w:ascii="Arial" w:hAnsi="Arial" w:cs="Arial"/>
                <w:sz w:val="20"/>
                <w:szCs w:val="20"/>
              </w:rPr>
              <w:t>Justice</w:t>
            </w:r>
            <w:r w:rsidRPr="009227BB">
              <w:rPr>
                <w:rFonts w:ascii="Arial" w:hAnsi="Arial" w:cs="Arial"/>
                <w:sz w:val="20"/>
                <w:szCs w:val="20"/>
              </w:rPr>
              <w:t xml:space="preserve"> Committee. The </w:t>
            </w:r>
            <w:r w:rsidR="00746909">
              <w:rPr>
                <w:rFonts w:ascii="Arial" w:hAnsi="Arial" w:cs="Arial"/>
                <w:sz w:val="20"/>
                <w:szCs w:val="20"/>
              </w:rPr>
              <w:t>Bill is currently at Committee of the whole House stage, partially completed</w:t>
            </w:r>
            <w:r w:rsidRPr="009227BB">
              <w:rPr>
                <w:rFonts w:ascii="Arial" w:hAnsi="Arial" w:cs="Arial"/>
                <w:sz w:val="20"/>
                <w:szCs w:val="20"/>
              </w:rPr>
              <w:t xml:space="preserve">. </w:t>
            </w:r>
          </w:p>
          <w:p w:rsidR="00EA4A07" w:rsidRPr="009227BB" w:rsidRDefault="00EA4A07" w:rsidP="00EA4A07">
            <w:pPr>
              <w:pStyle w:val="Default"/>
              <w:rPr>
                <w:rFonts w:ascii="Arial" w:eastAsia="Times New Roman" w:hAnsi="Arial" w:cs="Arial"/>
                <w:sz w:val="20"/>
                <w:szCs w:val="20"/>
                <w:lang w:val="en" w:eastAsia="en-NZ"/>
              </w:rPr>
            </w:pPr>
            <w:r w:rsidRPr="009227BB">
              <w:rPr>
                <w:rFonts w:ascii="Arial" w:hAnsi="Arial" w:cs="Arial"/>
                <w:sz w:val="20"/>
                <w:szCs w:val="20"/>
              </w:rPr>
              <w:t xml:space="preserve">The Bill aims to increase the penalty </w:t>
            </w:r>
            <w:r w:rsidRPr="009227BB">
              <w:rPr>
                <w:rFonts w:ascii="Arial" w:hAnsi="Arial" w:cs="Arial"/>
                <w:sz w:val="20"/>
                <w:szCs w:val="20"/>
                <w:lang w:val="en"/>
              </w:rPr>
              <w:t>for selling or supplying psychoactive substances that are not approved products. The Bill would align the penalties with those for an offence in the Misuse of Drugs Act for Class C controlled drugs.</w:t>
            </w:r>
          </w:p>
        </w:tc>
      </w:tr>
    </w:tbl>
    <w:p w:rsidR="005C7810" w:rsidRPr="003E51E6" w:rsidRDefault="005C7810" w:rsidP="00800D7B">
      <w:pPr>
        <w:rPr>
          <w:rFonts w:cs="Arial"/>
        </w:rPr>
      </w:pPr>
    </w:p>
    <w:p w:rsidR="005C7810" w:rsidRPr="003E51E6" w:rsidRDefault="005C7810" w:rsidP="00800D7B">
      <w:pPr>
        <w:rPr>
          <w:rFonts w:cs="Arial"/>
        </w:rPr>
      </w:pPr>
    </w:p>
    <w:p w:rsidR="00A26901" w:rsidRDefault="00A26901">
      <w:pPr>
        <w:rPr>
          <w:rFonts w:cs="Arial"/>
        </w:rPr>
        <w:sectPr w:rsidR="00A26901" w:rsidSect="00170678">
          <w:pgSz w:w="16838" w:h="11906" w:orient="landscape"/>
          <w:pgMar w:top="1440" w:right="1440" w:bottom="1440" w:left="1440" w:header="708" w:footer="708" w:gutter="0"/>
          <w:cols w:space="708"/>
          <w:docGrid w:linePitch="360"/>
        </w:sectPr>
      </w:pPr>
    </w:p>
    <w:p w:rsidR="005C7810" w:rsidRDefault="00A26901" w:rsidP="00800D7B">
      <w:pPr>
        <w:rPr>
          <w:rFonts w:cs="Arial"/>
        </w:rPr>
      </w:pPr>
      <w:r>
        <w:rPr>
          <w:noProof/>
          <w:lang w:eastAsia="en-NZ"/>
        </w:rPr>
        <w:lastRenderedPageBreak/>
        <w:drawing>
          <wp:inline distT="0" distB="0" distL="0" distR="0" wp14:anchorId="428E89A2" wp14:editId="7F2F38CB">
            <wp:extent cx="6448240" cy="929296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9384" cy="9352256"/>
                    </a:xfrm>
                    <a:prstGeom prst="rect">
                      <a:avLst/>
                    </a:prstGeom>
                  </pic:spPr>
                </pic:pic>
              </a:graphicData>
            </a:graphic>
          </wp:inline>
        </w:drawing>
      </w:r>
    </w:p>
    <w:sectPr w:rsidR="005C7810" w:rsidSect="00A269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36" w:rsidRDefault="00574536" w:rsidP="005C7810">
      <w:pPr>
        <w:spacing w:after="0" w:line="240" w:lineRule="auto"/>
      </w:pPr>
      <w:r>
        <w:separator/>
      </w:r>
    </w:p>
  </w:endnote>
  <w:endnote w:type="continuationSeparator" w:id="0">
    <w:p w:rsidR="00574536" w:rsidRDefault="00574536" w:rsidP="005C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36" w:rsidRDefault="00574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22859"/>
      <w:docPartObj>
        <w:docPartGallery w:val="Page Numbers (Bottom of Page)"/>
        <w:docPartUnique/>
      </w:docPartObj>
    </w:sdtPr>
    <w:sdtEndPr>
      <w:rPr>
        <w:noProof/>
      </w:rPr>
    </w:sdtEndPr>
    <w:sdtContent>
      <w:p w:rsidR="00574536" w:rsidRDefault="00574536">
        <w:pPr>
          <w:pStyle w:val="Footer"/>
          <w:jc w:val="right"/>
        </w:pPr>
        <w:r>
          <w:fldChar w:fldCharType="begin"/>
        </w:r>
        <w:r>
          <w:instrText xml:space="preserve"> PAGE   \* MERGEFORMAT </w:instrText>
        </w:r>
        <w:r>
          <w:fldChar w:fldCharType="separate"/>
        </w:r>
        <w:r w:rsidR="008412F0">
          <w:rPr>
            <w:noProof/>
          </w:rPr>
          <w:t>11</w:t>
        </w:r>
        <w:r>
          <w:rPr>
            <w:noProof/>
          </w:rPr>
          <w:fldChar w:fldCharType="end"/>
        </w:r>
      </w:p>
    </w:sdtContent>
  </w:sdt>
  <w:p w:rsidR="00574536" w:rsidRDefault="00574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36" w:rsidRDefault="00574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36" w:rsidRDefault="00574536" w:rsidP="005C7810">
      <w:pPr>
        <w:spacing w:after="0" w:line="240" w:lineRule="auto"/>
      </w:pPr>
      <w:r>
        <w:separator/>
      </w:r>
    </w:p>
  </w:footnote>
  <w:footnote w:type="continuationSeparator" w:id="0">
    <w:p w:rsidR="00574536" w:rsidRDefault="00574536" w:rsidP="005C7810">
      <w:pPr>
        <w:spacing w:after="0" w:line="240" w:lineRule="auto"/>
      </w:pPr>
      <w:r>
        <w:continuationSeparator/>
      </w:r>
    </w:p>
  </w:footnote>
  <w:footnote w:id="1">
    <w:p w:rsidR="00574536" w:rsidRDefault="00574536">
      <w:pPr>
        <w:pStyle w:val="FootnoteText"/>
      </w:pPr>
      <w:r>
        <w:rPr>
          <w:rStyle w:val="FootnoteReference"/>
        </w:rPr>
        <w:footnoteRef/>
      </w:r>
      <w:r>
        <w:t xml:space="preserve"> </w:t>
      </w:r>
      <w:r>
        <w:rPr>
          <w:rFonts w:cs="Arial"/>
          <w:sz w:val="18"/>
          <w:szCs w:val="18"/>
        </w:rPr>
        <w:t>This</w:t>
      </w:r>
      <w:r w:rsidRPr="00AD47AE">
        <w:rPr>
          <w:rFonts w:cs="Arial"/>
          <w:sz w:val="18"/>
          <w:szCs w:val="18"/>
        </w:rPr>
        <w:t xml:space="preserve"> data combines seizures of the raw material (synthetic cannabinoids) with seizures of the finished product</w:t>
      </w:r>
      <w:r>
        <w:rPr>
          <w:rFonts w:cs="Arial"/>
          <w:sz w:val="18"/>
          <w:szCs w:val="18"/>
        </w:rPr>
        <w:t xml:space="preserve">. </w:t>
      </w:r>
      <w:r>
        <w:rPr>
          <w:rFonts w:ascii="Calibri" w:hAnsi="Calibri"/>
          <w:color w:val="000000"/>
        </w:rPr>
        <w:t>2014 is not a full year of seizures.</w:t>
      </w:r>
    </w:p>
  </w:footnote>
  <w:footnote w:id="2">
    <w:p w:rsidR="00574536" w:rsidRDefault="00574536" w:rsidP="00EA4A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36" w:rsidRDefault="00574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36" w:rsidRDefault="005745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36" w:rsidRDefault="00574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75A"/>
    <w:multiLevelType w:val="hybridMultilevel"/>
    <w:tmpl w:val="AC864544"/>
    <w:lvl w:ilvl="0" w:tplc="1409000F">
      <w:start w:val="1"/>
      <w:numFmt w:val="decimal"/>
      <w:lvlText w:val="%1."/>
      <w:lvlJc w:val="left"/>
      <w:pPr>
        <w:ind w:left="720" w:hanging="360"/>
      </w:pPr>
    </w:lvl>
    <w:lvl w:ilvl="1" w:tplc="24C2A100">
      <w:numFmt w:val="bullet"/>
      <w:lvlText w:val="-"/>
      <w:lvlJc w:val="left"/>
      <w:pPr>
        <w:ind w:left="1440" w:hanging="360"/>
      </w:pPr>
      <w:rPr>
        <w:rFonts w:ascii="Arial" w:eastAsiaTheme="minorHAnsi"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2D46E5"/>
    <w:multiLevelType w:val="hybridMultilevel"/>
    <w:tmpl w:val="0FB86F1C"/>
    <w:lvl w:ilvl="0" w:tplc="14090001">
      <w:start w:val="1"/>
      <w:numFmt w:val="bullet"/>
      <w:lvlText w:val=""/>
      <w:lvlJc w:val="left"/>
      <w:pPr>
        <w:ind w:left="1080" w:hanging="360"/>
      </w:pPr>
      <w:rPr>
        <w:rFonts w:ascii="Symbol" w:hAnsi="Symbol" w:hint="default"/>
      </w:rPr>
    </w:lvl>
    <w:lvl w:ilvl="1" w:tplc="24C2A100">
      <w:numFmt w:val="bullet"/>
      <w:lvlText w:val="-"/>
      <w:lvlJc w:val="left"/>
      <w:pPr>
        <w:ind w:left="1800" w:hanging="360"/>
      </w:pPr>
      <w:rPr>
        <w:rFonts w:ascii="Arial" w:eastAsiaTheme="minorHAnsi" w:hAnsi="Arial" w:cs="Aria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EB02DF1"/>
    <w:multiLevelType w:val="hybridMultilevel"/>
    <w:tmpl w:val="66F2D59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01">
      <w:start w:val="1"/>
      <w:numFmt w:val="bullet"/>
      <w:lvlText w:val=""/>
      <w:lvlJc w:val="left"/>
      <w:pPr>
        <w:ind w:left="1800" w:hanging="180"/>
      </w:pPr>
      <w:rPr>
        <w:rFonts w:ascii="Symbol" w:hAnsi="Symbol"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 w15:restartNumberingAfterBreak="0">
    <w:nsid w:val="0F5276FC"/>
    <w:multiLevelType w:val="hybridMultilevel"/>
    <w:tmpl w:val="D3609D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BB1AEC"/>
    <w:multiLevelType w:val="hybridMultilevel"/>
    <w:tmpl w:val="2B5CC6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2CA7818"/>
    <w:multiLevelType w:val="hybridMultilevel"/>
    <w:tmpl w:val="28EE74F4"/>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96E4D48"/>
    <w:multiLevelType w:val="multilevel"/>
    <w:tmpl w:val="088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242E60"/>
    <w:multiLevelType w:val="hybridMultilevel"/>
    <w:tmpl w:val="89726F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2C5CF0"/>
    <w:multiLevelType w:val="hybridMultilevel"/>
    <w:tmpl w:val="73F049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BB343F"/>
    <w:multiLevelType w:val="hybridMultilevel"/>
    <w:tmpl w:val="732E329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21FF5B7E"/>
    <w:multiLevelType w:val="hybridMultilevel"/>
    <w:tmpl w:val="7188E03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7">
      <w:start w:val="1"/>
      <w:numFmt w:val="lowerLetter"/>
      <w:lvlText w:val="%3)"/>
      <w:lvlJc w:val="lef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1" w15:restartNumberingAfterBreak="0">
    <w:nsid w:val="23605F6E"/>
    <w:multiLevelType w:val="hybridMultilevel"/>
    <w:tmpl w:val="96408C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4FF7DE7"/>
    <w:multiLevelType w:val="hybridMultilevel"/>
    <w:tmpl w:val="6B9A5A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4D1914"/>
    <w:multiLevelType w:val="hybridMultilevel"/>
    <w:tmpl w:val="8B8CE628"/>
    <w:lvl w:ilvl="0" w:tplc="56F8B8CE">
      <w:start w:val="1"/>
      <w:numFmt w:val="decimal"/>
      <w:lvlText w:val="(%1)"/>
      <w:lvlJc w:val="left"/>
      <w:pPr>
        <w:ind w:left="927" w:hanging="360"/>
      </w:pPr>
      <w:rPr>
        <w:rFonts w:hint="default"/>
      </w:rPr>
    </w:lvl>
    <w:lvl w:ilvl="1" w:tplc="14090017">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2732742D"/>
    <w:multiLevelType w:val="hybridMultilevel"/>
    <w:tmpl w:val="5F94284E"/>
    <w:lvl w:ilvl="0" w:tplc="90D013B0">
      <w:start w:val="1"/>
      <w:numFmt w:val="decimal"/>
      <w:pStyle w:val="Style1"/>
      <w:lvlText w:val="%1."/>
      <w:lvlJc w:val="left"/>
      <w:pPr>
        <w:ind w:left="502" w:hanging="360"/>
      </w:pPr>
      <w:rPr>
        <w:rFonts w:ascii="Arial" w:hAnsi="Arial" w:cs="Arial" w:hint="default"/>
        <w:b w:val="0"/>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8C83C67"/>
    <w:multiLevelType w:val="hybridMultilevel"/>
    <w:tmpl w:val="002840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EE306A8"/>
    <w:multiLevelType w:val="hybridMultilevel"/>
    <w:tmpl w:val="03308D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0DA49C9"/>
    <w:multiLevelType w:val="hybridMultilevel"/>
    <w:tmpl w:val="11A651B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AC5BCC"/>
    <w:multiLevelType w:val="multilevel"/>
    <w:tmpl w:val="677EA3FA"/>
    <w:lvl w:ilvl="0">
      <w:start w:val="1"/>
      <w:numFmt w:val="decimal"/>
      <w:pStyle w:val="CabStandard"/>
      <w:lvlText w:val="%1"/>
      <w:lvlJc w:val="left"/>
      <w:pPr>
        <w:tabs>
          <w:tab w:val="num" w:pos="720"/>
        </w:tabs>
        <w:ind w:left="720" w:hanging="720"/>
      </w:pPr>
      <w:rPr>
        <w:rFonts w:ascii="Arial" w:hAnsi="Arial" w:cs="Arial" w:hint="default"/>
        <w:b w:val="0"/>
        <w:i w:val="0"/>
      </w:rPr>
    </w:lvl>
    <w:lvl w:ilvl="1">
      <w:numFmt w:val="bullet"/>
      <w:lvlText w:val="-"/>
      <w:lvlJc w:val="left"/>
      <w:pPr>
        <w:tabs>
          <w:tab w:val="num" w:pos="1713"/>
        </w:tabs>
        <w:ind w:left="1713" w:hanging="720"/>
      </w:pPr>
      <w:rPr>
        <w:rFonts w:ascii="Arial" w:eastAsia="Times New Roman" w:hAnsi="Arial" w:cs="Arial" w:hint="default"/>
        <w:b w:val="0"/>
        <w:sz w:val="23"/>
        <w:szCs w:val="23"/>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9" w15:restartNumberingAfterBreak="0">
    <w:nsid w:val="39A52714"/>
    <w:multiLevelType w:val="hybridMultilevel"/>
    <w:tmpl w:val="CC02EC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C68230E"/>
    <w:multiLevelType w:val="multilevel"/>
    <w:tmpl w:val="088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482C1A"/>
    <w:multiLevelType w:val="hybridMultilevel"/>
    <w:tmpl w:val="3E0EED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8E0092A"/>
    <w:multiLevelType w:val="hybridMultilevel"/>
    <w:tmpl w:val="7C6EF514"/>
    <w:lvl w:ilvl="0" w:tplc="BA40A73C">
      <w:start w:val="1"/>
      <w:numFmt w:val="decimal"/>
      <w:lvlText w:val="%1."/>
      <w:lvlJc w:val="left"/>
      <w:pPr>
        <w:ind w:left="360" w:hanging="360"/>
      </w:pPr>
      <w:rPr>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4A184FFE"/>
    <w:multiLevelType w:val="hybridMultilevel"/>
    <w:tmpl w:val="2EACC2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4DE00F5"/>
    <w:multiLevelType w:val="hybridMultilevel"/>
    <w:tmpl w:val="327E9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537EBD"/>
    <w:multiLevelType w:val="hybridMultilevel"/>
    <w:tmpl w:val="B8681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5B5951"/>
    <w:multiLevelType w:val="hybridMultilevel"/>
    <w:tmpl w:val="290070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D8046D"/>
    <w:multiLevelType w:val="hybridMultilevel"/>
    <w:tmpl w:val="CD6AE3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FD00051"/>
    <w:multiLevelType w:val="hybridMultilevel"/>
    <w:tmpl w:val="BE30E4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1D45542"/>
    <w:multiLevelType w:val="hybridMultilevel"/>
    <w:tmpl w:val="3FA4F3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9A64F0B"/>
    <w:multiLevelType w:val="hybridMultilevel"/>
    <w:tmpl w:val="22CC61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0BE7A2E"/>
    <w:multiLevelType w:val="hybridMultilevel"/>
    <w:tmpl w:val="FEC218A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7A53D49"/>
    <w:multiLevelType w:val="hybridMultilevel"/>
    <w:tmpl w:val="BFC231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F3E4A13"/>
    <w:multiLevelType w:val="hybridMultilevel"/>
    <w:tmpl w:val="325C7082"/>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num w:numId="1">
    <w:abstractNumId w:val="0"/>
  </w:num>
  <w:num w:numId="2">
    <w:abstractNumId w:val="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0"/>
  </w:num>
  <w:num w:numId="8">
    <w:abstractNumId w:val="11"/>
  </w:num>
  <w:num w:numId="9">
    <w:abstractNumId w:val="17"/>
  </w:num>
  <w:num w:numId="10">
    <w:abstractNumId w:val="5"/>
  </w:num>
  <w:num w:numId="11">
    <w:abstractNumId w:val="31"/>
  </w:num>
  <w:num w:numId="12">
    <w:abstractNumId w:val="2"/>
  </w:num>
  <w:num w:numId="13">
    <w:abstractNumId w:val="12"/>
  </w:num>
  <w:num w:numId="14">
    <w:abstractNumId w:val="32"/>
  </w:num>
  <w:num w:numId="15">
    <w:abstractNumId w:val="30"/>
  </w:num>
  <w:num w:numId="16">
    <w:abstractNumId w:val="27"/>
  </w:num>
  <w:num w:numId="17">
    <w:abstractNumId w:val="28"/>
  </w:num>
  <w:num w:numId="18">
    <w:abstractNumId w:val="16"/>
  </w:num>
  <w:num w:numId="19">
    <w:abstractNumId w:val="21"/>
  </w:num>
  <w:num w:numId="20">
    <w:abstractNumId w:val="4"/>
  </w:num>
  <w:num w:numId="21">
    <w:abstractNumId w:val="8"/>
  </w:num>
  <w:num w:numId="22">
    <w:abstractNumId w:val="23"/>
  </w:num>
  <w:num w:numId="23">
    <w:abstractNumId w:val="15"/>
  </w:num>
  <w:num w:numId="24">
    <w:abstractNumId w:val="29"/>
  </w:num>
  <w:num w:numId="25">
    <w:abstractNumId w:val="3"/>
  </w:num>
  <w:num w:numId="26">
    <w:abstractNumId w:val="6"/>
  </w:num>
  <w:num w:numId="27">
    <w:abstractNumId w:val="20"/>
  </w:num>
  <w:num w:numId="28">
    <w:abstractNumId w:val="14"/>
  </w:num>
  <w:num w:numId="29">
    <w:abstractNumId w:val="26"/>
  </w:num>
  <w:num w:numId="30">
    <w:abstractNumId w:val="25"/>
  </w:num>
  <w:num w:numId="31">
    <w:abstractNumId w:val="9"/>
  </w:num>
  <w:num w:numId="32">
    <w:abstractNumId w:val="24"/>
  </w:num>
  <w:num w:numId="33">
    <w:abstractNumId w:val="14"/>
    <w:lvlOverride w:ilvl="0">
      <w:startOverride w:val="13"/>
    </w:lvlOverride>
  </w:num>
  <w:num w:numId="34">
    <w:abstractNumId w:val="14"/>
  </w:num>
  <w:num w:numId="35">
    <w:abstractNumId w:val="13"/>
  </w:num>
  <w:num w:numId="36">
    <w:abstractNumId w:val="18"/>
  </w:num>
  <w:num w:numId="37">
    <w:abstractNumId w:val="7"/>
  </w:num>
  <w:num w:numId="38">
    <w:abstractNumId w:val="19"/>
  </w:num>
  <w:num w:numId="39">
    <w:abstractNumId w:val="1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47"/>
    <w:rsid w:val="0005027C"/>
    <w:rsid w:val="000507FC"/>
    <w:rsid w:val="00055DE4"/>
    <w:rsid w:val="0006602F"/>
    <w:rsid w:val="0007078B"/>
    <w:rsid w:val="0007517B"/>
    <w:rsid w:val="00090DF9"/>
    <w:rsid w:val="000D07CD"/>
    <w:rsid w:val="000D3A00"/>
    <w:rsid w:val="000E1D86"/>
    <w:rsid w:val="00101E94"/>
    <w:rsid w:val="0010765B"/>
    <w:rsid w:val="001138B5"/>
    <w:rsid w:val="0012268E"/>
    <w:rsid w:val="001239ED"/>
    <w:rsid w:val="0015581A"/>
    <w:rsid w:val="00170678"/>
    <w:rsid w:val="00184B28"/>
    <w:rsid w:val="00185FED"/>
    <w:rsid w:val="001960D1"/>
    <w:rsid w:val="001B14D1"/>
    <w:rsid w:val="001C6114"/>
    <w:rsid w:val="001F3ED9"/>
    <w:rsid w:val="00235BF5"/>
    <w:rsid w:val="0023683E"/>
    <w:rsid w:val="0028213A"/>
    <w:rsid w:val="00290DE3"/>
    <w:rsid w:val="00291CE2"/>
    <w:rsid w:val="002C42C9"/>
    <w:rsid w:val="002C76E2"/>
    <w:rsid w:val="002D3778"/>
    <w:rsid w:val="002D4688"/>
    <w:rsid w:val="00305BA8"/>
    <w:rsid w:val="00335EEC"/>
    <w:rsid w:val="00371748"/>
    <w:rsid w:val="003808F2"/>
    <w:rsid w:val="003A1726"/>
    <w:rsid w:val="003B0663"/>
    <w:rsid w:val="003E51E6"/>
    <w:rsid w:val="003F19FD"/>
    <w:rsid w:val="004635C6"/>
    <w:rsid w:val="00467973"/>
    <w:rsid w:val="00471DDC"/>
    <w:rsid w:val="004801CE"/>
    <w:rsid w:val="0048486C"/>
    <w:rsid w:val="004C6BD6"/>
    <w:rsid w:val="004D17F6"/>
    <w:rsid w:val="004D778E"/>
    <w:rsid w:val="004D7893"/>
    <w:rsid w:val="004E197A"/>
    <w:rsid w:val="004E480B"/>
    <w:rsid w:val="004F100D"/>
    <w:rsid w:val="004F100E"/>
    <w:rsid w:val="00562748"/>
    <w:rsid w:val="00564813"/>
    <w:rsid w:val="00574536"/>
    <w:rsid w:val="005C7810"/>
    <w:rsid w:val="005D17EE"/>
    <w:rsid w:val="00601780"/>
    <w:rsid w:val="00611466"/>
    <w:rsid w:val="0061780E"/>
    <w:rsid w:val="0062178B"/>
    <w:rsid w:val="006255F1"/>
    <w:rsid w:val="0063246D"/>
    <w:rsid w:val="0067170E"/>
    <w:rsid w:val="00681F68"/>
    <w:rsid w:val="006B736D"/>
    <w:rsid w:val="00702147"/>
    <w:rsid w:val="00733DC0"/>
    <w:rsid w:val="00735273"/>
    <w:rsid w:val="0074128A"/>
    <w:rsid w:val="00741BE2"/>
    <w:rsid w:val="007424AA"/>
    <w:rsid w:val="007439AB"/>
    <w:rsid w:val="00746909"/>
    <w:rsid w:val="007612BC"/>
    <w:rsid w:val="007623ED"/>
    <w:rsid w:val="007B69F2"/>
    <w:rsid w:val="007D1B1A"/>
    <w:rsid w:val="007D657F"/>
    <w:rsid w:val="00800D7B"/>
    <w:rsid w:val="008218A7"/>
    <w:rsid w:val="008220A5"/>
    <w:rsid w:val="00830A47"/>
    <w:rsid w:val="0083276B"/>
    <w:rsid w:val="008412F0"/>
    <w:rsid w:val="00860D3E"/>
    <w:rsid w:val="00862D27"/>
    <w:rsid w:val="008633D2"/>
    <w:rsid w:val="0087393D"/>
    <w:rsid w:val="00894769"/>
    <w:rsid w:val="00913543"/>
    <w:rsid w:val="00927A4C"/>
    <w:rsid w:val="009431F3"/>
    <w:rsid w:val="00955DE8"/>
    <w:rsid w:val="00963686"/>
    <w:rsid w:val="0096553E"/>
    <w:rsid w:val="00967BD8"/>
    <w:rsid w:val="009709A0"/>
    <w:rsid w:val="009751FA"/>
    <w:rsid w:val="00987B1E"/>
    <w:rsid w:val="009A1B4C"/>
    <w:rsid w:val="009C1383"/>
    <w:rsid w:val="00A06232"/>
    <w:rsid w:val="00A24576"/>
    <w:rsid w:val="00A25421"/>
    <w:rsid w:val="00A26901"/>
    <w:rsid w:val="00A3024A"/>
    <w:rsid w:val="00A31B5A"/>
    <w:rsid w:val="00A44A6D"/>
    <w:rsid w:val="00A70B48"/>
    <w:rsid w:val="00A918BB"/>
    <w:rsid w:val="00AD214C"/>
    <w:rsid w:val="00AD47AE"/>
    <w:rsid w:val="00B10CCD"/>
    <w:rsid w:val="00B25A51"/>
    <w:rsid w:val="00B4587C"/>
    <w:rsid w:val="00B468A5"/>
    <w:rsid w:val="00B77BE6"/>
    <w:rsid w:val="00B90F1C"/>
    <w:rsid w:val="00B94240"/>
    <w:rsid w:val="00BA0D55"/>
    <w:rsid w:val="00BA62F1"/>
    <w:rsid w:val="00BB0447"/>
    <w:rsid w:val="00BB520B"/>
    <w:rsid w:val="00BB74FC"/>
    <w:rsid w:val="00BB7695"/>
    <w:rsid w:val="00BF6922"/>
    <w:rsid w:val="00C17EA3"/>
    <w:rsid w:val="00C238EA"/>
    <w:rsid w:val="00C50808"/>
    <w:rsid w:val="00C826F0"/>
    <w:rsid w:val="00C87AAA"/>
    <w:rsid w:val="00C92242"/>
    <w:rsid w:val="00C9421B"/>
    <w:rsid w:val="00CA438E"/>
    <w:rsid w:val="00CC240A"/>
    <w:rsid w:val="00D06FA1"/>
    <w:rsid w:val="00D12691"/>
    <w:rsid w:val="00D21A5C"/>
    <w:rsid w:val="00D250BF"/>
    <w:rsid w:val="00D335DC"/>
    <w:rsid w:val="00D34AF0"/>
    <w:rsid w:val="00D526CC"/>
    <w:rsid w:val="00D623AF"/>
    <w:rsid w:val="00D81054"/>
    <w:rsid w:val="00DE0CB5"/>
    <w:rsid w:val="00DE2C4B"/>
    <w:rsid w:val="00DE57A6"/>
    <w:rsid w:val="00DE586C"/>
    <w:rsid w:val="00DE6B05"/>
    <w:rsid w:val="00E22A83"/>
    <w:rsid w:val="00E43709"/>
    <w:rsid w:val="00E55123"/>
    <w:rsid w:val="00E9516D"/>
    <w:rsid w:val="00EA0E7F"/>
    <w:rsid w:val="00EA4A07"/>
    <w:rsid w:val="00EA673F"/>
    <w:rsid w:val="00EB5ED1"/>
    <w:rsid w:val="00EC116E"/>
    <w:rsid w:val="00EC33FB"/>
    <w:rsid w:val="00EC6FC4"/>
    <w:rsid w:val="00ED25F2"/>
    <w:rsid w:val="00EE3D1F"/>
    <w:rsid w:val="00EE7CFC"/>
    <w:rsid w:val="00EF29D7"/>
    <w:rsid w:val="00EF368D"/>
    <w:rsid w:val="00EF4DC0"/>
    <w:rsid w:val="00F01850"/>
    <w:rsid w:val="00F02BF1"/>
    <w:rsid w:val="00F234BC"/>
    <w:rsid w:val="00F32D87"/>
    <w:rsid w:val="00F411BC"/>
    <w:rsid w:val="00F45B59"/>
    <w:rsid w:val="00F53786"/>
    <w:rsid w:val="00F67F53"/>
    <w:rsid w:val="00F779A8"/>
    <w:rsid w:val="00F85EEA"/>
    <w:rsid w:val="00F93711"/>
    <w:rsid w:val="00FA0CF5"/>
    <w:rsid w:val="00FA4A6C"/>
    <w:rsid w:val="00FB0D03"/>
    <w:rsid w:val="00FB2D79"/>
    <w:rsid w:val="00FB6EB3"/>
    <w:rsid w:val="00FC652A"/>
    <w:rsid w:val="00FD16F2"/>
    <w:rsid w:val="00FF4F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F875926-669C-4F07-A63C-CDF709D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1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8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B25A51"/>
    <w:pPr>
      <w:spacing w:after="0" w:line="240" w:lineRule="auto"/>
      <w:ind w:left="720"/>
      <w:contextualSpacing/>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C7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810"/>
    <w:rPr>
      <w:rFonts w:ascii="Arial" w:hAnsi="Arial"/>
      <w:sz w:val="20"/>
      <w:szCs w:val="20"/>
    </w:rPr>
  </w:style>
  <w:style w:type="character" w:styleId="FootnoteReference">
    <w:name w:val="footnote reference"/>
    <w:basedOn w:val="DefaultParagraphFont"/>
    <w:uiPriority w:val="99"/>
    <w:semiHidden/>
    <w:unhideWhenUsed/>
    <w:rsid w:val="005C7810"/>
    <w:rPr>
      <w:vertAlign w:val="superscript"/>
    </w:rPr>
  </w:style>
  <w:style w:type="table" w:styleId="TableGrid">
    <w:name w:val="Table Grid"/>
    <w:basedOn w:val="TableNormal"/>
    <w:uiPriority w:val="39"/>
    <w:rsid w:val="000E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C6BD6"/>
    <w:pPr>
      <w:spacing w:line="240" w:lineRule="auto"/>
    </w:pPr>
    <w:rPr>
      <w:sz w:val="20"/>
      <w:szCs w:val="20"/>
    </w:rPr>
  </w:style>
  <w:style w:type="character" w:customStyle="1" w:styleId="CommentTextChar">
    <w:name w:val="Comment Text Char"/>
    <w:basedOn w:val="DefaultParagraphFont"/>
    <w:link w:val="CommentText"/>
    <w:uiPriority w:val="99"/>
    <w:rsid w:val="004C6BD6"/>
    <w:rPr>
      <w:rFonts w:ascii="Arial" w:hAnsi="Arial"/>
      <w:sz w:val="20"/>
      <w:szCs w:val="20"/>
    </w:rPr>
  </w:style>
  <w:style w:type="character" w:styleId="Hyperlink">
    <w:name w:val="Hyperlink"/>
    <w:basedOn w:val="DefaultParagraphFont"/>
    <w:uiPriority w:val="99"/>
    <w:unhideWhenUsed/>
    <w:rsid w:val="00EA4A07"/>
    <w:rPr>
      <w:strike w:val="0"/>
      <w:dstrike w:val="0"/>
      <w:color w:val="005D85"/>
      <w:u w:val="single"/>
      <w:effect w:val="none"/>
    </w:rPr>
  </w:style>
  <w:style w:type="paragraph" w:customStyle="1" w:styleId="Style1">
    <w:name w:val="Style1"/>
    <w:basedOn w:val="ListParagraph"/>
    <w:link w:val="Style1Char"/>
    <w:qFormat/>
    <w:rsid w:val="00A918BB"/>
    <w:pPr>
      <w:numPr>
        <w:numId w:val="28"/>
      </w:numPr>
      <w:ind w:left="360"/>
    </w:pPr>
  </w:style>
  <w:style w:type="character" w:customStyle="1" w:styleId="ListParagraphChar">
    <w:name w:val="List Paragraph Char"/>
    <w:basedOn w:val="DefaultParagraphFont"/>
    <w:link w:val="ListParagraph"/>
    <w:uiPriority w:val="34"/>
    <w:rsid w:val="00A918BB"/>
    <w:rPr>
      <w:rFonts w:ascii="Times New Roman" w:eastAsia="Times New Roman" w:hAnsi="Times New Roman" w:cs="Times New Roman"/>
      <w:sz w:val="24"/>
      <w:szCs w:val="24"/>
      <w:lang w:eastAsia="en-GB"/>
    </w:rPr>
  </w:style>
  <w:style w:type="character" w:customStyle="1" w:styleId="Style1Char">
    <w:name w:val="Style1 Char"/>
    <w:basedOn w:val="ListParagraphChar"/>
    <w:link w:val="Style1"/>
    <w:rsid w:val="00A918B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B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79"/>
    <w:rPr>
      <w:rFonts w:ascii="Segoe UI" w:hAnsi="Segoe UI" w:cs="Segoe UI"/>
      <w:sz w:val="18"/>
      <w:szCs w:val="18"/>
    </w:rPr>
  </w:style>
  <w:style w:type="paragraph" w:customStyle="1" w:styleId="CabStandard">
    <w:name w:val="CabStandard"/>
    <w:basedOn w:val="Normal"/>
    <w:rsid w:val="00FB0D03"/>
    <w:pPr>
      <w:numPr>
        <w:numId w:val="36"/>
      </w:numPr>
      <w:spacing w:after="240" w:line="240" w:lineRule="auto"/>
    </w:pPr>
    <w:rPr>
      <w:rFonts w:ascii="Times New Roman" w:eastAsia="Times New Roman" w:hAnsi="Times New Roman" w:cs="Times New Roman"/>
      <w:sz w:val="24"/>
      <w:szCs w:val="20"/>
      <w:lang w:val="en-GB" w:eastAsia="ja-JP"/>
    </w:rPr>
  </w:style>
  <w:style w:type="character" w:styleId="Emphasis">
    <w:name w:val="Emphasis"/>
    <w:basedOn w:val="DefaultParagraphFont"/>
    <w:uiPriority w:val="20"/>
    <w:qFormat/>
    <w:rsid w:val="00BB0447"/>
    <w:rPr>
      <w:b/>
      <w:bCs/>
      <w:i w:val="0"/>
      <w:iCs w:val="0"/>
    </w:rPr>
  </w:style>
  <w:style w:type="character" w:customStyle="1" w:styleId="st1">
    <w:name w:val="st1"/>
    <w:basedOn w:val="DefaultParagraphFont"/>
    <w:rsid w:val="00BB0447"/>
  </w:style>
  <w:style w:type="paragraph" w:styleId="Header">
    <w:name w:val="header"/>
    <w:basedOn w:val="Normal"/>
    <w:link w:val="HeaderChar"/>
    <w:uiPriority w:val="99"/>
    <w:unhideWhenUsed/>
    <w:rsid w:val="003F1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9FD"/>
    <w:rPr>
      <w:rFonts w:ascii="Arial" w:hAnsi="Arial"/>
    </w:rPr>
  </w:style>
  <w:style w:type="paragraph" w:styleId="Footer">
    <w:name w:val="footer"/>
    <w:basedOn w:val="Normal"/>
    <w:link w:val="FooterChar"/>
    <w:uiPriority w:val="99"/>
    <w:unhideWhenUsed/>
    <w:rsid w:val="003F1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9FD"/>
    <w:rPr>
      <w:rFonts w:ascii="Arial" w:hAnsi="Arial"/>
    </w:rPr>
  </w:style>
  <w:style w:type="character" w:customStyle="1" w:styleId="ilfuvd">
    <w:name w:val="ilfuvd"/>
    <w:basedOn w:val="DefaultParagraphFont"/>
    <w:rsid w:val="0010765B"/>
  </w:style>
  <w:style w:type="character" w:styleId="CommentReference">
    <w:name w:val="annotation reference"/>
    <w:basedOn w:val="DefaultParagraphFont"/>
    <w:uiPriority w:val="99"/>
    <w:semiHidden/>
    <w:unhideWhenUsed/>
    <w:rsid w:val="0010765B"/>
    <w:rPr>
      <w:sz w:val="16"/>
      <w:szCs w:val="16"/>
    </w:rPr>
  </w:style>
  <w:style w:type="paragraph" w:styleId="CommentSubject">
    <w:name w:val="annotation subject"/>
    <w:basedOn w:val="CommentText"/>
    <w:next w:val="CommentText"/>
    <w:link w:val="CommentSubjectChar"/>
    <w:uiPriority w:val="99"/>
    <w:semiHidden/>
    <w:unhideWhenUsed/>
    <w:rsid w:val="0010765B"/>
    <w:rPr>
      <w:b/>
      <w:bCs/>
    </w:rPr>
  </w:style>
  <w:style w:type="character" w:customStyle="1" w:styleId="CommentSubjectChar">
    <w:name w:val="Comment Subject Char"/>
    <w:basedOn w:val="CommentTextChar"/>
    <w:link w:val="CommentSubject"/>
    <w:uiPriority w:val="99"/>
    <w:semiHidden/>
    <w:rsid w:val="0010765B"/>
    <w:rPr>
      <w:rFonts w:ascii="Arial" w:hAnsi="Arial"/>
      <w:b/>
      <w:bCs/>
      <w:sz w:val="20"/>
      <w:szCs w:val="20"/>
    </w:rPr>
  </w:style>
  <w:style w:type="paragraph" w:customStyle="1" w:styleId="NumberedContent">
    <w:name w:val="Numbered Content"/>
    <w:basedOn w:val="Normal"/>
    <w:qFormat/>
    <w:rsid w:val="00CA438E"/>
    <w:pPr>
      <w:spacing w:after="240" w:line="240" w:lineRule="auto"/>
      <w:jc w:val="both"/>
    </w:pPr>
    <w:rPr>
      <w:rFonts w:eastAsia="PMingLiU"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30986">
      <w:bodyDiv w:val="1"/>
      <w:marLeft w:val="0"/>
      <w:marRight w:val="0"/>
      <w:marTop w:val="0"/>
      <w:marBottom w:val="0"/>
      <w:divBdr>
        <w:top w:val="none" w:sz="0" w:space="0" w:color="auto"/>
        <w:left w:val="none" w:sz="0" w:space="0" w:color="auto"/>
        <w:bottom w:val="none" w:sz="0" w:space="0" w:color="auto"/>
        <w:right w:val="none" w:sz="0" w:space="0" w:color="auto"/>
      </w:divBdr>
    </w:div>
    <w:div w:id="351692263">
      <w:bodyDiv w:val="1"/>
      <w:marLeft w:val="0"/>
      <w:marRight w:val="0"/>
      <w:marTop w:val="0"/>
      <w:marBottom w:val="0"/>
      <w:divBdr>
        <w:top w:val="none" w:sz="0" w:space="0" w:color="auto"/>
        <w:left w:val="none" w:sz="0" w:space="0" w:color="auto"/>
        <w:bottom w:val="none" w:sz="0" w:space="0" w:color="auto"/>
        <w:right w:val="none" w:sz="0" w:space="0" w:color="auto"/>
      </w:divBdr>
    </w:div>
    <w:div w:id="390270552">
      <w:bodyDiv w:val="1"/>
      <w:marLeft w:val="0"/>
      <w:marRight w:val="0"/>
      <w:marTop w:val="0"/>
      <w:marBottom w:val="0"/>
      <w:divBdr>
        <w:top w:val="none" w:sz="0" w:space="0" w:color="auto"/>
        <w:left w:val="none" w:sz="0" w:space="0" w:color="auto"/>
        <w:bottom w:val="none" w:sz="0" w:space="0" w:color="auto"/>
        <w:right w:val="none" w:sz="0" w:space="0" w:color="auto"/>
      </w:divBdr>
    </w:div>
    <w:div w:id="1076249487">
      <w:bodyDiv w:val="1"/>
      <w:marLeft w:val="0"/>
      <w:marRight w:val="0"/>
      <w:marTop w:val="0"/>
      <w:marBottom w:val="0"/>
      <w:divBdr>
        <w:top w:val="none" w:sz="0" w:space="0" w:color="auto"/>
        <w:left w:val="none" w:sz="0" w:space="0" w:color="auto"/>
        <w:bottom w:val="none" w:sz="0" w:space="0" w:color="auto"/>
        <w:right w:val="none" w:sz="0" w:space="0" w:color="auto"/>
      </w:divBdr>
    </w:div>
    <w:div w:id="11413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CE22-0868-4A34-B87F-5BB2D1AA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F0716613</Template>
  <TotalTime>1</TotalTime>
  <Pages>11</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Psychoactive Substances Act 2013</dc:title>
  <dc:subject/>
  <dc:creator>Ministry of Health</dc:creator>
  <cp:keywords/>
  <dc:description/>
  <cp:lastModifiedBy>Jared Wilkinson</cp:lastModifiedBy>
  <cp:revision>3</cp:revision>
  <cp:lastPrinted>2018-09-28T00:10:00Z</cp:lastPrinted>
  <dcterms:created xsi:type="dcterms:W3CDTF">2018-12-19T21:18:00Z</dcterms:created>
  <dcterms:modified xsi:type="dcterms:W3CDTF">2019-01-08T22:59:00Z</dcterms:modified>
</cp:coreProperties>
</file>